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pn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A6534" w:rsidRDefault="000A6534" w:rsidP="00F00FCB">
      <w:pPr>
        <w:pStyle w:val="-"/>
        <w:ind w:firstLine="420"/>
      </w:pPr>
    </w:p>
    <w:p w:rsidR="000A6534" w:rsidRDefault="000A6534" w:rsidP="000A6534">
      <w:pPr>
        <w:jc w:val="center"/>
        <w:rPr>
          <w:rFonts w:ascii="宋体" w:hAnsi="宋体"/>
          <w:b/>
          <w:bCs/>
          <w:sz w:val="28"/>
          <w:szCs w:val="30"/>
        </w:rPr>
      </w:pPr>
    </w:p>
    <w:p w:rsidR="0044723E" w:rsidRPr="0044723E" w:rsidRDefault="00AE3F5B" w:rsidP="0044723E">
      <w:pPr>
        <w:jc w:val="center"/>
        <w:rPr>
          <w:rFonts w:ascii="宋体" w:hAnsi="宋体"/>
          <w:b/>
          <w:bCs/>
          <w:sz w:val="48"/>
          <w:szCs w:val="30"/>
        </w:rPr>
      </w:pPr>
      <w:r w:rsidRPr="0044723E">
        <w:rPr>
          <w:rFonts w:ascii="宋体" w:hAnsi="宋体"/>
          <w:b/>
          <w:bCs/>
          <w:sz w:val="48"/>
          <w:szCs w:val="30"/>
        </w:rPr>
        <w:t xml:space="preserve"> </w:t>
      </w:r>
      <w:r w:rsidR="0045619C">
        <w:rPr>
          <w:rFonts w:ascii="宋体" w:hAnsi="宋体" w:hint="eastAsia"/>
          <w:b/>
          <w:bCs/>
          <w:sz w:val="48"/>
          <w:szCs w:val="30"/>
        </w:rPr>
        <w:t>南方中证港股通</w:t>
      </w:r>
      <w:r w:rsidR="0045619C">
        <w:rPr>
          <w:rFonts w:ascii="宋体" w:hAnsi="宋体"/>
          <w:b/>
          <w:bCs/>
          <w:sz w:val="48"/>
          <w:szCs w:val="30"/>
        </w:rPr>
        <w:t>50交易型开放式指数证券投资基金联接基金2026年第2季度报告</w:t>
      </w:r>
    </w:p>
    <w:p w:rsidR="0044723E" w:rsidRDefault="0044723E" w:rsidP="00D17C56">
      <w:pPr>
        <w:jc w:val="center"/>
        <w:rPr>
          <w:rFonts w:ascii="宋体" w:hAnsi="宋体"/>
          <w:b/>
          <w:bCs/>
          <w:sz w:val="48"/>
          <w:szCs w:val="30"/>
        </w:rPr>
      </w:pPr>
      <w:bookmarkStart w:id="0" w:name="OLE_LINK1"/>
      <w:bookmarkStart w:id="1" w:name="OLE_LINK2"/>
    </w:p>
    <w:p w:rsidR="00D17C56" w:rsidRDefault="00D17C56" w:rsidP="00D17C56">
      <w:pPr>
        <w:jc w:val="center"/>
        <w:rPr>
          <w:rFonts w:ascii="宋体" w:hAnsi="宋体"/>
          <w:b/>
          <w:bCs/>
          <w:sz w:val="28"/>
          <w:szCs w:val="30"/>
        </w:rPr>
      </w:pPr>
    </w:p>
    <w:bookmarkEnd w:id="0"/>
    <w:bookmarkEnd w:id="1"/>
    <w:p w:rsidR="00D17C56" w:rsidRDefault="0045619C" w:rsidP="00D17C56">
      <w:pPr>
        <w:jc w:val="center"/>
        <w:rPr>
          <w:rFonts w:ascii="宋体" w:hAnsi="宋体"/>
          <w:b/>
          <w:bCs/>
          <w:sz w:val="28"/>
          <w:szCs w:val="30"/>
        </w:rPr>
      </w:pPr>
      <w:r>
        <w:rPr>
          <w:rFonts w:ascii="宋体" w:hAnsi="宋体"/>
          <w:b/>
          <w:bCs/>
          <w:sz w:val="28"/>
          <w:szCs w:val="30"/>
        </w:rPr>
        <w:t>2026年06月30日</w:t>
      </w:r>
    </w:p>
    <w:p w:rsidR="00C30704" w:rsidRDefault="00C30704" w:rsidP="003433CF">
      <w:pPr>
        <w:jc w:val="center"/>
        <w:rPr>
          <w:rFonts w:ascii="宋体" w:hAnsi="宋体"/>
          <w:sz w:val="28"/>
          <w:szCs w:val="30"/>
        </w:rPr>
      </w:pPr>
    </w:p>
    <w:p w:rsidR="0078485C" w:rsidRDefault="0078485C" w:rsidP="003433CF">
      <w:pPr>
        <w:jc w:val="center"/>
        <w:rPr>
          <w:rFonts w:ascii="宋体" w:hAnsi="宋体"/>
          <w:sz w:val="28"/>
          <w:szCs w:val="30"/>
        </w:rPr>
      </w:pPr>
    </w:p>
    <w:p w:rsidR="0078485C" w:rsidRDefault="0078485C" w:rsidP="003433CF">
      <w:pPr>
        <w:jc w:val="center"/>
        <w:rPr>
          <w:rFonts w:ascii="宋体" w:hAnsi="宋体"/>
          <w:sz w:val="28"/>
          <w:szCs w:val="30"/>
        </w:rPr>
      </w:pPr>
    </w:p>
    <w:p w:rsidR="0061364E" w:rsidRDefault="0061364E" w:rsidP="003433CF">
      <w:pPr>
        <w:jc w:val="center"/>
        <w:rPr>
          <w:rFonts w:ascii="宋体" w:hAnsi="宋体"/>
          <w:sz w:val="28"/>
          <w:szCs w:val="30"/>
        </w:rPr>
      </w:pPr>
    </w:p>
    <w:p w:rsidR="00CF004A" w:rsidRDefault="00CF004A" w:rsidP="003433CF">
      <w:pPr>
        <w:jc w:val="center"/>
        <w:rPr>
          <w:rFonts w:ascii="宋体" w:hAnsi="宋体"/>
          <w:sz w:val="28"/>
          <w:szCs w:val="30"/>
        </w:rPr>
      </w:pPr>
    </w:p>
    <w:p w:rsidR="00CF004A" w:rsidRDefault="00CF004A" w:rsidP="003433CF">
      <w:pPr>
        <w:jc w:val="center"/>
        <w:rPr>
          <w:rFonts w:ascii="宋体" w:hAnsi="宋体"/>
          <w:sz w:val="28"/>
          <w:szCs w:val="30"/>
        </w:rPr>
      </w:pPr>
    </w:p>
    <w:p w:rsidR="00CF004A" w:rsidRDefault="00CF004A" w:rsidP="003433CF">
      <w:pPr>
        <w:jc w:val="center"/>
        <w:rPr>
          <w:rFonts w:ascii="宋体" w:hAnsi="宋体"/>
          <w:sz w:val="28"/>
          <w:szCs w:val="30"/>
        </w:rPr>
      </w:pPr>
    </w:p>
    <w:p w:rsidR="00CF004A" w:rsidRDefault="00CF004A" w:rsidP="003433CF">
      <w:pPr>
        <w:jc w:val="center"/>
        <w:rPr>
          <w:rFonts w:ascii="宋体" w:hAnsi="宋体"/>
          <w:sz w:val="28"/>
          <w:szCs w:val="30"/>
        </w:rPr>
      </w:pPr>
    </w:p>
    <w:p w:rsidR="003433CF" w:rsidRDefault="003433CF" w:rsidP="003433CF">
      <w:pPr>
        <w:jc w:val="center"/>
        <w:rPr>
          <w:rFonts w:ascii="宋体" w:hAnsi="宋体"/>
          <w:sz w:val="28"/>
          <w:szCs w:val="30"/>
        </w:rPr>
      </w:pPr>
    </w:p>
    <w:p w:rsidR="003433CF" w:rsidRDefault="003433CF" w:rsidP="003433CF">
      <w:pPr>
        <w:jc w:val="center"/>
        <w:rPr>
          <w:rFonts w:ascii="宋体" w:hAnsi="宋体"/>
          <w:sz w:val="28"/>
          <w:szCs w:val="30"/>
        </w:rPr>
      </w:pPr>
    </w:p>
    <w:p w:rsidR="00D17C56" w:rsidRDefault="00AE3F5B" w:rsidP="00D17C56">
      <w:pPr>
        <w:ind w:firstLineChars="600" w:firstLine="1687"/>
        <w:rPr>
          <w:rFonts w:ascii="宋体" w:hAnsi="宋体"/>
          <w:b/>
          <w:bCs/>
          <w:sz w:val="28"/>
          <w:szCs w:val="30"/>
        </w:rPr>
      </w:pPr>
      <w:r>
        <w:rPr>
          <w:rFonts w:ascii="宋体" w:hAnsi="宋体" w:hint="eastAsia"/>
          <w:b/>
          <w:bCs/>
          <w:sz w:val="28"/>
          <w:szCs w:val="30"/>
        </w:rPr>
        <w:t>基金管理人：</w:t>
      </w:r>
      <w:r w:rsidR="0045619C">
        <w:rPr>
          <w:rFonts w:ascii="宋体" w:hAnsi="宋体" w:hint="eastAsia"/>
          <w:b/>
          <w:bCs/>
          <w:sz w:val="28"/>
          <w:szCs w:val="30"/>
        </w:rPr>
        <w:t>南方基金管理股份有限公司</w:t>
      </w:r>
      <w:r w:rsidR="00D17C56">
        <w:rPr>
          <w:rFonts w:ascii="宋体" w:hAnsi="宋体"/>
          <w:b/>
          <w:bCs/>
          <w:sz w:val="28"/>
          <w:szCs w:val="30"/>
        </w:rPr>
        <w:t xml:space="preserve"> </w:t>
      </w:r>
    </w:p>
    <w:p w:rsidR="00D17C56" w:rsidRDefault="00AE3F5B" w:rsidP="00D17C56">
      <w:pPr>
        <w:ind w:firstLineChars="600" w:firstLine="1687"/>
        <w:rPr>
          <w:rFonts w:ascii="宋体" w:hAnsi="宋体"/>
          <w:b/>
          <w:bCs/>
          <w:sz w:val="28"/>
          <w:szCs w:val="30"/>
        </w:rPr>
      </w:pPr>
      <w:r>
        <w:rPr>
          <w:rFonts w:ascii="宋体" w:hAnsi="宋体" w:hint="eastAsia"/>
          <w:b/>
          <w:bCs/>
          <w:sz w:val="28"/>
          <w:szCs w:val="30"/>
        </w:rPr>
        <w:t>基金托管人：</w:t>
      </w:r>
      <w:r w:rsidR="0045619C">
        <w:rPr>
          <w:rFonts w:ascii="宋体" w:hAnsi="宋体" w:hint="eastAsia"/>
          <w:b/>
          <w:bCs/>
          <w:sz w:val="28"/>
          <w:szCs w:val="30"/>
        </w:rPr>
        <w:t>中国工商银行股份有限公司</w:t>
      </w:r>
      <w:r w:rsidR="00D17C56">
        <w:rPr>
          <w:rFonts w:ascii="宋体" w:hAnsi="宋体"/>
          <w:b/>
          <w:bCs/>
          <w:sz w:val="28"/>
          <w:szCs w:val="30"/>
        </w:rPr>
        <w:t xml:space="preserve"> </w:t>
      </w:r>
    </w:p>
    <w:p w:rsidR="00EF763C" w:rsidRDefault="00AE3F5B" w:rsidP="00A94D0E">
      <w:pPr>
        <w:ind w:firstLineChars="600" w:firstLine="1687"/>
        <w:rPr>
          <w:rFonts w:ascii="宋体" w:hAnsi="宋体"/>
          <w:b/>
          <w:bCs/>
          <w:sz w:val="28"/>
          <w:szCs w:val="30"/>
        </w:rPr>
      </w:pPr>
      <w:r w:rsidRPr="00425AEE">
        <w:rPr>
          <w:rFonts w:ascii="宋体" w:hAnsi="宋体" w:hint="eastAsia"/>
          <w:b/>
          <w:bCs/>
          <w:sz w:val="28"/>
          <w:szCs w:val="30"/>
        </w:rPr>
        <w:t>送出日期：</w:t>
      </w:r>
      <w:r w:rsidR="0045619C">
        <w:rPr>
          <w:rFonts w:ascii="宋体" w:hAnsi="宋体"/>
          <w:b/>
          <w:bCs/>
          <w:sz w:val="28"/>
          <w:szCs w:val="30"/>
        </w:rPr>
        <w:t>2026年7月21日</w:t>
      </w:r>
      <w:r w:rsidR="00D17C56" w:rsidRPr="00425AEE">
        <w:rPr>
          <w:rFonts w:ascii="宋体" w:hAnsi="宋体"/>
          <w:b/>
          <w:bCs/>
          <w:sz w:val="28"/>
          <w:szCs w:val="30"/>
        </w:rPr>
        <w:t xml:space="preserve"> </w:t>
      </w:r>
    </w:p>
    <w:p w:rsidR="00D30948" w:rsidRPr="00A94D0E" w:rsidRDefault="00D30948" w:rsidP="00A94D0E">
      <w:pPr>
        <w:ind w:firstLineChars="600" w:firstLine="1687"/>
        <w:rPr>
          <w:rFonts w:ascii="宋体" w:hAnsi="宋体"/>
          <w:b/>
          <w:bCs/>
          <w:sz w:val="28"/>
          <w:szCs w:val="30"/>
        </w:rPr>
      </w:pPr>
    </w:p>
    <w:p w:rsidR="00F74FE9" w:rsidRDefault="005805A4" w:rsidP="004E571F">
      <w:pPr>
        <w:snapToGrid w:val="0"/>
        <w:spacing w:line="360" w:lineRule="auto"/>
        <w:jc w:val="left"/>
      </w:pPr>
      <w:r>
        <w:br w:type="page"/>
      </w:r>
    </w:p>
    <w:p w:rsidR="0045619C" w:rsidRDefault="0045619C" w:rsidP="0045619C">
      <w:pPr>
        <w:pStyle w:val="-1"/>
        <w:ind w:left="281" w:hanging="281"/>
      </w:pPr>
      <w:bookmarkStart w:id="2" w:name="_GoBack"/>
      <w:bookmarkEnd w:id="2"/>
      <w:r>
        <w:rPr>
          <w:rFonts w:hint="eastAsia"/>
        </w:rPr>
        <w:lastRenderedPageBreak/>
        <w:t>重要提示</w:t>
      </w:r>
    </w:p>
    <w:p w:rsidR="0045619C" w:rsidRDefault="0045619C" w:rsidP="0045619C">
      <w:pPr>
        <w:pStyle w:val="-"/>
        <w:ind w:firstLine="420"/>
      </w:pPr>
      <w:r>
        <w:rPr>
          <w:rFonts w:hint="eastAsia"/>
        </w:rPr>
        <w:t>基金管理人的董事会及董事保证本报告所载资料不存在虚假记载、误导性陈述或重大遗漏，并对其内容的真实性、准确性和完整性承担个别及连带责任。</w:t>
      </w:r>
    </w:p>
    <w:p w:rsidR="0045619C" w:rsidRDefault="0045619C" w:rsidP="0045619C">
      <w:pPr>
        <w:pStyle w:val="-"/>
        <w:ind w:firstLine="420"/>
      </w:pPr>
      <w:r>
        <w:rPr>
          <w:rFonts w:hint="eastAsia"/>
        </w:rPr>
        <w:t>基金托管人中国工商银行股份有限公司根据本基金合同约定，于2026年7月17日复核了本报告中的财务指标、净值表现和投资组合报告等内容，保证复核内容不存在虚假记载、误导性陈述或者重大遗漏。</w:t>
      </w:r>
    </w:p>
    <w:p w:rsidR="0045619C" w:rsidRDefault="0045619C" w:rsidP="0045619C">
      <w:pPr>
        <w:pStyle w:val="-"/>
        <w:ind w:firstLine="420"/>
      </w:pPr>
      <w:r>
        <w:rPr>
          <w:rFonts w:hint="eastAsia"/>
        </w:rPr>
        <w:t>基金管理人承诺以诚实信用、勤勉尽责的原则管理和运用基金资产，但不保证基金一定盈利。</w:t>
      </w:r>
    </w:p>
    <w:p w:rsidR="0045619C" w:rsidRDefault="0045619C" w:rsidP="0045619C">
      <w:pPr>
        <w:pStyle w:val="-"/>
        <w:ind w:firstLine="420"/>
      </w:pPr>
      <w:r>
        <w:rPr>
          <w:rFonts w:hint="eastAsia"/>
        </w:rPr>
        <w:t>基金的过往业绩并不代表其未来表现。投资有风险，投资者在作出投资决策前应仔细阅读本基金的招募说明书。</w:t>
      </w:r>
    </w:p>
    <w:p w:rsidR="0045619C" w:rsidRDefault="0045619C" w:rsidP="0045619C">
      <w:pPr>
        <w:pStyle w:val="-"/>
        <w:ind w:firstLine="420"/>
      </w:pPr>
      <w:r>
        <w:rPr>
          <w:rFonts w:hint="eastAsia"/>
        </w:rPr>
        <w:t>本报告中财务资料未经审计。</w:t>
      </w:r>
    </w:p>
    <w:p w:rsidR="0045619C" w:rsidRDefault="0045619C" w:rsidP="0045619C">
      <w:pPr>
        <w:pStyle w:val="-"/>
        <w:ind w:firstLine="420"/>
      </w:pPr>
      <w:r>
        <w:rPr>
          <w:rFonts w:hint="eastAsia"/>
        </w:rPr>
        <w:t>本报告期自2026年4月1日起至6月30日止。</w:t>
      </w:r>
    </w:p>
    <w:p w:rsidR="0045619C" w:rsidRDefault="0045619C" w:rsidP="0045619C">
      <w:pPr>
        <w:pStyle w:val="-1"/>
        <w:ind w:left="281" w:hanging="281"/>
      </w:pPr>
      <w:r>
        <w:rPr>
          <w:rFonts w:hint="eastAsia"/>
        </w:rPr>
        <w:t>基金产品概况</w:t>
      </w:r>
    </w:p>
    <w:p w:rsidR="0045619C" w:rsidRDefault="0045619C" w:rsidP="0045619C">
      <w:pPr>
        <w:pStyle w:val="-2"/>
        <w:spacing w:before="312"/>
      </w:pPr>
      <w:r>
        <w:rPr>
          <w:rFonts w:hint="eastAsia"/>
        </w:rPr>
        <w:t>基金基本情况</w:t>
      </w:r>
    </w:p>
    <w:tbl>
      <w:tblPr>
        <w:tblStyle w:val="-noheader"/>
        <w:tblW w:w="8306" w:type="dxa"/>
        <w:tblLayout w:type="fixed"/>
        <w:tblLook w:val="04A0" w:firstRow="1" w:lastRow="0" w:firstColumn="1" w:lastColumn="0" w:noHBand="0" w:noVBand="1"/>
      </w:tblPr>
      <w:tblGrid>
        <w:gridCol w:w="2768"/>
        <w:gridCol w:w="2769"/>
        <w:gridCol w:w="2769"/>
      </w:tblGrid>
      <w:tr w:rsidR="0045619C" w:rsidTr="00C216E9">
        <w:tc>
          <w:tcPr>
            <w:tcW w:w="2768" w:type="dxa"/>
          </w:tcPr>
          <w:p w:rsidR="0045619C" w:rsidRDefault="0045619C" w:rsidP="0045619C">
            <w:pPr>
              <w:jc w:val="left"/>
            </w:pPr>
            <w:r>
              <w:rPr>
                <w:rFonts w:hint="eastAsia"/>
              </w:rPr>
              <w:t>基金简称</w:t>
            </w:r>
          </w:p>
        </w:tc>
        <w:tc>
          <w:tcPr>
            <w:tcW w:w="5538" w:type="dxa"/>
            <w:gridSpan w:val="2"/>
          </w:tcPr>
          <w:p w:rsidR="0045619C" w:rsidRDefault="0045619C" w:rsidP="0045619C">
            <w:pPr>
              <w:jc w:val="left"/>
            </w:pPr>
            <w:r>
              <w:rPr>
                <w:rFonts w:hint="eastAsia"/>
              </w:rPr>
              <w:t>南方中证港股通</w:t>
            </w:r>
            <w:r>
              <w:rPr>
                <w:rFonts w:hint="eastAsia"/>
              </w:rPr>
              <w:t>50ETF</w:t>
            </w:r>
            <w:r>
              <w:rPr>
                <w:rFonts w:hint="eastAsia"/>
              </w:rPr>
              <w:t>联接</w:t>
            </w:r>
          </w:p>
        </w:tc>
      </w:tr>
      <w:tr w:rsidR="0045619C" w:rsidTr="008D7D5F">
        <w:tc>
          <w:tcPr>
            <w:tcW w:w="2768" w:type="dxa"/>
          </w:tcPr>
          <w:p w:rsidR="0045619C" w:rsidRDefault="0045619C" w:rsidP="0045619C">
            <w:pPr>
              <w:jc w:val="left"/>
            </w:pPr>
            <w:r>
              <w:rPr>
                <w:rFonts w:hint="eastAsia"/>
              </w:rPr>
              <w:t>基金主代码</w:t>
            </w:r>
          </w:p>
        </w:tc>
        <w:tc>
          <w:tcPr>
            <w:tcW w:w="5538" w:type="dxa"/>
            <w:gridSpan w:val="2"/>
          </w:tcPr>
          <w:p w:rsidR="0045619C" w:rsidRDefault="0045619C" w:rsidP="0045619C">
            <w:pPr>
              <w:jc w:val="left"/>
            </w:pPr>
            <w:r>
              <w:t>026606</w:t>
            </w:r>
          </w:p>
        </w:tc>
      </w:tr>
      <w:tr w:rsidR="0045619C" w:rsidTr="002D63BC">
        <w:tc>
          <w:tcPr>
            <w:tcW w:w="2768" w:type="dxa"/>
          </w:tcPr>
          <w:p w:rsidR="0045619C" w:rsidRDefault="0045619C" w:rsidP="0045619C">
            <w:pPr>
              <w:jc w:val="left"/>
            </w:pPr>
            <w:r>
              <w:rPr>
                <w:rFonts w:hint="eastAsia"/>
              </w:rPr>
              <w:t>交易代码</w:t>
            </w:r>
          </w:p>
        </w:tc>
        <w:tc>
          <w:tcPr>
            <w:tcW w:w="5538" w:type="dxa"/>
            <w:gridSpan w:val="2"/>
          </w:tcPr>
          <w:p w:rsidR="0045619C" w:rsidRDefault="0045619C" w:rsidP="0045619C">
            <w:pPr>
              <w:jc w:val="left"/>
            </w:pPr>
            <w:r>
              <w:t>026606</w:t>
            </w:r>
          </w:p>
        </w:tc>
      </w:tr>
      <w:tr w:rsidR="0045619C" w:rsidTr="004837BE">
        <w:tc>
          <w:tcPr>
            <w:tcW w:w="2768" w:type="dxa"/>
          </w:tcPr>
          <w:p w:rsidR="0045619C" w:rsidRDefault="0045619C" w:rsidP="0045619C">
            <w:pPr>
              <w:jc w:val="left"/>
            </w:pPr>
            <w:r>
              <w:rPr>
                <w:rFonts w:hint="eastAsia"/>
              </w:rPr>
              <w:t>基金运作方式</w:t>
            </w:r>
          </w:p>
        </w:tc>
        <w:tc>
          <w:tcPr>
            <w:tcW w:w="5538" w:type="dxa"/>
            <w:gridSpan w:val="2"/>
          </w:tcPr>
          <w:p w:rsidR="0045619C" w:rsidRDefault="0045619C" w:rsidP="0045619C">
            <w:pPr>
              <w:jc w:val="left"/>
            </w:pPr>
            <w:r>
              <w:rPr>
                <w:rFonts w:hint="eastAsia"/>
              </w:rPr>
              <w:t>契约型开放式</w:t>
            </w:r>
          </w:p>
        </w:tc>
      </w:tr>
      <w:tr w:rsidR="0045619C" w:rsidTr="00A02298">
        <w:tc>
          <w:tcPr>
            <w:tcW w:w="2768" w:type="dxa"/>
          </w:tcPr>
          <w:p w:rsidR="0045619C" w:rsidRDefault="0045619C" w:rsidP="0045619C">
            <w:pPr>
              <w:jc w:val="left"/>
            </w:pPr>
            <w:r>
              <w:rPr>
                <w:rFonts w:hint="eastAsia"/>
              </w:rPr>
              <w:t>基金合同生效日</w:t>
            </w:r>
          </w:p>
        </w:tc>
        <w:tc>
          <w:tcPr>
            <w:tcW w:w="5538" w:type="dxa"/>
            <w:gridSpan w:val="2"/>
          </w:tcPr>
          <w:p w:rsidR="0045619C" w:rsidRDefault="0045619C" w:rsidP="0045619C">
            <w:pPr>
              <w:jc w:val="left"/>
            </w:pPr>
            <w:r>
              <w:rPr>
                <w:rFonts w:hint="eastAsia"/>
              </w:rPr>
              <w:t>2026</w:t>
            </w:r>
            <w:r>
              <w:rPr>
                <w:rFonts w:hint="eastAsia"/>
              </w:rPr>
              <w:t>年</w:t>
            </w:r>
            <w:r>
              <w:rPr>
                <w:rFonts w:hint="eastAsia"/>
              </w:rPr>
              <w:t>3</w:t>
            </w:r>
            <w:r>
              <w:rPr>
                <w:rFonts w:hint="eastAsia"/>
              </w:rPr>
              <w:t>月</w:t>
            </w:r>
            <w:r>
              <w:rPr>
                <w:rFonts w:hint="eastAsia"/>
              </w:rPr>
              <w:t>24</w:t>
            </w:r>
            <w:r>
              <w:rPr>
                <w:rFonts w:hint="eastAsia"/>
              </w:rPr>
              <w:t>日</w:t>
            </w:r>
          </w:p>
        </w:tc>
      </w:tr>
      <w:tr w:rsidR="0045619C" w:rsidTr="00233EED">
        <w:tc>
          <w:tcPr>
            <w:tcW w:w="2768" w:type="dxa"/>
          </w:tcPr>
          <w:p w:rsidR="0045619C" w:rsidRDefault="0045619C" w:rsidP="0045619C">
            <w:pPr>
              <w:jc w:val="left"/>
            </w:pPr>
            <w:r>
              <w:rPr>
                <w:rFonts w:hint="eastAsia"/>
              </w:rPr>
              <w:t>报告期末基金份额总额</w:t>
            </w:r>
          </w:p>
        </w:tc>
        <w:tc>
          <w:tcPr>
            <w:tcW w:w="5538" w:type="dxa"/>
            <w:gridSpan w:val="2"/>
          </w:tcPr>
          <w:p w:rsidR="0045619C" w:rsidRDefault="0045619C" w:rsidP="0045619C">
            <w:pPr>
              <w:jc w:val="left"/>
            </w:pPr>
            <w:r>
              <w:rPr>
                <w:rFonts w:hint="eastAsia"/>
              </w:rPr>
              <w:t>170,417,498.35</w:t>
            </w:r>
            <w:r>
              <w:rPr>
                <w:rFonts w:hint="eastAsia"/>
              </w:rPr>
              <w:t>份</w:t>
            </w:r>
          </w:p>
        </w:tc>
      </w:tr>
      <w:tr w:rsidR="0045619C" w:rsidTr="0005031A">
        <w:tc>
          <w:tcPr>
            <w:tcW w:w="2768" w:type="dxa"/>
          </w:tcPr>
          <w:p w:rsidR="0045619C" w:rsidRDefault="0045619C" w:rsidP="0045619C">
            <w:pPr>
              <w:jc w:val="left"/>
            </w:pPr>
            <w:r>
              <w:rPr>
                <w:rFonts w:hint="eastAsia"/>
              </w:rPr>
              <w:t>投资目标</w:t>
            </w:r>
          </w:p>
        </w:tc>
        <w:tc>
          <w:tcPr>
            <w:tcW w:w="5538" w:type="dxa"/>
            <w:gridSpan w:val="2"/>
          </w:tcPr>
          <w:p w:rsidR="0045619C" w:rsidRDefault="0045619C" w:rsidP="0045619C">
            <w:pPr>
              <w:jc w:val="left"/>
            </w:pPr>
            <w:r>
              <w:rPr>
                <w:rFonts w:hint="eastAsia"/>
              </w:rPr>
              <w:t>本基金通过投资于目标</w:t>
            </w:r>
            <w:r>
              <w:rPr>
                <w:rFonts w:hint="eastAsia"/>
              </w:rPr>
              <w:t>ETF</w:t>
            </w:r>
            <w:r>
              <w:rPr>
                <w:rFonts w:hint="eastAsia"/>
              </w:rPr>
              <w:t>，紧密跟踪标的指数，追求与业绩比较基准相似的回报。</w:t>
            </w:r>
          </w:p>
        </w:tc>
      </w:tr>
      <w:tr w:rsidR="0045619C" w:rsidTr="00B118E0">
        <w:tc>
          <w:tcPr>
            <w:tcW w:w="2768" w:type="dxa"/>
          </w:tcPr>
          <w:p w:rsidR="0045619C" w:rsidRDefault="0045619C" w:rsidP="0045619C">
            <w:pPr>
              <w:jc w:val="left"/>
            </w:pPr>
            <w:r>
              <w:rPr>
                <w:rFonts w:hint="eastAsia"/>
              </w:rPr>
              <w:t>投资策略</w:t>
            </w:r>
          </w:p>
        </w:tc>
        <w:tc>
          <w:tcPr>
            <w:tcW w:w="5538" w:type="dxa"/>
            <w:gridSpan w:val="2"/>
          </w:tcPr>
          <w:p w:rsidR="0045619C" w:rsidRDefault="0045619C" w:rsidP="0045619C">
            <w:r>
              <w:rPr>
                <w:rFonts w:hint="eastAsia"/>
              </w:rPr>
              <w:t>本基金为被动式指数基金，主要投资于目标</w:t>
            </w:r>
            <w:r>
              <w:rPr>
                <w:rFonts w:hint="eastAsia"/>
              </w:rPr>
              <w:t>ETF</w:t>
            </w:r>
            <w:r>
              <w:rPr>
                <w:rFonts w:hint="eastAsia"/>
              </w:rPr>
              <w:t>。本基金并不参与目标</w:t>
            </w:r>
            <w:r>
              <w:rPr>
                <w:rFonts w:hint="eastAsia"/>
              </w:rPr>
              <w:t>ETF</w:t>
            </w:r>
            <w:r>
              <w:rPr>
                <w:rFonts w:hint="eastAsia"/>
              </w:rPr>
              <w:t>的管理。在正常市场情况下，本基金力争净值增长率与业绩比较基准之间的日均跟踪偏离度不超过</w:t>
            </w:r>
            <w:r>
              <w:rPr>
                <w:rFonts w:hint="eastAsia"/>
              </w:rPr>
              <w:t>0.35%</w:t>
            </w:r>
            <w:r>
              <w:rPr>
                <w:rFonts w:hint="eastAsia"/>
              </w:rPr>
              <w:t>，年跟踪误差不超过</w:t>
            </w:r>
            <w:r>
              <w:rPr>
                <w:rFonts w:hint="eastAsia"/>
              </w:rPr>
              <w:t>4%</w:t>
            </w:r>
            <w:r>
              <w:rPr>
                <w:rFonts w:hint="eastAsia"/>
              </w:rPr>
              <w:t>。如因指数编制规则调整或其他因素导致跟踪偏离度和跟踪误差超过上述范围，基金管理人应采取合理措施避免跟踪偏离度、跟踪误差进一步扩大。具体投资策略包括：</w:t>
            </w:r>
            <w:r>
              <w:rPr>
                <w:rFonts w:hint="eastAsia"/>
              </w:rPr>
              <w:t>1</w:t>
            </w:r>
            <w:r>
              <w:rPr>
                <w:rFonts w:hint="eastAsia"/>
              </w:rPr>
              <w:t>、资产配置策略；</w:t>
            </w:r>
            <w:r>
              <w:rPr>
                <w:rFonts w:hint="eastAsia"/>
              </w:rPr>
              <w:t>2</w:t>
            </w:r>
            <w:r>
              <w:rPr>
                <w:rFonts w:hint="eastAsia"/>
              </w:rPr>
              <w:t>、目标</w:t>
            </w:r>
            <w:r>
              <w:rPr>
                <w:rFonts w:hint="eastAsia"/>
              </w:rPr>
              <w:t>ETF</w:t>
            </w:r>
            <w:r>
              <w:rPr>
                <w:rFonts w:hint="eastAsia"/>
              </w:rPr>
              <w:t>投资策略；</w:t>
            </w:r>
            <w:r>
              <w:rPr>
                <w:rFonts w:hint="eastAsia"/>
              </w:rPr>
              <w:t>3</w:t>
            </w:r>
            <w:r>
              <w:rPr>
                <w:rFonts w:hint="eastAsia"/>
              </w:rPr>
              <w:t>、成份股、备选成份股投资策略；</w:t>
            </w:r>
            <w:r>
              <w:rPr>
                <w:rFonts w:hint="eastAsia"/>
              </w:rPr>
              <w:t>4</w:t>
            </w:r>
            <w:r>
              <w:rPr>
                <w:rFonts w:hint="eastAsia"/>
              </w:rPr>
              <w:t>、金融衍生品投资策略；</w:t>
            </w:r>
            <w:r>
              <w:rPr>
                <w:rFonts w:hint="eastAsia"/>
              </w:rPr>
              <w:t>5</w:t>
            </w:r>
            <w:r>
              <w:rPr>
                <w:rFonts w:hint="eastAsia"/>
              </w:rPr>
              <w:t>、债券投资策略；</w:t>
            </w:r>
            <w:r>
              <w:rPr>
                <w:rFonts w:hint="eastAsia"/>
              </w:rPr>
              <w:t>6</w:t>
            </w:r>
            <w:r>
              <w:rPr>
                <w:rFonts w:hint="eastAsia"/>
              </w:rPr>
              <w:t>、可转换债券及可交换债券投资策略；</w:t>
            </w:r>
            <w:r>
              <w:rPr>
                <w:rFonts w:hint="eastAsia"/>
              </w:rPr>
              <w:t>7</w:t>
            </w:r>
            <w:r>
              <w:rPr>
                <w:rFonts w:hint="eastAsia"/>
              </w:rPr>
              <w:t>、资产支持证券投资策略；</w:t>
            </w:r>
            <w:r>
              <w:rPr>
                <w:rFonts w:hint="eastAsia"/>
              </w:rPr>
              <w:t>8</w:t>
            </w:r>
            <w:r>
              <w:rPr>
                <w:rFonts w:hint="eastAsia"/>
              </w:rPr>
              <w:t>、融资及转融通证券出借业务投资策略；</w:t>
            </w:r>
            <w:r>
              <w:rPr>
                <w:rFonts w:hint="eastAsia"/>
              </w:rPr>
              <w:t>9</w:t>
            </w:r>
            <w:r>
              <w:rPr>
                <w:rFonts w:hint="eastAsia"/>
              </w:rPr>
              <w:t>、存托凭证投资策略。</w:t>
            </w:r>
          </w:p>
        </w:tc>
      </w:tr>
      <w:tr w:rsidR="0045619C" w:rsidTr="00F0796E">
        <w:tc>
          <w:tcPr>
            <w:tcW w:w="2768" w:type="dxa"/>
          </w:tcPr>
          <w:p w:rsidR="0045619C" w:rsidRDefault="0045619C" w:rsidP="0045619C">
            <w:pPr>
              <w:jc w:val="left"/>
            </w:pPr>
            <w:r>
              <w:rPr>
                <w:rFonts w:hint="eastAsia"/>
              </w:rPr>
              <w:t>业绩比较基准</w:t>
            </w:r>
          </w:p>
        </w:tc>
        <w:tc>
          <w:tcPr>
            <w:tcW w:w="5538" w:type="dxa"/>
            <w:gridSpan w:val="2"/>
          </w:tcPr>
          <w:p w:rsidR="0045619C" w:rsidRDefault="0045619C" w:rsidP="0045619C">
            <w:pPr>
              <w:jc w:val="left"/>
            </w:pPr>
            <w:r>
              <w:rPr>
                <w:rFonts w:hint="eastAsia"/>
              </w:rPr>
              <w:t>中证港股通</w:t>
            </w:r>
            <w:r>
              <w:rPr>
                <w:rFonts w:hint="eastAsia"/>
              </w:rPr>
              <w:t>50</w:t>
            </w:r>
            <w:r>
              <w:rPr>
                <w:rFonts w:hint="eastAsia"/>
              </w:rPr>
              <w:t>指数（经估值汇率调整后）收益率×</w:t>
            </w:r>
            <w:r>
              <w:rPr>
                <w:rFonts w:hint="eastAsia"/>
              </w:rPr>
              <w:t>95%+</w:t>
            </w:r>
            <w:r>
              <w:rPr>
                <w:rFonts w:hint="eastAsia"/>
              </w:rPr>
              <w:t>银行人民币活期存款利率（税后）×</w:t>
            </w:r>
            <w:r>
              <w:rPr>
                <w:rFonts w:hint="eastAsia"/>
              </w:rPr>
              <w:t>5%</w:t>
            </w:r>
          </w:p>
        </w:tc>
      </w:tr>
      <w:tr w:rsidR="0045619C" w:rsidTr="00C44C82">
        <w:tc>
          <w:tcPr>
            <w:tcW w:w="2768" w:type="dxa"/>
          </w:tcPr>
          <w:p w:rsidR="0045619C" w:rsidRDefault="0045619C" w:rsidP="0045619C">
            <w:pPr>
              <w:jc w:val="left"/>
            </w:pPr>
            <w:r>
              <w:rPr>
                <w:rFonts w:hint="eastAsia"/>
              </w:rPr>
              <w:lastRenderedPageBreak/>
              <w:t>风险收益特征</w:t>
            </w:r>
          </w:p>
        </w:tc>
        <w:tc>
          <w:tcPr>
            <w:tcW w:w="5538" w:type="dxa"/>
            <w:gridSpan w:val="2"/>
          </w:tcPr>
          <w:p w:rsidR="0045619C" w:rsidRDefault="0045619C" w:rsidP="0045619C">
            <w:r>
              <w:rPr>
                <w:rFonts w:hint="eastAsia"/>
              </w:rPr>
              <w:t>本基金的目标</w:t>
            </w:r>
            <w:r>
              <w:rPr>
                <w:rFonts w:hint="eastAsia"/>
              </w:rPr>
              <w:t>ETF</w:t>
            </w:r>
            <w:r>
              <w:rPr>
                <w:rFonts w:hint="eastAsia"/>
              </w:rPr>
              <w:t>为股票型基金，一般而言，其长期平均风险与预期收益高于混合型基金、债券型基金与货币市场基金。本基金为</w:t>
            </w:r>
            <w:r>
              <w:rPr>
                <w:rFonts w:hint="eastAsia"/>
              </w:rPr>
              <w:t>ETF</w:t>
            </w:r>
            <w:r>
              <w:rPr>
                <w:rFonts w:hint="eastAsia"/>
              </w:rPr>
              <w:t>联接基金，通过投资于目标</w:t>
            </w:r>
            <w:r>
              <w:rPr>
                <w:rFonts w:hint="eastAsia"/>
              </w:rPr>
              <w:t>ETF</w:t>
            </w:r>
            <w:r>
              <w:rPr>
                <w:rFonts w:hint="eastAsia"/>
              </w:rPr>
              <w:t>跟踪标的指数表现，具有与标的指数以及标的指数所代表的市场相似的风险收益特征。</w:t>
            </w:r>
          </w:p>
          <w:p w:rsidR="0045619C" w:rsidRDefault="0045619C" w:rsidP="0045619C">
            <w:r>
              <w:rPr>
                <w:rFonts w:hint="eastAsia"/>
              </w:rPr>
              <w:t>本基金投资港股通股票，除了需要承担与境内证券投资基金类似的市场波动风险等一般投资风险之外，本基金还面临汇率风险和港股通机制下因投资环境、投资标的、市场制度以及交易规则等差异带来的特有风险。</w:t>
            </w:r>
          </w:p>
        </w:tc>
      </w:tr>
      <w:tr w:rsidR="0045619C" w:rsidTr="00EE0C3F">
        <w:tc>
          <w:tcPr>
            <w:tcW w:w="2768" w:type="dxa"/>
          </w:tcPr>
          <w:p w:rsidR="0045619C" w:rsidRDefault="0045619C" w:rsidP="0045619C">
            <w:pPr>
              <w:jc w:val="left"/>
            </w:pPr>
            <w:r>
              <w:rPr>
                <w:rFonts w:hint="eastAsia"/>
              </w:rPr>
              <w:t>基金管理人</w:t>
            </w:r>
          </w:p>
        </w:tc>
        <w:tc>
          <w:tcPr>
            <w:tcW w:w="5538" w:type="dxa"/>
            <w:gridSpan w:val="2"/>
          </w:tcPr>
          <w:p w:rsidR="0045619C" w:rsidRDefault="0045619C" w:rsidP="0045619C">
            <w:pPr>
              <w:jc w:val="left"/>
            </w:pPr>
            <w:r>
              <w:rPr>
                <w:rFonts w:hint="eastAsia"/>
              </w:rPr>
              <w:t>南方基金管理股份有限公司</w:t>
            </w:r>
          </w:p>
        </w:tc>
      </w:tr>
      <w:tr w:rsidR="0045619C" w:rsidTr="0045619C">
        <w:tc>
          <w:tcPr>
            <w:tcW w:w="2768" w:type="dxa"/>
          </w:tcPr>
          <w:p w:rsidR="0045619C" w:rsidRDefault="0045619C" w:rsidP="0045619C">
            <w:pPr>
              <w:jc w:val="left"/>
            </w:pPr>
            <w:r>
              <w:rPr>
                <w:rFonts w:hint="eastAsia"/>
              </w:rPr>
              <w:t>基金托管人</w:t>
            </w:r>
          </w:p>
        </w:tc>
        <w:tc>
          <w:tcPr>
            <w:tcW w:w="5538" w:type="dxa"/>
            <w:gridSpan w:val="2"/>
          </w:tcPr>
          <w:p w:rsidR="0045619C" w:rsidRDefault="0045619C" w:rsidP="0045619C">
            <w:pPr>
              <w:jc w:val="left"/>
            </w:pPr>
            <w:r>
              <w:rPr>
                <w:rFonts w:hint="eastAsia"/>
              </w:rPr>
              <w:t>中国工商银行股份有限公司</w:t>
            </w:r>
          </w:p>
        </w:tc>
      </w:tr>
      <w:tr w:rsidR="0045619C" w:rsidTr="0045619C">
        <w:tc>
          <w:tcPr>
            <w:tcW w:w="2768" w:type="dxa"/>
          </w:tcPr>
          <w:p w:rsidR="0045619C" w:rsidRDefault="0045619C" w:rsidP="0045619C">
            <w:pPr>
              <w:jc w:val="left"/>
            </w:pPr>
            <w:r>
              <w:rPr>
                <w:rFonts w:hint="eastAsia"/>
              </w:rPr>
              <w:t>下属分级基金的基金简称</w:t>
            </w:r>
          </w:p>
        </w:tc>
        <w:tc>
          <w:tcPr>
            <w:tcW w:w="2769" w:type="dxa"/>
          </w:tcPr>
          <w:p w:rsidR="0045619C" w:rsidRDefault="0045619C" w:rsidP="0045619C">
            <w:pPr>
              <w:jc w:val="left"/>
            </w:pPr>
            <w:r>
              <w:rPr>
                <w:rFonts w:hint="eastAsia"/>
              </w:rPr>
              <w:t>南方中证港股通</w:t>
            </w:r>
            <w:r>
              <w:rPr>
                <w:rFonts w:hint="eastAsia"/>
              </w:rPr>
              <w:t>50ETF</w:t>
            </w:r>
            <w:r>
              <w:rPr>
                <w:rFonts w:hint="eastAsia"/>
              </w:rPr>
              <w:t>联接</w:t>
            </w:r>
            <w:r>
              <w:rPr>
                <w:rFonts w:hint="eastAsia"/>
              </w:rPr>
              <w:t>A</w:t>
            </w:r>
          </w:p>
        </w:tc>
        <w:tc>
          <w:tcPr>
            <w:tcW w:w="2769" w:type="dxa"/>
          </w:tcPr>
          <w:p w:rsidR="0045619C" w:rsidRDefault="0045619C" w:rsidP="0045619C">
            <w:pPr>
              <w:jc w:val="left"/>
            </w:pPr>
            <w:r>
              <w:rPr>
                <w:rFonts w:hint="eastAsia"/>
              </w:rPr>
              <w:t>南方中证港股通</w:t>
            </w:r>
            <w:r>
              <w:rPr>
                <w:rFonts w:hint="eastAsia"/>
              </w:rPr>
              <w:t>50ETF</w:t>
            </w:r>
            <w:r>
              <w:rPr>
                <w:rFonts w:hint="eastAsia"/>
              </w:rPr>
              <w:t>联接</w:t>
            </w:r>
            <w:r>
              <w:rPr>
                <w:rFonts w:hint="eastAsia"/>
              </w:rPr>
              <w:t>C</w:t>
            </w:r>
          </w:p>
        </w:tc>
      </w:tr>
      <w:tr w:rsidR="0045619C" w:rsidTr="0045619C">
        <w:tc>
          <w:tcPr>
            <w:tcW w:w="2768" w:type="dxa"/>
          </w:tcPr>
          <w:p w:rsidR="0045619C" w:rsidRDefault="0045619C" w:rsidP="0045619C">
            <w:pPr>
              <w:jc w:val="left"/>
            </w:pPr>
            <w:r>
              <w:rPr>
                <w:rFonts w:hint="eastAsia"/>
              </w:rPr>
              <w:t>下属分级基金的交易代码</w:t>
            </w:r>
          </w:p>
        </w:tc>
        <w:tc>
          <w:tcPr>
            <w:tcW w:w="2769" w:type="dxa"/>
          </w:tcPr>
          <w:p w:rsidR="0045619C" w:rsidRDefault="0045619C" w:rsidP="0045619C">
            <w:pPr>
              <w:jc w:val="left"/>
            </w:pPr>
            <w:r>
              <w:t>026606</w:t>
            </w:r>
          </w:p>
        </w:tc>
        <w:tc>
          <w:tcPr>
            <w:tcW w:w="2769" w:type="dxa"/>
          </w:tcPr>
          <w:p w:rsidR="0045619C" w:rsidRDefault="0045619C" w:rsidP="0045619C">
            <w:pPr>
              <w:jc w:val="left"/>
            </w:pPr>
            <w:r>
              <w:t>026607</w:t>
            </w:r>
          </w:p>
        </w:tc>
      </w:tr>
      <w:tr w:rsidR="0045619C" w:rsidTr="0045619C">
        <w:tc>
          <w:tcPr>
            <w:tcW w:w="2768" w:type="dxa"/>
          </w:tcPr>
          <w:p w:rsidR="0045619C" w:rsidRDefault="0045619C" w:rsidP="0045619C">
            <w:pPr>
              <w:jc w:val="left"/>
            </w:pPr>
            <w:r>
              <w:rPr>
                <w:rFonts w:hint="eastAsia"/>
              </w:rPr>
              <w:t>报告期末下属分级基金的份额总额</w:t>
            </w:r>
          </w:p>
        </w:tc>
        <w:tc>
          <w:tcPr>
            <w:tcW w:w="2769" w:type="dxa"/>
          </w:tcPr>
          <w:p w:rsidR="0045619C" w:rsidRDefault="0045619C" w:rsidP="0045619C">
            <w:pPr>
              <w:jc w:val="left"/>
            </w:pPr>
            <w:r>
              <w:rPr>
                <w:rFonts w:hint="eastAsia"/>
              </w:rPr>
              <w:t>163,723,507.70</w:t>
            </w:r>
            <w:r>
              <w:rPr>
                <w:rFonts w:hint="eastAsia"/>
              </w:rPr>
              <w:t>份</w:t>
            </w:r>
          </w:p>
        </w:tc>
        <w:tc>
          <w:tcPr>
            <w:tcW w:w="2769" w:type="dxa"/>
          </w:tcPr>
          <w:p w:rsidR="0045619C" w:rsidRDefault="0045619C" w:rsidP="0045619C">
            <w:pPr>
              <w:jc w:val="left"/>
            </w:pPr>
            <w:r>
              <w:rPr>
                <w:rFonts w:hint="eastAsia"/>
              </w:rPr>
              <w:t>6,693,990.65</w:t>
            </w:r>
            <w:r>
              <w:rPr>
                <w:rFonts w:hint="eastAsia"/>
              </w:rPr>
              <w:t>份</w:t>
            </w:r>
          </w:p>
        </w:tc>
      </w:tr>
    </w:tbl>
    <w:p w:rsidR="0045619C" w:rsidRDefault="0045619C" w:rsidP="0045619C">
      <w:pPr>
        <w:pStyle w:val="-2"/>
        <w:spacing w:before="312"/>
      </w:pPr>
      <w:r>
        <w:rPr>
          <w:rFonts w:hint="eastAsia"/>
        </w:rPr>
        <w:t>目标基金基本情况</w:t>
      </w:r>
    </w:p>
    <w:tbl>
      <w:tblPr>
        <w:tblStyle w:val="-noheader"/>
        <w:tblW w:w="8506" w:type="dxa"/>
        <w:tblLayout w:type="fixed"/>
        <w:tblLook w:val="04A0" w:firstRow="1" w:lastRow="0" w:firstColumn="1" w:lastColumn="0" w:noHBand="0" w:noVBand="1"/>
      </w:tblPr>
      <w:tblGrid>
        <w:gridCol w:w="4253"/>
        <w:gridCol w:w="4253"/>
      </w:tblGrid>
      <w:tr w:rsidR="0045619C" w:rsidTr="0045619C">
        <w:tc>
          <w:tcPr>
            <w:tcW w:w="4253" w:type="dxa"/>
          </w:tcPr>
          <w:p w:rsidR="0045619C" w:rsidRDefault="0045619C" w:rsidP="0045619C">
            <w:pPr>
              <w:jc w:val="left"/>
            </w:pPr>
            <w:r>
              <w:rPr>
                <w:rFonts w:hint="eastAsia"/>
              </w:rPr>
              <w:t>基金名称</w:t>
            </w:r>
          </w:p>
        </w:tc>
        <w:tc>
          <w:tcPr>
            <w:tcW w:w="4253" w:type="dxa"/>
          </w:tcPr>
          <w:p w:rsidR="0045619C" w:rsidRDefault="0045619C" w:rsidP="0045619C">
            <w:pPr>
              <w:jc w:val="left"/>
            </w:pPr>
            <w:r>
              <w:rPr>
                <w:rFonts w:hint="eastAsia"/>
              </w:rPr>
              <w:t>南方中证港股通</w:t>
            </w:r>
            <w:r>
              <w:rPr>
                <w:rFonts w:hint="eastAsia"/>
              </w:rPr>
              <w:t>50</w:t>
            </w:r>
            <w:r>
              <w:rPr>
                <w:rFonts w:hint="eastAsia"/>
              </w:rPr>
              <w:t>交易型开放式指数证券投资基金</w:t>
            </w:r>
          </w:p>
        </w:tc>
      </w:tr>
      <w:tr w:rsidR="0045619C" w:rsidTr="0045619C">
        <w:tc>
          <w:tcPr>
            <w:tcW w:w="4253" w:type="dxa"/>
          </w:tcPr>
          <w:p w:rsidR="0045619C" w:rsidRDefault="0045619C" w:rsidP="0045619C">
            <w:pPr>
              <w:jc w:val="left"/>
            </w:pPr>
            <w:r>
              <w:rPr>
                <w:rFonts w:hint="eastAsia"/>
              </w:rPr>
              <w:t>基金主代码</w:t>
            </w:r>
          </w:p>
        </w:tc>
        <w:tc>
          <w:tcPr>
            <w:tcW w:w="4253" w:type="dxa"/>
          </w:tcPr>
          <w:p w:rsidR="0045619C" w:rsidRDefault="0045619C" w:rsidP="0045619C">
            <w:pPr>
              <w:jc w:val="left"/>
            </w:pPr>
            <w:r>
              <w:t>159126</w:t>
            </w:r>
          </w:p>
        </w:tc>
      </w:tr>
      <w:tr w:rsidR="0045619C" w:rsidTr="0045619C">
        <w:tc>
          <w:tcPr>
            <w:tcW w:w="4253" w:type="dxa"/>
          </w:tcPr>
          <w:p w:rsidR="0045619C" w:rsidRDefault="0045619C" w:rsidP="0045619C">
            <w:pPr>
              <w:jc w:val="left"/>
            </w:pPr>
            <w:r>
              <w:rPr>
                <w:rFonts w:hint="eastAsia"/>
              </w:rPr>
              <w:t>基金运作方式</w:t>
            </w:r>
          </w:p>
        </w:tc>
        <w:tc>
          <w:tcPr>
            <w:tcW w:w="4253" w:type="dxa"/>
          </w:tcPr>
          <w:p w:rsidR="0045619C" w:rsidRDefault="0045619C" w:rsidP="0045619C">
            <w:pPr>
              <w:jc w:val="left"/>
            </w:pPr>
            <w:r>
              <w:rPr>
                <w:rFonts w:hint="eastAsia"/>
              </w:rPr>
              <w:t>交易型开放式</w:t>
            </w:r>
          </w:p>
        </w:tc>
      </w:tr>
      <w:tr w:rsidR="0045619C" w:rsidTr="0045619C">
        <w:tc>
          <w:tcPr>
            <w:tcW w:w="4253" w:type="dxa"/>
          </w:tcPr>
          <w:p w:rsidR="0045619C" w:rsidRDefault="0045619C" w:rsidP="0045619C">
            <w:pPr>
              <w:jc w:val="left"/>
            </w:pPr>
            <w:r>
              <w:rPr>
                <w:rFonts w:hint="eastAsia"/>
              </w:rPr>
              <w:t>基金合同生效日</w:t>
            </w:r>
          </w:p>
        </w:tc>
        <w:tc>
          <w:tcPr>
            <w:tcW w:w="4253" w:type="dxa"/>
          </w:tcPr>
          <w:p w:rsidR="0045619C" w:rsidRDefault="0045619C" w:rsidP="0045619C">
            <w:pPr>
              <w:jc w:val="left"/>
            </w:pPr>
            <w:r>
              <w:rPr>
                <w:rFonts w:hint="eastAsia"/>
              </w:rPr>
              <w:t>2025</w:t>
            </w:r>
            <w:r>
              <w:rPr>
                <w:rFonts w:hint="eastAsia"/>
              </w:rPr>
              <w:t>年</w:t>
            </w:r>
            <w:r>
              <w:rPr>
                <w:rFonts w:hint="eastAsia"/>
              </w:rPr>
              <w:t>10</w:t>
            </w:r>
            <w:r>
              <w:rPr>
                <w:rFonts w:hint="eastAsia"/>
              </w:rPr>
              <w:t>月</w:t>
            </w:r>
            <w:r>
              <w:rPr>
                <w:rFonts w:hint="eastAsia"/>
              </w:rPr>
              <w:t>22</w:t>
            </w:r>
            <w:r>
              <w:rPr>
                <w:rFonts w:hint="eastAsia"/>
              </w:rPr>
              <w:t>日</w:t>
            </w:r>
          </w:p>
        </w:tc>
      </w:tr>
      <w:tr w:rsidR="0045619C" w:rsidTr="0045619C">
        <w:tc>
          <w:tcPr>
            <w:tcW w:w="4253" w:type="dxa"/>
          </w:tcPr>
          <w:p w:rsidR="0045619C" w:rsidRDefault="0045619C" w:rsidP="0045619C">
            <w:pPr>
              <w:jc w:val="left"/>
            </w:pPr>
            <w:r>
              <w:rPr>
                <w:rFonts w:hint="eastAsia"/>
              </w:rPr>
              <w:t>基金份额上市的证券交易所</w:t>
            </w:r>
          </w:p>
        </w:tc>
        <w:tc>
          <w:tcPr>
            <w:tcW w:w="4253" w:type="dxa"/>
          </w:tcPr>
          <w:p w:rsidR="0045619C" w:rsidRDefault="0045619C" w:rsidP="0045619C">
            <w:pPr>
              <w:jc w:val="left"/>
            </w:pPr>
            <w:r>
              <w:rPr>
                <w:rFonts w:hint="eastAsia"/>
              </w:rPr>
              <w:t>深圳证券交易所</w:t>
            </w:r>
          </w:p>
        </w:tc>
      </w:tr>
      <w:tr w:rsidR="0045619C" w:rsidTr="0045619C">
        <w:tc>
          <w:tcPr>
            <w:tcW w:w="4253" w:type="dxa"/>
          </w:tcPr>
          <w:p w:rsidR="0045619C" w:rsidRDefault="0045619C" w:rsidP="0045619C">
            <w:pPr>
              <w:jc w:val="left"/>
            </w:pPr>
            <w:r>
              <w:rPr>
                <w:rFonts w:hint="eastAsia"/>
              </w:rPr>
              <w:t>上市日期</w:t>
            </w:r>
          </w:p>
        </w:tc>
        <w:tc>
          <w:tcPr>
            <w:tcW w:w="4253" w:type="dxa"/>
          </w:tcPr>
          <w:p w:rsidR="0045619C" w:rsidRDefault="0045619C" w:rsidP="0045619C">
            <w:pPr>
              <w:jc w:val="left"/>
            </w:pPr>
            <w:r>
              <w:rPr>
                <w:rFonts w:hint="eastAsia"/>
              </w:rPr>
              <w:t>2025</w:t>
            </w:r>
            <w:r>
              <w:rPr>
                <w:rFonts w:hint="eastAsia"/>
              </w:rPr>
              <w:t>年</w:t>
            </w:r>
            <w:r>
              <w:rPr>
                <w:rFonts w:hint="eastAsia"/>
              </w:rPr>
              <w:t>11</w:t>
            </w:r>
            <w:r>
              <w:rPr>
                <w:rFonts w:hint="eastAsia"/>
              </w:rPr>
              <w:t>月</w:t>
            </w:r>
            <w:r>
              <w:rPr>
                <w:rFonts w:hint="eastAsia"/>
              </w:rPr>
              <w:t>3</w:t>
            </w:r>
            <w:r>
              <w:rPr>
                <w:rFonts w:hint="eastAsia"/>
              </w:rPr>
              <w:t>日</w:t>
            </w:r>
          </w:p>
        </w:tc>
      </w:tr>
      <w:tr w:rsidR="0045619C" w:rsidTr="0045619C">
        <w:tc>
          <w:tcPr>
            <w:tcW w:w="4253" w:type="dxa"/>
          </w:tcPr>
          <w:p w:rsidR="0045619C" w:rsidRDefault="0045619C" w:rsidP="0045619C">
            <w:pPr>
              <w:jc w:val="left"/>
            </w:pPr>
            <w:r>
              <w:rPr>
                <w:rFonts w:hint="eastAsia"/>
              </w:rPr>
              <w:t>基金管理人名称</w:t>
            </w:r>
          </w:p>
        </w:tc>
        <w:tc>
          <w:tcPr>
            <w:tcW w:w="4253" w:type="dxa"/>
          </w:tcPr>
          <w:p w:rsidR="0045619C" w:rsidRDefault="0045619C" w:rsidP="0045619C">
            <w:pPr>
              <w:jc w:val="left"/>
            </w:pPr>
            <w:r>
              <w:rPr>
                <w:rFonts w:hint="eastAsia"/>
              </w:rPr>
              <w:t>南方基金管理股份有限公司</w:t>
            </w:r>
          </w:p>
        </w:tc>
      </w:tr>
      <w:tr w:rsidR="0045619C" w:rsidTr="0045619C">
        <w:tc>
          <w:tcPr>
            <w:tcW w:w="4253" w:type="dxa"/>
          </w:tcPr>
          <w:p w:rsidR="0045619C" w:rsidRDefault="0045619C" w:rsidP="0045619C">
            <w:pPr>
              <w:jc w:val="left"/>
            </w:pPr>
            <w:r>
              <w:rPr>
                <w:rFonts w:hint="eastAsia"/>
              </w:rPr>
              <w:t>基金托管人名称</w:t>
            </w:r>
          </w:p>
        </w:tc>
        <w:tc>
          <w:tcPr>
            <w:tcW w:w="4253" w:type="dxa"/>
          </w:tcPr>
          <w:p w:rsidR="0045619C" w:rsidRDefault="0045619C" w:rsidP="0045619C">
            <w:pPr>
              <w:jc w:val="left"/>
            </w:pPr>
            <w:r>
              <w:rPr>
                <w:rFonts w:hint="eastAsia"/>
              </w:rPr>
              <w:t>中国工商银行股份有限公司</w:t>
            </w:r>
          </w:p>
        </w:tc>
      </w:tr>
    </w:tbl>
    <w:p w:rsidR="0045619C" w:rsidRDefault="0045619C" w:rsidP="0045619C">
      <w:pPr>
        <w:pStyle w:val="-2"/>
        <w:spacing w:before="312"/>
      </w:pPr>
      <w:r>
        <w:rPr>
          <w:rFonts w:hint="eastAsia"/>
        </w:rPr>
        <w:t>目标基金产品说明</w:t>
      </w:r>
    </w:p>
    <w:tbl>
      <w:tblPr>
        <w:tblStyle w:val="-noheader"/>
        <w:tblW w:w="8506" w:type="dxa"/>
        <w:tblLayout w:type="fixed"/>
        <w:tblLook w:val="04A0" w:firstRow="1" w:lastRow="0" w:firstColumn="1" w:lastColumn="0" w:noHBand="0" w:noVBand="1"/>
      </w:tblPr>
      <w:tblGrid>
        <w:gridCol w:w="1418"/>
        <w:gridCol w:w="7088"/>
      </w:tblGrid>
      <w:tr w:rsidR="0045619C" w:rsidTr="0045619C">
        <w:tc>
          <w:tcPr>
            <w:tcW w:w="1418" w:type="dxa"/>
          </w:tcPr>
          <w:p w:rsidR="0045619C" w:rsidRDefault="0045619C" w:rsidP="0045619C">
            <w:pPr>
              <w:jc w:val="left"/>
            </w:pPr>
            <w:r>
              <w:rPr>
                <w:rFonts w:hint="eastAsia"/>
              </w:rPr>
              <w:t>投资目标</w:t>
            </w:r>
          </w:p>
        </w:tc>
        <w:tc>
          <w:tcPr>
            <w:tcW w:w="7088" w:type="dxa"/>
          </w:tcPr>
          <w:p w:rsidR="0045619C" w:rsidRDefault="0045619C" w:rsidP="0045619C">
            <w:pPr>
              <w:jc w:val="left"/>
            </w:pPr>
            <w:r>
              <w:rPr>
                <w:rFonts w:hint="eastAsia"/>
              </w:rPr>
              <w:t>紧密跟踪标的指数，追求跟踪偏离度和跟踪误差最小化。</w:t>
            </w:r>
          </w:p>
        </w:tc>
      </w:tr>
      <w:tr w:rsidR="0045619C" w:rsidTr="0045619C">
        <w:tc>
          <w:tcPr>
            <w:tcW w:w="1418" w:type="dxa"/>
          </w:tcPr>
          <w:p w:rsidR="0045619C" w:rsidRDefault="0045619C" w:rsidP="0045619C">
            <w:pPr>
              <w:jc w:val="left"/>
            </w:pPr>
            <w:r>
              <w:rPr>
                <w:rFonts w:hint="eastAsia"/>
              </w:rPr>
              <w:t>投资策略</w:t>
            </w:r>
          </w:p>
        </w:tc>
        <w:tc>
          <w:tcPr>
            <w:tcW w:w="7088" w:type="dxa"/>
          </w:tcPr>
          <w:p w:rsidR="0045619C" w:rsidRDefault="0045619C" w:rsidP="0045619C">
            <w:r>
              <w:rPr>
                <w:rFonts w:hint="eastAsia"/>
              </w:rPr>
              <w:t>本基金主要采用完全复制策略、替代策略及其他适当的策略以更好的跟踪标的指数，实现基金投资目标。本基金力争日均跟踪偏离度的绝对值不超过</w:t>
            </w:r>
            <w:r>
              <w:rPr>
                <w:rFonts w:hint="eastAsia"/>
              </w:rPr>
              <w:t>0.35%</w:t>
            </w:r>
            <w:r>
              <w:rPr>
                <w:rFonts w:hint="eastAsia"/>
              </w:rPr>
              <w:t>，年跟踪误差不超过</w:t>
            </w:r>
            <w:r>
              <w:rPr>
                <w:rFonts w:hint="eastAsia"/>
              </w:rPr>
              <w:t>4%</w:t>
            </w:r>
            <w:r>
              <w:rPr>
                <w:rFonts w:hint="eastAsia"/>
              </w:rPr>
              <w:t>。主要投资策略包括：完全复制策略、替代策略、金融衍生品投资策略、债券投资策略、可转换债券及可交换债券投资策略、资产支持证券投资策略、融资及转融通证券出借业务投资策略、存托凭证投资策略等。</w:t>
            </w:r>
          </w:p>
        </w:tc>
      </w:tr>
      <w:tr w:rsidR="0045619C" w:rsidTr="0045619C">
        <w:tc>
          <w:tcPr>
            <w:tcW w:w="1418" w:type="dxa"/>
          </w:tcPr>
          <w:p w:rsidR="0045619C" w:rsidRDefault="0045619C" w:rsidP="0045619C">
            <w:pPr>
              <w:jc w:val="left"/>
            </w:pPr>
            <w:r>
              <w:rPr>
                <w:rFonts w:hint="eastAsia"/>
              </w:rPr>
              <w:t>业绩比较基准</w:t>
            </w:r>
          </w:p>
        </w:tc>
        <w:tc>
          <w:tcPr>
            <w:tcW w:w="7088" w:type="dxa"/>
          </w:tcPr>
          <w:p w:rsidR="0045619C" w:rsidRDefault="0045619C" w:rsidP="0045619C">
            <w:pPr>
              <w:jc w:val="left"/>
            </w:pPr>
            <w:r>
              <w:rPr>
                <w:rFonts w:hint="eastAsia"/>
              </w:rPr>
              <w:t>本基金的业绩比较基准为中证港股通</w:t>
            </w:r>
            <w:r>
              <w:rPr>
                <w:rFonts w:hint="eastAsia"/>
              </w:rPr>
              <w:t>50</w:t>
            </w:r>
            <w:r>
              <w:rPr>
                <w:rFonts w:hint="eastAsia"/>
              </w:rPr>
              <w:t>指数（经估值汇率调整后）收益率。本基金标的指数为中证港股通</w:t>
            </w:r>
            <w:r>
              <w:rPr>
                <w:rFonts w:hint="eastAsia"/>
              </w:rPr>
              <w:t>50</w:t>
            </w:r>
            <w:r>
              <w:rPr>
                <w:rFonts w:hint="eastAsia"/>
              </w:rPr>
              <w:t>指数。</w:t>
            </w:r>
          </w:p>
        </w:tc>
      </w:tr>
      <w:tr w:rsidR="0045619C" w:rsidTr="0045619C">
        <w:tc>
          <w:tcPr>
            <w:tcW w:w="1418" w:type="dxa"/>
          </w:tcPr>
          <w:p w:rsidR="0045619C" w:rsidRDefault="0045619C" w:rsidP="0045619C">
            <w:pPr>
              <w:jc w:val="left"/>
            </w:pPr>
            <w:r>
              <w:rPr>
                <w:rFonts w:hint="eastAsia"/>
              </w:rPr>
              <w:t>风险收益特征</w:t>
            </w:r>
          </w:p>
        </w:tc>
        <w:tc>
          <w:tcPr>
            <w:tcW w:w="7088" w:type="dxa"/>
          </w:tcPr>
          <w:p w:rsidR="0045619C" w:rsidRDefault="0045619C" w:rsidP="0045619C">
            <w:r>
              <w:rPr>
                <w:rFonts w:hint="eastAsia"/>
              </w:rPr>
              <w:t>本基金属于股票型基金，一般而言，其长期平均风险和预期收益水平高于混合型基金、债券型基金与货币市场基金。本基金主要采用完全复制法跟踪标的指数的表现，具有与标的指数以及标的指数所代表的市场相似的风险收益特征。</w:t>
            </w:r>
          </w:p>
          <w:p w:rsidR="0045619C" w:rsidRDefault="0045619C" w:rsidP="0045619C">
            <w:r>
              <w:rPr>
                <w:rFonts w:hint="eastAsia"/>
              </w:rPr>
              <w:lastRenderedPageBreak/>
              <w:t>本基金投资港股通股票，除了需要承担与境内证券投资基金类似的市场波动风险等一般投资风险之外，本基金还面临汇率风险和港股通机制下因投资环境、投资标的、市场制度以及交易规则等差异带来的特有风险。</w:t>
            </w:r>
          </w:p>
        </w:tc>
      </w:tr>
    </w:tbl>
    <w:p w:rsidR="0045619C" w:rsidRDefault="0045619C" w:rsidP="0045619C">
      <w:pPr>
        <w:pStyle w:val="-1"/>
        <w:ind w:left="281" w:hanging="281"/>
      </w:pPr>
      <w:r>
        <w:rPr>
          <w:rFonts w:hint="eastAsia"/>
        </w:rPr>
        <w:lastRenderedPageBreak/>
        <w:t>主要财务指标和基金净值表现</w:t>
      </w:r>
    </w:p>
    <w:p w:rsidR="0045619C" w:rsidRDefault="0045619C" w:rsidP="0045619C">
      <w:pPr>
        <w:pStyle w:val="-2"/>
        <w:spacing w:before="312"/>
      </w:pPr>
      <w:r>
        <w:rPr>
          <w:rFonts w:hint="eastAsia"/>
        </w:rPr>
        <w:t>主要财务指标</w:t>
      </w:r>
    </w:p>
    <w:p w:rsidR="0045619C" w:rsidRDefault="0045619C" w:rsidP="0045619C">
      <w:pPr>
        <w:jc w:val="right"/>
      </w:pPr>
      <w:r>
        <w:rPr>
          <w:rFonts w:hint="eastAsia"/>
        </w:rPr>
        <w:t>单位：人民币元</w:t>
      </w:r>
    </w:p>
    <w:tbl>
      <w:tblPr>
        <w:tblStyle w:val="-0"/>
        <w:tblW w:w="8306" w:type="dxa"/>
        <w:tblLayout w:type="fixed"/>
        <w:tblLook w:val="04A0" w:firstRow="1" w:lastRow="0" w:firstColumn="1" w:lastColumn="0" w:noHBand="0" w:noVBand="1"/>
      </w:tblPr>
      <w:tblGrid>
        <w:gridCol w:w="2768"/>
        <w:gridCol w:w="2769"/>
        <w:gridCol w:w="2769"/>
      </w:tblGrid>
      <w:tr w:rsidR="0045619C" w:rsidTr="0045619C">
        <w:trPr>
          <w:cnfStyle w:val="100000000000" w:firstRow="1" w:lastRow="0" w:firstColumn="0" w:lastColumn="0" w:oddVBand="0" w:evenVBand="0" w:oddHBand="0" w:evenHBand="0" w:firstRowFirstColumn="0" w:firstRowLastColumn="0" w:lastRowFirstColumn="0" w:lastRowLastColumn="0"/>
        </w:trPr>
        <w:tc>
          <w:tcPr>
            <w:tcW w:w="2768" w:type="dxa"/>
            <w:vMerge w:val="restart"/>
          </w:tcPr>
          <w:p w:rsidR="0045619C" w:rsidRPr="0045619C" w:rsidRDefault="0045619C" w:rsidP="0045619C">
            <w:pPr>
              <w:jc w:val="center"/>
              <w:rPr>
                <w:b/>
              </w:rPr>
            </w:pPr>
            <w:r w:rsidRPr="0045619C">
              <w:rPr>
                <w:rFonts w:hint="eastAsia"/>
                <w:b/>
              </w:rPr>
              <w:t>主要财务指标</w:t>
            </w:r>
          </w:p>
        </w:tc>
        <w:tc>
          <w:tcPr>
            <w:tcW w:w="5538" w:type="dxa"/>
            <w:gridSpan w:val="2"/>
            <w:tcBorders>
              <w:bottom w:val="single" w:sz="4" w:space="0" w:color="auto"/>
            </w:tcBorders>
          </w:tcPr>
          <w:p w:rsidR="0045619C" w:rsidRPr="0045619C" w:rsidRDefault="0045619C" w:rsidP="0045619C">
            <w:pPr>
              <w:jc w:val="center"/>
              <w:rPr>
                <w:b/>
              </w:rPr>
            </w:pPr>
            <w:r w:rsidRPr="0045619C">
              <w:rPr>
                <w:rFonts w:hint="eastAsia"/>
                <w:b/>
              </w:rPr>
              <w:t>报告期（</w:t>
            </w:r>
            <w:r w:rsidRPr="0045619C">
              <w:rPr>
                <w:rFonts w:hint="eastAsia"/>
                <w:b/>
              </w:rPr>
              <w:t>2026</w:t>
            </w:r>
            <w:r w:rsidRPr="0045619C">
              <w:rPr>
                <w:rFonts w:hint="eastAsia"/>
                <w:b/>
              </w:rPr>
              <w:t>年</w:t>
            </w:r>
            <w:r w:rsidRPr="0045619C">
              <w:rPr>
                <w:rFonts w:hint="eastAsia"/>
                <w:b/>
              </w:rPr>
              <w:t>4</w:t>
            </w:r>
            <w:r w:rsidRPr="0045619C">
              <w:rPr>
                <w:rFonts w:hint="eastAsia"/>
                <w:b/>
              </w:rPr>
              <w:t>月</w:t>
            </w:r>
            <w:r w:rsidRPr="0045619C">
              <w:rPr>
                <w:rFonts w:hint="eastAsia"/>
                <w:b/>
              </w:rPr>
              <w:t>1</w:t>
            </w:r>
            <w:r w:rsidRPr="0045619C">
              <w:rPr>
                <w:rFonts w:hint="eastAsia"/>
                <w:b/>
              </w:rPr>
              <w:t>日－</w:t>
            </w:r>
            <w:r w:rsidRPr="0045619C">
              <w:rPr>
                <w:rFonts w:hint="eastAsia"/>
                <w:b/>
              </w:rPr>
              <w:t>2026</w:t>
            </w:r>
            <w:r w:rsidRPr="0045619C">
              <w:rPr>
                <w:rFonts w:hint="eastAsia"/>
                <w:b/>
              </w:rPr>
              <w:t>年</w:t>
            </w:r>
            <w:r w:rsidRPr="0045619C">
              <w:rPr>
                <w:rFonts w:hint="eastAsia"/>
                <w:b/>
              </w:rPr>
              <w:t>6</w:t>
            </w:r>
            <w:r w:rsidRPr="0045619C">
              <w:rPr>
                <w:rFonts w:hint="eastAsia"/>
                <w:b/>
              </w:rPr>
              <w:t>月</w:t>
            </w:r>
            <w:r w:rsidRPr="0045619C">
              <w:rPr>
                <w:rFonts w:hint="eastAsia"/>
                <w:b/>
              </w:rPr>
              <w:t>30</w:t>
            </w:r>
            <w:r w:rsidRPr="0045619C">
              <w:rPr>
                <w:rFonts w:hint="eastAsia"/>
                <w:b/>
              </w:rPr>
              <w:t>日）</w:t>
            </w:r>
          </w:p>
        </w:tc>
      </w:tr>
      <w:tr w:rsidR="0045619C" w:rsidTr="0045619C">
        <w:tc>
          <w:tcPr>
            <w:tcW w:w="2768" w:type="dxa"/>
            <w:vMerge/>
          </w:tcPr>
          <w:p w:rsidR="0045619C" w:rsidRDefault="0045619C" w:rsidP="0045619C">
            <w:pPr>
              <w:jc w:val="left"/>
            </w:pPr>
          </w:p>
        </w:tc>
        <w:tc>
          <w:tcPr>
            <w:tcW w:w="2769" w:type="dxa"/>
            <w:shd w:val="clear" w:color="auto" w:fill="BFBFBF"/>
          </w:tcPr>
          <w:p w:rsidR="0045619C" w:rsidRPr="0045619C" w:rsidRDefault="0045619C" w:rsidP="0045619C">
            <w:pPr>
              <w:jc w:val="center"/>
              <w:rPr>
                <w:b/>
              </w:rPr>
            </w:pPr>
            <w:r w:rsidRPr="0045619C">
              <w:rPr>
                <w:rFonts w:hint="eastAsia"/>
                <w:b/>
              </w:rPr>
              <w:t>南方中证港股通</w:t>
            </w:r>
            <w:r w:rsidRPr="0045619C">
              <w:rPr>
                <w:rFonts w:hint="eastAsia"/>
                <w:b/>
              </w:rPr>
              <w:t>50ETF</w:t>
            </w:r>
            <w:r w:rsidRPr="0045619C">
              <w:rPr>
                <w:rFonts w:hint="eastAsia"/>
                <w:b/>
              </w:rPr>
              <w:t>联接</w:t>
            </w:r>
            <w:r w:rsidRPr="0045619C">
              <w:rPr>
                <w:rFonts w:hint="eastAsia"/>
                <w:b/>
              </w:rPr>
              <w:t>A</w:t>
            </w:r>
          </w:p>
        </w:tc>
        <w:tc>
          <w:tcPr>
            <w:tcW w:w="2769" w:type="dxa"/>
            <w:shd w:val="clear" w:color="auto" w:fill="BFBFBF"/>
          </w:tcPr>
          <w:p w:rsidR="0045619C" w:rsidRPr="0045619C" w:rsidRDefault="0045619C" w:rsidP="0045619C">
            <w:pPr>
              <w:jc w:val="center"/>
              <w:rPr>
                <w:b/>
              </w:rPr>
            </w:pPr>
            <w:r w:rsidRPr="0045619C">
              <w:rPr>
                <w:rFonts w:hint="eastAsia"/>
                <w:b/>
              </w:rPr>
              <w:t>南方中证港股通</w:t>
            </w:r>
            <w:r w:rsidRPr="0045619C">
              <w:rPr>
                <w:rFonts w:hint="eastAsia"/>
                <w:b/>
              </w:rPr>
              <w:t>50ETF</w:t>
            </w:r>
            <w:r w:rsidRPr="0045619C">
              <w:rPr>
                <w:rFonts w:hint="eastAsia"/>
                <w:b/>
              </w:rPr>
              <w:t>联接</w:t>
            </w:r>
            <w:r w:rsidRPr="0045619C">
              <w:rPr>
                <w:rFonts w:hint="eastAsia"/>
                <w:b/>
              </w:rPr>
              <w:t>C</w:t>
            </w:r>
          </w:p>
        </w:tc>
      </w:tr>
      <w:tr w:rsidR="0045619C" w:rsidTr="0045619C">
        <w:tc>
          <w:tcPr>
            <w:tcW w:w="2768" w:type="dxa"/>
          </w:tcPr>
          <w:p w:rsidR="0045619C" w:rsidRDefault="0045619C" w:rsidP="0045619C">
            <w:pPr>
              <w:jc w:val="left"/>
            </w:pPr>
            <w:r>
              <w:rPr>
                <w:rFonts w:hint="eastAsia"/>
              </w:rPr>
              <w:t>1.</w:t>
            </w:r>
            <w:r>
              <w:rPr>
                <w:rFonts w:hint="eastAsia"/>
              </w:rPr>
              <w:t>本期已实现收益</w:t>
            </w:r>
          </w:p>
        </w:tc>
        <w:tc>
          <w:tcPr>
            <w:tcW w:w="2769" w:type="dxa"/>
          </w:tcPr>
          <w:p w:rsidR="0045619C" w:rsidRDefault="0045619C" w:rsidP="0045619C">
            <w:pPr>
              <w:jc w:val="right"/>
            </w:pPr>
            <w:r>
              <w:t>-1,136,923.06</w:t>
            </w:r>
          </w:p>
        </w:tc>
        <w:tc>
          <w:tcPr>
            <w:tcW w:w="2769" w:type="dxa"/>
          </w:tcPr>
          <w:p w:rsidR="0045619C" w:rsidRDefault="0045619C" w:rsidP="0045619C">
            <w:pPr>
              <w:jc w:val="right"/>
            </w:pPr>
            <w:r>
              <w:t>-59,280.68</w:t>
            </w:r>
          </w:p>
        </w:tc>
      </w:tr>
      <w:tr w:rsidR="0045619C" w:rsidTr="0045619C">
        <w:tc>
          <w:tcPr>
            <w:tcW w:w="2768" w:type="dxa"/>
          </w:tcPr>
          <w:p w:rsidR="0045619C" w:rsidRDefault="0045619C" w:rsidP="0045619C">
            <w:pPr>
              <w:jc w:val="left"/>
            </w:pPr>
            <w:r>
              <w:rPr>
                <w:rFonts w:hint="eastAsia"/>
              </w:rPr>
              <w:t>2.</w:t>
            </w:r>
            <w:r>
              <w:rPr>
                <w:rFonts w:hint="eastAsia"/>
              </w:rPr>
              <w:t>本期利润</w:t>
            </w:r>
          </w:p>
        </w:tc>
        <w:tc>
          <w:tcPr>
            <w:tcW w:w="2769" w:type="dxa"/>
          </w:tcPr>
          <w:p w:rsidR="0045619C" w:rsidRDefault="0045619C" w:rsidP="0045619C">
            <w:pPr>
              <w:jc w:val="right"/>
            </w:pPr>
            <w:r>
              <w:t>-15,456,075.44</w:t>
            </w:r>
          </w:p>
        </w:tc>
        <w:tc>
          <w:tcPr>
            <w:tcW w:w="2769" w:type="dxa"/>
          </w:tcPr>
          <w:p w:rsidR="0045619C" w:rsidRDefault="0045619C" w:rsidP="0045619C">
            <w:pPr>
              <w:jc w:val="right"/>
            </w:pPr>
            <w:r>
              <w:t>-669,335.18</w:t>
            </w:r>
          </w:p>
        </w:tc>
      </w:tr>
      <w:tr w:rsidR="0045619C" w:rsidTr="0045619C">
        <w:tc>
          <w:tcPr>
            <w:tcW w:w="2768" w:type="dxa"/>
          </w:tcPr>
          <w:p w:rsidR="0045619C" w:rsidRDefault="0045619C" w:rsidP="0045619C">
            <w:pPr>
              <w:jc w:val="left"/>
            </w:pPr>
            <w:r>
              <w:rPr>
                <w:rFonts w:hint="eastAsia"/>
              </w:rPr>
              <w:t>3.</w:t>
            </w:r>
            <w:r>
              <w:rPr>
                <w:rFonts w:hint="eastAsia"/>
              </w:rPr>
              <w:t>加权平均基金份额本期利润</w:t>
            </w:r>
          </w:p>
        </w:tc>
        <w:tc>
          <w:tcPr>
            <w:tcW w:w="2769" w:type="dxa"/>
          </w:tcPr>
          <w:p w:rsidR="0045619C" w:rsidRDefault="0045619C" w:rsidP="0045619C">
            <w:pPr>
              <w:jc w:val="right"/>
            </w:pPr>
            <w:r>
              <w:t>-0.0660</w:t>
            </w:r>
          </w:p>
        </w:tc>
        <w:tc>
          <w:tcPr>
            <w:tcW w:w="2769" w:type="dxa"/>
          </w:tcPr>
          <w:p w:rsidR="0045619C" w:rsidRDefault="0045619C" w:rsidP="0045619C">
            <w:pPr>
              <w:jc w:val="right"/>
            </w:pPr>
            <w:r>
              <w:t>-0.0998</w:t>
            </w:r>
          </w:p>
        </w:tc>
      </w:tr>
      <w:tr w:rsidR="0045619C" w:rsidTr="0045619C">
        <w:tc>
          <w:tcPr>
            <w:tcW w:w="2768" w:type="dxa"/>
          </w:tcPr>
          <w:p w:rsidR="0045619C" w:rsidRDefault="0045619C" w:rsidP="0045619C">
            <w:pPr>
              <w:jc w:val="left"/>
            </w:pPr>
            <w:r>
              <w:rPr>
                <w:rFonts w:hint="eastAsia"/>
              </w:rPr>
              <w:t>4.</w:t>
            </w:r>
            <w:r>
              <w:rPr>
                <w:rFonts w:hint="eastAsia"/>
              </w:rPr>
              <w:t>期末基金资产净值</w:t>
            </w:r>
          </w:p>
        </w:tc>
        <w:tc>
          <w:tcPr>
            <w:tcW w:w="2769" w:type="dxa"/>
          </w:tcPr>
          <w:p w:rsidR="0045619C" w:rsidRDefault="0045619C" w:rsidP="0045619C">
            <w:pPr>
              <w:jc w:val="right"/>
            </w:pPr>
            <w:r>
              <w:t>147,246,780.27</w:t>
            </w:r>
          </w:p>
        </w:tc>
        <w:tc>
          <w:tcPr>
            <w:tcW w:w="2769" w:type="dxa"/>
          </w:tcPr>
          <w:p w:rsidR="0045619C" w:rsidRDefault="0045619C" w:rsidP="0045619C">
            <w:pPr>
              <w:jc w:val="right"/>
            </w:pPr>
            <w:r>
              <w:t>6,017,122.12</w:t>
            </w:r>
          </w:p>
        </w:tc>
      </w:tr>
      <w:tr w:rsidR="0045619C" w:rsidTr="0045619C">
        <w:tc>
          <w:tcPr>
            <w:tcW w:w="2768" w:type="dxa"/>
          </w:tcPr>
          <w:p w:rsidR="0045619C" w:rsidRDefault="0045619C" w:rsidP="0045619C">
            <w:pPr>
              <w:jc w:val="left"/>
            </w:pPr>
            <w:r>
              <w:rPr>
                <w:rFonts w:hint="eastAsia"/>
              </w:rPr>
              <w:t>5.</w:t>
            </w:r>
            <w:r>
              <w:rPr>
                <w:rFonts w:hint="eastAsia"/>
              </w:rPr>
              <w:t>期末基金份额净值</w:t>
            </w:r>
          </w:p>
        </w:tc>
        <w:tc>
          <w:tcPr>
            <w:tcW w:w="2769" w:type="dxa"/>
          </w:tcPr>
          <w:p w:rsidR="0045619C" w:rsidRDefault="0045619C" w:rsidP="0045619C">
            <w:pPr>
              <w:jc w:val="right"/>
            </w:pPr>
            <w:r>
              <w:t>0.8994</w:t>
            </w:r>
          </w:p>
        </w:tc>
        <w:tc>
          <w:tcPr>
            <w:tcW w:w="2769" w:type="dxa"/>
          </w:tcPr>
          <w:p w:rsidR="0045619C" w:rsidRDefault="0045619C" w:rsidP="0045619C">
            <w:pPr>
              <w:jc w:val="right"/>
            </w:pPr>
            <w:r>
              <w:t>0.8989</w:t>
            </w:r>
          </w:p>
        </w:tc>
      </w:tr>
    </w:tbl>
    <w:p w:rsidR="0045619C" w:rsidRDefault="0045619C" w:rsidP="0045619C">
      <w:pPr>
        <w:pStyle w:val="-8"/>
      </w:pPr>
      <w:r>
        <w:rPr>
          <w:rFonts w:hint="eastAsia"/>
        </w:rPr>
        <w:t>注：基金业绩指标不包括持有人认（申）购或交易基金的各项费用，计入费用后实际收益水平要低于所列数字；</w:t>
      </w:r>
    </w:p>
    <w:p w:rsidR="0045619C" w:rsidRDefault="0045619C" w:rsidP="0045619C">
      <w:pPr>
        <w:pStyle w:val="-"/>
        <w:ind w:firstLine="420"/>
      </w:pPr>
      <w:r>
        <w:rPr>
          <w:rFonts w:hint="eastAsia"/>
        </w:rPr>
        <w:t>本期已实现收益指基金本期利息收入、投资收益、其他收入(不含公允价值变动收益)扣除相关费用和信用减值损失后的余额，本期利润为本期已实现收益加上本期公允价值变动收益。</w:t>
      </w:r>
    </w:p>
    <w:p w:rsidR="0045619C" w:rsidRDefault="0045619C" w:rsidP="0045619C">
      <w:pPr>
        <w:pStyle w:val="-2"/>
        <w:spacing w:before="312"/>
      </w:pPr>
      <w:r>
        <w:rPr>
          <w:rFonts w:hint="eastAsia"/>
        </w:rPr>
        <w:t>基金净值表现</w:t>
      </w:r>
    </w:p>
    <w:p w:rsidR="0045619C" w:rsidRDefault="0045619C" w:rsidP="0045619C">
      <w:pPr>
        <w:pStyle w:val="-3"/>
        <w:spacing w:before="156" w:after="156"/>
      </w:pPr>
      <w:r>
        <w:rPr>
          <w:rFonts w:hint="eastAsia"/>
        </w:rPr>
        <w:t>本报告期基金份额净值增长率及其与同期业绩比较基准收益率的比较</w:t>
      </w:r>
    </w:p>
    <w:p w:rsidR="0045619C" w:rsidRDefault="0045619C" w:rsidP="0045619C">
      <w:pPr>
        <w:pStyle w:val="-"/>
        <w:ind w:firstLine="420"/>
      </w:pPr>
      <w:r>
        <w:rPr>
          <w:rFonts w:hint="eastAsia"/>
        </w:rPr>
        <w:t>南方中证港股通50ETF联接A</w:t>
      </w:r>
    </w:p>
    <w:tbl>
      <w:tblPr>
        <w:tblStyle w:val="-0"/>
        <w:tblW w:w="8503" w:type="dxa"/>
        <w:tblLayout w:type="fixed"/>
        <w:tblLook w:val="04A0" w:firstRow="1" w:lastRow="0" w:firstColumn="1" w:lastColumn="0" w:noHBand="0" w:noVBand="1"/>
      </w:tblPr>
      <w:tblGrid>
        <w:gridCol w:w="1429"/>
        <w:gridCol w:w="1315"/>
        <w:gridCol w:w="1315"/>
        <w:gridCol w:w="1315"/>
        <w:gridCol w:w="1315"/>
        <w:gridCol w:w="907"/>
        <w:gridCol w:w="907"/>
      </w:tblGrid>
      <w:tr w:rsidR="0045619C" w:rsidTr="0045619C">
        <w:trPr>
          <w:cnfStyle w:val="100000000000" w:firstRow="1" w:lastRow="0" w:firstColumn="0" w:lastColumn="0" w:oddVBand="0" w:evenVBand="0" w:oddHBand="0" w:evenHBand="0" w:firstRowFirstColumn="0" w:firstRowLastColumn="0" w:lastRowFirstColumn="0" w:lastRowLastColumn="0"/>
        </w:trPr>
        <w:tc>
          <w:tcPr>
            <w:tcW w:w="1429" w:type="dxa"/>
          </w:tcPr>
          <w:p w:rsidR="0045619C" w:rsidRPr="0045619C" w:rsidRDefault="0045619C" w:rsidP="0045619C">
            <w:pPr>
              <w:jc w:val="center"/>
              <w:rPr>
                <w:b/>
              </w:rPr>
            </w:pPr>
            <w:r w:rsidRPr="0045619C">
              <w:rPr>
                <w:rFonts w:hint="eastAsia"/>
                <w:b/>
              </w:rPr>
              <w:t>阶段</w:t>
            </w:r>
          </w:p>
        </w:tc>
        <w:tc>
          <w:tcPr>
            <w:tcW w:w="1315" w:type="dxa"/>
          </w:tcPr>
          <w:p w:rsidR="0045619C" w:rsidRPr="0045619C" w:rsidRDefault="0045619C" w:rsidP="0045619C">
            <w:pPr>
              <w:jc w:val="center"/>
              <w:rPr>
                <w:b/>
              </w:rPr>
            </w:pPr>
            <w:r w:rsidRPr="0045619C">
              <w:rPr>
                <w:rFonts w:hint="eastAsia"/>
                <w:b/>
              </w:rPr>
              <w:t>净值增长率①</w:t>
            </w:r>
          </w:p>
        </w:tc>
        <w:tc>
          <w:tcPr>
            <w:tcW w:w="1315" w:type="dxa"/>
          </w:tcPr>
          <w:p w:rsidR="0045619C" w:rsidRPr="0045619C" w:rsidRDefault="0045619C" w:rsidP="0045619C">
            <w:pPr>
              <w:jc w:val="center"/>
              <w:rPr>
                <w:b/>
              </w:rPr>
            </w:pPr>
            <w:r w:rsidRPr="0045619C">
              <w:rPr>
                <w:rFonts w:hint="eastAsia"/>
                <w:b/>
              </w:rPr>
              <w:t>净值增长率标准差②</w:t>
            </w:r>
          </w:p>
        </w:tc>
        <w:tc>
          <w:tcPr>
            <w:tcW w:w="1315" w:type="dxa"/>
          </w:tcPr>
          <w:p w:rsidR="0045619C" w:rsidRPr="0045619C" w:rsidRDefault="0045619C" w:rsidP="0045619C">
            <w:pPr>
              <w:jc w:val="center"/>
              <w:rPr>
                <w:b/>
              </w:rPr>
            </w:pPr>
            <w:r w:rsidRPr="0045619C">
              <w:rPr>
                <w:rFonts w:hint="eastAsia"/>
                <w:b/>
              </w:rPr>
              <w:t>业绩比较基准收益率③</w:t>
            </w:r>
          </w:p>
        </w:tc>
        <w:tc>
          <w:tcPr>
            <w:tcW w:w="1315" w:type="dxa"/>
          </w:tcPr>
          <w:p w:rsidR="0045619C" w:rsidRPr="0045619C" w:rsidRDefault="0045619C" w:rsidP="0045619C">
            <w:pPr>
              <w:jc w:val="center"/>
              <w:rPr>
                <w:b/>
              </w:rPr>
            </w:pPr>
            <w:r w:rsidRPr="0045619C">
              <w:rPr>
                <w:rFonts w:hint="eastAsia"/>
                <w:b/>
              </w:rPr>
              <w:t>业绩比较基准收益率标准差④</w:t>
            </w:r>
          </w:p>
        </w:tc>
        <w:tc>
          <w:tcPr>
            <w:tcW w:w="907" w:type="dxa"/>
          </w:tcPr>
          <w:p w:rsidR="0045619C" w:rsidRPr="0045619C" w:rsidRDefault="0045619C" w:rsidP="0045619C">
            <w:pPr>
              <w:jc w:val="center"/>
              <w:rPr>
                <w:b/>
              </w:rPr>
            </w:pPr>
            <w:r w:rsidRPr="0045619C">
              <w:rPr>
                <w:rFonts w:hint="eastAsia"/>
                <w:b/>
              </w:rPr>
              <w:t>①</w:t>
            </w:r>
            <w:r w:rsidRPr="0045619C">
              <w:rPr>
                <w:rFonts w:hint="eastAsia"/>
                <w:b/>
              </w:rPr>
              <w:t>-</w:t>
            </w:r>
            <w:r w:rsidRPr="0045619C">
              <w:rPr>
                <w:rFonts w:hint="eastAsia"/>
                <w:b/>
              </w:rPr>
              <w:t>③</w:t>
            </w:r>
          </w:p>
        </w:tc>
        <w:tc>
          <w:tcPr>
            <w:tcW w:w="907" w:type="dxa"/>
          </w:tcPr>
          <w:p w:rsidR="0045619C" w:rsidRPr="0045619C" w:rsidRDefault="0045619C" w:rsidP="0045619C">
            <w:pPr>
              <w:jc w:val="center"/>
              <w:rPr>
                <w:b/>
              </w:rPr>
            </w:pPr>
            <w:r w:rsidRPr="0045619C">
              <w:rPr>
                <w:rFonts w:hint="eastAsia"/>
                <w:b/>
              </w:rPr>
              <w:t>②</w:t>
            </w:r>
            <w:r w:rsidRPr="0045619C">
              <w:rPr>
                <w:rFonts w:hint="eastAsia"/>
                <w:b/>
              </w:rPr>
              <w:t>-</w:t>
            </w:r>
            <w:r w:rsidRPr="0045619C">
              <w:rPr>
                <w:rFonts w:hint="eastAsia"/>
                <w:b/>
              </w:rPr>
              <w:t>④</w:t>
            </w:r>
          </w:p>
        </w:tc>
      </w:tr>
      <w:tr w:rsidR="0045619C" w:rsidTr="0045619C">
        <w:tc>
          <w:tcPr>
            <w:tcW w:w="1429" w:type="dxa"/>
          </w:tcPr>
          <w:p w:rsidR="0045619C" w:rsidRDefault="0045619C" w:rsidP="0045619C">
            <w:pPr>
              <w:jc w:val="left"/>
            </w:pPr>
            <w:r>
              <w:rPr>
                <w:rFonts w:hint="eastAsia"/>
              </w:rPr>
              <w:t>过去三个月</w:t>
            </w:r>
          </w:p>
        </w:tc>
        <w:tc>
          <w:tcPr>
            <w:tcW w:w="1315" w:type="dxa"/>
          </w:tcPr>
          <w:p w:rsidR="0045619C" w:rsidRDefault="0045619C" w:rsidP="0045619C">
            <w:pPr>
              <w:jc w:val="right"/>
            </w:pPr>
            <w:r>
              <w:t>-10.00%</w:t>
            </w:r>
          </w:p>
        </w:tc>
        <w:tc>
          <w:tcPr>
            <w:tcW w:w="1315" w:type="dxa"/>
          </w:tcPr>
          <w:p w:rsidR="0045619C" w:rsidRDefault="0045619C" w:rsidP="0045619C">
            <w:pPr>
              <w:jc w:val="right"/>
            </w:pPr>
            <w:r>
              <w:t>0.95%</w:t>
            </w:r>
          </w:p>
        </w:tc>
        <w:tc>
          <w:tcPr>
            <w:tcW w:w="1315" w:type="dxa"/>
          </w:tcPr>
          <w:p w:rsidR="0045619C" w:rsidRDefault="0045619C" w:rsidP="0045619C">
            <w:pPr>
              <w:jc w:val="right"/>
            </w:pPr>
            <w:r>
              <w:t>-7.45%</w:t>
            </w:r>
          </w:p>
        </w:tc>
        <w:tc>
          <w:tcPr>
            <w:tcW w:w="1315" w:type="dxa"/>
          </w:tcPr>
          <w:p w:rsidR="0045619C" w:rsidRDefault="0045619C" w:rsidP="0045619C">
            <w:pPr>
              <w:jc w:val="right"/>
            </w:pPr>
            <w:r>
              <w:t>1.08%</w:t>
            </w:r>
          </w:p>
        </w:tc>
        <w:tc>
          <w:tcPr>
            <w:tcW w:w="907" w:type="dxa"/>
          </w:tcPr>
          <w:p w:rsidR="0045619C" w:rsidRDefault="0045619C" w:rsidP="0045619C">
            <w:pPr>
              <w:jc w:val="right"/>
            </w:pPr>
            <w:r>
              <w:t>-2.55%</w:t>
            </w:r>
          </w:p>
        </w:tc>
        <w:tc>
          <w:tcPr>
            <w:tcW w:w="907" w:type="dxa"/>
          </w:tcPr>
          <w:p w:rsidR="0045619C" w:rsidRDefault="0045619C" w:rsidP="0045619C">
            <w:pPr>
              <w:jc w:val="right"/>
            </w:pPr>
            <w:r>
              <w:t>-0.13%</w:t>
            </w:r>
          </w:p>
        </w:tc>
      </w:tr>
      <w:tr w:rsidR="0045619C" w:rsidTr="0045619C">
        <w:tc>
          <w:tcPr>
            <w:tcW w:w="1429" w:type="dxa"/>
          </w:tcPr>
          <w:p w:rsidR="0045619C" w:rsidRDefault="0045619C" w:rsidP="0045619C">
            <w:pPr>
              <w:jc w:val="left"/>
            </w:pPr>
            <w:r>
              <w:rPr>
                <w:rFonts w:hint="eastAsia"/>
              </w:rPr>
              <w:t>自基金合同生效起至今</w:t>
            </w:r>
          </w:p>
        </w:tc>
        <w:tc>
          <w:tcPr>
            <w:tcW w:w="1315" w:type="dxa"/>
          </w:tcPr>
          <w:p w:rsidR="0045619C" w:rsidRDefault="0045619C" w:rsidP="0045619C">
            <w:pPr>
              <w:jc w:val="right"/>
            </w:pPr>
            <w:r>
              <w:t>-10.06%</w:t>
            </w:r>
          </w:p>
        </w:tc>
        <w:tc>
          <w:tcPr>
            <w:tcW w:w="1315" w:type="dxa"/>
          </w:tcPr>
          <w:p w:rsidR="0045619C" w:rsidRDefault="0045619C" w:rsidP="0045619C">
            <w:pPr>
              <w:jc w:val="right"/>
            </w:pPr>
            <w:r>
              <w:t>0.90%</w:t>
            </w:r>
          </w:p>
        </w:tc>
        <w:tc>
          <w:tcPr>
            <w:tcW w:w="1315" w:type="dxa"/>
          </w:tcPr>
          <w:p w:rsidR="0045619C" w:rsidRDefault="0045619C" w:rsidP="0045619C">
            <w:pPr>
              <w:jc w:val="right"/>
            </w:pPr>
            <w:r>
              <w:t>-7.85%</w:t>
            </w:r>
          </w:p>
        </w:tc>
        <w:tc>
          <w:tcPr>
            <w:tcW w:w="1315" w:type="dxa"/>
          </w:tcPr>
          <w:p w:rsidR="0045619C" w:rsidRDefault="0045619C" w:rsidP="0045619C">
            <w:pPr>
              <w:jc w:val="right"/>
            </w:pPr>
            <w:r>
              <w:t>1.06%</w:t>
            </w:r>
          </w:p>
        </w:tc>
        <w:tc>
          <w:tcPr>
            <w:tcW w:w="907" w:type="dxa"/>
          </w:tcPr>
          <w:p w:rsidR="0045619C" w:rsidRDefault="0045619C" w:rsidP="0045619C">
            <w:pPr>
              <w:jc w:val="right"/>
            </w:pPr>
            <w:r>
              <w:t>-2.21%</w:t>
            </w:r>
          </w:p>
        </w:tc>
        <w:tc>
          <w:tcPr>
            <w:tcW w:w="907" w:type="dxa"/>
          </w:tcPr>
          <w:p w:rsidR="0045619C" w:rsidRDefault="0045619C" w:rsidP="0045619C">
            <w:pPr>
              <w:jc w:val="right"/>
            </w:pPr>
            <w:r>
              <w:t>-0.16%</w:t>
            </w:r>
          </w:p>
        </w:tc>
      </w:tr>
    </w:tbl>
    <w:p w:rsidR="0045619C" w:rsidRDefault="0045619C" w:rsidP="0045619C">
      <w:pPr>
        <w:pStyle w:val="-"/>
        <w:ind w:firstLine="420"/>
      </w:pPr>
      <w:r>
        <w:rPr>
          <w:rFonts w:hint="eastAsia"/>
        </w:rPr>
        <w:t>南方中证港股通50ETF联接C</w:t>
      </w:r>
    </w:p>
    <w:tbl>
      <w:tblPr>
        <w:tblStyle w:val="-0"/>
        <w:tblW w:w="8503" w:type="dxa"/>
        <w:tblLayout w:type="fixed"/>
        <w:tblLook w:val="04A0" w:firstRow="1" w:lastRow="0" w:firstColumn="1" w:lastColumn="0" w:noHBand="0" w:noVBand="1"/>
      </w:tblPr>
      <w:tblGrid>
        <w:gridCol w:w="1429"/>
        <w:gridCol w:w="1315"/>
        <w:gridCol w:w="1315"/>
        <w:gridCol w:w="1315"/>
        <w:gridCol w:w="1315"/>
        <w:gridCol w:w="907"/>
        <w:gridCol w:w="907"/>
      </w:tblGrid>
      <w:tr w:rsidR="0045619C" w:rsidTr="0045619C">
        <w:trPr>
          <w:cnfStyle w:val="100000000000" w:firstRow="1" w:lastRow="0" w:firstColumn="0" w:lastColumn="0" w:oddVBand="0" w:evenVBand="0" w:oddHBand="0" w:evenHBand="0" w:firstRowFirstColumn="0" w:firstRowLastColumn="0" w:lastRowFirstColumn="0" w:lastRowLastColumn="0"/>
        </w:trPr>
        <w:tc>
          <w:tcPr>
            <w:tcW w:w="1429" w:type="dxa"/>
          </w:tcPr>
          <w:p w:rsidR="0045619C" w:rsidRPr="0045619C" w:rsidRDefault="0045619C" w:rsidP="0045619C">
            <w:pPr>
              <w:jc w:val="center"/>
              <w:rPr>
                <w:b/>
              </w:rPr>
            </w:pPr>
            <w:r w:rsidRPr="0045619C">
              <w:rPr>
                <w:rFonts w:hint="eastAsia"/>
                <w:b/>
              </w:rPr>
              <w:t>阶段</w:t>
            </w:r>
          </w:p>
        </w:tc>
        <w:tc>
          <w:tcPr>
            <w:tcW w:w="1315" w:type="dxa"/>
          </w:tcPr>
          <w:p w:rsidR="0045619C" w:rsidRPr="0045619C" w:rsidRDefault="0045619C" w:rsidP="0045619C">
            <w:pPr>
              <w:jc w:val="center"/>
              <w:rPr>
                <w:b/>
              </w:rPr>
            </w:pPr>
            <w:r w:rsidRPr="0045619C">
              <w:rPr>
                <w:rFonts w:hint="eastAsia"/>
                <w:b/>
              </w:rPr>
              <w:t>净值增长率①</w:t>
            </w:r>
          </w:p>
        </w:tc>
        <w:tc>
          <w:tcPr>
            <w:tcW w:w="1315" w:type="dxa"/>
          </w:tcPr>
          <w:p w:rsidR="0045619C" w:rsidRPr="0045619C" w:rsidRDefault="0045619C" w:rsidP="0045619C">
            <w:pPr>
              <w:jc w:val="center"/>
              <w:rPr>
                <w:b/>
              </w:rPr>
            </w:pPr>
            <w:r w:rsidRPr="0045619C">
              <w:rPr>
                <w:rFonts w:hint="eastAsia"/>
                <w:b/>
              </w:rPr>
              <w:t>净值增长率标准差②</w:t>
            </w:r>
          </w:p>
        </w:tc>
        <w:tc>
          <w:tcPr>
            <w:tcW w:w="1315" w:type="dxa"/>
          </w:tcPr>
          <w:p w:rsidR="0045619C" w:rsidRPr="0045619C" w:rsidRDefault="0045619C" w:rsidP="0045619C">
            <w:pPr>
              <w:jc w:val="center"/>
              <w:rPr>
                <w:b/>
              </w:rPr>
            </w:pPr>
            <w:r w:rsidRPr="0045619C">
              <w:rPr>
                <w:rFonts w:hint="eastAsia"/>
                <w:b/>
              </w:rPr>
              <w:t>业绩比较基准收益率③</w:t>
            </w:r>
          </w:p>
        </w:tc>
        <w:tc>
          <w:tcPr>
            <w:tcW w:w="1315" w:type="dxa"/>
          </w:tcPr>
          <w:p w:rsidR="0045619C" w:rsidRPr="0045619C" w:rsidRDefault="0045619C" w:rsidP="0045619C">
            <w:pPr>
              <w:jc w:val="center"/>
              <w:rPr>
                <w:b/>
              </w:rPr>
            </w:pPr>
            <w:r w:rsidRPr="0045619C">
              <w:rPr>
                <w:rFonts w:hint="eastAsia"/>
                <w:b/>
              </w:rPr>
              <w:t>业绩比较基准收益率标准差④</w:t>
            </w:r>
          </w:p>
        </w:tc>
        <w:tc>
          <w:tcPr>
            <w:tcW w:w="907" w:type="dxa"/>
          </w:tcPr>
          <w:p w:rsidR="0045619C" w:rsidRPr="0045619C" w:rsidRDefault="0045619C" w:rsidP="0045619C">
            <w:pPr>
              <w:jc w:val="center"/>
              <w:rPr>
                <w:b/>
              </w:rPr>
            </w:pPr>
            <w:r w:rsidRPr="0045619C">
              <w:rPr>
                <w:rFonts w:hint="eastAsia"/>
                <w:b/>
              </w:rPr>
              <w:t>①</w:t>
            </w:r>
            <w:r w:rsidRPr="0045619C">
              <w:rPr>
                <w:rFonts w:hint="eastAsia"/>
                <w:b/>
              </w:rPr>
              <w:t>-</w:t>
            </w:r>
            <w:r w:rsidRPr="0045619C">
              <w:rPr>
                <w:rFonts w:hint="eastAsia"/>
                <w:b/>
              </w:rPr>
              <w:t>③</w:t>
            </w:r>
          </w:p>
        </w:tc>
        <w:tc>
          <w:tcPr>
            <w:tcW w:w="907" w:type="dxa"/>
          </w:tcPr>
          <w:p w:rsidR="0045619C" w:rsidRPr="0045619C" w:rsidRDefault="0045619C" w:rsidP="0045619C">
            <w:pPr>
              <w:jc w:val="center"/>
              <w:rPr>
                <w:b/>
              </w:rPr>
            </w:pPr>
            <w:r w:rsidRPr="0045619C">
              <w:rPr>
                <w:rFonts w:hint="eastAsia"/>
                <w:b/>
              </w:rPr>
              <w:t>②</w:t>
            </w:r>
            <w:r w:rsidRPr="0045619C">
              <w:rPr>
                <w:rFonts w:hint="eastAsia"/>
                <w:b/>
              </w:rPr>
              <w:t>-</w:t>
            </w:r>
            <w:r w:rsidRPr="0045619C">
              <w:rPr>
                <w:rFonts w:hint="eastAsia"/>
                <w:b/>
              </w:rPr>
              <w:t>④</w:t>
            </w:r>
          </w:p>
        </w:tc>
      </w:tr>
      <w:tr w:rsidR="0045619C" w:rsidTr="0045619C">
        <w:tc>
          <w:tcPr>
            <w:tcW w:w="1429" w:type="dxa"/>
          </w:tcPr>
          <w:p w:rsidR="0045619C" w:rsidRDefault="0045619C" w:rsidP="0045619C">
            <w:pPr>
              <w:jc w:val="left"/>
            </w:pPr>
            <w:r>
              <w:rPr>
                <w:rFonts w:hint="eastAsia"/>
              </w:rPr>
              <w:t>过去三个月</w:t>
            </w:r>
          </w:p>
        </w:tc>
        <w:tc>
          <w:tcPr>
            <w:tcW w:w="1315" w:type="dxa"/>
          </w:tcPr>
          <w:p w:rsidR="0045619C" w:rsidRDefault="0045619C" w:rsidP="0045619C">
            <w:pPr>
              <w:jc w:val="right"/>
            </w:pPr>
            <w:r>
              <w:t>-10.04%</w:t>
            </w:r>
          </w:p>
        </w:tc>
        <w:tc>
          <w:tcPr>
            <w:tcW w:w="1315" w:type="dxa"/>
          </w:tcPr>
          <w:p w:rsidR="0045619C" w:rsidRDefault="0045619C" w:rsidP="0045619C">
            <w:pPr>
              <w:jc w:val="right"/>
            </w:pPr>
            <w:r>
              <w:t>0.95%</w:t>
            </w:r>
          </w:p>
        </w:tc>
        <w:tc>
          <w:tcPr>
            <w:tcW w:w="1315" w:type="dxa"/>
          </w:tcPr>
          <w:p w:rsidR="0045619C" w:rsidRDefault="0045619C" w:rsidP="0045619C">
            <w:pPr>
              <w:jc w:val="right"/>
            </w:pPr>
            <w:r>
              <w:t>-7.45%</w:t>
            </w:r>
          </w:p>
        </w:tc>
        <w:tc>
          <w:tcPr>
            <w:tcW w:w="1315" w:type="dxa"/>
          </w:tcPr>
          <w:p w:rsidR="0045619C" w:rsidRDefault="0045619C" w:rsidP="0045619C">
            <w:pPr>
              <w:jc w:val="right"/>
            </w:pPr>
            <w:r>
              <w:t>1.08%</w:t>
            </w:r>
          </w:p>
        </w:tc>
        <w:tc>
          <w:tcPr>
            <w:tcW w:w="907" w:type="dxa"/>
          </w:tcPr>
          <w:p w:rsidR="0045619C" w:rsidRDefault="0045619C" w:rsidP="0045619C">
            <w:pPr>
              <w:jc w:val="right"/>
            </w:pPr>
            <w:r>
              <w:t>-2.59%</w:t>
            </w:r>
          </w:p>
        </w:tc>
        <w:tc>
          <w:tcPr>
            <w:tcW w:w="907" w:type="dxa"/>
          </w:tcPr>
          <w:p w:rsidR="0045619C" w:rsidRDefault="0045619C" w:rsidP="0045619C">
            <w:pPr>
              <w:jc w:val="right"/>
            </w:pPr>
            <w:r>
              <w:t>-0.13%</w:t>
            </w:r>
          </w:p>
        </w:tc>
      </w:tr>
      <w:tr w:rsidR="0045619C" w:rsidTr="0045619C">
        <w:tc>
          <w:tcPr>
            <w:tcW w:w="1429" w:type="dxa"/>
          </w:tcPr>
          <w:p w:rsidR="0045619C" w:rsidRDefault="0045619C" w:rsidP="0045619C">
            <w:pPr>
              <w:jc w:val="left"/>
            </w:pPr>
            <w:r>
              <w:rPr>
                <w:rFonts w:hint="eastAsia"/>
              </w:rPr>
              <w:t>自基金合同生效起至今</w:t>
            </w:r>
          </w:p>
        </w:tc>
        <w:tc>
          <w:tcPr>
            <w:tcW w:w="1315" w:type="dxa"/>
          </w:tcPr>
          <w:p w:rsidR="0045619C" w:rsidRDefault="0045619C" w:rsidP="0045619C">
            <w:pPr>
              <w:jc w:val="right"/>
            </w:pPr>
            <w:r>
              <w:t>-10.11%</w:t>
            </w:r>
          </w:p>
        </w:tc>
        <w:tc>
          <w:tcPr>
            <w:tcW w:w="1315" w:type="dxa"/>
          </w:tcPr>
          <w:p w:rsidR="0045619C" w:rsidRDefault="0045619C" w:rsidP="0045619C">
            <w:pPr>
              <w:jc w:val="right"/>
            </w:pPr>
            <w:r>
              <w:t>0.90%</w:t>
            </w:r>
          </w:p>
        </w:tc>
        <w:tc>
          <w:tcPr>
            <w:tcW w:w="1315" w:type="dxa"/>
          </w:tcPr>
          <w:p w:rsidR="0045619C" w:rsidRDefault="0045619C" w:rsidP="0045619C">
            <w:pPr>
              <w:jc w:val="right"/>
            </w:pPr>
            <w:r>
              <w:t>-7.85%</w:t>
            </w:r>
          </w:p>
        </w:tc>
        <w:tc>
          <w:tcPr>
            <w:tcW w:w="1315" w:type="dxa"/>
          </w:tcPr>
          <w:p w:rsidR="0045619C" w:rsidRDefault="0045619C" w:rsidP="0045619C">
            <w:pPr>
              <w:jc w:val="right"/>
            </w:pPr>
            <w:r>
              <w:t>1.06%</w:t>
            </w:r>
          </w:p>
        </w:tc>
        <w:tc>
          <w:tcPr>
            <w:tcW w:w="907" w:type="dxa"/>
          </w:tcPr>
          <w:p w:rsidR="0045619C" w:rsidRDefault="0045619C" w:rsidP="0045619C">
            <w:pPr>
              <w:jc w:val="right"/>
            </w:pPr>
            <w:r>
              <w:t>-2.26%</w:t>
            </w:r>
          </w:p>
        </w:tc>
        <w:tc>
          <w:tcPr>
            <w:tcW w:w="907" w:type="dxa"/>
          </w:tcPr>
          <w:p w:rsidR="0045619C" w:rsidRDefault="0045619C" w:rsidP="0045619C">
            <w:pPr>
              <w:jc w:val="right"/>
            </w:pPr>
            <w:r>
              <w:t>-0.16%</w:t>
            </w:r>
          </w:p>
        </w:tc>
      </w:tr>
    </w:tbl>
    <w:p w:rsidR="0045619C" w:rsidRDefault="0045619C" w:rsidP="0045619C">
      <w:pPr>
        <w:pStyle w:val="-3"/>
        <w:spacing w:before="156" w:after="156"/>
      </w:pPr>
      <w:r>
        <w:rPr>
          <w:rFonts w:hint="eastAsia"/>
        </w:rPr>
        <w:lastRenderedPageBreak/>
        <w:t>自基金合同生效以来基金份额累计净值增长率变动及其与同期业绩比较基准收益率变动的比较</w:t>
      </w:r>
    </w:p>
    <w:p w:rsidR="0045619C" w:rsidRDefault="0045619C" w:rsidP="0045619C">
      <w:r>
        <w:rPr>
          <w:noProof/>
        </w:rPr>
        <w:drawing>
          <wp:inline distT="0" distB="0" distL="0" distR="0">
            <wp:extent cx="5274310" cy="3632835"/>
            <wp:effectExtent l="0" t="0" r="2540" b="5715"/>
            <wp:docPr id="1" name="图片 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extLst>
                        <a:ext uri="{28A0092B-C50C-407E-A947-70E740481C1C}">
                          <a14:useLocalDpi xmlns:a14="http://schemas.microsoft.com/office/drawing/2010/main" val="0"/>
                        </a:ext>
                      </a:extLst>
                    </a:blip>
                    <a:stretch>
                      <a:fillRect/>
                    </a:stretch>
                  </pic:blipFill>
                  <pic:spPr>
                    <a:xfrm>
                      <a:off x="0" y="0"/>
                      <a:ext cx="5274310" cy="3632835"/>
                    </a:xfrm>
                    <a:prstGeom prst="rect">
                      <a:avLst/>
                    </a:prstGeom>
                  </pic:spPr>
                </pic:pic>
              </a:graphicData>
            </a:graphic>
          </wp:inline>
        </w:drawing>
      </w:r>
    </w:p>
    <w:p w:rsidR="0045619C" w:rsidRDefault="0045619C" w:rsidP="0045619C">
      <w:r>
        <w:rPr>
          <w:noProof/>
        </w:rPr>
        <w:drawing>
          <wp:inline distT="0" distB="0" distL="0" distR="0">
            <wp:extent cx="5274310" cy="3632835"/>
            <wp:effectExtent l="0" t="0" r="2540" b="5715"/>
            <wp:docPr id="2" name="图片 2"/>
            <wp:cNvGraphicFramePr/>
            <a:graphic xmlns:a="http://schemas.openxmlformats.org/drawingml/2006/main">
              <a:graphicData uri="http://schemas.openxmlformats.org/drawingml/2006/picture">
                <pic:pic xmlns:pic="http://schemas.openxmlformats.org/drawingml/2006/picture">
                  <pic:nvPicPr>
                    <pic:cNvPr id="2" name=""/>
                    <pic:cNvPicPr/>
                  </pic:nvPicPr>
                  <pic:blipFill>
                    <a:blip r:embed="rId9">
                      <a:extLst>
                        <a:ext uri="{28A0092B-C50C-407E-A947-70E740481C1C}">
                          <a14:useLocalDpi xmlns:a14="http://schemas.microsoft.com/office/drawing/2010/main" val="0"/>
                        </a:ext>
                      </a:extLst>
                    </a:blip>
                    <a:stretch>
                      <a:fillRect/>
                    </a:stretch>
                  </pic:blipFill>
                  <pic:spPr>
                    <a:xfrm>
                      <a:off x="0" y="0"/>
                      <a:ext cx="5274310" cy="3632835"/>
                    </a:xfrm>
                    <a:prstGeom prst="rect">
                      <a:avLst/>
                    </a:prstGeom>
                  </pic:spPr>
                </pic:pic>
              </a:graphicData>
            </a:graphic>
          </wp:inline>
        </w:drawing>
      </w:r>
    </w:p>
    <w:p w:rsidR="0045619C" w:rsidRDefault="0045619C" w:rsidP="0045619C">
      <w:pPr>
        <w:pStyle w:val="-8"/>
      </w:pPr>
      <w:r>
        <w:rPr>
          <w:rFonts w:hint="eastAsia"/>
        </w:rPr>
        <w:t>注：本基金合同于2026年3月24日生效，截至本报告期末基金成立未满一年；自基金成立日起6个月内为建仓期，截至报告期末建仓期尚未结束。</w:t>
      </w:r>
    </w:p>
    <w:p w:rsidR="0045619C" w:rsidRDefault="0045619C" w:rsidP="0045619C">
      <w:pPr>
        <w:pStyle w:val="-1"/>
        <w:ind w:left="281" w:hanging="281"/>
      </w:pPr>
      <w:r>
        <w:rPr>
          <w:rFonts w:hint="eastAsia"/>
        </w:rPr>
        <w:lastRenderedPageBreak/>
        <w:t>管理人报告</w:t>
      </w:r>
    </w:p>
    <w:p w:rsidR="0045619C" w:rsidRDefault="0045619C" w:rsidP="0045619C">
      <w:pPr>
        <w:pStyle w:val="-2"/>
        <w:spacing w:before="312"/>
      </w:pPr>
      <w:r>
        <w:rPr>
          <w:rFonts w:hint="eastAsia"/>
        </w:rPr>
        <w:t>基金经理（或基金经理小组）简介</w:t>
      </w:r>
    </w:p>
    <w:tbl>
      <w:tblPr>
        <w:tblStyle w:val="-0"/>
        <w:tblW w:w="8506" w:type="dxa"/>
        <w:tblLayout w:type="fixed"/>
        <w:tblLook w:val="04A0" w:firstRow="1" w:lastRow="0" w:firstColumn="1" w:lastColumn="0" w:noHBand="0" w:noVBand="1"/>
      </w:tblPr>
      <w:tblGrid>
        <w:gridCol w:w="862"/>
        <w:gridCol w:w="851"/>
        <w:gridCol w:w="1117"/>
        <w:gridCol w:w="1117"/>
        <w:gridCol w:w="703"/>
        <w:gridCol w:w="3856"/>
      </w:tblGrid>
      <w:tr w:rsidR="0045619C" w:rsidTr="00E87DB6">
        <w:trPr>
          <w:cnfStyle w:val="100000000000" w:firstRow="1" w:lastRow="0" w:firstColumn="0" w:lastColumn="0" w:oddVBand="0" w:evenVBand="0" w:oddHBand="0" w:evenHBand="0" w:firstRowFirstColumn="0" w:firstRowLastColumn="0" w:lastRowFirstColumn="0" w:lastRowLastColumn="0"/>
        </w:trPr>
        <w:tc>
          <w:tcPr>
            <w:tcW w:w="862" w:type="dxa"/>
            <w:vMerge w:val="restart"/>
          </w:tcPr>
          <w:p w:rsidR="0045619C" w:rsidRPr="0045619C" w:rsidRDefault="0045619C" w:rsidP="0045619C">
            <w:pPr>
              <w:jc w:val="center"/>
              <w:rPr>
                <w:b/>
              </w:rPr>
            </w:pPr>
            <w:r w:rsidRPr="0045619C">
              <w:rPr>
                <w:rFonts w:hint="eastAsia"/>
                <w:b/>
              </w:rPr>
              <w:t>姓名</w:t>
            </w:r>
          </w:p>
        </w:tc>
        <w:tc>
          <w:tcPr>
            <w:tcW w:w="851" w:type="dxa"/>
            <w:vMerge w:val="restart"/>
          </w:tcPr>
          <w:p w:rsidR="0045619C" w:rsidRPr="0045619C" w:rsidRDefault="0045619C" w:rsidP="0045619C">
            <w:pPr>
              <w:jc w:val="center"/>
              <w:rPr>
                <w:b/>
              </w:rPr>
            </w:pPr>
            <w:r w:rsidRPr="0045619C">
              <w:rPr>
                <w:rFonts w:hint="eastAsia"/>
                <w:b/>
              </w:rPr>
              <w:t>职务</w:t>
            </w:r>
          </w:p>
        </w:tc>
        <w:tc>
          <w:tcPr>
            <w:tcW w:w="2234" w:type="dxa"/>
            <w:gridSpan w:val="2"/>
            <w:tcBorders>
              <w:bottom w:val="single" w:sz="4" w:space="0" w:color="auto"/>
            </w:tcBorders>
          </w:tcPr>
          <w:p w:rsidR="0045619C" w:rsidRPr="0045619C" w:rsidRDefault="0045619C" w:rsidP="0045619C">
            <w:pPr>
              <w:jc w:val="center"/>
              <w:rPr>
                <w:b/>
              </w:rPr>
            </w:pPr>
            <w:r w:rsidRPr="0045619C">
              <w:rPr>
                <w:rFonts w:hint="eastAsia"/>
                <w:b/>
              </w:rPr>
              <w:t>任本基金的基金经理期限</w:t>
            </w:r>
          </w:p>
        </w:tc>
        <w:tc>
          <w:tcPr>
            <w:tcW w:w="703" w:type="dxa"/>
            <w:vMerge w:val="restart"/>
          </w:tcPr>
          <w:p w:rsidR="0045619C" w:rsidRPr="0045619C" w:rsidRDefault="0045619C" w:rsidP="0045619C">
            <w:pPr>
              <w:jc w:val="center"/>
              <w:rPr>
                <w:b/>
              </w:rPr>
            </w:pPr>
            <w:r w:rsidRPr="0045619C">
              <w:rPr>
                <w:rFonts w:hint="eastAsia"/>
                <w:b/>
              </w:rPr>
              <w:t>证券从业年限</w:t>
            </w:r>
          </w:p>
        </w:tc>
        <w:tc>
          <w:tcPr>
            <w:tcW w:w="3856" w:type="dxa"/>
            <w:vMerge w:val="restart"/>
          </w:tcPr>
          <w:p w:rsidR="0045619C" w:rsidRPr="0045619C" w:rsidRDefault="0045619C" w:rsidP="0045619C">
            <w:pPr>
              <w:jc w:val="center"/>
              <w:rPr>
                <w:b/>
              </w:rPr>
            </w:pPr>
            <w:r w:rsidRPr="0045619C">
              <w:rPr>
                <w:rFonts w:hint="eastAsia"/>
                <w:b/>
              </w:rPr>
              <w:t>说明</w:t>
            </w:r>
          </w:p>
        </w:tc>
      </w:tr>
      <w:tr w:rsidR="0045619C" w:rsidTr="0045619C">
        <w:tc>
          <w:tcPr>
            <w:tcW w:w="862" w:type="dxa"/>
            <w:vMerge/>
          </w:tcPr>
          <w:p w:rsidR="0045619C" w:rsidRDefault="0045619C" w:rsidP="0045619C">
            <w:pPr>
              <w:jc w:val="left"/>
            </w:pPr>
          </w:p>
        </w:tc>
        <w:tc>
          <w:tcPr>
            <w:tcW w:w="851" w:type="dxa"/>
            <w:vMerge/>
          </w:tcPr>
          <w:p w:rsidR="0045619C" w:rsidRDefault="0045619C" w:rsidP="0045619C">
            <w:pPr>
              <w:jc w:val="left"/>
            </w:pPr>
          </w:p>
        </w:tc>
        <w:tc>
          <w:tcPr>
            <w:tcW w:w="1117" w:type="dxa"/>
            <w:shd w:val="clear" w:color="auto" w:fill="BFBFBF"/>
          </w:tcPr>
          <w:p w:rsidR="0045619C" w:rsidRPr="0045619C" w:rsidRDefault="0045619C" w:rsidP="0045619C">
            <w:pPr>
              <w:jc w:val="center"/>
              <w:rPr>
                <w:b/>
              </w:rPr>
            </w:pPr>
            <w:r w:rsidRPr="0045619C">
              <w:rPr>
                <w:rFonts w:hint="eastAsia"/>
                <w:b/>
              </w:rPr>
              <w:t>任职日期</w:t>
            </w:r>
          </w:p>
        </w:tc>
        <w:tc>
          <w:tcPr>
            <w:tcW w:w="1117" w:type="dxa"/>
            <w:shd w:val="clear" w:color="auto" w:fill="BFBFBF"/>
          </w:tcPr>
          <w:p w:rsidR="0045619C" w:rsidRPr="0045619C" w:rsidRDefault="0045619C" w:rsidP="0045619C">
            <w:pPr>
              <w:jc w:val="center"/>
              <w:rPr>
                <w:b/>
              </w:rPr>
            </w:pPr>
            <w:r w:rsidRPr="0045619C">
              <w:rPr>
                <w:rFonts w:hint="eastAsia"/>
                <w:b/>
              </w:rPr>
              <w:t>离任日期</w:t>
            </w:r>
          </w:p>
        </w:tc>
        <w:tc>
          <w:tcPr>
            <w:tcW w:w="703" w:type="dxa"/>
            <w:vMerge/>
          </w:tcPr>
          <w:p w:rsidR="0045619C" w:rsidRDefault="0045619C" w:rsidP="0045619C">
            <w:pPr>
              <w:jc w:val="left"/>
            </w:pPr>
          </w:p>
        </w:tc>
        <w:tc>
          <w:tcPr>
            <w:tcW w:w="3856" w:type="dxa"/>
            <w:vMerge/>
          </w:tcPr>
          <w:p w:rsidR="0045619C" w:rsidRDefault="0045619C" w:rsidP="0045619C">
            <w:pPr>
              <w:jc w:val="left"/>
            </w:pPr>
          </w:p>
        </w:tc>
      </w:tr>
      <w:tr w:rsidR="0045619C" w:rsidTr="0045619C">
        <w:tc>
          <w:tcPr>
            <w:tcW w:w="862" w:type="dxa"/>
          </w:tcPr>
          <w:p w:rsidR="0045619C" w:rsidRDefault="0045619C" w:rsidP="0045619C">
            <w:pPr>
              <w:jc w:val="left"/>
            </w:pPr>
            <w:r>
              <w:rPr>
                <w:rFonts w:hint="eastAsia"/>
              </w:rPr>
              <w:t>张其思</w:t>
            </w:r>
          </w:p>
        </w:tc>
        <w:tc>
          <w:tcPr>
            <w:tcW w:w="851" w:type="dxa"/>
          </w:tcPr>
          <w:p w:rsidR="0045619C" w:rsidRDefault="0045619C" w:rsidP="0045619C">
            <w:pPr>
              <w:jc w:val="left"/>
            </w:pPr>
            <w:r>
              <w:rPr>
                <w:rFonts w:hint="eastAsia"/>
              </w:rPr>
              <w:t>本基金基金经理</w:t>
            </w:r>
          </w:p>
        </w:tc>
        <w:tc>
          <w:tcPr>
            <w:tcW w:w="1117" w:type="dxa"/>
          </w:tcPr>
          <w:p w:rsidR="0045619C" w:rsidRDefault="0045619C" w:rsidP="0045619C">
            <w:pPr>
              <w:jc w:val="left"/>
            </w:pPr>
            <w:r>
              <w:rPr>
                <w:rFonts w:hint="eastAsia"/>
              </w:rPr>
              <w:t>2026</w:t>
            </w:r>
            <w:r>
              <w:rPr>
                <w:rFonts w:hint="eastAsia"/>
              </w:rPr>
              <w:t>年</w:t>
            </w:r>
            <w:r>
              <w:rPr>
                <w:rFonts w:hint="eastAsia"/>
              </w:rPr>
              <w:t>3</w:t>
            </w:r>
            <w:r>
              <w:rPr>
                <w:rFonts w:hint="eastAsia"/>
              </w:rPr>
              <w:t>月</w:t>
            </w:r>
            <w:r>
              <w:rPr>
                <w:rFonts w:hint="eastAsia"/>
              </w:rPr>
              <w:t>24</w:t>
            </w:r>
            <w:r>
              <w:rPr>
                <w:rFonts w:hint="eastAsia"/>
              </w:rPr>
              <w:t>日</w:t>
            </w:r>
          </w:p>
        </w:tc>
        <w:tc>
          <w:tcPr>
            <w:tcW w:w="1117" w:type="dxa"/>
          </w:tcPr>
          <w:p w:rsidR="0045619C" w:rsidRDefault="0045619C" w:rsidP="0045619C">
            <w:pPr>
              <w:jc w:val="right"/>
            </w:pPr>
            <w:r>
              <w:t>-</w:t>
            </w:r>
          </w:p>
        </w:tc>
        <w:tc>
          <w:tcPr>
            <w:tcW w:w="703" w:type="dxa"/>
          </w:tcPr>
          <w:p w:rsidR="0045619C" w:rsidRDefault="0045619C" w:rsidP="0045619C">
            <w:pPr>
              <w:jc w:val="left"/>
            </w:pPr>
            <w:r>
              <w:rPr>
                <w:rFonts w:hint="eastAsia"/>
              </w:rPr>
              <w:t>12</w:t>
            </w:r>
            <w:r>
              <w:rPr>
                <w:rFonts w:hint="eastAsia"/>
              </w:rPr>
              <w:t>年</w:t>
            </w:r>
          </w:p>
        </w:tc>
        <w:tc>
          <w:tcPr>
            <w:tcW w:w="3856" w:type="dxa"/>
          </w:tcPr>
          <w:p w:rsidR="0045619C" w:rsidRDefault="0045619C" w:rsidP="0045619C">
            <w:r>
              <w:rPr>
                <w:rFonts w:hint="eastAsia"/>
              </w:rPr>
              <w:t>中国国籍，波士顿大学数理金融硕士，特许金融分析师（</w:t>
            </w:r>
            <w:r>
              <w:rPr>
                <w:rFonts w:hint="eastAsia"/>
              </w:rPr>
              <w:t>CFA</w:t>
            </w:r>
            <w:r>
              <w:rPr>
                <w:rFonts w:hint="eastAsia"/>
              </w:rPr>
              <w:t>）、金融风险管理师（</w:t>
            </w:r>
            <w:r>
              <w:rPr>
                <w:rFonts w:hint="eastAsia"/>
              </w:rPr>
              <w:t>FRM</w:t>
            </w:r>
            <w:r>
              <w:rPr>
                <w:rFonts w:hint="eastAsia"/>
              </w:rPr>
              <w:t>），具有基金从业资格。曾就职于美国</w:t>
            </w:r>
            <w:r>
              <w:rPr>
                <w:rFonts w:hint="eastAsia"/>
              </w:rPr>
              <w:t>Charles River Development</w:t>
            </w:r>
            <w:r>
              <w:rPr>
                <w:rFonts w:hint="eastAsia"/>
              </w:rPr>
              <w:t>、</w:t>
            </w:r>
            <w:r>
              <w:rPr>
                <w:rFonts w:hint="eastAsia"/>
              </w:rPr>
              <w:t>Citizens Financial Group</w:t>
            </w:r>
            <w:r>
              <w:rPr>
                <w:rFonts w:hint="eastAsia"/>
              </w:rPr>
              <w:t>，历任固定收益部分析员、资本管理部量化分析师。</w:t>
            </w:r>
            <w:r>
              <w:rPr>
                <w:rFonts w:hint="eastAsia"/>
              </w:rPr>
              <w:t>2017</w:t>
            </w:r>
            <w:r>
              <w:rPr>
                <w:rFonts w:hint="eastAsia"/>
              </w:rPr>
              <w:t>年</w:t>
            </w:r>
            <w:r>
              <w:rPr>
                <w:rFonts w:hint="eastAsia"/>
              </w:rPr>
              <w:t>4</w:t>
            </w:r>
            <w:r>
              <w:rPr>
                <w:rFonts w:hint="eastAsia"/>
              </w:rPr>
              <w:t>月加入南方基金，历任数量化投资部研究员、指数投资部研究员、国际业务部研究员。</w:t>
            </w:r>
            <w:r>
              <w:rPr>
                <w:rFonts w:hint="eastAsia"/>
              </w:rPr>
              <w:t>2020</w:t>
            </w:r>
            <w:r>
              <w:rPr>
                <w:rFonts w:hint="eastAsia"/>
              </w:rPr>
              <w:t>年</w:t>
            </w:r>
            <w:r>
              <w:rPr>
                <w:rFonts w:hint="eastAsia"/>
              </w:rPr>
              <w:t>6</w:t>
            </w:r>
            <w:r>
              <w:rPr>
                <w:rFonts w:hint="eastAsia"/>
              </w:rPr>
              <w:t>月</w:t>
            </w:r>
            <w:r>
              <w:rPr>
                <w:rFonts w:hint="eastAsia"/>
              </w:rPr>
              <w:t>2</w:t>
            </w:r>
            <w:r>
              <w:rPr>
                <w:rFonts w:hint="eastAsia"/>
              </w:rPr>
              <w:t>日至</w:t>
            </w:r>
            <w:r>
              <w:rPr>
                <w:rFonts w:hint="eastAsia"/>
              </w:rPr>
              <w:t>2021</w:t>
            </w:r>
            <w:r>
              <w:rPr>
                <w:rFonts w:hint="eastAsia"/>
              </w:rPr>
              <w:t>年</w:t>
            </w:r>
            <w:r>
              <w:rPr>
                <w:rFonts w:hint="eastAsia"/>
              </w:rPr>
              <w:t>3</w:t>
            </w:r>
            <w:r>
              <w:rPr>
                <w:rFonts w:hint="eastAsia"/>
              </w:rPr>
              <w:t>月</w:t>
            </w:r>
            <w:r>
              <w:rPr>
                <w:rFonts w:hint="eastAsia"/>
              </w:rPr>
              <w:t>26</w:t>
            </w:r>
            <w:r>
              <w:rPr>
                <w:rFonts w:hint="eastAsia"/>
              </w:rPr>
              <w:t>日，任南方原油基金经理助理；</w:t>
            </w:r>
            <w:r>
              <w:rPr>
                <w:rFonts w:hint="eastAsia"/>
              </w:rPr>
              <w:t>2021</w:t>
            </w:r>
            <w:r>
              <w:rPr>
                <w:rFonts w:hint="eastAsia"/>
              </w:rPr>
              <w:t>年</w:t>
            </w:r>
            <w:r>
              <w:rPr>
                <w:rFonts w:hint="eastAsia"/>
              </w:rPr>
              <w:t>3</w:t>
            </w:r>
            <w:r>
              <w:rPr>
                <w:rFonts w:hint="eastAsia"/>
              </w:rPr>
              <w:t>月</w:t>
            </w:r>
            <w:r>
              <w:rPr>
                <w:rFonts w:hint="eastAsia"/>
              </w:rPr>
              <w:t>26</w:t>
            </w:r>
            <w:r>
              <w:rPr>
                <w:rFonts w:hint="eastAsia"/>
              </w:rPr>
              <w:t>日至今，任南方道琼斯美国精选</w:t>
            </w:r>
            <w:r>
              <w:rPr>
                <w:rFonts w:hint="eastAsia"/>
              </w:rPr>
              <w:t>REIT</w:t>
            </w:r>
            <w:r>
              <w:rPr>
                <w:rFonts w:hint="eastAsia"/>
              </w:rPr>
              <w:t>指数（</w:t>
            </w:r>
            <w:r>
              <w:rPr>
                <w:rFonts w:hint="eastAsia"/>
              </w:rPr>
              <w:t>QDII-LOF</w:t>
            </w:r>
            <w:r>
              <w:rPr>
                <w:rFonts w:hint="eastAsia"/>
              </w:rPr>
              <w:t>）、南方原油（</w:t>
            </w:r>
            <w:r>
              <w:rPr>
                <w:rFonts w:hint="eastAsia"/>
              </w:rPr>
              <w:t>QDII-FOF-LOF</w:t>
            </w:r>
            <w:r>
              <w:rPr>
                <w:rFonts w:hint="eastAsia"/>
              </w:rPr>
              <w:t>）基金经理；</w:t>
            </w:r>
            <w:r>
              <w:rPr>
                <w:rFonts w:hint="eastAsia"/>
              </w:rPr>
              <w:t>2022</w:t>
            </w:r>
            <w:r>
              <w:rPr>
                <w:rFonts w:hint="eastAsia"/>
              </w:rPr>
              <w:t>年</w:t>
            </w:r>
            <w:r>
              <w:rPr>
                <w:rFonts w:hint="eastAsia"/>
              </w:rPr>
              <w:t>11</w:t>
            </w:r>
            <w:r>
              <w:rPr>
                <w:rFonts w:hint="eastAsia"/>
              </w:rPr>
              <w:t>月</w:t>
            </w:r>
            <w:r>
              <w:rPr>
                <w:rFonts w:hint="eastAsia"/>
              </w:rPr>
              <w:t>29</w:t>
            </w:r>
            <w:r>
              <w:rPr>
                <w:rFonts w:hint="eastAsia"/>
              </w:rPr>
              <w:t>日至今，任南方纳斯达克</w:t>
            </w:r>
            <w:r>
              <w:rPr>
                <w:rFonts w:hint="eastAsia"/>
              </w:rPr>
              <w:t>100</w:t>
            </w:r>
            <w:r>
              <w:rPr>
                <w:rFonts w:hint="eastAsia"/>
              </w:rPr>
              <w:t>指数发起（</w:t>
            </w:r>
            <w:r>
              <w:rPr>
                <w:rFonts w:hint="eastAsia"/>
              </w:rPr>
              <w:t>QDII</w:t>
            </w:r>
            <w:r>
              <w:rPr>
                <w:rFonts w:hint="eastAsia"/>
              </w:rPr>
              <w:t>）基金经理；</w:t>
            </w:r>
            <w:r>
              <w:rPr>
                <w:rFonts w:hint="eastAsia"/>
              </w:rPr>
              <w:t>2024</w:t>
            </w:r>
            <w:r>
              <w:rPr>
                <w:rFonts w:hint="eastAsia"/>
              </w:rPr>
              <w:t>年</w:t>
            </w:r>
            <w:r>
              <w:rPr>
                <w:rFonts w:hint="eastAsia"/>
              </w:rPr>
              <w:t>5</w:t>
            </w:r>
            <w:r>
              <w:rPr>
                <w:rFonts w:hint="eastAsia"/>
              </w:rPr>
              <w:t>月</w:t>
            </w:r>
            <w:r>
              <w:rPr>
                <w:rFonts w:hint="eastAsia"/>
              </w:rPr>
              <w:t>21</w:t>
            </w:r>
            <w:r>
              <w:rPr>
                <w:rFonts w:hint="eastAsia"/>
              </w:rPr>
              <w:t>日至今，任南方恒生科技</w:t>
            </w:r>
            <w:r>
              <w:rPr>
                <w:rFonts w:hint="eastAsia"/>
              </w:rPr>
              <w:t>ETF</w:t>
            </w:r>
            <w:r>
              <w:rPr>
                <w:rFonts w:hint="eastAsia"/>
              </w:rPr>
              <w:t>发起联接（</w:t>
            </w:r>
            <w:r>
              <w:rPr>
                <w:rFonts w:hint="eastAsia"/>
              </w:rPr>
              <w:t>QDII</w:t>
            </w:r>
            <w:r>
              <w:rPr>
                <w:rFonts w:hint="eastAsia"/>
              </w:rPr>
              <w:t>）（原：南方恒生科技指数发起（</w:t>
            </w:r>
            <w:r>
              <w:rPr>
                <w:rFonts w:hint="eastAsia"/>
              </w:rPr>
              <w:t>QDII</w:t>
            </w:r>
            <w:r>
              <w:rPr>
                <w:rFonts w:hint="eastAsia"/>
              </w:rPr>
              <w:t>））基金经理；</w:t>
            </w:r>
            <w:r>
              <w:rPr>
                <w:rFonts w:hint="eastAsia"/>
              </w:rPr>
              <w:t>2025</w:t>
            </w:r>
            <w:r>
              <w:rPr>
                <w:rFonts w:hint="eastAsia"/>
              </w:rPr>
              <w:t>年</w:t>
            </w:r>
            <w:r>
              <w:rPr>
                <w:rFonts w:hint="eastAsia"/>
              </w:rPr>
              <w:t>3</w:t>
            </w:r>
            <w:r>
              <w:rPr>
                <w:rFonts w:hint="eastAsia"/>
              </w:rPr>
              <w:t>月</w:t>
            </w:r>
            <w:r>
              <w:rPr>
                <w:rFonts w:hint="eastAsia"/>
              </w:rPr>
              <w:t>7</w:t>
            </w:r>
            <w:r>
              <w:rPr>
                <w:rFonts w:hint="eastAsia"/>
              </w:rPr>
              <w:t>日至今，任南方标普</w:t>
            </w:r>
            <w:r>
              <w:rPr>
                <w:rFonts w:hint="eastAsia"/>
              </w:rPr>
              <w:t>500ETF</w:t>
            </w:r>
            <w:r>
              <w:rPr>
                <w:rFonts w:hint="eastAsia"/>
              </w:rPr>
              <w:t>（</w:t>
            </w:r>
            <w:r>
              <w:rPr>
                <w:rFonts w:hint="eastAsia"/>
              </w:rPr>
              <w:t>QDII</w:t>
            </w:r>
            <w:r>
              <w:rPr>
                <w:rFonts w:hint="eastAsia"/>
              </w:rPr>
              <w:t>）基金经理；</w:t>
            </w:r>
            <w:r>
              <w:rPr>
                <w:rFonts w:hint="eastAsia"/>
              </w:rPr>
              <w:t>2025</w:t>
            </w:r>
            <w:r>
              <w:rPr>
                <w:rFonts w:hint="eastAsia"/>
              </w:rPr>
              <w:t>年</w:t>
            </w:r>
            <w:r>
              <w:rPr>
                <w:rFonts w:hint="eastAsia"/>
              </w:rPr>
              <w:t>4</w:t>
            </w:r>
            <w:r>
              <w:rPr>
                <w:rFonts w:hint="eastAsia"/>
              </w:rPr>
              <w:t>月</w:t>
            </w:r>
            <w:r>
              <w:rPr>
                <w:rFonts w:hint="eastAsia"/>
              </w:rPr>
              <w:t>11</w:t>
            </w:r>
            <w:r>
              <w:rPr>
                <w:rFonts w:hint="eastAsia"/>
              </w:rPr>
              <w:t>日至今，任南方顶峰</w:t>
            </w:r>
            <w:r>
              <w:rPr>
                <w:rFonts w:hint="eastAsia"/>
              </w:rPr>
              <w:t>TOPIX ETF</w:t>
            </w:r>
            <w:r>
              <w:rPr>
                <w:rFonts w:hint="eastAsia"/>
              </w:rPr>
              <w:t>（</w:t>
            </w:r>
            <w:r>
              <w:rPr>
                <w:rFonts w:hint="eastAsia"/>
              </w:rPr>
              <w:t>QDII</w:t>
            </w:r>
            <w:r>
              <w:rPr>
                <w:rFonts w:hint="eastAsia"/>
              </w:rPr>
              <w:t>）、南方基金南方东英沙特阿拉伯</w:t>
            </w:r>
            <w:r>
              <w:rPr>
                <w:rFonts w:hint="eastAsia"/>
              </w:rPr>
              <w:t>ETF</w:t>
            </w:r>
            <w:r>
              <w:rPr>
                <w:rFonts w:hint="eastAsia"/>
              </w:rPr>
              <w:t>（</w:t>
            </w:r>
            <w:r>
              <w:rPr>
                <w:rFonts w:hint="eastAsia"/>
              </w:rPr>
              <w:t>QDII</w:t>
            </w:r>
            <w:r>
              <w:rPr>
                <w:rFonts w:hint="eastAsia"/>
              </w:rPr>
              <w:t>）、南方中证香港科技</w:t>
            </w:r>
            <w:r>
              <w:rPr>
                <w:rFonts w:hint="eastAsia"/>
              </w:rPr>
              <w:t>ETF</w:t>
            </w:r>
            <w:r>
              <w:rPr>
                <w:rFonts w:hint="eastAsia"/>
              </w:rPr>
              <w:t>（</w:t>
            </w:r>
            <w:r>
              <w:rPr>
                <w:rFonts w:hint="eastAsia"/>
              </w:rPr>
              <w:t>QDII</w:t>
            </w:r>
            <w:r>
              <w:rPr>
                <w:rFonts w:hint="eastAsia"/>
              </w:rPr>
              <w:t>）基金经理；</w:t>
            </w:r>
            <w:r>
              <w:rPr>
                <w:rFonts w:hint="eastAsia"/>
              </w:rPr>
              <w:t>2025</w:t>
            </w:r>
            <w:r>
              <w:rPr>
                <w:rFonts w:hint="eastAsia"/>
              </w:rPr>
              <w:t>年</w:t>
            </w:r>
            <w:r>
              <w:rPr>
                <w:rFonts w:hint="eastAsia"/>
              </w:rPr>
              <w:t>4</w:t>
            </w:r>
            <w:r>
              <w:rPr>
                <w:rFonts w:hint="eastAsia"/>
              </w:rPr>
              <w:t>月</w:t>
            </w:r>
            <w:r>
              <w:rPr>
                <w:rFonts w:hint="eastAsia"/>
              </w:rPr>
              <w:t>18</w:t>
            </w:r>
            <w:r>
              <w:rPr>
                <w:rFonts w:hint="eastAsia"/>
              </w:rPr>
              <w:t>日至今，任南方基金南方东英富时亚太低碳精选</w:t>
            </w:r>
            <w:r>
              <w:rPr>
                <w:rFonts w:hint="eastAsia"/>
              </w:rPr>
              <w:t>ETF</w:t>
            </w:r>
            <w:r>
              <w:rPr>
                <w:rFonts w:hint="eastAsia"/>
              </w:rPr>
              <w:t>（</w:t>
            </w:r>
            <w:r>
              <w:rPr>
                <w:rFonts w:hint="eastAsia"/>
              </w:rPr>
              <w:t>QDII</w:t>
            </w:r>
            <w:r>
              <w:rPr>
                <w:rFonts w:hint="eastAsia"/>
              </w:rPr>
              <w:t>）、南方亚太精选</w:t>
            </w:r>
            <w:r>
              <w:rPr>
                <w:rFonts w:hint="eastAsia"/>
              </w:rPr>
              <w:t>ETF</w:t>
            </w:r>
            <w:r>
              <w:rPr>
                <w:rFonts w:hint="eastAsia"/>
              </w:rPr>
              <w:t>联接（</w:t>
            </w:r>
            <w:r>
              <w:rPr>
                <w:rFonts w:hint="eastAsia"/>
              </w:rPr>
              <w:t>QDII</w:t>
            </w:r>
            <w:r>
              <w:rPr>
                <w:rFonts w:hint="eastAsia"/>
              </w:rPr>
              <w:t>）基金经理；</w:t>
            </w:r>
            <w:r>
              <w:rPr>
                <w:rFonts w:hint="eastAsia"/>
              </w:rPr>
              <w:t>2025</w:t>
            </w:r>
            <w:r>
              <w:rPr>
                <w:rFonts w:hint="eastAsia"/>
              </w:rPr>
              <w:t>年</w:t>
            </w:r>
            <w:r>
              <w:rPr>
                <w:rFonts w:hint="eastAsia"/>
              </w:rPr>
              <w:t>6</w:t>
            </w:r>
            <w:r>
              <w:rPr>
                <w:rFonts w:hint="eastAsia"/>
              </w:rPr>
              <w:t>月</w:t>
            </w:r>
            <w:r>
              <w:rPr>
                <w:rFonts w:hint="eastAsia"/>
              </w:rPr>
              <w:t>6</w:t>
            </w:r>
            <w:r>
              <w:rPr>
                <w:rFonts w:hint="eastAsia"/>
              </w:rPr>
              <w:t>日至今，任南方港股数字经济混合发起（</w:t>
            </w:r>
            <w:r>
              <w:rPr>
                <w:rFonts w:hint="eastAsia"/>
              </w:rPr>
              <w:t>QDII</w:t>
            </w:r>
            <w:r>
              <w:rPr>
                <w:rFonts w:hint="eastAsia"/>
              </w:rPr>
              <w:t>）基金经理；</w:t>
            </w:r>
            <w:r>
              <w:rPr>
                <w:rFonts w:hint="eastAsia"/>
              </w:rPr>
              <w:t>2025</w:t>
            </w:r>
            <w:r>
              <w:rPr>
                <w:rFonts w:hint="eastAsia"/>
              </w:rPr>
              <w:t>年</w:t>
            </w:r>
            <w:r>
              <w:rPr>
                <w:rFonts w:hint="eastAsia"/>
              </w:rPr>
              <w:t>9</w:t>
            </w:r>
            <w:r>
              <w:rPr>
                <w:rFonts w:hint="eastAsia"/>
              </w:rPr>
              <w:t>月</w:t>
            </w:r>
            <w:r>
              <w:rPr>
                <w:rFonts w:hint="eastAsia"/>
              </w:rPr>
              <w:t>12</w:t>
            </w:r>
            <w:r>
              <w:rPr>
                <w:rFonts w:hint="eastAsia"/>
              </w:rPr>
              <w:t>日至今，任南方国证港股通创新药</w:t>
            </w:r>
            <w:r>
              <w:rPr>
                <w:rFonts w:hint="eastAsia"/>
              </w:rPr>
              <w:t>ETF</w:t>
            </w:r>
            <w:r>
              <w:rPr>
                <w:rFonts w:hint="eastAsia"/>
              </w:rPr>
              <w:t>基金经理；</w:t>
            </w:r>
            <w:r>
              <w:rPr>
                <w:rFonts w:hint="eastAsia"/>
              </w:rPr>
              <w:t>2025</w:t>
            </w:r>
            <w:r>
              <w:rPr>
                <w:rFonts w:hint="eastAsia"/>
              </w:rPr>
              <w:t>年</w:t>
            </w:r>
            <w:r>
              <w:rPr>
                <w:rFonts w:hint="eastAsia"/>
              </w:rPr>
              <w:t>10</w:t>
            </w:r>
            <w:r>
              <w:rPr>
                <w:rFonts w:hint="eastAsia"/>
              </w:rPr>
              <w:t>月</w:t>
            </w:r>
            <w:r>
              <w:rPr>
                <w:rFonts w:hint="eastAsia"/>
              </w:rPr>
              <w:t>22</w:t>
            </w:r>
            <w:r>
              <w:rPr>
                <w:rFonts w:hint="eastAsia"/>
              </w:rPr>
              <w:t>日至今，任南方中证港股通</w:t>
            </w:r>
            <w:r>
              <w:rPr>
                <w:rFonts w:hint="eastAsia"/>
              </w:rPr>
              <w:t>50ETF</w:t>
            </w:r>
            <w:r>
              <w:rPr>
                <w:rFonts w:hint="eastAsia"/>
              </w:rPr>
              <w:t>基金经理；</w:t>
            </w:r>
            <w:r>
              <w:rPr>
                <w:rFonts w:hint="eastAsia"/>
              </w:rPr>
              <w:t>2025</w:t>
            </w:r>
            <w:r>
              <w:rPr>
                <w:rFonts w:hint="eastAsia"/>
              </w:rPr>
              <w:t>年</w:t>
            </w:r>
            <w:r>
              <w:rPr>
                <w:rFonts w:hint="eastAsia"/>
              </w:rPr>
              <w:t>10</w:t>
            </w:r>
            <w:r>
              <w:rPr>
                <w:rFonts w:hint="eastAsia"/>
              </w:rPr>
              <w:t>月</w:t>
            </w:r>
            <w:r>
              <w:rPr>
                <w:rFonts w:hint="eastAsia"/>
              </w:rPr>
              <w:t>29</w:t>
            </w:r>
            <w:r>
              <w:rPr>
                <w:rFonts w:hint="eastAsia"/>
              </w:rPr>
              <w:t>日至今，任南方中证港股通互联网</w:t>
            </w:r>
            <w:r>
              <w:rPr>
                <w:rFonts w:hint="eastAsia"/>
              </w:rPr>
              <w:t>ETF</w:t>
            </w:r>
            <w:r>
              <w:rPr>
                <w:rFonts w:hint="eastAsia"/>
              </w:rPr>
              <w:t>、南方恒生科技</w:t>
            </w:r>
            <w:r>
              <w:rPr>
                <w:rFonts w:hint="eastAsia"/>
              </w:rPr>
              <w:t>ETF</w:t>
            </w:r>
            <w:r>
              <w:rPr>
                <w:rFonts w:hint="eastAsia"/>
              </w:rPr>
              <w:t>（</w:t>
            </w:r>
            <w:r>
              <w:rPr>
                <w:rFonts w:hint="eastAsia"/>
              </w:rPr>
              <w:t>QDII</w:t>
            </w:r>
            <w:r>
              <w:rPr>
                <w:rFonts w:hint="eastAsia"/>
              </w:rPr>
              <w:t>）基金经理；</w:t>
            </w:r>
            <w:r>
              <w:rPr>
                <w:rFonts w:hint="eastAsia"/>
              </w:rPr>
              <w:t>2025</w:t>
            </w:r>
            <w:r>
              <w:rPr>
                <w:rFonts w:hint="eastAsia"/>
              </w:rPr>
              <w:t>年</w:t>
            </w:r>
            <w:r>
              <w:rPr>
                <w:rFonts w:hint="eastAsia"/>
              </w:rPr>
              <w:t>11</w:t>
            </w:r>
            <w:r>
              <w:rPr>
                <w:rFonts w:hint="eastAsia"/>
              </w:rPr>
              <w:t>月</w:t>
            </w:r>
            <w:r>
              <w:rPr>
                <w:rFonts w:hint="eastAsia"/>
              </w:rPr>
              <w:t>12</w:t>
            </w:r>
            <w:r>
              <w:rPr>
                <w:rFonts w:hint="eastAsia"/>
              </w:rPr>
              <w:t>日至今，任南方中证港股通高股息投资</w:t>
            </w:r>
            <w:r>
              <w:rPr>
                <w:rFonts w:hint="eastAsia"/>
              </w:rPr>
              <w:t>ETF</w:t>
            </w:r>
            <w:r>
              <w:rPr>
                <w:rFonts w:hint="eastAsia"/>
              </w:rPr>
              <w:t>基金经理；</w:t>
            </w:r>
            <w:r>
              <w:rPr>
                <w:rFonts w:hint="eastAsia"/>
              </w:rPr>
              <w:t>2026</w:t>
            </w:r>
            <w:r>
              <w:rPr>
                <w:rFonts w:hint="eastAsia"/>
              </w:rPr>
              <w:t>年</w:t>
            </w:r>
            <w:r>
              <w:rPr>
                <w:rFonts w:hint="eastAsia"/>
              </w:rPr>
              <w:t>3</w:t>
            </w:r>
            <w:r>
              <w:rPr>
                <w:rFonts w:hint="eastAsia"/>
              </w:rPr>
              <w:t>月</w:t>
            </w:r>
            <w:r>
              <w:rPr>
                <w:rFonts w:hint="eastAsia"/>
              </w:rPr>
              <w:t>24</w:t>
            </w:r>
            <w:r>
              <w:rPr>
                <w:rFonts w:hint="eastAsia"/>
              </w:rPr>
              <w:t>日至今，任南方中证</w:t>
            </w:r>
            <w:r>
              <w:rPr>
                <w:rFonts w:hint="eastAsia"/>
              </w:rPr>
              <w:lastRenderedPageBreak/>
              <w:t>港股通</w:t>
            </w:r>
            <w:r>
              <w:rPr>
                <w:rFonts w:hint="eastAsia"/>
              </w:rPr>
              <w:t>50ETF</w:t>
            </w:r>
            <w:r>
              <w:rPr>
                <w:rFonts w:hint="eastAsia"/>
              </w:rPr>
              <w:t>联接基金经理。</w:t>
            </w:r>
          </w:p>
        </w:tc>
      </w:tr>
    </w:tbl>
    <w:p w:rsidR="0045619C" w:rsidRDefault="0045619C" w:rsidP="0045619C">
      <w:pPr>
        <w:pStyle w:val="-8"/>
      </w:pPr>
      <w:r>
        <w:rPr>
          <w:rFonts w:hint="eastAsia"/>
        </w:rPr>
        <w:lastRenderedPageBreak/>
        <w:t>注：1、本基金首任基金经理的任职日期为本基金合同生效日，后任基金经理的任职日期以及历任基金经理的离任日期为公司相关会议作出决定的公告（生效）日期；</w:t>
      </w:r>
    </w:p>
    <w:p w:rsidR="0045619C" w:rsidRDefault="0045619C" w:rsidP="0045619C">
      <w:pPr>
        <w:pStyle w:val="-"/>
        <w:ind w:firstLine="420"/>
      </w:pPr>
      <w:r>
        <w:rPr>
          <w:rFonts w:hint="eastAsia"/>
        </w:rPr>
        <w:t>2、证券从业年限计算标准遵从中国证监会《证券基金经营机构董事、监事、高级管理人员及从业人员监督管理办法》中关于证券基金从业人员范围的相关规定。</w:t>
      </w:r>
    </w:p>
    <w:p w:rsidR="0045619C" w:rsidRDefault="0045619C" w:rsidP="0045619C">
      <w:pPr>
        <w:pStyle w:val="-2"/>
        <w:spacing w:before="312"/>
      </w:pPr>
      <w:r>
        <w:rPr>
          <w:rFonts w:hint="eastAsia"/>
        </w:rPr>
        <w:t>管理人对报告期内本基金运作遵规守信情况的说明</w:t>
      </w:r>
    </w:p>
    <w:p w:rsidR="0045619C" w:rsidRDefault="0045619C" w:rsidP="0045619C">
      <w:pPr>
        <w:pStyle w:val="-"/>
        <w:ind w:firstLine="420"/>
      </w:pPr>
      <w:r>
        <w:rPr>
          <w:rFonts w:hint="eastAsia"/>
        </w:rPr>
        <w:t>本报告期内，本基金管理人严格遵守《中华人民共和国证券投资基金法》及其他有关法律法规的规定及本基金基金合同的约定，本着诚实信用、勤勉尽责的原则管理和运用基金资产，在严格控制风险的基础上，为基金份额持有人谋求利益。本报告期内，本基金运作整体合法合规，不存在损害基金份额持有人利益的行为。基金的投资范围、投资比例及投资组合符合有关法律法规及基金合同的规定。</w:t>
      </w:r>
    </w:p>
    <w:p w:rsidR="0045619C" w:rsidRDefault="0045619C" w:rsidP="0045619C">
      <w:pPr>
        <w:pStyle w:val="-2"/>
        <w:spacing w:before="312"/>
      </w:pPr>
      <w:r>
        <w:rPr>
          <w:rFonts w:hint="eastAsia"/>
        </w:rPr>
        <w:t>公平交易专项说明</w:t>
      </w:r>
    </w:p>
    <w:p w:rsidR="0045619C" w:rsidRDefault="0045619C" w:rsidP="0045619C">
      <w:pPr>
        <w:pStyle w:val="-3"/>
        <w:spacing w:before="156" w:after="156"/>
      </w:pPr>
      <w:r>
        <w:rPr>
          <w:rFonts w:hint="eastAsia"/>
        </w:rPr>
        <w:t>公平交易制度的执行情况</w:t>
      </w:r>
    </w:p>
    <w:p w:rsidR="0045619C" w:rsidRDefault="0045619C" w:rsidP="0045619C">
      <w:pPr>
        <w:pStyle w:val="-"/>
        <w:ind w:firstLine="420"/>
      </w:pPr>
      <w:r>
        <w:rPr>
          <w:rFonts w:hint="eastAsia"/>
        </w:rPr>
        <w:t>本报告期内，本基金管理人严格执行《证券投资基金管理公司公平交易制度指导意见》，完善相应制度及流程，通过系统和人工等各种方式在各业务环节严格控制交易公平执行，公平对待旗下管理的所有基金和投资组合。</w:t>
      </w:r>
    </w:p>
    <w:p w:rsidR="0045619C" w:rsidRDefault="0045619C" w:rsidP="0045619C">
      <w:pPr>
        <w:pStyle w:val="-3"/>
        <w:spacing w:before="156" w:after="156"/>
      </w:pPr>
      <w:r>
        <w:rPr>
          <w:rFonts w:hint="eastAsia"/>
        </w:rPr>
        <w:t>异常交易行为的专项说明</w:t>
      </w:r>
    </w:p>
    <w:p w:rsidR="0045619C" w:rsidRDefault="0045619C" w:rsidP="0045619C">
      <w:pPr>
        <w:pStyle w:val="-"/>
        <w:ind w:firstLine="420"/>
      </w:pPr>
      <w:r>
        <w:rPr>
          <w:rFonts w:hint="eastAsia"/>
        </w:rPr>
        <w:t>本基金于本报告期内不存在异常交易行为。本报告期内基金管理人管理的所有投资组合参与的交易所公开竞价同日反向交易成交较少的单边交易量超过该证券当日成交量的5%的交易次数为8次，是由于指数投资组合的投资策略导致。</w:t>
      </w:r>
    </w:p>
    <w:p w:rsidR="0045619C" w:rsidRDefault="0045619C" w:rsidP="0045619C">
      <w:pPr>
        <w:pStyle w:val="-2"/>
        <w:spacing w:before="312"/>
      </w:pPr>
      <w:r>
        <w:rPr>
          <w:rFonts w:hint="eastAsia"/>
        </w:rPr>
        <w:t>报告期内基金投资策略和运作分析</w:t>
      </w:r>
    </w:p>
    <w:p w:rsidR="0045619C" w:rsidRDefault="0045619C" w:rsidP="0045619C">
      <w:pPr>
        <w:pStyle w:val="-"/>
        <w:ind w:firstLine="420"/>
      </w:pPr>
      <w:r>
        <w:rPr>
          <w:rFonts w:hint="eastAsia"/>
        </w:rPr>
        <w:t>本产品跟踪中证港股通50指数，从港股通范围内选取50只规模大、流动性好的上市公司证券作为样本，覆盖金融、消费、科技、能源等多个核心行业，是港股核心资产的代表性宽基指数。2026年上半年，中国香港股票市场在全球资产中表现相对落后，与同期A股科创50指数半年暴涨64%、韩国KOSPI指数大涨逾100%的火爆行情形成鲜明对比，港股市场的低迷态势尤为突出。总体来看，本轮港股调整的核心驱动因素包括：第一，宏观经济结构性分化背景下，业绩预期持续下修，金融、消费等传统权重板块盈利增长乏力，拖累指数表现；第二，内外流动性双重收紧，海外AI基础设施投资热潮引发全球资金向其他亚太半导体市场集中，港股面临显著的资金虹吸压力；第三，中东地缘冲突阶段性扰动全</w:t>
      </w:r>
      <w:r>
        <w:rPr>
          <w:rFonts w:hint="eastAsia"/>
        </w:rPr>
        <w:lastRenderedPageBreak/>
        <w:t>球风险偏好；第四，上半年港股IPO市场活跃度大幅提升，多只大型新股上市对存量资金形成一定分流。</w:t>
      </w:r>
    </w:p>
    <w:p w:rsidR="0045619C" w:rsidRDefault="0045619C" w:rsidP="0045619C">
      <w:pPr>
        <w:pStyle w:val="-"/>
        <w:ind w:firstLine="420"/>
      </w:pPr>
      <w:r>
        <w:rPr>
          <w:rFonts w:hint="eastAsia"/>
        </w:rPr>
        <w:t>与聚焦互联网赛道的港股通互联网/恒生科技指数不同，港股通50指数的行业分布更为均衡，金融板块权重较高，兼具价值与成长属性，部分对冲了互联网及消费板块的下行压力，使得港股通50指数整体跌幅相对恒生科技指数更为温和。但与此同时，上半年港股市场内部呈现显著的“K型”分化：以半导体为代表的科技硬件板块逆势走强，而互联网消费、地产等传统板块持续承压。这种分化格局对宽基指数的成分股结构提出了更高要求，也凸显了均衡配置在当前市场环境下的重要性。经过上半年深度调整后，港股核心资产估值已回到历史较低分位，基本面利空因素已基本定价，在政策红利持续释放、外资回流及南向资金持续流入的支撑下，我们依然对港股市场的长期配置价值保持信心。</w:t>
      </w:r>
    </w:p>
    <w:p w:rsidR="0045619C" w:rsidRDefault="0045619C" w:rsidP="0045619C">
      <w:pPr>
        <w:pStyle w:val="-"/>
        <w:ind w:firstLine="420"/>
      </w:pPr>
      <w:r>
        <w:rPr>
          <w:rFonts w:hint="eastAsia"/>
        </w:rPr>
        <w:t>报告期间我们通过自建的“指数化交易系统”、“日内择时交易模型”、“跟踪误差归因分析系统”、“ETF 现金流精算系统”等，将本基金的跟踪误差指标控制在较好水平，并通过严格的风险管理流程，确保了本产品的平稳运作。我们对本基金报告期内跟踪误差归因分析如下：</w:t>
      </w:r>
    </w:p>
    <w:p w:rsidR="0045619C" w:rsidRDefault="0045619C" w:rsidP="0045619C">
      <w:pPr>
        <w:pStyle w:val="-"/>
        <w:ind w:firstLine="420"/>
      </w:pPr>
      <w:r>
        <w:rPr>
          <w:rFonts w:hint="eastAsia"/>
        </w:rPr>
        <w:t>（1）报告期内我们完成了基金的建仓，事前我们制定了详细的建仓方案，在实施过程中引入多方校验机制防范风险发生，控制基金跟踪误差；</w:t>
      </w:r>
    </w:p>
    <w:p w:rsidR="0045619C" w:rsidRDefault="0045619C" w:rsidP="0045619C">
      <w:pPr>
        <w:pStyle w:val="-"/>
        <w:ind w:firstLine="420"/>
      </w:pPr>
      <w:r>
        <w:rPr>
          <w:rFonts w:hint="eastAsia"/>
        </w:rPr>
        <w:t>（2）接受申购赎回所带来的仓位偏离，对此我们通过日内择时交易争取跟踪误差最小化。</w:t>
      </w:r>
    </w:p>
    <w:p w:rsidR="0045619C" w:rsidRDefault="0045619C" w:rsidP="0045619C">
      <w:pPr>
        <w:pStyle w:val="-2"/>
        <w:spacing w:before="312"/>
      </w:pPr>
      <w:r>
        <w:rPr>
          <w:rFonts w:hint="eastAsia"/>
        </w:rPr>
        <w:t>报告期内基金的业绩表现</w:t>
      </w:r>
    </w:p>
    <w:p w:rsidR="0045619C" w:rsidRDefault="0045619C" w:rsidP="0045619C">
      <w:pPr>
        <w:pStyle w:val="-"/>
        <w:ind w:firstLine="420"/>
      </w:pPr>
      <w:r>
        <w:rPr>
          <w:rFonts w:hint="eastAsia"/>
        </w:rPr>
        <w:t>截至报告期末，本基金A份额净值为0.8994元，报告期内，份额净值增长率为-10.00%，同期业绩基准增长率为-7.45%；本基金C份额净值为0.8989元，报告期内，份额净值增长率为-10.04%，同期业绩基准增长率为-7.45%。</w:t>
      </w:r>
    </w:p>
    <w:p w:rsidR="0045619C" w:rsidRDefault="0045619C" w:rsidP="0045619C">
      <w:pPr>
        <w:pStyle w:val="-2"/>
        <w:spacing w:before="312"/>
      </w:pPr>
      <w:r>
        <w:rPr>
          <w:rFonts w:hint="eastAsia"/>
        </w:rPr>
        <w:t>报告期内基金持有人数或基金资产净值预警说明</w:t>
      </w:r>
    </w:p>
    <w:p w:rsidR="0045619C" w:rsidRDefault="0045619C" w:rsidP="0045619C">
      <w:pPr>
        <w:pStyle w:val="-"/>
        <w:ind w:firstLine="420"/>
      </w:pPr>
      <w:r>
        <w:rPr>
          <w:rFonts w:hint="eastAsia"/>
        </w:rPr>
        <w:t>报告期内，本基金未出现连续二十个交易日基金份额持有人数量不满二百人或者基金资产净值低于五千万元的情形。</w:t>
      </w:r>
    </w:p>
    <w:p w:rsidR="0045619C" w:rsidRDefault="0045619C" w:rsidP="0045619C">
      <w:pPr>
        <w:pStyle w:val="-1"/>
        <w:ind w:left="281" w:hanging="281"/>
      </w:pPr>
      <w:r>
        <w:rPr>
          <w:rFonts w:hint="eastAsia"/>
        </w:rPr>
        <w:t>投资组合报告</w:t>
      </w:r>
    </w:p>
    <w:p w:rsidR="0045619C" w:rsidRDefault="0045619C" w:rsidP="0045619C">
      <w:pPr>
        <w:pStyle w:val="-2"/>
        <w:spacing w:before="312"/>
      </w:pPr>
      <w:r>
        <w:rPr>
          <w:rFonts w:hint="eastAsia"/>
        </w:rPr>
        <w:t>报告期末基金资产组合情况</w:t>
      </w:r>
    </w:p>
    <w:p w:rsidR="0045619C" w:rsidRDefault="0045619C" w:rsidP="0045619C">
      <w:pPr>
        <w:jc w:val="right"/>
      </w:pPr>
      <w:r>
        <w:rPr>
          <w:rFonts w:hint="eastAsia"/>
        </w:rPr>
        <w:t>金额单位：人民币元</w:t>
      </w:r>
    </w:p>
    <w:tbl>
      <w:tblPr>
        <w:tblStyle w:val="-0"/>
        <w:tblW w:w="8504" w:type="dxa"/>
        <w:tblLayout w:type="fixed"/>
        <w:tblLook w:val="04A0" w:firstRow="1" w:lastRow="0" w:firstColumn="1" w:lastColumn="0" w:noHBand="0" w:noVBand="1"/>
      </w:tblPr>
      <w:tblGrid>
        <w:gridCol w:w="646"/>
        <w:gridCol w:w="2971"/>
        <w:gridCol w:w="2381"/>
        <w:gridCol w:w="2506"/>
      </w:tblGrid>
      <w:tr w:rsidR="0045619C" w:rsidTr="0045619C">
        <w:trPr>
          <w:cnfStyle w:val="100000000000" w:firstRow="1" w:lastRow="0" w:firstColumn="0" w:lastColumn="0" w:oddVBand="0" w:evenVBand="0" w:oddHBand="0" w:evenHBand="0" w:firstRowFirstColumn="0" w:firstRowLastColumn="0" w:lastRowFirstColumn="0" w:lastRowLastColumn="0"/>
        </w:trPr>
        <w:tc>
          <w:tcPr>
            <w:tcW w:w="646" w:type="dxa"/>
          </w:tcPr>
          <w:p w:rsidR="0045619C" w:rsidRPr="0045619C" w:rsidRDefault="0045619C" w:rsidP="0045619C">
            <w:pPr>
              <w:jc w:val="center"/>
              <w:rPr>
                <w:b/>
              </w:rPr>
            </w:pPr>
            <w:r w:rsidRPr="0045619C">
              <w:rPr>
                <w:rFonts w:hint="eastAsia"/>
                <w:b/>
              </w:rPr>
              <w:t>序号</w:t>
            </w:r>
          </w:p>
        </w:tc>
        <w:tc>
          <w:tcPr>
            <w:tcW w:w="2971" w:type="dxa"/>
          </w:tcPr>
          <w:p w:rsidR="0045619C" w:rsidRPr="0045619C" w:rsidRDefault="0045619C" w:rsidP="0045619C">
            <w:pPr>
              <w:jc w:val="center"/>
              <w:rPr>
                <w:b/>
              </w:rPr>
            </w:pPr>
            <w:r w:rsidRPr="0045619C">
              <w:rPr>
                <w:rFonts w:hint="eastAsia"/>
                <w:b/>
              </w:rPr>
              <w:t>项目</w:t>
            </w:r>
          </w:p>
        </w:tc>
        <w:tc>
          <w:tcPr>
            <w:tcW w:w="2381" w:type="dxa"/>
          </w:tcPr>
          <w:p w:rsidR="0045619C" w:rsidRPr="0045619C" w:rsidRDefault="0045619C" w:rsidP="0045619C">
            <w:pPr>
              <w:jc w:val="center"/>
              <w:rPr>
                <w:b/>
              </w:rPr>
            </w:pPr>
            <w:r w:rsidRPr="0045619C">
              <w:rPr>
                <w:rFonts w:hint="eastAsia"/>
                <w:b/>
              </w:rPr>
              <w:t>金额（元）</w:t>
            </w:r>
          </w:p>
        </w:tc>
        <w:tc>
          <w:tcPr>
            <w:tcW w:w="2506" w:type="dxa"/>
          </w:tcPr>
          <w:p w:rsidR="0045619C" w:rsidRPr="0045619C" w:rsidRDefault="0045619C" w:rsidP="0045619C">
            <w:pPr>
              <w:jc w:val="center"/>
              <w:rPr>
                <w:b/>
              </w:rPr>
            </w:pPr>
            <w:r w:rsidRPr="0045619C">
              <w:rPr>
                <w:rFonts w:hint="eastAsia"/>
                <w:b/>
              </w:rPr>
              <w:t>占基金总资产的比例</w:t>
            </w:r>
            <w:r w:rsidRPr="0045619C">
              <w:rPr>
                <w:rFonts w:hint="eastAsia"/>
                <w:b/>
              </w:rPr>
              <w:lastRenderedPageBreak/>
              <w:t>（</w:t>
            </w:r>
            <w:r w:rsidRPr="0045619C">
              <w:rPr>
                <w:rFonts w:hint="eastAsia"/>
                <w:b/>
              </w:rPr>
              <w:t>%</w:t>
            </w:r>
            <w:r w:rsidRPr="0045619C">
              <w:rPr>
                <w:rFonts w:hint="eastAsia"/>
                <w:b/>
              </w:rPr>
              <w:t>）</w:t>
            </w:r>
          </w:p>
        </w:tc>
      </w:tr>
      <w:tr w:rsidR="0045619C" w:rsidTr="0045619C">
        <w:tc>
          <w:tcPr>
            <w:tcW w:w="646" w:type="dxa"/>
          </w:tcPr>
          <w:p w:rsidR="0045619C" w:rsidRDefault="0045619C" w:rsidP="0045619C">
            <w:pPr>
              <w:jc w:val="center"/>
            </w:pPr>
            <w:r>
              <w:lastRenderedPageBreak/>
              <w:t>1</w:t>
            </w:r>
          </w:p>
        </w:tc>
        <w:tc>
          <w:tcPr>
            <w:tcW w:w="2971" w:type="dxa"/>
          </w:tcPr>
          <w:p w:rsidR="0045619C" w:rsidRDefault="0045619C" w:rsidP="0045619C">
            <w:pPr>
              <w:jc w:val="left"/>
            </w:pPr>
            <w:r>
              <w:rPr>
                <w:rFonts w:hint="eastAsia"/>
              </w:rPr>
              <w:t>权益投资</w:t>
            </w:r>
          </w:p>
        </w:tc>
        <w:tc>
          <w:tcPr>
            <w:tcW w:w="2381" w:type="dxa"/>
          </w:tcPr>
          <w:p w:rsidR="0045619C" w:rsidRDefault="0045619C" w:rsidP="0045619C">
            <w:pPr>
              <w:jc w:val="right"/>
            </w:pPr>
            <w:r>
              <w:t>-</w:t>
            </w:r>
          </w:p>
        </w:tc>
        <w:tc>
          <w:tcPr>
            <w:tcW w:w="2506" w:type="dxa"/>
          </w:tcPr>
          <w:p w:rsidR="0045619C" w:rsidRDefault="0045619C" w:rsidP="0045619C">
            <w:pPr>
              <w:jc w:val="right"/>
            </w:pPr>
            <w:r>
              <w:t>-</w:t>
            </w:r>
          </w:p>
        </w:tc>
      </w:tr>
      <w:tr w:rsidR="0045619C" w:rsidTr="0045619C">
        <w:tc>
          <w:tcPr>
            <w:tcW w:w="646" w:type="dxa"/>
          </w:tcPr>
          <w:p w:rsidR="0045619C" w:rsidRDefault="0045619C" w:rsidP="0045619C">
            <w:pPr>
              <w:jc w:val="center"/>
            </w:pPr>
          </w:p>
        </w:tc>
        <w:tc>
          <w:tcPr>
            <w:tcW w:w="2971" w:type="dxa"/>
          </w:tcPr>
          <w:p w:rsidR="0045619C" w:rsidRDefault="0045619C" w:rsidP="0045619C">
            <w:pPr>
              <w:jc w:val="left"/>
            </w:pPr>
            <w:r>
              <w:rPr>
                <w:rFonts w:hint="eastAsia"/>
              </w:rPr>
              <w:t>其中：股票</w:t>
            </w:r>
          </w:p>
        </w:tc>
        <w:tc>
          <w:tcPr>
            <w:tcW w:w="2381" w:type="dxa"/>
          </w:tcPr>
          <w:p w:rsidR="0045619C" w:rsidRDefault="0045619C" w:rsidP="0045619C">
            <w:pPr>
              <w:jc w:val="right"/>
            </w:pPr>
            <w:r>
              <w:t>-</w:t>
            </w:r>
          </w:p>
        </w:tc>
        <w:tc>
          <w:tcPr>
            <w:tcW w:w="2506" w:type="dxa"/>
          </w:tcPr>
          <w:p w:rsidR="0045619C" w:rsidRDefault="0045619C" w:rsidP="0045619C">
            <w:pPr>
              <w:jc w:val="right"/>
            </w:pPr>
            <w:r>
              <w:t>-</w:t>
            </w:r>
          </w:p>
        </w:tc>
      </w:tr>
      <w:tr w:rsidR="0045619C" w:rsidTr="0045619C">
        <w:tc>
          <w:tcPr>
            <w:tcW w:w="646" w:type="dxa"/>
          </w:tcPr>
          <w:p w:rsidR="0045619C" w:rsidRDefault="0045619C" w:rsidP="0045619C">
            <w:pPr>
              <w:jc w:val="center"/>
            </w:pPr>
            <w:r>
              <w:t>2</w:t>
            </w:r>
          </w:p>
        </w:tc>
        <w:tc>
          <w:tcPr>
            <w:tcW w:w="2971" w:type="dxa"/>
          </w:tcPr>
          <w:p w:rsidR="0045619C" w:rsidRDefault="0045619C" w:rsidP="0045619C">
            <w:pPr>
              <w:jc w:val="left"/>
            </w:pPr>
            <w:r>
              <w:rPr>
                <w:rFonts w:hint="eastAsia"/>
              </w:rPr>
              <w:t>基金投资</w:t>
            </w:r>
          </w:p>
        </w:tc>
        <w:tc>
          <w:tcPr>
            <w:tcW w:w="2381" w:type="dxa"/>
          </w:tcPr>
          <w:p w:rsidR="0045619C" w:rsidRDefault="0045619C" w:rsidP="0045619C">
            <w:pPr>
              <w:jc w:val="right"/>
            </w:pPr>
            <w:r>
              <w:t>144,013,336.31</w:t>
            </w:r>
          </w:p>
        </w:tc>
        <w:tc>
          <w:tcPr>
            <w:tcW w:w="2506" w:type="dxa"/>
          </w:tcPr>
          <w:p w:rsidR="0045619C" w:rsidRDefault="0045619C" w:rsidP="0045619C">
            <w:pPr>
              <w:jc w:val="right"/>
            </w:pPr>
            <w:r>
              <w:t>91.87</w:t>
            </w:r>
          </w:p>
        </w:tc>
      </w:tr>
      <w:tr w:rsidR="0045619C" w:rsidTr="0045619C">
        <w:tc>
          <w:tcPr>
            <w:tcW w:w="646" w:type="dxa"/>
          </w:tcPr>
          <w:p w:rsidR="0045619C" w:rsidRDefault="0045619C" w:rsidP="0045619C">
            <w:pPr>
              <w:jc w:val="center"/>
            </w:pPr>
            <w:r>
              <w:t>3</w:t>
            </w:r>
          </w:p>
        </w:tc>
        <w:tc>
          <w:tcPr>
            <w:tcW w:w="2971" w:type="dxa"/>
          </w:tcPr>
          <w:p w:rsidR="0045619C" w:rsidRDefault="0045619C" w:rsidP="0045619C">
            <w:pPr>
              <w:jc w:val="left"/>
            </w:pPr>
            <w:r>
              <w:rPr>
                <w:rFonts w:hint="eastAsia"/>
              </w:rPr>
              <w:t>固定收益投资</w:t>
            </w:r>
          </w:p>
        </w:tc>
        <w:tc>
          <w:tcPr>
            <w:tcW w:w="2381" w:type="dxa"/>
          </w:tcPr>
          <w:p w:rsidR="0045619C" w:rsidRDefault="0045619C" w:rsidP="0045619C">
            <w:pPr>
              <w:jc w:val="right"/>
            </w:pPr>
            <w:r>
              <w:t>-</w:t>
            </w:r>
          </w:p>
        </w:tc>
        <w:tc>
          <w:tcPr>
            <w:tcW w:w="2506" w:type="dxa"/>
          </w:tcPr>
          <w:p w:rsidR="0045619C" w:rsidRDefault="0045619C" w:rsidP="0045619C">
            <w:pPr>
              <w:jc w:val="right"/>
            </w:pPr>
            <w:r>
              <w:t>-</w:t>
            </w:r>
          </w:p>
        </w:tc>
      </w:tr>
      <w:tr w:rsidR="0045619C" w:rsidTr="0045619C">
        <w:tc>
          <w:tcPr>
            <w:tcW w:w="646" w:type="dxa"/>
          </w:tcPr>
          <w:p w:rsidR="0045619C" w:rsidRDefault="0045619C" w:rsidP="0045619C">
            <w:pPr>
              <w:jc w:val="center"/>
            </w:pPr>
          </w:p>
        </w:tc>
        <w:tc>
          <w:tcPr>
            <w:tcW w:w="2971" w:type="dxa"/>
          </w:tcPr>
          <w:p w:rsidR="0045619C" w:rsidRDefault="0045619C" w:rsidP="0045619C">
            <w:pPr>
              <w:jc w:val="left"/>
            </w:pPr>
            <w:r>
              <w:rPr>
                <w:rFonts w:hint="eastAsia"/>
              </w:rPr>
              <w:t>其中：债券</w:t>
            </w:r>
          </w:p>
        </w:tc>
        <w:tc>
          <w:tcPr>
            <w:tcW w:w="2381" w:type="dxa"/>
          </w:tcPr>
          <w:p w:rsidR="0045619C" w:rsidRDefault="0045619C" w:rsidP="0045619C">
            <w:pPr>
              <w:jc w:val="right"/>
            </w:pPr>
            <w:r>
              <w:t>-</w:t>
            </w:r>
          </w:p>
        </w:tc>
        <w:tc>
          <w:tcPr>
            <w:tcW w:w="2506" w:type="dxa"/>
          </w:tcPr>
          <w:p w:rsidR="0045619C" w:rsidRDefault="0045619C" w:rsidP="0045619C">
            <w:pPr>
              <w:jc w:val="right"/>
            </w:pPr>
            <w:r>
              <w:t>-</w:t>
            </w:r>
          </w:p>
        </w:tc>
      </w:tr>
      <w:tr w:rsidR="0045619C" w:rsidTr="0045619C">
        <w:tc>
          <w:tcPr>
            <w:tcW w:w="646" w:type="dxa"/>
          </w:tcPr>
          <w:p w:rsidR="0045619C" w:rsidRDefault="0045619C" w:rsidP="0045619C">
            <w:pPr>
              <w:jc w:val="center"/>
            </w:pPr>
          </w:p>
        </w:tc>
        <w:tc>
          <w:tcPr>
            <w:tcW w:w="2971" w:type="dxa"/>
          </w:tcPr>
          <w:p w:rsidR="0045619C" w:rsidRDefault="0045619C" w:rsidP="0045619C">
            <w:pPr>
              <w:jc w:val="left"/>
            </w:pPr>
            <w:r>
              <w:rPr>
                <w:rFonts w:hint="eastAsia"/>
              </w:rPr>
              <w:t xml:space="preserve">      </w:t>
            </w:r>
            <w:r>
              <w:rPr>
                <w:rFonts w:hint="eastAsia"/>
              </w:rPr>
              <w:t>资产支持证券</w:t>
            </w:r>
          </w:p>
        </w:tc>
        <w:tc>
          <w:tcPr>
            <w:tcW w:w="2381" w:type="dxa"/>
          </w:tcPr>
          <w:p w:rsidR="0045619C" w:rsidRDefault="0045619C" w:rsidP="0045619C">
            <w:pPr>
              <w:jc w:val="right"/>
            </w:pPr>
            <w:r>
              <w:t>-</w:t>
            </w:r>
          </w:p>
        </w:tc>
        <w:tc>
          <w:tcPr>
            <w:tcW w:w="2506" w:type="dxa"/>
          </w:tcPr>
          <w:p w:rsidR="0045619C" w:rsidRDefault="0045619C" w:rsidP="0045619C">
            <w:pPr>
              <w:jc w:val="right"/>
            </w:pPr>
            <w:r>
              <w:t>-</w:t>
            </w:r>
          </w:p>
        </w:tc>
      </w:tr>
      <w:tr w:rsidR="0045619C" w:rsidTr="0045619C">
        <w:tc>
          <w:tcPr>
            <w:tcW w:w="646" w:type="dxa"/>
          </w:tcPr>
          <w:p w:rsidR="0045619C" w:rsidRDefault="0045619C" w:rsidP="0045619C">
            <w:pPr>
              <w:jc w:val="center"/>
            </w:pPr>
            <w:r>
              <w:t>4</w:t>
            </w:r>
          </w:p>
        </w:tc>
        <w:tc>
          <w:tcPr>
            <w:tcW w:w="2971" w:type="dxa"/>
          </w:tcPr>
          <w:p w:rsidR="0045619C" w:rsidRDefault="0045619C" w:rsidP="0045619C">
            <w:pPr>
              <w:jc w:val="left"/>
            </w:pPr>
            <w:r>
              <w:rPr>
                <w:rFonts w:hint="eastAsia"/>
              </w:rPr>
              <w:t>贵金属投资</w:t>
            </w:r>
          </w:p>
        </w:tc>
        <w:tc>
          <w:tcPr>
            <w:tcW w:w="2381" w:type="dxa"/>
          </w:tcPr>
          <w:p w:rsidR="0045619C" w:rsidRDefault="0045619C" w:rsidP="0045619C">
            <w:pPr>
              <w:jc w:val="right"/>
            </w:pPr>
            <w:r>
              <w:t>-</w:t>
            </w:r>
          </w:p>
        </w:tc>
        <w:tc>
          <w:tcPr>
            <w:tcW w:w="2506" w:type="dxa"/>
          </w:tcPr>
          <w:p w:rsidR="0045619C" w:rsidRDefault="0045619C" w:rsidP="0045619C">
            <w:pPr>
              <w:jc w:val="right"/>
            </w:pPr>
            <w:r>
              <w:t>-</w:t>
            </w:r>
          </w:p>
        </w:tc>
      </w:tr>
      <w:tr w:rsidR="0045619C" w:rsidTr="0045619C">
        <w:tc>
          <w:tcPr>
            <w:tcW w:w="646" w:type="dxa"/>
          </w:tcPr>
          <w:p w:rsidR="0045619C" w:rsidRDefault="0045619C" w:rsidP="0045619C">
            <w:pPr>
              <w:jc w:val="center"/>
            </w:pPr>
            <w:r>
              <w:t>5</w:t>
            </w:r>
          </w:p>
        </w:tc>
        <w:tc>
          <w:tcPr>
            <w:tcW w:w="2971" w:type="dxa"/>
          </w:tcPr>
          <w:p w:rsidR="0045619C" w:rsidRDefault="0045619C" w:rsidP="0045619C">
            <w:pPr>
              <w:jc w:val="left"/>
            </w:pPr>
            <w:r>
              <w:rPr>
                <w:rFonts w:hint="eastAsia"/>
              </w:rPr>
              <w:t>金融衍生品投资</w:t>
            </w:r>
          </w:p>
        </w:tc>
        <w:tc>
          <w:tcPr>
            <w:tcW w:w="2381" w:type="dxa"/>
          </w:tcPr>
          <w:p w:rsidR="0045619C" w:rsidRDefault="0045619C" w:rsidP="0045619C">
            <w:pPr>
              <w:jc w:val="right"/>
            </w:pPr>
            <w:r>
              <w:t>-</w:t>
            </w:r>
          </w:p>
        </w:tc>
        <w:tc>
          <w:tcPr>
            <w:tcW w:w="2506" w:type="dxa"/>
          </w:tcPr>
          <w:p w:rsidR="0045619C" w:rsidRDefault="0045619C" w:rsidP="0045619C">
            <w:pPr>
              <w:jc w:val="right"/>
            </w:pPr>
            <w:r>
              <w:t>-</w:t>
            </w:r>
          </w:p>
        </w:tc>
      </w:tr>
      <w:tr w:rsidR="0045619C" w:rsidTr="0045619C">
        <w:tc>
          <w:tcPr>
            <w:tcW w:w="646" w:type="dxa"/>
          </w:tcPr>
          <w:p w:rsidR="0045619C" w:rsidRDefault="0045619C" w:rsidP="0045619C">
            <w:pPr>
              <w:jc w:val="center"/>
            </w:pPr>
            <w:r>
              <w:t>6</w:t>
            </w:r>
          </w:p>
        </w:tc>
        <w:tc>
          <w:tcPr>
            <w:tcW w:w="2971" w:type="dxa"/>
          </w:tcPr>
          <w:p w:rsidR="0045619C" w:rsidRDefault="0045619C" w:rsidP="0045619C">
            <w:pPr>
              <w:jc w:val="left"/>
            </w:pPr>
            <w:r>
              <w:rPr>
                <w:rFonts w:hint="eastAsia"/>
              </w:rPr>
              <w:t>买入返售金融资产</w:t>
            </w:r>
          </w:p>
        </w:tc>
        <w:tc>
          <w:tcPr>
            <w:tcW w:w="2381" w:type="dxa"/>
          </w:tcPr>
          <w:p w:rsidR="0045619C" w:rsidRDefault="0045619C" w:rsidP="0045619C">
            <w:pPr>
              <w:jc w:val="right"/>
            </w:pPr>
            <w:r>
              <w:t>-</w:t>
            </w:r>
          </w:p>
        </w:tc>
        <w:tc>
          <w:tcPr>
            <w:tcW w:w="2506" w:type="dxa"/>
          </w:tcPr>
          <w:p w:rsidR="0045619C" w:rsidRDefault="0045619C" w:rsidP="0045619C">
            <w:pPr>
              <w:jc w:val="right"/>
            </w:pPr>
            <w:r>
              <w:t>-</w:t>
            </w:r>
          </w:p>
        </w:tc>
      </w:tr>
      <w:tr w:rsidR="0045619C" w:rsidTr="0045619C">
        <w:tc>
          <w:tcPr>
            <w:tcW w:w="646" w:type="dxa"/>
          </w:tcPr>
          <w:p w:rsidR="0045619C" w:rsidRDefault="0045619C" w:rsidP="0045619C">
            <w:pPr>
              <w:jc w:val="center"/>
            </w:pPr>
          </w:p>
        </w:tc>
        <w:tc>
          <w:tcPr>
            <w:tcW w:w="2971" w:type="dxa"/>
          </w:tcPr>
          <w:p w:rsidR="0045619C" w:rsidRDefault="0045619C" w:rsidP="0045619C">
            <w:pPr>
              <w:jc w:val="left"/>
            </w:pPr>
            <w:r>
              <w:rPr>
                <w:rFonts w:hint="eastAsia"/>
              </w:rPr>
              <w:t>其中：买断式回购的买入返售金融资产</w:t>
            </w:r>
          </w:p>
        </w:tc>
        <w:tc>
          <w:tcPr>
            <w:tcW w:w="2381" w:type="dxa"/>
          </w:tcPr>
          <w:p w:rsidR="0045619C" w:rsidRDefault="0045619C" w:rsidP="0045619C">
            <w:pPr>
              <w:jc w:val="right"/>
            </w:pPr>
            <w:r>
              <w:t>-</w:t>
            </w:r>
          </w:p>
        </w:tc>
        <w:tc>
          <w:tcPr>
            <w:tcW w:w="2506" w:type="dxa"/>
          </w:tcPr>
          <w:p w:rsidR="0045619C" w:rsidRDefault="0045619C" w:rsidP="0045619C">
            <w:pPr>
              <w:jc w:val="right"/>
            </w:pPr>
            <w:r>
              <w:t>-</w:t>
            </w:r>
          </w:p>
        </w:tc>
      </w:tr>
      <w:tr w:rsidR="0045619C" w:rsidTr="0045619C">
        <w:tc>
          <w:tcPr>
            <w:tcW w:w="646" w:type="dxa"/>
          </w:tcPr>
          <w:p w:rsidR="0045619C" w:rsidRDefault="0045619C" w:rsidP="0045619C">
            <w:pPr>
              <w:jc w:val="center"/>
            </w:pPr>
            <w:r>
              <w:t>7</w:t>
            </w:r>
          </w:p>
        </w:tc>
        <w:tc>
          <w:tcPr>
            <w:tcW w:w="2971" w:type="dxa"/>
          </w:tcPr>
          <w:p w:rsidR="0045619C" w:rsidRDefault="0045619C" w:rsidP="0045619C">
            <w:pPr>
              <w:jc w:val="left"/>
            </w:pPr>
            <w:r>
              <w:rPr>
                <w:rFonts w:hint="eastAsia"/>
              </w:rPr>
              <w:t>银行存款和结算备付金合计</w:t>
            </w:r>
          </w:p>
        </w:tc>
        <w:tc>
          <w:tcPr>
            <w:tcW w:w="2381" w:type="dxa"/>
          </w:tcPr>
          <w:p w:rsidR="0045619C" w:rsidRDefault="0045619C" w:rsidP="0045619C">
            <w:pPr>
              <w:jc w:val="right"/>
            </w:pPr>
            <w:r>
              <w:t>11,401,458.23</w:t>
            </w:r>
          </w:p>
        </w:tc>
        <w:tc>
          <w:tcPr>
            <w:tcW w:w="2506" w:type="dxa"/>
          </w:tcPr>
          <w:p w:rsidR="0045619C" w:rsidRDefault="0045619C" w:rsidP="0045619C">
            <w:pPr>
              <w:jc w:val="right"/>
            </w:pPr>
            <w:r>
              <w:t>7.27</w:t>
            </w:r>
          </w:p>
        </w:tc>
      </w:tr>
      <w:tr w:rsidR="0045619C" w:rsidTr="0045619C">
        <w:tc>
          <w:tcPr>
            <w:tcW w:w="646" w:type="dxa"/>
          </w:tcPr>
          <w:p w:rsidR="0045619C" w:rsidRDefault="0045619C" w:rsidP="0045619C">
            <w:pPr>
              <w:jc w:val="center"/>
            </w:pPr>
            <w:r>
              <w:t>8</w:t>
            </w:r>
          </w:p>
        </w:tc>
        <w:tc>
          <w:tcPr>
            <w:tcW w:w="2971" w:type="dxa"/>
          </w:tcPr>
          <w:p w:rsidR="0045619C" w:rsidRDefault="0045619C" w:rsidP="0045619C">
            <w:pPr>
              <w:jc w:val="left"/>
            </w:pPr>
            <w:r>
              <w:rPr>
                <w:rFonts w:hint="eastAsia"/>
              </w:rPr>
              <w:t>其他资产</w:t>
            </w:r>
          </w:p>
        </w:tc>
        <w:tc>
          <w:tcPr>
            <w:tcW w:w="2381" w:type="dxa"/>
          </w:tcPr>
          <w:p w:rsidR="0045619C" w:rsidRDefault="0045619C" w:rsidP="0045619C">
            <w:pPr>
              <w:jc w:val="right"/>
            </w:pPr>
            <w:r>
              <w:t>1,350,986.86</w:t>
            </w:r>
          </w:p>
        </w:tc>
        <w:tc>
          <w:tcPr>
            <w:tcW w:w="2506" w:type="dxa"/>
          </w:tcPr>
          <w:p w:rsidR="0045619C" w:rsidRDefault="0045619C" w:rsidP="0045619C">
            <w:pPr>
              <w:jc w:val="right"/>
            </w:pPr>
            <w:r>
              <w:t>0.86</w:t>
            </w:r>
          </w:p>
        </w:tc>
      </w:tr>
      <w:tr w:rsidR="0045619C" w:rsidTr="0045619C">
        <w:tc>
          <w:tcPr>
            <w:tcW w:w="646" w:type="dxa"/>
          </w:tcPr>
          <w:p w:rsidR="0045619C" w:rsidRDefault="0045619C" w:rsidP="0045619C">
            <w:pPr>
              <w:jc w:val="center"/>
            </w:pPr>
            <w:r>
              <w:t>9</w:t>
            </w:r>
          </w:p>
        </w:tc>
        <w:tc>
          <w:tcPr>
            <w:tcW w:w="2971" w:type="dxa"/>
          </w:tcPr>
          <w:p w:rsidR="0045619C" w:rsidRDefault="0045619C" w:rsidP="0045619C">
            <w:pPr>
              <w:jc w:val="left"/>
            </w:pPr>
            <w:r>
              <w:rPr>
                <w:rFonts w:hint="eastAsia"/>
              </w:rPr>
              <w:t>合计</w:t>
            </w:r>
          </w:p>
        </w:tc>
        <w:tc>
          <w:tcPr>
            <w:tcW w:w="2381" w:type="dxa"/>
          </w:tcPr>
          <w:p w:rsidR="0045619C" w:rsidRDefault="0045619C" w:rsidP="0045619C">
            <w:pPr>
              <w:jc w:val="right"/>
            </w:pPr>
            <w:r>
              <w:t>156,765,781.40</w:t>
            </w:r>
          </w:p>
        </w:tc>
        <w:tc>
          <w:tcPr>
            <w:tcW w:w="2506" w:type="dxa"/>
          </w:tcPr>
          <w:p w:rsidR="0045619C" w:rsidRDefault="0045619C" w:rsidP="0045619C">
            <w:pPr>
              <w:jc w:val="right"/>
            </w:pPr>
            <w:r>
              <w:t>100.00</w:t>
            </w:r>
          </w:p>
        </w:tc>
      </w:tr>
    </w:tbl>
    <w:p w:rsidR="0045619C" w:rsidRDefault="0045619C" w:rsidP="0045619C">
      <w:pPr>
        <w:pStyle w:val="-2"/>
        <w:spacing w:before="312"/>
      </w:pPr>
      <w:r>
        <w:rPr>
          <w:rFonts w:hint="eastAsia"/>
        </w:rPr>
        <w:t>报告期末按行业分类的股票投资组合</w:t>
      </w:r>
    </w:p>
    <w:p w:rsidR="0045619C" w:rsidRDefault="0045619C" w:rsidP="0045619C">
      <w:pPr>
        <w:pStyle w:val="-3"/>
        <w:spacing w:before="156" w:after="156"/>
      </w:pPr>
      <w:r>
        <w:rPr>
          <w:rFonts w:hint="eastAsia"/>
        </w:rPr>
        <w:t>报告期末按行业分类的境内股票投资组合</w:t>
      </w:r>
    </w:p>
    <w:p w:rsidR="0045619C" w:rsidRDefault="0045619C" w:rsidP="0045619C">
      <w:pPr>
        <w:pStyle w:val="-"/>
        <w:ind w:firstLine="420"/>
      </w:pPr>
      <w:r>
        <w:rPr>
          <w:rFonts w:hint="eastAsia"/>
        </w:rPr>
        <w:t>无。</w:t>
      </w:r>
    </w:p>
    <w:p w:rsidR="0045619C" w:rsidRDefault="0045619C" w:rsidP="0045619C">
      <w:pPr>
        <w:pStyle w:val="-3"/>
        <w:spacing w:before="156" w:after="156"/>
      </w:pPr>
      <w:r>
        <w:rPr>
          <w:rFonts w:hint="eastAsia"/>
        </w:rPr>
        <w:t>报告期末按行业分类的港股通投资股票投资组合</w:t>
      </w:r>
    </w:p>
    <w:p w:rsidR="0045619C" w:rsidRDefault="0045619C" w:rsidP="0045619C">
      <w:pPr>
        <w:pStyle w:val="-"/>
        <w:ind w:firstLine="420"/>
      </w:pPr>
      <w:r>
        <w:rPr>
          <w:rFonts w:hint="eastAsia"/>
        </w:rPr>
        <w:t>无。</w:t>
      </w:r>
    </w:p>
    <w:p w:rsidR="0045619C" w:rsidRDefault="0045619C" w:rsidP="0045619C">
      <w:pPr>
        <w:pStyle w:val="-2"/>
        <w:spacing w:before="312"/>
      </w:pPr>
      <w:r>
        <w:rPr>
          <w:rFonts w:hint="eastAsia"/>
        </w:rPr>
        <w:t>期末按公允价值占基金资产净值比例大小排序的股票投资明细</w:t>
      </w:r>
    </w:p>
    <w:p w:rsidR="0045619C" w:rsidRDefault="0045619C" w:rsidP="0045619C">
      <w:pPr>
        <w:pStyle w:val="-3"/>
        <w:spacing w:before="156" w:after="156"/>
      </w:pPr>
      <w:r>
        <w:rPr>
          <w:rFonts w:hint="eastAsia"/>
        </w:rPr>
        <w:t>报告期末按公允价值占基金资产净值比例大小排序的前十名股票投资明细</w:t>
      </w:r>
    </w:p>
    <w:p w:rsidR="0045619C" w:rsidRDefault="0045619C" w:rsidP="0045619C">
      <w:pPr>
        <w:pStyle w:val="-"/>
        <w:ind w:firstLine="420"/>
      </w:pPr>
      <w:r>
        <w:rPr>
          <w:rFonts w:hint="eastAsia"/>
        </w:rPr>
        <w:t>无。</w:t>
      </w:r>
    </w:p>
    <w:p w:rsidR="0045619C" w:rsidRDefault="0045619C" w:rsidP="0045619C">
      <w:pPr>
        <w:pStyle w:val="-2"/>
        <w:spacing w:before="312"/>
      </w:pPr>
      <w:r>
        <w:rPr>
          <w:rFonts w:hint="eastAsia"/>
        </w:rPr>
        <w:t>报告期末按债券品种分类的债券投资组合</w:t>
      </w:r>
    </w:p>
    <w:p w:rsidR="0045619C" w:rsidRDefault="0045619C" w:rsidP="0045619C">
      <w:pPr>
        <w:pStyle w:val="-"/>
        <w:ind w:firstLine="420"/>
      </w:pPr>
      <w:r>
        <w:rPr>
          <w:rFonts w:hint="eastAsia"/>
        </w:rPr>
        <w:t>无。</w:t>
      </w:r>
    </w:p>
    <w:p w:rsidR="0045619C" w:rsidRDefault="0045619C" w:rsidP="0045619C">
      <w:pPr>
        <w:pStyle w:val="-2"/>
        <w:spacing w:before="312"/>
      </w:pPr>
      <w:r>
        <w:rPr>
          <w:rFonts w:hint="eastAsia"/>
        </w:rPr>
        <w:t>报告期末按公允价值占基金资产净值比例大小排名的前五名债券投资明细</w:t>
      </w:r>
    </w:p>
    <w:p w:rsidR="0045619C" w:rsidRDefault="0045619C" w:rsidP="0045619C">
      <w:pPr>
        <w:pStyle w:val="-"/>
        <w:ind w:firstLine="420"/>
      </w:pPr>
      <w:r>
        <w:rPr>
          <w:rFonts w:hint="eastAsia"/>
        </w:rPr>
        <w:t>无。</w:t>
      </w:r>
    </w:p>
    <w:p w:rsidR="0045619C" w:rsidRDefault="0045619C" w:rsidP="0045619C">
      <w:pPr>
        <w:pStyle w:val="-2"/>
        <w:spacing w:before="312"/>
      </w:pPr>
      <w:r>
        <w:rPr>
          <w:rFonts w:hint="eastAsia"/>
        </w:rPr>
        <w:t>报告期末按公允价值占基金资产净值比例大小排名的前十名资产支持证券投资明细</w:t>
      </w:r>
    </w:p>
    <w:p w:rsidR="0045619C" w:rsidRDefault="0045619C" w:rsidP="0045619C">
      <w:pPr>
        <w:pStyle w:val="-"/>
        <w:ind w:firstLine="420"/>
      </w:pPr>
      <w:r>
        <w:rPr>
          <w:rFonts w:hint="eastAsia"/>
        </w:rPr>
        <w:t>本基金本报告期末未持有资产支持证券。</w:t>
      </w:r>
    </w:p>
    <w:p w:rsidR="0045619C" w:rsidRDefault="0045619C" w:rsidP="0045619C">
      <w:pPr>
        <w:pStyle w:val="-2"/>
        <w:spacing w:before="312"/>
      </w:pPr>
      <w:r>
        <w:rPr>
          <w:rFonts w:hint="eastAsia"/>
        </w:rPr>
        <w:lastRenderedPageBreak/>
        <w:t>报告期末按公允价值占基金资产净值比例大小排序的前五名贵金属投资明细</w:t>
      </w:r>
    </w:p>
    <w:p w:rsidR="0045619C" w:rsidRDefault="0045619C" w:rsidP="0045619C">
      <w:pPr>
        <w:pStyle w:val="-"/>
        <w:ind w:firstLine="420"/>
      </w:pPr>
      <w:r>
        <w:rPr>
          <w:rFonts w:hint="eastAsia"/>
        </w:rPr>
        <w:t>无。</w:t>
      </w:r>
    </w:p>
    <w:p w:rsidR="0045619C" w:rsidRDefault="0045619C" w:rsidP="0045619C">
      <w:pPr>
        <w:pStyle w:val="-2"/>
        <w:spacing w:before="312"/>
      </w:pPr>
      <w:r>
        <w:rPr>
          <w:rFonts w:hint="eastAsia"/>
        </w:rPr>
        <w:t>报告期末按公允价值占基金资产净值比例大小排名的前五名权证投资明细</w:t>
      </w:r>
    </w:p>
    <w:p w:rsidR="0045619C" w:rsidRDefault="0045619C" w:rsidP="0045619C">
      <w:pPr>
        <w:pStyle w:val="-"/>
        <w:ind w:firstLine="420"/>
      </w:pPr>
      <w:r>
        <w:rPr>
          <w:rFonts w:hint="eastAsia"/>
        </w:rPr>
        <w:t>无。</w:t>
      </w:r>
    </w:p>
    <w:p w:rsidR="0045619C" w:rsidRDefault="0045619C" w:rsidP="0045619C">
      <w:pPr>
        <w:pStyle w:val="-2"/>
        <w:spacing w:before="312"/>
      </w:pPr>
      <w:r>
        <w:rPr>
          <w:rFonts w:hint="eastAsia"/>
        </w:rPr>
        <w:t>报告期末按公允价值占基金资产净值比例大小排序的前十名基金投资明细</w:t>
      </w:r>
    </w:p>
    <w:tbl>
      <w:tblPr>
        <w:tblStyle w:val="-0"/>
        <w:tblW w:w="0" w:type="auto"/>
        <w:tblLayout w:type="fixed"/>
        <w:tblLook w:val="04A0" w:firstRow="1" w:lastRow="0" w:firstColumn="1" w:lastColumn="0" w:noHBand="0" w:noVBand="1"/>
      </w:tblPr>
      <w:tblGrid>
        <w:gridCol w:w="1186"/>
        <w:gridCol w:w="1186"/>
        <w:gridCol w:w="1186"/>
        <w:gridCol w:w="1187"/>
        <w:gridCol w:w="1187"/>
        <w:gridCol w:w="1187"/>
        <w:gridCol w:w="1187"/>
      </w:tblGrid>
      <w:tr w:rsidR="0045619C" w:rsidTr="0045619C">
        <w:trPr>
          <w:cnfStyle w:val="100000000000" w:firstRow="1" w:lastRow="0" w:firstColumn="0" w:lastColumn="0" w:oddVBand="0" w:evenVBand="0" w:oddHBand="0" w:evenHBand="0" w:firstRowFirstColumn="0" w:firstRowLastColumn="0" w:lastRowFirstColumn="0" w:lastRowLastColumn="0"/>
        </w:trPr>
        <w:tc>
          <w:tcPr>
            <w:tcW w:w="1186" w:type="dxa"/>
          </w:tcPr>
          <w:p w:rsidR="0045619C" w:rsidRPr="0045619C" w:rsidRDefault="0045619C" w:rsidP="0045619C">
            <w:pPr>
              <w:jc w:val="center"/>
              <w:rPr>
                <w:b/>
              </w:rPr>
            </w:pPr>
            <w:r w:rsidRPr="0045619C">
              <w:rPr>
                <w:rFonts w:hint="eastAsia"/>
                <w:b/>
              </w:rPr>
              <w:t>序号</w:t>
            </w:r>
          </w:p>
        </w:tc>
        <w:tc>
          <w:tcPr>
            <w:tcW w:w="1186" w:type="dxa"/>
          </w:tcPr>
          <w:p w:rsidR="0045619C" w:rsidRPr="0045619C" w:rsidRDefault="0045619C" w:rsidP="0045619C">
            <w:pPr>
              <w:jc w:val="center"/>
              <w:rPr>
                <w:b/>
              </w:rPr>
            </w:pPr>
            <w:r w:rsidRPr="0045619C">
              <w:rPr>
                <w:rFonts w:hint="eastAsia"/>
                <w:b/>
              </w:rPr>
              <w:t>基金名称</w:t>
            </w:r>
          </w:p>
        </w:tc>
        <w:tc>
          <w:tcPr>
            <w:tcW w:w="1186" w:type="dxa"/>
          </w:tcPr>
          <w:p w:rsidR="0045619C" w:rsidRPr="0045619C" w:rsidRDefault="0045619C" w:rsidP="0045619C">
            <w:pPr>
              <w:jc w:val="center"/>
              <w:rPr>
                <w:b/>
              </w:rPr>
            </w:pPr>
            <w:r w:rsidRPr="0045619C">
              <w:rPr>
                <w:rFonts w:hint="eastAsia"/>
                <w:b/>
              </w:rPr>
              <w:t>基金类型</w:t>
            </w:r>
          </w:p>
        </w:tc>
        <w:tc>
          <w:tcPr>
            <w:tcW w:w="1187" w:type="dxa"/>
          </w:tcPr>
          <w:p w:rsidR="0045619C" w:rsidRPr="0045619C" w:rsidRDefault="0045619C" w:rsidP="0045619C">
            <w:pPr>
              <w:jc w:val="center"/>
              <w:rPr>
                <w:b/>
              </w:rPr>
            </w:pPr>
            <w:r w:rsidRPr="0045619C">
              <w:rPr>
                <w:rFonts w:hint="eastAsia"/>
                <w:b/>
              </w:rPr>
              <w:t>运作方式</w:t>
            </w:r>
          </w:p>
        </w:tc>
        <w:tc>
          <w:tcPr>
            <w:tcW w:w="1187" w:type="dxa"/>
          </w:tcPr>
          <w:p w:rsidR="0045619C" w:rsidRPr="0045619C" w:rsidRDefault="0045619C" w:rsidP="0045619C">
            <w:pPr>
              <w:jc w:val="center"/>
              <w:rPr>
                <w:b/>
              </w:rPr>
            </w:pPr>
            <w:r w:rsidRPr="0045619C">
              <w:rPr>
                <w:rFonts w:hint="eastAsia"/>
                <w:b/>
              </w:rPr>
              <w:t>管理人</w:t>
            </w:r>
          </w:p>
        </w:tc>
        <w:tc>
          <w:tcPr>
            <w:tcW w:w="1187" w:type="dxa"/>
          </w:tcPr>
          <w:p w:rsidR="0045619C" w:rsidRPr="0045619C" w:rsidRDefault="0045619C" w:rsidP="0045619C">
            <w:pPr>
              <w:jc w:val="center"/>
              <w:rPr>
                <w:b/>
              </w:rPr>
            </w:pPr>
            <w:r w:rsidRPr="0045619C">
              <w:rPr>
                <w:rFonts w:hint="eastAsia"/>
                <w:b/>
              </w:rPr>
              <w:t>公允价值（元）</w:t>
            </w:r>
          </w:p>
        </w:tc>
        <w:tc>
          <w:tcPr>
            <w:tcW w:w="1187" w:type="dxa"/>
          </w:tcPr>
          <w:p w:rsidR="0045619C" w:rsidRPr="0045619C" w:rsidRDefault="0045619C" w:rsidP="0045619C">
            <w:pPr>
              <w:jc w:val="center"/>
              <w:rPr>
                <w:b/>
              </w:rPr>
            </w:pPr>
            <w:r w:rsidRPr="0045619C">
              <w:rPr>
                <w:rFonts w:hint="eastAsia"/>
                <w:b/>
              </w:rPr>
              <w:t>占基金资产净值比例（</w:t>
            </w:r>
            <w:r w:rsidRPr="0045619C">
              <w:rPr>
                <w:rFonts w:hint="eastAsia"/>
                <w:b/>
              </w:rPr>
              <w:t>%</w:t>
            </w:r>
            <w:r w:rsidRPr="0045619C">
              <w:rPr>
                <w:rFonts w:hint="eastAsia"/>
                <w:b/>
              </w:rPr>
              <w:t>）</w:t>
            </w:r>
          </w:p>
        </w:tc>
      </w:tr>
      <w:tr w:rsidR="0045619C" w:rsidTr="0045619C">
        <w:tc>
          <w:tcPr>
            <w:tcW w:w="1186" w:type="dxa"/>
          </w:tcPr>
          <w:p w:rsidR="0045619C" w:rsidRDefault="0045619C" w:rsidP="0045619C">
            <w:pPr>
              <w:jc w:val="center"/>
            </w:pPr>
            <w:r>
              <w:t>1</w:t>
            </w:r>
          </w:p>
        </w:tc>
        <w:tc>
          <w:tcPr>
            <w:tcW w:w="1186" w:type="dxa"/>
          </w:tcPr>
          <w:p w:rsidR="0045619C" w:rsidRDefault="0045619C" w:rsidP="0045619C">
            <w:pPr>
              <w:jc w:val="left"/>
            </w:pPr>
            <w:r>
              <w:rPr>
                <w:rFonts w:hint="eastAsia"/>
              </w:rPr>
              <w:t>南方中证港股通</w:t>
            </w:r>
            <w:r>
              <w:rPr>
                <w:rFonts w:hint="eastAsia"/>
              </w:rPr>
              <w:t>50ETF</w:t>
            </w:r>
          </w:p>
        </w:tc>
        <w:tc>
          <w:tcPr>
            <w:tcW w:w="1186" w:type="dxa"/>
          </w:tcPr>
          <w:p w:rsidR="0045619C" w:rsidRDefault="0045619C" w:rsidP="0045619C">
            <w:pPr>
              <w:jc w:val="left"/>
            </w:pPr>
            <w:r>
              <w:rPr>
                <w:rFonts w:hint="eastAsia"/>
              </w:rPr>
              <w:t>股票型</w:t>
            </w:r>
          </w:p>
        </w:tc>
        <w:tc>
          <w:tcPr>
            <w:tcW w:w="1187" w:type="dxa"/>
          </w:tcPr>
          <w:p w:rsidR="0045619C" w:rsidRDefault="0045619C" w:rsidP="0045619C">
            <w:pPr>
              <w:jc w:val="left"/>
            </w:pPr>
            <w:r>
              <w:rPr>
                <w:rFonts w:hint="eastAsia"/>
              </w:rPr>
              <w:t>交易型开放式</w:t>
            </w:r>
          </w:p>
        </w:tc>
        <w:tc>
          <w:tcPr>
            <w:tcW w:w="1187" w:type="dxa"/>
          </w:tcPr>
          <w:p w:rsidR="0045619C" w:rsidRDefault="0045619C" w:rsidP="0045619C">
            <w:pPr>
              <w:jc w:val="left"/>
            </w:pPr>
            <w:r>
              <w:rPr>
                <w:rFonts w:hint="eastAsia"/>
              </w:rPr>
              <w:t>南方基金管理股份有限公司</w:t>
            </w:r>
          </w:p>
        </w:tc>
        <w:tc>
          <w:tcPr>
            <w:tcW w:w="1187" w:type="dxa"/>
          </w:tcPr>
          <w:p w:rsidR="0045619C" w:rsidRDefault="0045619C" w:rsidP="0045619C">
            <w:pPr>
              <w:jc w:val="right"/>
            </w:pPr>
            <w:r>
              <w:t>144,013,336.31</w:t>
            </w:r>
          </w:p>
        </w:tc>
        <w:tc>
          <w:tcPr>
            <w:tcW w:w="1187" w:type="dxa"/>
          </w:tcPr>
          <w:p w:rsidR="0045619C" w:rsidRDefault="0045619C" w:rsidP="0045619C">
            <w:pPr>
              <w:jc w:val="right"/>
            </w:pPr>
            <w:r>
              <w:t>93.96</w:t>
            </w:r>
          </w:p>
        </w:tc>
      </w:tr>
    </w:tbl>
    <w:p w:rsidR="0045619C" w:rsidRDefault="0045619C" w:rsidP="0045619C">
      <w:pPr>
        <w:pStyle w:val="-2"/>
        <w:spacing w:before="312"/>
      </w:pPr>
      <w:r>
        <w:rPr>
          <w:rFonts w:hint="eastAsia"/>
        </w:rPr>
        <w:t>报告期末本基金投资的股指期货交易情况说明</w:t>
      </w:r>
    </w:p>
    <w:p w:rsidR="0045619C" w:rsidRDefault="0045619C" w:rsidP="0045619C">
      <w:pPr>
        <w:pStyle w:val="-3"/>
        <w:spacing w:before="156" w:after="156"/>
      </w:pPr>
      <w:r>
        <w:rPr>
          <w:rFonts w:hint="eastAsia"/>
        </w:rPr>
        <w:t>报告期末本基金投资的股指期货持仓和损益明细</w:t>
      </w:r>
    </w:p>
    <w:p w:rsidR="0045619C" w:rsidRDefault="0045619C" w:rsidP="0045619C">
      <w:pPr>
        <w:pStyle w:val="-"/>
        <w:ind w:firstLine="420"/>
      </w:pPr>
      <w:r>
        <w:rPr>
          <w:rFonts w:hint="eastAsia"/>
        </w:rPr>
        <w:t>无。</w:t>
      </w:r>
    </w:p>
    <w:p w:rsidR="0045619C" w:rsidRDefault="0045619C" w:rsidP="0045619C">
      <w:pPr>
        <w:pStyle w:val="-3"/>
        <w:spacing w:before="156" w:after="156"/>
      </w:pPr>
      <w:r>
        <w:rPr>
          <w:rFonts w:hint="eastAsia"/>
        </w:rPr>
        <w:t>本基金投资股指期货的投资政策</w:t>
      </w:r>
    </w:p>
    <w:p w:rsidR="0045619C" w:rsidRDefault="0045619C" w:rsidP="0045619C">
      <w:pPr>
        <w:pStyle w:val="-"/>
        <w:ind w:firstLine="420"/>
      </w:pPr>
      <w:r>
        <w:rPr>
          <w:rFonts w:hint="eastAsia"/>
        </w:rPr>
        <w:t>本基金投资股指期货，将根据风险管理的原则，以套期保值为目的，主要选择流动性好、交易活跃的股指期货合约。本基金力争利用股指期货，降低股票仓位频繁调整的交易成本和跟踪误差，达到有效跟踪标的指数的目的。</w:t>
      </w:r>
    </w:p>
    <w:p w:rsidR="0045619C" w:rsidRDefault="0045619C" w:rsidP="0045619C">
      <w:pPr>
        <w:pStyle w:val="-2"/>
        <w:spacing w:before="312"/>
      </w:pPr>
      <w:r>
        <w:rPr>
          <w:rFonts w:hint="eastAsia"/>
        </w:rPr>
        <w:t>报告期末本基金投资的国债期货交易情况说明</w:t>
      </w:r>
    </w:p>
    <w:p w:rsidR="0045619C" w:rsidRDefault="0045619C" w:rsidP="0045619C">
      <w:pPr>
        <w:pStyle w:val="-3"/>
        <w:spacing w:before="156" w:after="156"/>
      </w:pPr>
      <w:r>
        <w:rPr>
          <w:rFonts w:hint="eastAsia"/>
        </w:rPr>
        <w:t>本期国债期货投资政策</w:t>
      </w:r>
    </w:p>
    <w:p w:rsidR="0045619C" w:rsidRDefault="0045619C" w:rsidP="0045619C">
      <w:pPr>
        <w:pStyle w:val="-"/>
        <w:ind w:firstLine="420"/>
      </w:pPr>
      <w:r>
        <w:rPr>
          <w:rFonts w:hint="eastAsia"/>
        </w:rPr>
        <w:t>无。</w:t>
      </w:r>
    </w:p>
    <w:p w:rsidR="0045619C" w:rsidRDefault="0045619C" w:rsidP="0045619C">
      <w:pPr>
        <w:pStyle w:val="-3"/>
        <w:spacing w:before="156" w:after="156"/>
      </w:pPr>
      <w:r>
        <w:rPr>
          <w:rFonts w:hint="eastAsia"/>
        </w:rPr>
        <w:t>报告期末本基金投资的国债期货持仓和损益明细</w:t>
      </w:r>
    </w:p>
    <w:p w:rsidR="0045619C" w:rsidRDefault="0045619C" w:rsidP="0045619C">
      <w:pPr>
        <w:pStyle w:val="-"/>
        <w:ind w:firstLine="420"/>
      </w:pPr>
      <w:r>
        <w:rPr>
          <w:rFonts w:hint="eastAsia"/>
        </w:rPr>
        <w:t>无。</w:t>
      </w:r>
    </w:p>
    <w:p w:rsidR="0045619C" w:rsidRDefault="0045619C" w:rsidP="0045619C">
      <w:pPr>
        <w:pStyle w:val="-3"/>
        <w:spacing w:before="156" w:after="156"/>
      </w:pPr>
      <w:r>
        <w:rPr>
          <w:rFonts w:hint="eastAsia"/>
        </w:rPr>
        <w:t>本期国债期货投资评价</w:t>
      </w:r>
    </w:p>
    <w:p w:rsidR="0045619C" w:rsidRDefault="0045619C" w:rsidP="0045619C">
      <w:pPr>
        <w:pStyle w:val="-"/>
        <w:ind w:firstLine="420"/>
      </w:pPr>
      <w:r>
        <w:rPr>
          <w:rFonts w:hint="eastAsia"/>
        </w:rPr>
        <w:t>无。</w:t>
      </w:r>
    </w:p>
    <w:p w:rsidR="0045619C" w:rsidRDefault="0045619C" w:rsidP="0045619C">
      <w:pPr>
        <w:pStyle w:val="-2"/>
        <w:spacing w:before="312"/>
      </w:pPr>
      <w:r>
        <w:rPr>
          <w:rFonts w:hint="eastAsia"/>
        </w:rPr>
        <w:t>投资组合报告附注</w:t>
      </w:r>
    </w:p>
    <w:p w:rsidR="0045619C" w:rsidRDefault="0045619C" w:rsidP="0045619C">
      <w:pPr>
        <w:pStyle w:val="-3"/>
        <w:spacing w:before="156" w:after="156"/>
      </w:pPr>
      <w:r>
        <w:rPr>
          <w:rFonts w:hint="eastAsia"/>
        </w:rPr>
        <w:t>声明本基金投资的前十名证券的发行主体本期是否出现被监管部门立案</w:t>
      </w:r>
      <w:r>
        <w:rPr>
          <w:rFonts w:hint="eastAsia"/>
        </w:rPr>
        <w:lastRenderedPageBreak/>
        <w:t>调查，或在报告编制日前一年内受到公开谴责、处罚的情形。如是，还应对相关证券的投资决策程序做出说明</w:t>
      </w:r>
    </w:p>
    <w:p w:rsidR="0045619C" w:rsidRDefault="0045619C" w:rsidP="0045619C">
      <w:pPr>
        <w:pStyle w:val="-"/>
        <w:ind w:firstLine="420"/>
      </w:pPr>
      <w:r>
        <w:rPr>
          <w:rFonts w:hint="eastAsia"/>
        </w:rPr>
        <w:t>报告期内基金投资的前十名证券的发行主体未有被监管部门立案调查，不存在报告编制日前一年内受到公开谴责、处罚的情形。</w:t>
      </w:r>
    </w:p>
    <w:p w:rsidR="0045619C" w:rsidRDefault="0045619C" w:rsidP="0045619C">
      <w:pPr>
        <w:pStyle w:val="-3"/>
        <w:spacing w:before="156" w:after="156"/>
      </w:pPr>
      <w:r>
        <w:rPr>
          <w:rFonts w:hint="eastAsia"/>
        </w:rPr>
        <w:t>声明基金投资的前十名股票是否超出基金合同约定的备选股票库。如是，还应对相关股票的投资决策程序做出说明。</w:t>
      </w:r>
    </w:p>
    <w:p w:rsidR="0045619C" w:rsidRDefault="0045619C" w:rsidP="0045619C">
      <w:pPr>
        <w:pStyle w:val="-"/>
        <w:ind w:firstLine="420"/>
      </w:pPr>
      <w:r>
        <w:rPr>
          <w:rFonts w:hint="eastAsia"/>
        </w:rPr>
        <w:t>本基金投资的前十名股票（如有）没有超出基金合同约定的备选股票库，本基金管理人从制度和流程上要求股票必须先入库再买入。</w:t>
      </w:r>
    </w:p>
    <w:p w:rsidR="0045619C" w:rsidRDefault="0045619C" w:rsidP="0045619C">
      <w:pPr>
        <w:pStyle w:val="-3"/>
        <w:spacing w:before="156" w:after="156"/>
      </w:pPr>
      <w:r>
        <w:rPr>
          <w:rFonts w:hint="eastAsia"/>
        </w:rPr>
        <w:t>其他资产构成</w:t>
      </w:r>
    </w:p>
    <w:tbl>
      <w:tblPr>
        <w:tblStyle w:val="-0"/>
        <w:tblW w:w="8505" w:type="dxa"/>
        <w:tblLayout w:type="fixed"/>
        <w:tblLook w:val="04A0" w:firstRow="1" w:lastRow="0" w:firstColumn="1" w:lastColumn="0" w:noHBand="0" w:noVBand="1"/>
      </w:tblPr>
      <w:tblGrid>
        <w:gridCol w:w="743"/>
        <w:gridCol w:w="2977"/>
        <w:gridCol w:w="4785"/>
      </w:tblGrid>
      <w:tr w:rsidR="0045619C" w:rsidTr="0045619C">
        <w:trPr>
          <w:cnfStyle w:val="100000000000" w:firstRow="1" w:lastRow="0" w:firstColumn="0" w:lastColumn="0" w:oddVBand="0" w:evenVBand="0" w:oddHBand="0" w:evenHBand="0" w:firstRowFirstColumn="0" w:firstRowLastColumn="0" w:lastRowFirstColumn="0" w:lastRowLastColumn="0"/>
        </w:trPr>
        <w:tc>
          <w:tcPr>
            <w:tcW w:w="743" w:type="dxa"/>
          </w:tcPr>
          <w:p w:rsidR="0045619C" w:rsidRPr="0045619C" w:rsidRDefault="0045619C" w:rsidP="0045619C">
            <w:pPr>
              <w:jc w:val="center"/>
              <w:rPr>
                <w:b/>
              </w:rPr>
            </w:pPr>
            <w:r w:rsidRPr="0045619C">
              <w:rPr>
                <w:rFonts w:hint="eastAsia"/>
                <w:b/>
              </w:rPr>
              <w:t>序号</w:t>
            </w:r>
          </w:p>
        </w:tc>
        <w:tc>
          <w:tcPr>
            <w:tcW w:w="2977" w:type="dxa"/>
          </w:tcPr>
          <w:p w:rsidR="0045619C" w:rsidRPr="0045619C" w:rsidRDefault="0045619C" w:rsidP="0045619C">
            <w:pPr>
              <w:jc w:val="center"/>
              <w:rPr>
                <w:b/>
              </w:rPr>
            </w:pPr>
            <w:r w:rsidRPr="0045619C">
              <w:rPr>
                <w:rFonts w:hint="eastAsia"/>
                <w:b/>
              </w:rPr>
              <w:t>名称</w:t>
            </w:r>
          </w:p>
        </w:tc>
        <w:tc>
          <w:tcPr>
            <w:tcW w:w="4785" w:type="dxa"/>
          </w:tcPr>
          <w:p w:rsidR="0045619C" w:rsidRPr="0045619C" w:rsidRDefault="0045619C" w:rsidP="0045619C">
            <w:pPr>
              <w:jc w:val="center"/>
              <w:rPr>
                <w:b/>
              </w:rPr>
            </w:pPr>
            <w:r w:rsidRPr="0045619C">
              <w:rPr>
                <w:rFonts w:hint="eastAsia"/>
                <w:b/>
              </w:rPr>
              <w:t>金额（元）</w:t>
            </w:r>
          </w:p>
        </w:tc>
      </w:tr>
      <w:tr w:rsidR="0045619C" w:rsidTr="0045619C">
        <w:tc>
          <w:tcPr>
            <w:tcW w:w="743" w:type="dxa"/>
          </w:tcPr>
          <w:p w:rsidR="0045619C" w:rsidRDefault="0045619C" w:rsidP="0045619C">
            <w:pPr>
              <w:jc w:val="center"/>
            </w:pPr>
            <w:r>
              <w:t>1</w:t>
            </w:r>
          </w:p>
        </w:tc>
        <w:tc>
          <w:tcPr>
            <w:tcW w:w="2977" w:type="dxa"/>
          </w:tcPr>
          <w:p w:rsidR="0045619C" w:rsidRDefault="0045619C" w:rsidP="0045619C">
            <w:pPr>
              <w:jc w:val="left"/>
            </w:pPr>
            <w:r>
              <w:rPr>
                <w:rFonts w:hint="eastAsia"/>
              </w:rPr>
              <w:t>存出保证金</w:t>
            </w:r>
          </w:p>
        </w:tc>
        <w:tc>
          <w:tcPr>
            <w:tcW w:w="4785" w:type="dxa"/>
          </w:tcPr>
          <w:p w:rsidR="0045619C" w:rsidRDefault="0045619C" w:rsidP="0045619C">
            <w:pPr>
              <w:jc w:val="right"/>
            </w:pPr>
            <w:r>
              <w:t>81,194.67</w:t>
            </w:r>
          </w:p>
        </w:tc>
      </w:tr>
      <w:tr w:rsidR="0045619C" w:rsidTr="0045619C">
        <w:tc>
          <w:tcPr>
            <w:tcW w:w="743" w:type="dxa"/>
          </w:tcPr>
          <w:p w:rsidR="0045619C" w:rsidRDefault="0045619C" w:rsidP="0045619C">
            <w:pPr>
              <w:jc w:val="center"/>
            </w:pPr>
            <w:r>
              <w:t>2</w:t>
            </w:r>
          </w:p>
        </w:tc>
        <w:tc>
          <w:tcPr>
            <w:tcW w:w="2977" w:type="dxa"/>
          </w:tcPr>
          <w:p w:rsidR="0045619C" w:rsidRDefault="0045619C" w:rsidP="0045619C">
            <w:pPr>
              <w:jc w:val="left"/>
            </w:pPr>
            <w:r>
              <w:rPr>
                <w:rFonts w:hint="eastAsia"/>
              </w:rPr>
              <w:t>应收证券清算款</w:t>
            </w:r>
          </w:p>
        </w:tc>
        <w:tc>
          <w:tcPr>
            <w:tcW w:w="4785" w:type="dxa"/>
          </w:tcPr>
          <w:p w:rsidR="0045619C" w:rsidRDefault="0045619C" w:rsidP="0045619C">
            <w:pPr>
              <w:jc w:val="right"/>
            </w:pPr>
            <w:r>
              <w:t>1,059,887.38</w:t>
            </w:r>
          </w:p>
        </w:tc>
      </w:tr>
      <w:tr w:rsidR="0045619C" w:rsidTr="0045619C">
        <w:tc>
          <w:tcPr>
            <w:tcW w:w="743" w:type="dxa"/>
          </w:tcPr>
          <w:p w:rsidR="0045619C" w:rsidRDefault="0045619C" w:rsidP="0045619C">
            <w:pPr>
              <w:jc w:val="center"/>
            </w:pPr>
            <w:r>
              <w:t>3</w:t>
            </w:r>
          </w:p>
        </w:tc>
        <w:tc>
          <w:tcPr>
            <w:tcW w:w="2977" w:type="dxa"/>
          </w:tcPr>
          <w:p w:rsidR="0045619C" w:rsidRDefault="0045619C" w:rsidP="0045619C">
            <w:pPr>
              <w:jc w:val="left"/>
            </w:pPr>
            <w:r>
              <w:rPr>
                <w:rFonts w:hint="eastAsia"/>
              </w:rPr>
              <w:t>应收股利</w:t>
            </w:r>
          </w:p>
        </w:tc>
        <w:tc>
          <w:tcPr>
            <w:tcW w:w="4785" w:type="dxa"/>
          </w:tcPr>
          <w:p w:rsidR="0045619C" w:rsidRDefault="0045619C" w:rsidP="0045619C">
            <w:pPr>
              <w:jc w:val="right"/>
            </w:pPr>
            <w:r>
              <w:t>-</w:t>
            </w:r>
          </w:p>
        </w:tc>
      </w:tr>
      <w:tr w:rsidR="0045619C" w:rsidTr="0045619C">
        <w:tc>
          <w:tcPr>
            <w:tcW w:w="743" w:type="dxa"/>
          </w:tcPr>
          <w:p w:rsidR="0045619C" w:rsidRDefault="0045619C" w:rsidP="0045619C">
            <w:pPr>
              <w:jc w:val="center"/>
            </w:pPr>
            <w:r>
              <w:t>4</w:t>
            </w:r>
          </w:p>
        </w:tc>
        <w:tc>
          <w:tcPr>
            <w:tcW w:w="2977" w:type="dxa"/>
          </w:tcPr>
          <w:p w:rsidR="0045619C" w:rsidRDefault="0045619C" w:rsidP="0045619C">
            <w:pPr>
              <w:jc w:val="left"/>
            </w:pPr>
            <w:r>
              <w:rPr>
                <w:rFonts w:hint="eastAsia"/>
              </w:rPr>
              <w:t>应收利息</w:t>
            </w:r>
          </w:p>
        </w:tc>
        <w:tc>
          <w:tcPr>
            <w:tcW w:w="4785" w:type="dxa"/>
          </w:tcPr>
          <w:p w:rsidR="0045619C" w:rsidRDefault="0045619C" w:rsidP="0045619C">
            <w:pPr>
              <w:jc w:val="right"/>
            </w:pPr>
            <w:r>
              <w:t>-</w:t>
            </w:r>
          </w:p>
        </w:tc>
      </w:tr>
      <w:tr w:rsidR="0045619C" w:rsidTr="0045619C">
        <w:tc>
          <w:tcPr>
            <w:tcW w:w="743" w:type="dxa"/>
          </w:tcPr>
          <w:p w:rsidR="0045619C" w:rsidRDefault="0045619C" w:rsidP="0045619C">
            <w:pPr>
              <w:jc w:val="center"/>
            </w:pPr>
            <w:r>
              <w:t>5</w:t>
            </w:r>
          </w:p>
        </w:tc>
        <w:tc>
          <w:tcPr>
            <w:tcW w:w="2977" w:type="dxa"/>
          </w:tcPr>
          <w:p w:rsidR="0045619C" w:rsidRDefault="0045619C" w:rsidP="0045619C">
            <w:pPr>
              <w:jc w:val="left"/>
            </w:pPr>
            <w:r>
              <w:rPr>
                <w:rFonts w:hint="eastAsia"/>
              </w:rPr>
              <w:t>应收申购款</w:t>
            </w:r>
          </w:p>
        </w:tc>
        <w:tc>
          <w:tcPr>
            <w:tcW w:w="4785" w:type="dxa"/>
          </w:tcPr>
          <w:p w:rsidR="0045619C" w:rsidRDefault="0045619C" w:rsidP="0045619C">
            <w:pPr>
              <w:jc w:val="right"/>
            </w:pPr>
            <w:r>
              <w:t>209,904.81</w:t>
            </w:r>
          </w:p>
        </w:tc>
      </w:tr>
      <w:tr w:rsidR="0045619C" w:rsidTr="0045619C">
        <w:tc>
          <w:tcPr>
            <w:tcW w:w="743" w:type="dxa"/>
          </w:tcPr>
          <w:p w:rsidR="0045619C" w:rsidRDefault="0045619C" w:rsidP="0045619C">
            <w:pPr>
              <w:jc w:val="center"/>
            </w:pPr>
            <w:r>
              <w:t>6</w:t>
            </w:r>
          </w:p>
        </w:tc>
        <w:tc>
          <w:tcPr>
            <w:tcW w:w="2977" w:type="dxa"/>
          </w:tcPr>
          <w:p w:rsidR="0045619C" w:rsidRDefault="0045619C" w:rsidP="0045619C">
            <w:pPr>
              <w:jc w:val="left"/>
            </w:pPr>
            <w:r>
              <w:rPr>
                <w:rFonts w:hint="eastAsia"/>
              </w:rPr>
              <w:t>其他应收款</w:t>
            </w:r>
          </w:p>
        </w:tc>
        <w:tc>
          <w:tcPr>
            <w:tcW w:w="4785" w:type="dxa"/>
          </w:tcPr>
          <w:p w:rsidR="0045619C" w:rsidRDefault="0045619C" w:rsidP="0045619C">
            <w:pPr>
              <w:jc w:val="right"/>
            </w:pPr>
            <w:r>
              <w:t>-</w:t>
            </w:r>
          </w:p>
        </w:tc>
      </w:tr>
      <w:tr w:rsidR="0045619C" w:rsidTr="0045619C">
        <w:tc>
          <w:tcPr>
            <w:tcW w:w="743" w:type="dxa"/>
          </w:tcPr>
          <w:p w:rsidR="0045619C" w:rsidRDefault="0045619C" w:rsidP="0045619C">
            <w:pPr>
              <w:jc w:val="center"/>
            </w:pPr>
            <w:r>
              <w:t>7</w:t>
            </w:r>
          </w:p>
        </w:tc>
        <w:tc>
          <w:tcPr>
            <w:tcW w:w="2977" w:type="dxa"/>
          </w:tcPr>
          <w:p w:rsidR="0045619C" w:rsidRDefault="0045619C" w:rsidP="0045619C">
            <w:pPr>
              <w:jc w:val="left"/>
            </w:pPr>
            <w:r>
              <w:rPr>
                <w:rFonts w:hint="eastAsia"/>
              </w:rPr>
              <w:t>待摊费用</w:t>
            </w:r>
          </w:p>
        </w:tc>
        <w:tc>
          <w:tcPr>
            <w:tcW w:w="4785" w:type="dxa"/>
          </w:tcPr>
          <w:p w:rsidR="0045619C" w:rsidRDefault="0045619C" w:rsidP="0045619C">
            <w:pPr>
              <w:jc w:val="right"/>
            </w:pPr>
            <w:r>
              <w:t>-</w:t>
            </w:r>
          </w:p>
        </w:tc>
      </w:tr>
      <w:tr w:rsidR="0045619C" w:rsidTr="0045619C">
        <w:tc>
          <w:tcPr>
            <w:tcW w:w="743" w:type="dxa"/>
          </w:tcPr>
          <w:p w:rsidR="0045619C" w:rsidRDefault="0045619C" w:rsidP="0045619C">
            <w:pPr>
              <w:jc w:val="center"/>
            </w:pPr>
            <w:r>
              <w:t>8</w:t>
            </w:r>
          </w:p>
        </w:tc>
        <w:tc>
          <w:tcPr>
            <w:tcW w:w="2977" w:type="dxa"/>
          </w:tcPr>
          <w:p w:rsidR="0045619C" w:rsidRDefault="0045619C" w:rsidP="0045619C">
            <w:pPr>
              <w:jc w:val="left"/>
            </w:pPr>
            <w:r>
              <w:rPr>
                <w:rFonts w:hint="eastAsia"/>
              </w:rPr>
              <w:t>其他</w:t>
            </w:r>
          </w:p>
        </w:tc>
        <w:tc>
          <w:tcPr>
            <w:tcW w:w="4785" w:type="dxa"/>
          </w:tcPr>
          <w:p w:rsidR="0045619C" w:rsidRDefault="0045619C" w:rsidP="0045619C">
            <w:pPr>
              <w:jc w:val="right"/>
            </w:pPr>
            <w:r>
              <w:t>-</w:t>
            </w:r>
          </w:p>
        </w:tc>
      </w:tr>
      <w:tr w:rsidR="0045619C" w:rsidTr="0045619C">
        <w:tc>
          <w:tcPr>
            <w:tcW w:w="743" w:type="dxa"/>
          </w:tcPr>
          <w:p w:rsidR="0045619C" w:rsidRDefault="0045619C" w:rsidP="0045619C">
            <w:pPr>
              <w:jc w:val="center"/>
            </w:pPr>
            <w:r>
              <w:t>9</w:t>
            </w:r>
          </w:p>
        </w:tc>
        <w:tc>
          <w:tcPr>
            <w:tcW w:w="2977" w:type="dxa"/>
          </w:tcPr>
          <w:p w:rsidR="0045619C" w:rsidRDefault="0045619C" w:rsidP="0045619C">
            <w:pPr>
              <w:jc w:val="left"/>
            </w:pPr>
            <w:r>
              <w:rPr>
                <w:rFonts w:hint="eastAsia"/>
              </w:rPr>
              <w:t>合计</w:t>
            </w:r>
          </w:p>
        </w:tc>
        <w:tc>
          <w:tcPr>
            <w:tcW w:w="4785" w:type="dxa"/>
          </w:tcPr>
          <w:p w:rsidR="0045619C" w:rsidRDefault="0045619C" w:rsidP="0045619C">
            <w:pPr>
              <w:jc w:val="right"/>
            </w:pPr>
            <w:r>
              <w:t>1,350,986.86</w:t>
            </w:r>
          </w:p>
        </w:tc>
      </w:tr>
    </w:tbl>
    <w:p w:rsidR="0045619C" w:rsidRDefault="0045619C" w:rsidP="0045619C">
      <w:pPr>
        <w:pStyle w:val="-3"/>
        <w:spacing w:before="156" w:after="156"/>
      </w:pPr>
      <w:r>
        <w:rPr>
          <w:rFonts w:hint="eastAsia"/>
        </w:rPr>
        <w:t>报告期末持有的处于转股期的可转换债券明细</w:t>
      </w:r>
    </w:p>
    <w:p w:rsidR="0045619C" w:rsidRDefault="0045619C" w:rsidP="0045619C">
      <w:pPr>
        <w:pStyle w:val="-"/>
        <w:ind w:firstLine="420"/>
      </w:pPr>
      <w:r>
        <w:rPr>
          <w:rFonts w:hint="eastAsia"/>
        </w:rPr>
        <w:t>本基金本报告期末未持有处于转股期的可转换债券。</w:t>
      </w:r>
    </w:p>
    <w:p w:rsidR="0045619C" w:rsidRDefault="0045619C" w:rsidP="0045619C">
      <w:pPr>
        <w:pStyle w:val="-3"/>
        <w:spacing w:before="156" w:after="156"/>
      </w:pPr>
      <w:r>
        <w:rPr>
          <w:rFonts w:hint="eastAsia"/>
        </w:rPr>
        <w:t>报告期末前十名股票中存在流通受限情况的说明</w:t>
      </w:r>
    </w:p>
    <w:p w:rsidR="0045619C" w:rsidRDefault="0045619C" w:rsidP="0045619C">
      <w:pPr>
        <w:pStyle w:val="-"/>
        <w:ind w:firstLine="420"/>
      </w:pPr>
      <w:r>
        <w:rPr>
          <w:rFonts w:hint="eastAsia"/>
        </w:rPr>
        <w:t>无。</w:t>
      </w:r>
    </w:p>
    <w:p w:rsidR="0045619C" w:rsidRDefault="0045619C" w:rsidP="0045619C">
      <w:pPr>
        <w:pStyle w:val="-1"/>
        <w:ind w:left="281" w:hanging="281"/>
      </w:pPr>
      <w:r>
        <w:rPr>
          <w:rFonts w:hint="eastAsia"/>
        </w:rPr>
        <w:t>开放式基金份额变动</w:t>
      </w:r>
    </w:p>
    <w:p w:rsidR="0045619C" w:rsidRDefault="0045619C" w:rsidP="0045619C">
      <w:pPr>
        <w:jc w:val="right"/>
      </w:pPr>
      <w:r>
        <w:rPr>
          <w:rFonts w:hint="eastAsia"/>
        </w:rPr>
        <w:t>单位：份</w:t>
      </w:r>
    </w:p>
    <w:tbl>
      <w:tblPr>
        <w:tblStyle w:val="-0"/>
        <w:tblW w:w="0" w:type="auto"/>
        <w:tblLayout w:type="fixed"/>
        <w:tblLook w:val="04A0" w:firstRow="1" w:lastRow="0" w:firstColumn="1" w:lastColumn="0" w:noHBand="0" w:noVBand="1"/>
      </w:tblPr>
      <w:tblGrid>
        <w:gridCol w:w="2768"/>
        <w:gridCol w:w="2769"/>
        <w:gridCol w:w="2769"/>
      </w:tblGrid>
      <w:tr w:rsidR="0045619C" w:rsidTr="0045619C">
        <w:trPr>
          <w:cnfStyle w:val="100000000000" w:firstRow="1" w:lastRow="0" w:firstColumn="0" w:lastColumn="0" w:oddVBand="0" w:evenVBand="0" w:oddHBand="0" w:evenHBand="0" w:firstRowFirstColumn="0" w:firstRowLastColumn="0" w:lastRowFirstColumn="0" w:lastRowLastColumn="0"/>
        </w:trPr>
        <w:tc>
          <w:tcPr>
            <w:tcW w:w="2768" w:type="dxa"/>
          </w:tcPr>
          <w:p w:rsidR="0045619C" w:rsidRPr="0045619C" w:rsidRDefault="0045619C" w:rsidP="0045619C">
            <w:pPr>
              <w:jc w:val="center"/>
              <w:rPr>
                <w:b/>
              </w:rPr>
            </w:pPr>
            <w:r w:rsidRPr="0045619C">
              <w:rPr>
                <w:rFonts w:hint="eastAsia"/>
                <w:b/>
              </w:rPr>
              <w:t>项目</w:t>
            </w:r>
          </w:p>
        </w:tc>
        <w:tc>
          <w:tcPr>
            <w:tcW w:w="2769" w:type="dxa"/>
          </w:tcPr>
          <w:p w:rsidR="0045619C" w:rsidRPr="0045619C" w:rsidRDefault="0045619C" w:rsidP="0045619C">
            <w:pPr>
              <w:jc w:val="center"/>
              <w:rPr>
                <w:b/>
              </w:rPr>
            </w:pPr>
            <w:r w:rsidRPr="0045619C">
              <w:rPr>
                <w:rFonts w:hint="eastAsia"/>
                <w:b/>
              </w:rPr>
              <w:t>南方中证港股通</w:t>
            </w:r>
            <w:r w:rsidRPr="0045619C">
              <w:rPr>
                <w:rFonts w:hint="eastAsia"/>
                <w:b/>
              </w:rPr>
              <w:t>50ETF</w:t>
            </w:r>
            <w:r w:rsidRPr="0045619C">
              <w:rPr>
                <w:rFonts w:hint="eastAsia"/>
                <w:b/>
              </w:rPr>
              <w:t>联接</w:t>
            </w:r>
            <w:r w:rsidRPr="0045619C">
              <w:rPr>
                <w:rFonts w:hint="eastAsia"/>
                <w:b/>
              </w:rPr>
              <w:t>A</w:t>
            </w:r>
          </w:p>
        </w:tc>
        <w:tc>
          <w:tcPr>
            <w:tcW w:w="2769" w:type="dxa"/>
          </w:tcPr>
          <w:p w:rsidR="0045619C" w:rsidRPr="0045619C" w:rsidRDefault="0045619C" w:rsidP="0045619C">
            <w:pPr>
              <w:jc w:val="center"/>
              <w:rPr>
                <w:b/>
              </w:rPr>
            </w:pPr>
            <w:r w:rsidRPr="0045619C">
              <w:rPr>
                <w:rFonts w:hint="eastAsia"/>
                <w:b/>
              </w:rPr>
              <w:t>南方中证港股通</w:t>
            </w:r>
            <w:r w:rsidRPr="0045619C">
              <w:rPr>
                <w:rFonts w:hint="eastAsia"/>
                <w:b/>
              </w:rPr>
              <w:t>50ETF</w:t>
            </w:r>
            <w:r w:rsidRPr="0045619C">
              <w:rPr>
                <w:rFonts w:hint="eastAsia"/>
                <w:b/>
              </w:rPr>
              <w:t>联接</w:t>
            </w:r>
            <w:r w:rsidRPr="0045619C">
              <w:rPr>
                <w:rFonts w:hint="eastAsia"/>
                <w:b/>
              </w:rPr>
              <w:t>C</w:t>
            </w:r>
          </w:p>
        </w:tc>
      </w:tr>
      <w:tr w:rsidR="0045619C" w:rsidTr="0045619C">
        <w:tc>
          <w:tcPr>
            <w:tcW w:w="2768" w:type="dxa"/>
          </w:tcPr>
          <w:p w:rsidR="0045619C" w:rsidRDefault="0045619C" w:rsidP="0045619C">
            <w:pPr>
              <w:jc w:val="left"/>
            </w:pPr>
            <w:r>
              <w:rPr>
                <w:rFonts w:hint="eastAsia"/>
              </w:rPr>
              <w:t>报告期期初基金份额总额</w:t>
            </w:r>
          </w:p>
        </w:tc>
        <w:tc>
          <w:tcPr>
            <w:tcW w:w="2769" w:type="dxa"/>
          </w:tcPr>
          <w:p w:rsidR="0045619C" w:rsidRDefault="0045619C" w:rsidP="0045619C">
            <w:pPr>
              <w:jc w:val="right"/>
            </w:pPr>
            <w:r>
              <w:t>387,767,650.52</w:t>
            </w:r>
          </w:p>
        </w:tc>
        <w:tc>
          <w:tcPr>
            <w:tcW w:w="2769" w:type="dxa"/>
          </w:tcPr>
          <w:p w:rsidR="0045619C" w:rsidRDefault="0045619C" w:rsidP="0045619C">
            <w:pPr>
              <w:jc w:val="right"/>
            </w:pPr>
            <w:r>
              <w:t>6,446,011.50</w:t>
            </w:r>
          </w:p>
        </w:tc>
      </w:tr>
      <w:tr w:rsidR="0045619C" w:rsidTr="0045619C">
        <w:tc>
          <w:tcPr>
            <w:tcW w:w="2768" w:type="dxa"/>
          </w:tcPr>
          <w:p w:rsidR="0045619C" w:rsidRDefault="0045619C" w:rsidP="0045619C">
            <w:pPr>
              <w:jc w:val="left"/>
            </w:pPr>
            <w:r>
              <w:rPr>
                <w:rFonts w:hint="eastAsia"/>
              </w:rPr>
              <w:t>报告期期间基金总申购份额</w:t>
            </w:r>
          </w:p>
        </w:tc>
        <w:tc>
          <w:tcPr>
            <w:tcW w:w="2769" w:type="dxa"/>
          </w:tcPr>
          <w:p w:rsidR="0045619C" w:rsidRDefault="0045619C" w:rsidP="0045619C">
            <w:pPr>
              <w:jc w:val="right"/>
            </w:pPr>
            <w:r>
              <w:t>8,301,510.00</w:t>
            </w:r>
          </w:p>
        </w:tc>
        <w:tc>
          <w:tcPr>
            <w:tcW w:w="2769" w:type="dxa"/>
          </w:tcPr>
          <w:p w:rsidR="0045619C" w:rsidRDefault="0045619C" w:rsidP="0045619C">
            <w:pPr>
              <w:jc w:val="right"/>
            </w:pPr>
            <w:r>
              <w:t>4,073,179.87</w:t>
            </w:r>
          </w:p>
        </w:tc>
      </w:tr>
      <w:tr w:rsidR="0045619C" w:rsidTr="0045619C">
        <w:tc>
          <w:tcPr>
            <w:tcW w:w="2768" w:type="dxa"/>
          </w:tcPr>
          <w:p w:rsidR="0045619C" w:rsidRDefault="0045619C" w:rsidP="0045619C">
            <w:pPr>
              <w:jc w:val="left"/>
            </w:pPr>
            <w:r>
              <w:rPr>
                <w:rFonts w:hint="eastAsia"/>
              </w:rPr>
              <w:t>减：报告期期间基金总赎回份额</w:t>
            </w:r>
          </w:p>
        </w:tc>
        <w:tc>
          <w:tcPr>
            <w:tcW w:w="2769" w:type="dxa"/>
          </w:tcPr>
          <w:p w:rsidR="0045619C" w:rsidRDefault="0045619C" w:rsidP="0045619C">
            <w:pPr>
              <w:jc w:val="right"/>
            </w:pPr>
            <w:r>
              <w:t>232,345,652.82</w:t>
            </w:r>
          </w:p>
        </w:tc>
        <w:tc>
          <w:tcPr>
            <w:tcW w:w="2769" w:type="dxa"/>
          </w:tcPr>
          <w:p w:rsidR="0045619C" w:rsidRDefault="0045619C" w:rsidP="0045619C">
            <w:pPr>
              <w:jc w:val="right"/>
            </w:pPr>
            <w:r>
              <w:t>3,825,200.72</w:t>
            </w:r>
          </w:p>
        </w:tc>
      </w:tr>
      <w:tr w:rsidR="0045619C" w:rsidTr="0045619C">
        <w:tc>
          <w:tcPr>
            <w:tcW w:w="2768" w:type="dxa"/>
          </w:tcPr>
          <w:p w:rsidR="0045619C" w:rsidRDefault="0045619C" w:rsidP="0045619C">
            <w:pPr>
              <w:jc w:val="left"/>
            </w:pPr>
            <w:r>
              <w:rPr>
                <w:rFonts w:hint="eastAsia"/>
              </w:rPr>
              <w:t>报告期期间基金拆分变动份额（份额减少以</w:t>
            </w:r>
            <w:r>
              <w:rPr>
                <w:rFonts w:hint="eastAsia"/>
              </w:rPr>
              <w:t>"-"</w:t>
            </w:r>
            <w:r>
              <w:rPr>
                <w:rFonts w:hint="eastAsia"/>
              </w:rPr>
              <w:t>填列）</w:t>
            </w:r>
          </w:p>
        </w:tc>
        <w:tc>
          <w:tcPr>
            <w:tcW w:w="2769" w:type="dxa"/>
          </w:tcPr>
          <w:p w:rsidR="0045619C" w:rsidRDefault="0045619C" w:rsidP="0045619C">
            <w:pPr>
              <w:jc w:val="right"/>
            </w:pPr>
            <w:r>
              <w:t>-</w:t>
            </w:r>
          </w:p>
        </w:tc>
        <w:tc>
          <w:tcPr>
            <w:tcW w:w="2769" w:type="dxa"/>
          </w:tcPr>
          <w:p w:rsidR="0045619C" w:rsidRDefault="0045619C" w:rsidP="0045619C">
            <w:pPr>
              <w:jc w:val="right"/>
            </w:pPr>
            <w:r>
              <w:t>-</w:t>
            </w:r>
          </w:p>
        </w:tc>
      </w:tr>
      <w:tr w:rsidR="0045619C" w:rsidTr="0045619C">
        <w:tc>
          <w:tcPr>
            <w:tcW w:w="2768" w:type="dxa"/>
          </w:tcPr>
          <w:p w:rsidR="0045619C" w:rsidRDefault="0045619C" w:rsidP="0045619C">
            <w:pPr>
              <w:jc w:val="left"/>
            </w:pPr>
            <w:r>
              <w:rPr>
                <w:rFonts w:hint="eastAsia"/>
              </w:rPr>
              <w:t>报告期期末基金份额总额</w:t>
            </w:r>
          </w:p>
        </w:tc>
        <w:tc>
          <w:tcPr>
            <w:tcW w:w="2769" w:type="dxa"/>
          </w:tcPr>
          <w:p w:rsidR="0045619C" w:rsidRDefault="0045619C" w:rsidP="0045619C">
            <w:pPr>
              <w:jc w:val="right"/>
            </w:pPr>
            <w:r>
              <w:t>163,723,507.70</w:t>
            </w:r>
          </w:p>
        </w:tc>
        <w:tc>
          <w:tcPr>
            <w:tcW w:w="2769" w:type="dxa"/>
          </w:tcPr>
          <w:p w:rsidR="0045619C" w:rsidRDefault="0045619C" w:rsidP="0045619C">
            <w:pPr>
              <w:jc w:val="right"/>
            </w:pPr>
            <w:r>
              <w:t>6,693,990.65</w:t>
            </w:r>
          </w:p>
        </w:tc>
      </w:tr>
    </w:tbl>
    <w:p w:rsidR="0045619C" w:rsidRDefault="0045619C" w:rsidP="0045619C">
      <w:pPr>
        <w:pStyle w:val="-1"/>
        <w:ind w:left="281" w:hanging="281"/>
      </w:pPr>
      <w:r>
        <w:rPr>
          <w:rFonts w:hint="eastAsia"/>
        </w:rPr>
        <w:lastRenderedPageBreak/>
        <w:t>基金管理人运用固有资金投资本基金情况</w:t>
      </w:r>
    </w:p>
    <w:p w:rsidR="0045619C" w:rsidRDefault="0045619C" w:rsidP="0045619C">
      <w:pPr>
        <w:pStyle w:val="-2"/>
        <w:spacing w:before="312"/>
      </w:pPr>
      <w:r>
        <w:rPr>
          <w:rFonts w:hint="eastAsia"/>
        </w:rPr>
        <w:t>基金管理人持有本基金份额变动情况</w:t>
      </w:r>
    </w:p>
    <w:p w:rsidR="0045619C" w:rsidRDefault="0045619C" w:rsidP="0045619C">
      <w:pPr>
        <w:pStyle w:val="-"/>
        <w:ind w:firstLine="420"/>
      </w:pPr>
      <w:r>
        <w:rPr>
          <w:rFonts w:hint="eastAsia"/>
        </w:rPr>
        <w:t>本报告期末，基金管理人未持有本基金份额。</w:t>
      </w:r>
    </w:p>
    <w:p w:rsidR="0045619C" w:rsidRDefault="0045619C" w:rsidP="0045619C">
      <w:pPr>
        <w:pStyle w:val="-2"/>
        <w:spacing w:before="312"/>
      </w:pPr>
      <w:r>
        <w:rPr>
          <w:rFonts w:hint="eastAsia"/>
        </w:rPr>
        <w:t>基金管理人运用固有资金投资本基金交易明细</w:t>
      </w:r>
    </w:p>
    <w:p w:rsidR="0045619C" w:rsidRDefault="0045619C" w:rsidP="0045619C">
      <w:pPr>
        <w:pStyle w:val="-"/>
        <w:ind w:firstLine="420"/>
      </w:pPr>
      <w:r>
        <w:rPr>
          <w:rFonts w:hint="eastAsia"/>
        </w:rPr>
        <w:t>自合同生效日至本报告期末，基金管理人不存在申购、赎回或买卖本基金的情况。</w:t>
      </w:r>
    </w:p>
    <w:p w:rsidR="0045619C" w:rsidRDefault="0045619C" w:rsidP="0045619C">
      <w:pPr>
        <w:pStyle w:val="-1"/>
        <w:ind w:left="281" w:hanging="281"/>
      </w:pPr>
      <w:r>
        <w:rPr>
          <w:rFonts w:hint="eastAsia"/>
        </w:rPr>
        <w:t>影响投资者决策的其他重要信息</w:t>
      </w:r>
    </w:p>
    <w:p w:rsidR="0045619C" w:rsidRDefault="0045619C" w:rsidP="0045619C">
      <w:pPr>
        <w:pStyle w:val="-2"/>
        <w:spacing w:before="312"/>
      </w:pPr>
      <w:r>
        <w:rPr>
          <w:rFonts w:hint="eastAsia"/>
        </w:rPr>
        <w:t>报告期内单一投资者持有基金份额比例达到或超过20%的情况</w:t>
      </w:r>
    </w:p>
    <w:p w:rsidR="0045619C" w:rsidRDefault="0045619C" w:rsidP="0045619C">
      <w:pPr>
        <w:pStyle w:val="-"/>
        <w:ind w:firstLine="420"/>
      </w:pPr>
      <w:r>
        <w:rPr>
          <w:rFonts w:hint="eastAsia"/>
        </w:rPr>
        <w:t>报告期内单一投资者持有基金份额比例不存在达到或超过20%的情况。</w:t>
      </w:r>
    </w:p>
    <w:p w:rsidR="0045619C" w:rsidRDefault="0045619C" w:rsidP="0045619C">
      <w:pPr>
        <w:pStyle w:val="-2"/>
        <w:spacing w:before="312"/>
      </w:pPr>
      <w:r>
        <w:rPr>
          <w:rFonts w:hint="eastAsia"/>
        </w:rPr>
        <w:t>影响投资者决策的其他重要信息</w:t>
      </w:r>
    </w:p>
    <w:p w:rsidR="0045619C" w:rsidRDefault="0045619C" w:rsidP="0045619C">
      <w:pPr>
        <w:pStyle w:val="-"/>
        <w:ind w:firstLine="420"/>
      </w:pPr>
      <w:r>
        <w:rPr>
          <w:rFonts w:hint="eastAsia"/>
        </w:rPr>
        <w:t>无。</w:t>
      </w:r>
    </w:p>
    <w:p w:rsidR="0045619C" w:rsidRDefault="0045619C" w:rsidP="0045619C">
      <w:pPr>
        <w:pStyle w:val="-1"/>
        <w:ind w:left="281" w:hanging="281"/>
      </w:pPr>
      <w:r>
        <w:rPr>
          <w:rFonts w:hint="eastAsia"/>
        </w:rPr>
        <w:t>备查文件目录</w:t>
      </w:r>
    </w:p>
    <w:p w:rsidR="0045619C" w:rsidRDefault="0045619C" w:rsidP="0045619C">
      <w:pPr>
        <w:pStyle w:val="-2"/>
        <w:spacing w:before="312"/>
      </w:pPr>
      <w:r>
        <w:rPr>
          <w:rFonts w:hint="eastAsia"/>
        </w:rPr>
        <w:t>备查文件目录</w:t>
      </w:r>
    </w:p>
    <w:p w:rsidR="0045619C" w:rsidRDefault="0045619C" w:rsidP="0045619C">
      <w:pPr>
        <w:pStyle w:val="-"/>
        <w:ind w:firstLine="420"/>
      </w:pPr>
      <w:r>
        <w:rPr>
          <w:rFonts w:hint="eastAsia"/>
        </w:rPr>
        <w:t>1、《南方中证港股通50交易型开放式指数证券投资基金联接基金基金合同》；</w:t>
      </w:r>
    </w:p>
    <w:p w:rsidR="0045619C" w:rsidRDefault="0045619C" w:rsidP="0045619C">
      <w:pPr>
        <w:pStyle w:val="-"/>
        <w:ind w:firstLine="420"/>
      </w:pPr>
      <w:r>
        <w:rPr>
          <w:rFonts w:hint="eastAsia"/>
        </w:rPr>
        <w:t>2、《南方中证港股通50交易型开放式指数证券投资基金联接基金托管协议》；</w:t>
      </w:r>
    </w:p>
    <w:p w:rsidR="0045619C" w:rsidRDefault="0045619C" w:rsidP="0045619C">
      <w:pPr>
        <w:pStyle w:val="-"/>
        <w:ind w:firstLine="420"/>
      </w:pPr>
      <w:r>
        <w:rPr>
          <w:rFonts w:hint="eastAsia"/>
        </w:rPr>
        <w:t>3、南方中证港股通50交易型开放式指数证券投资基金联接基金2026年2季度报告原文。</w:t>
      </w:r>
    </w:p>
    <w:p w:rsidR="0045619C" w:rsidRDefault="0045619C" w:rsidP="0045619C">
      <w:pPr>
        <w:pStyle w:val="-2"/>
        <w:spacing w:before="312"/>
      </w:pPr>
      <w:r>
        <w:rPr>
          <w:rFonts w:hint="eastAsia"/>
        </w:rPr>
        <w:t>存放地点</w:t>
      </w:r>
    </w:p>
    <w:p w:rsidR="0045619C" w:rsidRDefault="0045619C" w:rsidP="0045619C">
      <w:pPr>
        <w:pStyle w:val="-"/>
        <w:ind w:firstLine="420"/>
      </w:pPr>
      <w:r>
        <w:rPr>
          <w:rFonts w:hint="eastAsia"/>
        </w:rPr>
        <w:t>深圳市福田区莲花街道益田路5999号基金大厦32-42楼。</w:t>
      </w:r>
    </w:p>
    <w:p w:rsidR="0045619C" w:rsidRDefault="0045619C" w:rsidP="0045619C">
      <w:pPr>
        <w:pStyle w:val="-2"/>
        <w:spacing w:before="312"/>
      </w:pPr>
      <w:r>
        <w:rPr>
          <w:rFonts w:hint="eastAsia"/>
        </w:rPr>
        <w:t>查阅方式</w:t>
      </w:r>
    </w:p>
    <w:p w:rsidR="0045619C" w:rsidRDefault="0045619C" w:rsidP="0045619C">
      <w:pPr>
        <w:pStyle w:val="-"/>
        <w:ind w:firstLine="420"/>
      </w:pPr>
      <w:r>
        <w:rPr>
          <w:rFonts w:hint="eastAsia"/>
        </w:rPr>
        <w:t>网站：http://www.nffund.com</w:t>
      </w:r>
    </w:p>
    <w:p w:rsidR="003C7DC3" w:rsidRDefault="0045619C" w:rsidP="0045619C">
      <w:r>
        <w:t xml:space="preserve"> </w:t>
      </w:r>
    </w:p>
    <w:sectPr w:rsidR="003C7DC3" w:rsidSect="00225D75">
      <w:headerReference w:type="default" r:id="rId10"/>
      <w:footerReference w:type="default" r:id="rId11"/>
      <w:headerReference w:type="first" r:id="rId12"/>
      <w:pgSz w:w="11906" w:h="16838"/>
      <w:pgMar w:top="1440" w:right="1800" w:bottom="1440" w:left="1800" w:header="851" w:footer="992" w:gutter="0"/>
      <w:pgNumType w:start="0"/>
      <w:cols w:space="425"/>
      <w:titlePg/>
      <w:docGrid w:type="lines" w:linePitch="312"/>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5619C" w:rsidRDefault="0045619C" w:rsidP="00D17C56">
      <w:r>
        <w:separator/>
      </w:r>
    </w:p>
  </w:endnote>
  <w:endnote w:type="continuationSeparator" w:id="0">
    <w:p w:rsidR="0045619C" w:rsidRDefault="0045619C" w:rsidP="00D17C5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Light">
    <w:panose1 w:val="020F0302020204030204"/>
    <w:charset w:val="00"/>
    <w:family w:val="swiss"/>
    <w:pitch w:val="variable"/>
    <w:sig w:usb0="A00002EF" w:usb1="4000207B" w:usb2="00000000" w:usb3="00000000" w:csb0="000001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B0F0F" w:rsidRPr="00C8294A" w:rsidRDefault="00AE3F5B" w:rsidP="00C8294A">
    <w:pPr>
      <w:pStyle w:val="a9"/>
      <w:jc w:val="center"/>
      <w:rPr>
        <w:rFonts w:ascii="宋体" w:hAnsi="宋体"/>
      </w:rPr>
    </w:pPr>
    <w:r w:rsidRPr="00C8294A">
      <w:rPr>
        <w:rFonts w:ascii="宋体" w:hAnsi="宋体" w:hint="eastAsia"/>
        <w:bCs/>
      </w:rPr>
      <w:t>第</w:t>
    </w:r>
    <w:r w:rsidRPr="00C8294A">
      <w:rPr>
        <w:rFonts w:ascii="宋体" w:hAnsi="宋体"/>
        <w:bCs/>
      </w:rPr>
      <w:t xml:space="preserve"> </w:t>
    </w:r>
    <w:r w:rsidR="00C8294A" w:rsidRPr="00C8294A">
      <w:rPr>
        <w:rFonts w:ascii="宋体" w:hAnsi="宋体"/>
        <w:bCs/>
      </w:rPr>
      <w:fldChar w:fldCharType="begin"/>
    </w:r>
    <w:r w:rsidR="00C8294A" w:rsidRPr="00C8294A">
      <w:rPr>
        <w:rFonts w:ascii="宋体" w:hAnsi="宋体"/>
        <w:bCs/>
      </w:rPr>
      <w:instrText>PAGE  \* Arabic  \* MERGEFORMAT</w:instrText>
    </w:r>
    <w:r w:rsidR="00C8294A" w:rsidRPr="00C8294A">
      <w:rPr>
        <w:rFonts w:ascii="宋体" w:hAnsi="宋体"/>
        <w:bCs/>
      </w:rPr>
      <w:fldChar w:fldCharType="separate"/>
    </w:r>
    <w:r w:rsidR="00FD4D22" w:rsidRPr="00FD4D22">
      <w:rPr>
        <w:rFonts w:ascii="宋体" w:hAnsi="宋体"/>
        <w:bCs/>
        <w:noProof/>
        <w:lang w:val="zh-CN"/>
      </w:rPr>
      <w:t>11</w:t>
    </w:r>
    <w:r w:rsidR="00C8294A" w:rsidRPr="00C8294A">
      <w:rPr>
        <w:rFonts w:ascii="宋体" w:hAnsi="宋体"/>
        <w:bCs/>
      </w:rPr>
      <w:fldChar w:fldCharType="end"/>
    </w:r>
    <w:r w:rsidRPr="00C8294A">
      <w:rPr>
        <w:rFonts w:ascii="宋体" w:hAnsi="宋体"/>
        <w:bCs/>
      </w:rPr>
      <w:t xml:space="preserve"> </w:t>
    </w:r>
    <w:r w:rsidRPr="00C8294A">
      <w:rPr>
        <w:rFonts w:ascii="宋体" w:hAnsi="宋体" w:hint="eastAsia"/>
        <w:bCs/>
      </w:rPr>
      <w:t>页</w:t>
    </w:r>
    <w:r w:rsidRPr="00C8294A">
      <w:rPr>
        <w:rFonts w:ascii="宋体" w:hAnsi="宋体"/>
        <w:lang w:val="zh-CN"/>
      </w:rPr>
      <w:t xml:space="preserve"> </w:t>
    </w:r>
    <w:r w:rsidRPr="00C8294A">
      <w:rPr>
        <w:rFonts w:ascii="宋体" w:hAnsi="宋体" w:hint="eastAsia"/>
        <w:lang w:val="zh-CN"/>
      </w:rPr>
      <w:t>共</w:t>
    </w:r>
    <w:r w:rsidR="003959FD">
      <w:rPr>
        <w:rFonts w:ascii="宋体" w:hAnsi="宋体" w:hint="eastAsia"/>
        <w:lang w:val="zh-CN"/>
      </w:rPr>
      <w:t xml:space="preserve"> </w:t>
    </w:r>
    <w:r w:rsidR="00C8294A" w:rsidRPr="00FB6D5E">
      <w:rPr>
        <w:rFonts w:ascii="宋体" w:hAnsi="宋体"/>
        <w:bCs/>
      </w:rPr>
      <w:fldChar w:fldCharType="begin"/>
    </w:r>
    <w:r w:rsidR="00FB6D5E" w:rsidRPr="00FB6D5E">
      <w:rPr>
        <w:rFonts w:ascii="宋体" w:hAnsi="宋体" w:hint="eastAsia"/>
        <w:bCs/>
      </w:rPr>
      <w:instrText>=</w:instrText>
    </w:r>
    <w:r w:rsidR="00FB6D5E" w:rsidRPr="00FB6D5E">
      <w:rPr>
        <w:rFonts w:ascii="宋体" w:hAnsi="宋体"/>
        <w:bCs/>
      </w:rPr>
      <w:fldChar w:fldCharType="begin"/>
    </w:r>
    <w:r w:rsidR="00FB6D5E" w:rsidRPr="00FB6D5E">
      <w:rPr>
        <w:rFonts w:ascii="宋体" w:hAnsi="宋体"/>
        <w:bCs/>
      </w:rPr>
      <w:instrText xml:space="preserve"> NUMPAGES </w:instrText>
    </w:r>
    <w:r w:rsidR="00FB6D5E" w:rsidRPr="00FB6D5E">
      <w:rPr>
        <w:rFonts w:ascii="宋体" w:hAnsi="宋体"/>
        <w:bCs/>
      </w:rPr>
      <w:fldChar w:fldCharType="separate"/>
    </w:r>
    <w:r w:rsidR="00FD4D22">
      <w:rPr>
        <w:rFonts w:ascii="宋体" w:hAnsi="宋体"/>
        <w:bCs/>
        <w:noProof/>
      </w:rPr>
      <w:instrText>12</w:instrText>
    </w:r>
    <w:r w:rsidR="00FB6D5E" w:rsidRPr="00FB6D5E">
      <w:rPr>
        <w:rFonts w:ascii="宋体" w:hAnsi="宋体"/>
        <w:bCs/>
      </w:rPr>
      <w:fldChar w:fldCharType="end"/>
    </w:r>
    <w:r w:rsidR="00FB6D5E" w:rsidRPr="00FB6D5E">
      <w:rPr>
        <w:rFonts w:ascii="宋体" w:hAnsi="宋体" w:hint="eastAsia"/>
        <w:bCs/>
      </w:rPr>
      <w:instrText>-1</w:instrText>
    </w:r>
    <w:r w:rsidR="00C8294A" w:rsidRPr="00FB6D5E">
      <w:rPr>
        <w:rFonts w:ascii="宋体" w:hAnsi="宋体"/>
        <w:bCs/>
      </w:rPr>
      <w:instrText xml:space="preserve">  \* Arabic  \* MERGEFORMAT</w:instrText>
    </w:r>
    <w:r w:rsidR="00C8294A" w:rsidRPr="00FB6D5E">
      <w:rPr>
        <w:rFonts w:ascii="宋体" w:hAnsi="宋体"/>
        <w:bCs/>
      </w:rPr>
      <w:fldChar w:fldCharType="separate"/>
    </w:r>
    <w:r w:rsidR="00FD4D22">
      <w:rPr>
        <w:rFonts w:ascii="宋体" w:hAnsi="宋体"/>
        <w:bCs/>
        <w:noProof/>
      </w:rPr>
      <w:t>11</w:t>
    </w:r>
    <w:r w:rsidR="00C8294A" w:rsidRPr="00FB6D5E">
      <w:rPr>
        <w:rFonts w:ascii="宋体" w:hAnsi="宋体"/>
        <w:bCs/>
      </w:rPr>
      <w:fldChar w:fldCharType="end"/>
    </w:r>
    <w:r w:rsidR="003959FD">
      <w:rPr>
        <w:rFonts w:ascii="宋体" w:hAnsi="宋体"/>
        <w:bCs/>
      </w:rPr>
      <w:t xml:space="preserve"> </w:t>
    </w:r>
    <w:r w:rsidRPr="00C8294A">
      <w:rPr>
        <w:rFonts w:ascii="宋体" w:hAnsi="宋体" w:hint="eastAsia"/>
        <w:bCs/>
      </w:rPr>
      <w:t>页</w: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5619C" w:rsidRDefault="0045619C" w:rsidP="00D17C56">
      <w:r>
        <w:separator/>
      </w:r>
    </w:p>
  </w:footnote>
  <w:footnote w:type="continuationSeparator" w:id="0">
    <w:p w:rsidR="0045619C" w:rsidRDefault="0045619C" w:rsidP="00D17C56">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50C9A" w:rsidRDefault="0045619C" w:rsidP="00AE3F5B">
    <w:pPr>
      <w:pStyle w:val="a7"/>
      <w:pBdr>
        <w:bottom w:val="single" w:sz="4" w:space="1" w:color="auto"/>
      </w:pBdr>
      <w:jc w:val="right"/>
    </w:pPr>
    <w:r>
      <w:rPr>
        <w:rFonts w:hint="eastAsia"/>
      </w:rPr>
      <w:t>南方中证港股通</w:t>
    </w:r>
    <w:r>
      <w:rPr>
        <w:rFonts w:hint="eastAsia"/>
      </w:rPr>
      <w:t>50</w:t>
    </w:r>
    <w:r>
      <w:rPr>
        <w:rFonts w:hint="eastAsia"/>
      </w:rPr>
      <w:t>交易型开放式指数证券投资基金联接基金</w:t>
    </w:r>
    <w:r>
      <w:rPr>
        <w:rFonts w:hint="eastAsia"/>
      </w:rPr>
      <w:t>2026</w:t>
    </w:r>
    <w:r>
      <w:rPr>
        <w:rFonts w:hint="eastAsia"/>
      </w:rPr>
      <w:t>年第</w:t>
    </w:r>
    <w:r>
      <w:rPr>
        <w:rFonts w:hint="eastAsia"/>
      </w:rPr>
      <w:t>2</w:t>
    </w:r>
    <w:r>
      <w:rPr>
        <w:rFonts w:hint="eastAsia"/>
      </w:rPr>
      <w:t>季度报告</w:t>
    </w: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86A5F" w:rsidRDefault="00986A5F" w:rsidP="00986A5F">
    <w:pPr>
      <w:pStyle w:val="a7"/>
      <w:pBdr>
        <w:bottom w:val="none" w:sz="0" w:space="0" w:color="auto"/>
      </w:pBd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3E9778E"/>
    <w:multiLevelType w:val="multilevel"/>
    <w:tmpl w:val="81260924"/>
    <w:lvl w:ilvl="0">
      <w:start w:val="1"/>
      <w:numFmt w:val="decimal"/>
      <w:pStyle w:val="-1"/>
      <w:suff w:val="space"/>
      <w:lvlText w:val="§%1"/>
      <w:lvlJc w:val="center"/>
      <w:pPr>
        <w:ind w:left="425" w:hanging="425"/>
      </w:pPr>
      <w:rPr>
        <w:rFonts w:hint="eastAsia"/>
      </w:rPr>
    </w:lvl>
    <w:lvl w:ilvl="1">
      <w:start w:val="1"/>
      <w:numFmt w:val="decimal"/>
      <w:pStyle w:val="-2"/>
      <w:suff w:val="space"/>
      <w:lvlText w:val="%1.%2"/>
      <w:lvlJc w:val="left"/>
      <w:pPr>
        <w:ind w:left="992" w:hanging="992"/>
      </w:pPr>
      <w:rPr>
        <w:rFonts w:hint="eastAsia"/>
      </w:rPr>
    </w:lvl>
    <w:lvl w:ilvl="2">
      <w:start w:val="1"/>
      <w:numFmt w:val="decimal"/>
      <w:pStyle w:val="-3"/>
      <w:suff w:val="space"/>
      <w:lvlText w:val="%1.%2.%3"/>
      <w:lvlJc w:val="left"/>
      <w:pPr>
        <w:ind w:left="1418" w:hanging="1418"/>
      </w:pPr>
      <w:rPr>
        <w:rFonts w:hint="eastAsia"/>
      </w:rPr>
    </w:lvl>
    <w:lvl w:ilvl="3">
      <w:start w:val="1"/>
      <w:numFmt w:val="decimal"/>
      <w:pStyle w:val="-4"/>
      <w:suff w:val="space"/>
      <w:lvlText w:val="%1.%2.%3.%4"/>
      <w:lvlJc w:val="left"/>
      <w:pPr>
        <w:ind w:left="1984" w:hanging="1984"/>
      </w:pPr>
      <w:rPr>
        <w:rFonts w:hint="eastAsia"/>
      </w:rPr>
    </w:lvl>
    <w:lvl w:ilvl="4">
      <w:start w:val="1"/>
      <w:numFmt w:val="decimal"/>
      <w:pStyle w:val="-5"/>
      <w:suff w:val="space"/>
      <w:lvlText w:val="%1.%2.%3.%4.%5"/>
      <w:lvlJc w:val="left"/>
      <w:pPr>
        <w:ind w:left="2551" w:hanging="2551"/>
      </w:pPr>
      <w:rPr>
        <w:rFonts w:hint="eastAsia"/>
      </w:rPr>
    </w:lvl>
    <w:lvl w:ilvl="5">
      <w:start w:val="1"/>
      <w:numFmt w:val="decimal"/>
      <w:pStyle w:val="-6"/>
      <w:suff w:val="space"/>
      <w:lvlText w:val="%1.%2.%3.%4.%5.%6"/>
      <w:lvlJc w:val="left"/>
      <w:pPr>
        <w:ind w:left="3260" w:hanging="3260"/>
      </w:pPr>
      <w:rPr>
        <w:rFonts w:hint="eastAsia"/>
      </w:rPr>
    </w:lvl>
    <w:lvl w:ilvl="6">
      <w:start w:val="1"/>
      <w:numFmt w:val="decimal"/>
      <w:suff w:val="space"/>
      <w:lvlText w:val="%1.%2.%3.%4.%5.%6.%7"/>
      <w:lvlJc w:val="left"/>
      <w:pPr>
        <w:ind w:left="3827" w:hanging="3827"/>
      </w:pPr>
      <w:rPr>
        <w:rFonts w:hint="eastAsia"/>
      </w:rPr>
    </w:lvl>
    <w:lvl w:ilvl="7">
      <w:start w:val="1"/>
      <w:numFmt w:val="decimal"/>
      <w:suff w:val="space"/>
      <w:lvlText w:val="%1.%2.%3.%4.%5.%6.%7.%8"/>
      <w:lvlJc w:val="left"/>
      <w:pPr>
        <w:ind w:left="4394" w:hanging="4394"/>
      </w:pPr>
      <w:rPr>
        <w:rFonts w:hint="eastAsia"/>
      </w:rPr>
    </w:lvl>
    <w:lvl w:ilvl="8">
      <w:start w:val="1"/>
      <w:numFmt w:val="decimal"/>
      <w:suff w:val="space"/>
      <w:lvlText w:val="%1.%2.%3.%4.%5.%6.%7.%8.%9"/>
      <w:lvlJc w:val="left"/>
      <w:pPr>
        <w:ind w:left="5102" w:hanging="5102"/>
      </w:pPr>
      <w:rPr>
        <w:rFonts w:hint="eastAsia"/>
      </w:rPr>
    </w:lvl>
  </w:abstractNum>
  <w:abstractNum w:abstractNumId="1" w15:restartNumberingAfterBreak="0">
    <w:nsid w:val="7B7A4927"/>
    <w:multiLevelType w:val="hybridMultilevel"/>
    <w:tmpl w:val="60CAB9A4"/>
    <w:lvl w:ilvl="0" w:tplc="3B8861CA">
      <w:start w:val="1"/>
      <w:numFmt w:val="decimal"/>
      <w:lvlText w:val="%1、"/>
      <w:lvlJc w:val="left"/>
      <w:pPr>
        <w:ind w:left="870" w:hanging="420"/>
      </w:pPr>
      <w:rPr>
        <w:rFonts w:hint="eastAsia"/>
      </w:rPr>
    </w:lvl>
    <w:lvl w:ilvl="1" w:tplc="04090019" w:tentative="1">
      <w:start w:val="1"/>
      <w:numFmt w:val="lowerLetter"/>
      <w:lvlText w:val="%2)"/>
      <w:lvlJc w:val="left"/>
      <w:pPr>
        <w:ind w:left="1290" w:hanging="420"/>
      </w:pPr>
    </w:lvl>
    <w:lvl w:ilvl="2" w:tplc="0409001B" w:tentative="1">
      <w:start w:val="1"/>
      <w:numFmt w:val="lowerRoman"/>
      <w:lvlText w:val="%3."/>
      <w:lvlJc w:val="right"/>
      <w:pPr>
        <w:ind w:left="1710" w:hanging="420"/>
      </w:pPr>
    </w:lvl>
    <w:lvl w:ilvl="3" w:tplc="0409000F" w:tentative="1">
      <w:start w:val="1"/>
      <w:numFmt w:val="decimal"/>
      <w:lvlText w:val="%4."/>
      <w:lvlJc w:val="left"/>
      <w:pPr>
        <w:ind w:left="2130" w:hanging="420"/>
      </w:pPr>
    </w:lvl>
    <w:lvl w:ilvl="4" w:tplc="04090019" w:tentative="1">
      <w:start w:val="1"/>
      <w:numFmt w:val="lowerLetter"/>
      <w:lvlText w:val="%5)"/>
      <w:lvlJc w:val="left"/>
      <w:pPr>
        <w:ind w:left="2550" w:hanging="420"/>
      </w:pPr>
    </w:lvl>
    <w:lvl w:ilvl="5" w:tplc="0409001B" w:tentative="1">
      <w:start w:val="1"/>
      <w:numFmt w:val="lowerRoman"/>
      <w:lvlText w:val="%6."/>
      <w:lvlJc w:val="right"/>
      <w:pPr>
        <w:ind w:left="2970" w:hanging="420"/>
      </w:pPr>
    </w:lvl>
    <w:lvl w:ilvl="6" w:tplc="0409000F" w:tentative="1">
      <w:start w:val="1"/>
      <w:numFmt w:val="decimal"/>
      <w:lvlText w:val="%7."/>
      <w:lvlJc w:val="left"/>
      <w:pPr>
        <w:ind w:left="3390" w:hanging="420"/>
      </w:pPr>
    </w:lvl>
    <w:lvl w:ilvl="7" w:tplc="04090019" w:tentative="1">
      <w:start w:val="1"/>
      <w:numFmt w:val="lowerLetter"/>
      <w:lvlText w:val="%8)"/>
      <w:lvlJc w:val="left"/>
      <w:pPr>
        <w:ind w:left="3810" w:hanging="420"/>
      </w:pPr>
    </w:lvl>
    <w:lvl w:ilvl="8" w:tplc="0409001B" w:tentative="1">
      <w:start w:val="1"/>
      <w:numFmt w:val="lowerRoman"/>
      <w:lvlText w:val="%9."/>
      <w:lvlJc w:val="right"/>
      <w:pPr>
        <w:ind w:left="4230" w:hanging="42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20"/>
  <w:drawingGridHorizontalSpacing w:val="105"/>
  <w:drawingGridVerticalSpacing w:val="156"/>
  <w:displayHorizontalDrawingGridEvery w:val="0"/>
  <w:displayVerticalDrawingGridEvery w:val="2"/>
  <w:characterSpacingControl w:val="compressPunctuation"/>
  <w:hdrShapeDefaults>
    <o:shapedefaults v:ext="edit" spidmax="4097"/>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46AD4"/>
    <w:rsid w:val="00003EE6"/>
    <w:rsid w:val="000275E7"/>
    <w:rsid w:val="00031120"/>
    <w:rsid w:val="0004021A"/>
    <w:rsid w:val="00076D02"/>
    <w:rsid w:val="0008658E"/>
    <w:rsid w:val="000911A2"/>
    <w:rsid w:val="000956A4"/>
    <w:rsid w:val="000A6534"/>
    <w:rsid w:val="000C44B2"/>
    <w:rsid w:val="000D7A58"/>
    <w:rsid w:val="000E2872"/>
    <w:rsid w:val="000E7952"/>
    <w:rsid w:val="000E795D"/>
    <w:rsid w:val="00101D33"/>
    <w:rsid w:val="001201F8"/>
    <w:rsid w:val="00125BAB"/>
    <w:rsid w:val="001426F0"/>
    <w:rsid w:val="0017625F"/>
    <w:rsid w:val="00187B2C"/>
    <w:rsid w:val="001A65EF"/>
    <w:rsid w:val="001B0F0F"/>
    <w:rsid w:val="001B6F12"/>
    <w:rsid w:val="001E2FCE"/>
    <w:rsid w:val="001E67D0"/>
    <w:rsid w:val="00224F3E"/>
    <w:rsid w:val="00225D75"/>
    <w:rsid w:val="00241CEB"/>
    <w:rsid w:val="00265D8F"/>
    <w:rsid w:val="002905F2"/>
    <w:rsid w:val="00292F1C"/>
    <w:rsid w:val="002930DE"/>
    <w:rsid w:val="002972F4"/>
    <w:rsid w:val="002B191A"/>
    <w:rsid w:val="002C0575"/>
    <w:rsid w:val="00300A78"/>
    <w:rsid w:val="00321580"/>
    <w:rsid w:val="003433CF"/>
    <w:rsid w:val="00347B5C"/>
    <w:rsid w:val="00377AC4"/>
    <w:rsid w:val="003959FD"/>
    <w:rsid w:val="003B2C62"/>
    <w:rsid w:val="003C0F9E"/>
    <w:rsid w:val="003C7DC3"/>
    <w:rsid w:val="00425AEE"/>
    <w:rsid w:val="00434355"/>
    <w:rsid w:val="0044118E"/>
    <w:rsid w:val="0044723E"/>
    <w:rsid w:val="0045619C"/>
    <w:rsid w:val="00480238"/>
    <w:rsid w:val="00491C2B"/>
    <w:rsid w:val="004A3B54"/>
    <w:rsid w:val="004A57DB"/>
    <w:rsid w:val="004B29EB"/>
    <w:rsid w:val="004B41FD"/>
    <w:rsid w:val="004B6CA1"/>
    <w:rsid w:val="004B6DE6"/>
    <w:rsid w:val="004B7673"/>
    <w:rsid w:val="004E571F"/>
    <w:rsid w:val="004E6689"/>
    <w:rsid w:val="00532A63"/>
    <w:rsid w:val="00544CE0"/>
    <w:rsid w:val="005805A4"/>
    <w:rsid w:val="005A028D"/>
    <w:rsid w:val="005B22CA"/>
    <w:rsid w:val="005C29BB"/>
    <w:rsid w:val="005C314A"/>
    <w:rsid w:val="005C6D52"/>
    <w:rsid w:val="006132B7"/>
    <w:rsid w:val="0061364E"/>
    <w:rsid w:val="00622588"/>
    <w:rsid w:val="0063383B"/>
    <w:rsid w:val="00650113"/>
    <w:rsid w:val="0066091F"/>
    <w:rsid w:val="00666AF5"/>
    <w:rsid w:val="006760FB"/>
    <w:rsid w:val="00685A42"/>
    <w:rsid w:val="006A2E19"/>
    <w:rsid w:val="006C1E63"/>
    <w:rsid w:val="006E1115"/>
    <w:rsid w:val="007108F0"/>
    <w:rsid w:val="00747FAD"/>
    <w:rsid w:val="00750C9A"/>
    <w:rsid w:val="0078485C"/>
    <w:rsid w:val="00791182"/>
    <w:rsid w:val="00797EC6"/>
    <w:rsid w:val="007C0BF3"/>
    <w:rsid w:val="007D4AC7"/>
    <w:rsid w:val="007F6905"/>
    <w:rsid w:val="00800FA0"/>
    <w:rsid w:val="00815329"/>
    <w:rsid w:val="00823E12"/>
    <w:rsid w:val="00887CEB"/>
    <w:rsid w:val="008A77BC"/>
    <w:rsid w:val="008B3EBC"/>
    <w:rsid w:val="008C2BFC"/>
    <w:rsid w:val="00904545"/>
    <w:rsid w:val="009112E0"/>
    <w:rsid w:val="009161C4"/>
    <w:rsid w:val="00922090"/>
    <w:rsid w:val="00967A2F"/>
    <w:rsid w:val="00981362"/>
    <w:rsid w:val="00986A5F"/>
    <w:rsid w:val="009A0DF7"/>
    <w:rsid w:val="009A4AD8"/>
    <w:rsid w:val="009C6592"/>
    <w:rsid w:val="009D02C8"/>
    <w:rsid w:val="009D4E13"/>
    <w:rsid w:val="009E27F7"/>
    <w:rsid w:val="009F16FC"/>
    <w:rsid w:val="00A11620"/>
    <w:rsid w:val="00A13A20"/>
    <w:rsid w:val="00A2003F"/>
    <w:rsid w:val="00A51EC3"/>
    <w:rsid w:val="00A5309E"/>
    <w:rsid w:val="00A623D2"/>
    <w:rsid w:val="00A94D0E"/>
    <w:rsid w:val="00AC2797"/>
    <w:rsid w:val="00AC3470"/>
    <w:rsid w:val="00AE1D3F"/>
    <w:rsid w:val="00AE3F5B"/>
    <w:rsid w:val="00AF399D"/>
    <w:rsid w:val="00AF3CA2"/>
    <w:rsid w:val="00AF6ABA"/>
    <w:rsid w:val="00B073CA"/>
    <w:rsid w:val="00B2044A"/>
    <w:rsid w:val="00B25090"/>
    <w:rsid w:val="00B2731A"/>
    <w:rsid w:val="00B41CCE"/>
    <w:rsid w:val="00B47C1C"/>
    <w:rsid w:val="00B54672"/>
    <w:rsid w:val="00B85D10"/>
    <w:rsid w:val="00B9302D"/>
    <w:rsid w:val="00B9582B"/>
    <w:rsid w:val="00BA48F2"/>
    <w:rsid w:val="00BB3B3B"/>
    <w:rsid w:val="00BD3DD3"/>
    <w:rsid w:val="00BE1439"/>
    <w:rsid w:val="00BF0086"/>
    <w:rsid w:val="00BF31E2"/>
    <w:rsid w:val="00BF49EB"/>
    <w:rsid w:val="00C23B75"/>
    <w:rsid w:val="00C24CE9"/>
    <w:rsid w:val="00C27E02"/>
    <w:rsid w:val="00C30704"/>
    <w:rsid w:val="00C40EF3"/>
    <w:rsid w:val="00C54775"/>
    <w:rsid w:val="00C663DE"/>
    <w:rsid w:val="00C7329B"/>
    <w:rsid w:val="00C80C8D"/>
    <w:rsid w:val="00C8294A"/>
    <w:rsid w:val="00C975C3"/>
    <w:rsid w:val="00CA298C"/>
    <w:rsid w:val="00CA7768"/>
    <w:rsid w:val="00CA79F6"/>
    <w:rsid w:val="00CC0885"/>
    <w:rsid w:val="00CE4460"/>
    <w:rsid w:val="00CF004A"/>
    <w:rsid w:val="00CF294B"/>
    <w:rsid w:val="00CF3E7D"/>
    <w:rsid w:val="00D01AC0"/>
    <w:rsid w:val="00D04BB4"/>
    <w:rsid w:val="00D07422"/>
    <w:rsid w:val="00D12FF6"/>
    <w:rsid w:val="00D17C56"/>
    <w:rsid w:val="00D30948"/>
    <w:rsid w:val="00D45147"/>
    <w:rsid w:val="00D67E6D"/>
    <w:rsid w:val="00D86D2A"/>
    <w:rsid w:val="00D91699"/>
    <w:rsid w:val="00DB379D"/>
    <w:rsid w:val="00DD5CC6"/>
    <w:rsid w:val="00DE3895"/>
    <w:rsid w:val="00E063EF"/>
    <w:rsid w:val="00E10FA2"/>
    <w:rsid w:val="00E15633"/>
    <w:rsid w:val="00E46AD4"/>
    <w:rsid w:val="00E65F29"/>
    <w:rsid w:val="00E90D4A"/>
    <w:rsid w:val="00EA328F"/>
    <w:rsid w:val="00EC6F86"/>
    <w:rsid w:val="00EE12CF"/>
    <w:rsid w:val="00EF763C"/>
    <w:rsid w:val="00F00FCB"/>
    <w:rsid w:val="00F03A80"/>
    <w:rsid w:val="00F27CBE"/>
    <w:rsid w:val="00F448CB"/>
    <w:rsid w:val="00F45ADF"/>
    <w:rsid w:val="00F47050"/>
    <w:rsid w:val="00F513F8"/>
    <w:rsid w:val="00F74FE9"/>
    <w:rsid w:val="00F8552E"/>
    <w:rsid w:val="00FB358D"/>
    <w:rsid w:val="00FB6D5E"/>
    <w:rsid w:val="00FD4D2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CAD64473-19F0-4FA3-B9CE-848FD5B5D6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1">
    <w:lsdException w:name="Normal" w:qFormat="1"/>
    <w:lsdException w:name="heading 1" w:uiPriority="9" w:qFormat="1"/>
    <w:lsdException w:name="heading 2" w:semiHidden="1" w:uiPriority="9"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61364E"/>
    <w:pPr>
      <w:widowControl w:val="0"/>
      <w:jc w:val="both"/>
    </w:pPr>
    <w:rPr>
      <w:kern w:val="2"/>
      <w:sz w:val="21"/>
      <w:szCs w:val="24"/>
    </w:rPr>
  </w:style>
  <w:style w:type="paragraph" w:styleId="1">
    <w:name w:val="heading 1"/>
    <w:basedOn w:val="a"/>
    <w:next w:val="a"/>
    <w:link w:val="10"/>
    <w:uiPriority w:val="9"/>
    <w:qFormat/>
    <w:rsid w:val="00E063EF"/>
    <w:pPr>
      <w:keepNext/>
      <w:keepLines/>
      <w:spacing w:before="340" w:after="330" w:line="578" w:lineRule="auto"/>
      <w:outlineLvl w:val="0"/>
    </w:pPr>
    <w:rPr>
      <w:b/>
      <w:bCs/>
      <w:kern w:val="44"/>
      <w:sz w:val="44"/>
      <w:szCs w:val="44"/>
      <w:lang w:val="x-none" w:eastAsia="x-none"/>
    </w:rPr>
  </w:style>
  <w:style w:type="paragraph" w:styleId="2">
    <w:name w:val="heading 2"/>
    <w:basedOn w:val="a"/>
    <w:link w:val="20"/>
    <w:uiPriority w:val="9"/>
    <w:qFormat/>
    <w:rsid w:val="00E063EF"/>
    <w:pPr>
      <w:widowControl/>
      <w:spacing w:before="100" w:beforeAutospacing="1" w:after="100" w:afterAutospacing="1"/>
      <w:jc w:val="left"/>
      <w:outlineLvl w:val="1"/>
    </w:pPr>
    <w:rPr>
      <w:rFonts w:ascii="宋体" w:hAnsi="宋体"/>
      <w:b/>
      <w:bCs/>
      <w:kern w:val="0"/>
      <w:sz w:val="18"/>
      <w:szCs w:val="18"/>
      <w:lang w:val="x-none" w:eastAsia="x-none"/>
    </w:rPr>
  </w:style>
  <w:style w:type="paragraph" w:styleId="4">
    <w:name w:val="heading 4"/>
    <w:basedOn w:val="a"/>
    <w:next w:val="a"/>
    <w:link w:val="40"/>
    <w:semiHidden/>
    <w:unhideWhenUsed/>
    <w:qFormat/>
    <w:rsid w:val="006E1115"/>
    <w:pPr>
      <w:keepNext/>
      <w:keepLines/>
      <w:spacing w:before="280" w:after="290" w:line="376" w:lineRule="auto"/>
      <w:outlineLvl w:val="3"/>
    </w:pPr>
    <w:rPr>
      <w:rFonts w:ascii="Calibri Light" w:hAnsi="Calibri Light"/>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link w:val="a4"/>
    <w:uiPriority w:val="99"/>
    <w:unhideWhenUsed/>
    <w:rsid w:val="00800FA0"/>
    <w:pPr>
      <w:widowControl/>
      <w:spacing w:before="100" w:beforeAutospacing="1" w:after="100" w:afterAutospacing="1"/>
      <w:jc w:val="left"/>
    </w:pPr>
    <w:rPr>
      <w:rFonts w:ascii="宋体" w:hAnsi="宋体"/>
      <w:kern w:val="0"/>
      <w:sz w:val="24"/>
      <w:lang w:val="x-none" w:eastAsia="x-none"/>
    </w:rPr>
  </w:style>
  <w:style w:type="paragraph" w:customStyle="1" w:styleId="-">
    <w:name w:val="模板-正文"/>
    <w:basedOn w:val="a3"/>
    <w:link w:val="-Char"/>
    <w:qFormat/>
    <w:rsid w:val="00F27CBE"/>
    <w:pPr>
      <w:snapToGrid w:val="0"/>
      <w:spacing w:before="0" w:beforeAutospacing="0" w:after="0" w:afterAutospacing="0" w:line="360" w:lineRule="auto"/>
      <w:ind w:firstLineChars="200" w:firstLine="200"/>
      <w:jc w:val="both"/>
    </w:pPr>
    <w:rPr>
      <w:color w:val="222222"/>
      <w:sz w:val="21"/>
      <w:szCs w:val="21"/>
    </w:rPr>
  </w:style>
  <w:style w:type="character" w:customStyle="1" w:styleId="20">
    <w:name w:val="标题 2 字符"/>
    <w:link w:val="2"/>
    <w:uiPriority w:val="9"/>
    <w:rsid w:val="00E063EF"/>
    <w:rPr>
      <w:rFonts w:ascii="宋体" w:hAnsi="宋体" w:cs="宋体"/>
      <w:b/>
      <w:bCs/>
      <w:sz w:val="18"/>
      <w:szCs w:val="18"/>
    </w:rPr>
  </w:style>
  <w:style w:type="character" w:customStyle="1" w:styleId="a4">
    <w:name w:val="普通(网站) 字符"/>
    <w:link w:val="a3"/>
    <w:uiPriority w:val="99"/>
    <w:rsid w:val="00800FA0"/>
    <w:rPr>
      <w:rFonts w:ascii="宋体" w:hAnsi="宋体" w:cs="宋体"/>
      <w:sz w:val="24"/>
      <w:szCs w:val="24"/>
    </w:rPr>
  </w:style>
  <w:style w:type="character" w:customStyle="1" w:styleId="-Char">
    <w:name w:val="模板-正文 Char"/>
    <w:link w:val="-"/>
    <w:rsid w:val="00F27CBE"/>
    <w:rPr>
      <w:rFonts w:ascii="宋体" w:hAnsi="宋体"/>
      <w:color w:val="222222"/>
      <w:sz w:val="21"/>
      <w:szCs w:val="21"/>
      <w:lang w:val="x-none" w:eastAsia="x-none"/>
    </w:rPr>
  </w:style>
  <w:style w:type="character" w:customStyle="1" w:styleId="docorderno">
    <w:name w:val="doc_order_no"/>
    <w:rsid w:val="00E063EF"/>
  </w:style>
  <w:style w:type="paragraph" w:customStyle="1" w:styleId="-2">
    <w:name w:val="模板-标题 2"/>
    <w:basedOn w:val="2"/>
    <w:link w:val="-2Char"/>
    <w:qFormat/>
    <w:rsid w:val="00D30948"/>
    <w:pPr>
      <w:numPr>
        <w:ilvl w:val="1"/>
        <w:numId w:val="2"/>
      </w:numPr>
      <w:spacing w:beforeLines="100" w:beforeAutospacing="0"/>
      <w:ind w:left="0" w:firstLine="0"/>
      <w:jc w:val="both"/>
    </w:pPr>
    <w:rPr>
      <w:color w:val="222222"/>
      <w:sz w:val="24"/>
    </w:rPr>
  </w:style>
  <w:style w:type="paragraph" w:styleId="21">
    <w:name w:val="toc 2"/>
    <w:basedOn w:val="a"/>
    <w:next w:val="a"/>
    <w:autoRedefine/>
    <w:uiPriority w:val="39"/>
    <w:rsid w:val="00E063EF"/>
    <w:pPr>
      <w:ind w:leftChars="200" w:left="420"/>
    </w:pPr>
  </w:style>
  <w:style w:type="character" w:customStyle="1" w:styleId="-2Char">
    <w:name w:val="模板-标题 2 Char"/>
    <w:link w:val="-2"/>
    <w:rsid w:val="00D30948"/>
    <w:rPr>
      <w:rFonts w:ascii="宋体" w:hAnsi="宋体"/>
      <w:b/>
      <w:bCs/>
      <w:color w:val="222222"/>
      <w:sz w:val="24"/>
      <w:szCs w:val="18"/>
      <w:lang w:val="x-none" w:eastAsia="x-none"/>
    </w:rPr>
  </w:style>
  <w:style w:type="character" w:styleId="a5">
    <w:name w:val="Hyperlink"/>
    <w:uiPriority w:val="99"/>
    <w:unhideWhenUsed/>
    <w:rsid w:val="00E063EF"/>
    <w:rPr>
      <w:color w:val="0000FF"/>
      <w:u w:val="single"/>
    </w:rPr>
  </w:style>
  <w:style w:type="character" w:customStyle="1" w:styleId="10">
    <w:name w:val="标题 1 字符"/>
    <w:link w:val="1"/>
    <w:uiPriority w:val="9"/>
    <w:rsid w:val="00E063EF"/>
    <w:rPr>
      <w:b/>
      <w:bCs/>
      <w:kern w:val="44"/>
      <w:sz w:val="44"/>
      <w:szCs w:val="44"/>
    </w:rPr>
  </w:style>
  <w:style w:type="paragraph" w:customStyle="1" w:styleId="-1">
    <w:name w:val="模板-标题 1"/>
    <w:basedOn w:val="1"/>
    <w:link w:val="-1Char"/>
    <w:qFormat/>
    <w:rsid w:val="00EF763C"/>
    <w:pPr>
      <w:keepNext w:val="0"/>
      <w:keepLines w:val="0"/>
      <w:widowControl/>
      <w:numPr>
        <w:numId w:val="2"/>
      </w:numPr>
      <w:adjustRightInd w:val="0"/>
      <w:spacing w:before="100" w:beforeAutospacing="1" w:after="100" w:afterAutospacing="1" w:line="240" w:lineRule="auto"/>
      <w:ind w:left="100" w:hangingChars="100" w:hanging="100"/>
      <w:jc w:val="center"/>
    </w:pPr>
    <w:rPr>
      <w:rFonts w:ascii="宋体" w:hAnsi="宋体"/>
      <w:color w:val="222222"/>
      <w:kern w:val="36"/>
      <w:sz w:val="28"/>
      <w:szCs w:val="24"/>
    </w:rPr>
  </w:style>
  <w:style w:type="paragraph" w:styleId="11">
    <w:name w:val="toc 1"/>
    <w:basedOn w:val="a"/>
    <w:next w:val="a"/>
    <w:autoRedefine/>
    <w:uiPriority w:val="39"/>
    <w:rsid w:val="00E063EF"/>
  </w:style>
  <w:style w:type="character" w:customStyle="1" w:styleId="-1Char">
    <w:name w:val="模板-标题 1 Char"/>
    <w:link w:val="-1"/>
    <w:rsid w:val="00EF763C"/>
    <w:rPr>
      <w:rFonts w:ascii="宋体" w:hAnsi="宋体"/>
      <w:b/>
      <w:bCs/>
      <w:color w:val="222222"/>
      <w:kern w:val="36"/>
      <w:sz w:val="28"/>
      <w:szCs w:val="24"/>
      <w:lang w:val="x-none" w:eastAsia="x-none"/>
    </w:rPr>
  </w:style>
  <w:style w:type="paragraph" w:customStyle="1" w:styleId="-3">
    <w:name w:val="模板-标题 3"/>
    <w:basedOn w:val="a"/>
    <w:link w:val="-3Char"/>
    <w:qFormat/>
    <w:rsid w:val="00347B5C"/>
    <w:pPr>
      <w:numPr>
        <w:ilvl w:val="2"/>
        <w:numId w:val="2"/>
      </w:numPr>
      <w:spacing w:beforeLines="50" w:before="50" w:afterLines="50" w:after="50"/>
      <w:ind w:left="0" w:firstLine="0"/>
      <w:outlineLvl w:val="2"/>
    </w:pPr>
    <w:rPr>
      <w:b/>
      <w:color w:val="222222"/>
      <w:sz w:val="24"/>
      <w:szCs w:val="18"/>
      <w:lang w:val="x-none" w:eastAsia="x-none"/>
    </w:rPr>
  </w:style>
  <w:style w:type="table" w:styleId="a6">
    <w:name w:val="Table Grid"/>
    <w:basedOn w:val="a1"/>
    <w:rsid w:val="00C975C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3Char">
    <w:name w:val="模板-标题 3 Char"/>
    <w:link w:val="-3"/>
    <w:rsid w:val="00347B5C"/>
    <w:rPr>
      <w:b/>
      <w:color w:val="222222"/>
      <w:kern w:val="2"/>
      <w:sz w:val="24"/>
      <w:szCs w:val="18"/>
      <w:lang w:val="x-none" w:eastAsia="x-none"/>
    </w:rPr>
  </w:style>
  <w:style w:type="table" w:customStyle="1" w:styleId="-0">
    <w:name w:val="模板-表格"/>
    <w:basedOn w:val="a1"/>
    <w:rsid w:val="0066091F"/>
    <w:tblPr>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jc w:val="center"/>
    </w:trPr>
    <w:tcPr>
      <w:vAlign w:val="center"/>
    </w:tcPr>
    <w:tblStylePr w:type="firstRow">
      <w:pPr>
        <w:jc w:val="center"/>
      </w:pPr>
      <w:tblPr/>
      <w:trPr>
        <w:cantSplit w:val="0"/>
      </w:trPr>
      <w:tcPr>
        <w:shd w:val="clear" w:color="auto" w:fill="BFBFBF"/>
      </w:tcPr>
    </w:tblStylePr>
  </w:style>
  <w:style w:type="paragraph" w:styleId="a7">
    <w:name w:val="header"/>
    <w:basedOn w:val="a"/>
    <w:link w:val="a8"/>
    <w:rsid w:val="00D17C56"/>
    <w:pPr>
      <w:pBdr>
        <w:bottom w:val="single" w:sz="6" w:space="1" w:color="auto"/>
      </w:pBdr>
      <w:tabs>
        <w:tab w:val="center" w:pos="4153"/>
        <w:tab w:val="right" w:pos="8306"/>
      </w:tabs>
      <w:snapToGrid w:val="0"/>
      <w:jc w:val="center"/>
    </w:pPr>
    <w:rPr>
      <w:sz w:val="18"/>
      <w:szCs w:val="18"/>
    </w:rPr>
  </w:style>
  <w:style w:type="character" w:customStyle="1" w:styleId="a8">
    <w:name w:val="页眉 字符"/>
    <w:link w:val="a7"/>
    <w:rsid w:val="00D17C56"/>
    <w:rPr>
      <w:kern w:val="2"/>
      <w:sz w:val="18"/>
      <w:szCs w:val="18"/>
    </w:rPr>
  </w:style>
  <w:style w:type="paragraph" w:styleId="a9">
    <w:name w:val="footer"/>
    <w:basedOn w:val="a"/>
    <w:link w:val="aa"/>
    <w:uiPriority w:val="99"/>
    <w:rsid w:val="00D17C56"/>
    <w:pPr>
      <w:tabs>
        <w:tab w:val="center" w:pos="4153"/>
        <w:tab w:val="right" w:pos="8306"/>
      </w:tabs>
      <w:snapToGrid w:val="0"/>
      <w:jc w:val="left"/>
    </w:pPr>
    <w:rPr>
      <w:sz w:val="18"/>
      <w:szCs w:val="18"/>
    </w:rPr>
  </w:style>
  <w:style w:type="character" w:customStyle="1" w:styleId="aa">
    <w:name w:val="页脚 字符"/>
    <w:link w:val="a9"/>
    <w:uiPriority w:val="99"/>
    <w:rsid w:val="00D17C56"/>
    <w:rPr>
      <w:kern w:val="2"/>
      <w:sz w:val="18"/>
      <w:szCs w:val="18"/>
    </w:rPr>
  </w:style>
  <w:style w:type="paragraph" w:styleId="ab">
    <w:name w:val="Title"/>
    <w:basedOn w:val="a"/>
    <w:next w:val="a"/>
    <w:link w:val="ac"/>
    <w:qFormat/>
    <w:rsid w:val="00BA48F2"/>
    <w:pPr>
      <w:spacing w:before="240" w:after="60"/>
      <w:jc w:val="center"/>
      <w:outlineLvl w:val="0"/>
    </w:pPr>
    <w:rPr>
      <w:rFonts w:ascii="Cambria" w:hAnsi="Cambria"/>
      <w:b/>
      <w:bCs/>
      <w:sz w:val="32"/>
      <w:szCs w:val="32"/>
    </w:rPr>
  </w:style>
  <w:style w:type="character" w:customStyle="1" w:styleId="ac">
    <w:name w:val="标题 字符"/>
    <w:link w:val="ab"/>
    <w:rsid w:val="00BA48F2"/>
    <w:rPr>
      <w:rFonts w:ascii="Cambria" w:hAnsi="Cambria" w:cs="Times New Roman"/>
      <w:b/>
      <w:bCs/>
      <w:kern w:val="2"/>
      <w:sz w:val="32"/>
      <w:szCs w:val="32"/>
    </w:rPr>
  </w:style>
  <w:style w:type="paragraph" w:customStyle="1" w:styleId="-7">
    <w:name w:val="模板-标题"/>
    <w:basedOn w:val="ab"/>
    <w:qFormat/>
    <w:rsid w:val="00BA48F2"/>
    <w:pPr>
      <w:outlineLvl w:val="9"/>
    </w:pPr>
  </w:style>
  <w:style w:type="paragraph" w:customStyle="1" w:styleId="-4">
    <w:name w:val="模板-标题 4"/>
    <w:basedOn w:val="a"/>
    <w:qFormat/>
    <w:rsid w:val="00D30948"/>
    <w:pPr>
      <w:numPr>
        <w:ilvl w:val="3"/>
        <w:numId w:val="2"/>
      </w:numPr>
      <w:spacing w:beforeLines="50" w:before="50" w:afterLines="50" w:after="50"/>
      <w:ind w:left="0" w:firstLine="0"/>
    </w:pPr>
    <w:rPr>
      <w:b/>
      <w:sz w:val="24"/>
    </w:rPr>
  </w:style>
  <w:style w:type="paragraph" w:customStyle="1" w:styleId="-5">
    <w:name w:val="模板-标题 5"/>
    <w:basedOn w:val="-4"/>
    <w:qFormat/>
    <w:rsid w:val="00D30948"/>
    <w:pPr>
      <w:numPr>
        <w:ilvl w:val="4"/>
      </w:numPr>
      <w:ind w:left="0" w:firstLine="0"/>
    </w:pPr>
  </w:style>
  <w:style w:type="paragraph" w:customStyle="1" w:styleId="-6">
    <w:name w:val="模板-标题 6"/>
    <w:basedOn w:val="-5"/>
    <w:qFormat/>
    <w:rsid w:val="00D30948"/>
    <w:pPr>
      <w:numPr>
        <w:ilvl w:val="5"/>
      </w:numPr>
      <w:ind w:left="0" w:firstLine="0"/>
    </w:pPr>
  </w:style>
  <w:style w:type="table" w:customStyle="1" w:styleId="-noheader">
    <w:name w:val="模板-表格_noheader"/>
    <w:basedOn w:val="a1"/>
    <w:rsid w:val="0066091F"/>
    <w:tblPr>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jc w:val="center"/>
    </w:trPr>
    <w:tcPr>
      <w:vAlign w:val="center"/>
    </w:tcPr>
  </w:style>
  <w:style w:type="table" w:styleId="22">
    <w:name w:val="Table Colorful 2"/>
    <w:basedOn w:val="a1"/>
    <w:rsid w:val="0063383B"/>
    <w:pPr>
      <w:widowControl w:val="0"/>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paragraph" w:customStyle="1" w:styleId="XBRLTitle1">
    <w:name w:val="XBRLTitle1"/>
    <w:basedOn w:val="1"/>
    <w:next w:val="2"/>
    <w:qFormat/>
    <w:rsid w:val="006E1115"/>
    <w:pPr>
      <w:spacing w:before="0" w:after="0" w:line="360" w:lineRule="auto"/>
      <w:ind w:left="425" w:hanging="425"/>
      <w:jc w:val="center"/>
    </w:pPr>
    <w:rPr>
      <w:sz w:val="28"/>
    </w:rPr>
  </w:style>
  <w:style w:type="paragraph" w:customStyle="1" w:styleId="XBRLTitle2">
    <w:name w:val="XBRLTitle2"/>
    <w:basedOn w:val="ad"/>
    <w:next w:val="4"/>
    <w:qFormat/>
    <w:rsid w:val="006E1115"/>
    <w:pPr>
      <w:spacing w:before="0" w:after="0" w:line="360" w:lineRule="auto"/>
      <w:jc w:val="left"/>
    </w:pPr>
    <w:rPr>
      <w:sz w:val="24"/>
    </w:rPr>
  </w:style>
  <w:style w:type="paragraph" w:customStyle="1" w:styleId="XBRLTitle3">
    <w:name w:val="XBRLTitle3"/>
    <w:basedOn w:val="ad"/>
    <w:next w:val="4"/>
    <w:qFormat/>
    <w:rsid w:val="006E1115"/>
    <w:pPr>
      <w:spacing w:before="0" w:after="0" w:line="360" w:lineRule="auto"/>
      <w:ind w:left="624" w:hanging="624"/>
      <w:jc w:val="left"/>
      <w:outlineLvl w:val="9"/>
    </w:pPr>
    <w:rPr>
      <w:sz w:val="24"/>
    </w:rPr>
  </w:style>
  <w:style w:type="paragraph" w:styleId="ad">
    <w:name w:val="Subtitle"/>
    <w:basedOn w:val="a"/>
    <w:next w:val="a"/>
    <w:link w:val="ae"/>
    <w:qFormat/>
    <w:rsid w:val="006E1115"/>
    <w:pPr>
      <w:spacing w:before="240" w:after="60" w:line="312" w:lineRule="auto"/>
      <w:jc w:val="center"/>
      <w:outlineLvl w:val="1"/>
    </w:pPr>
    <w:rPr>
      <w:rFonts w:ascii="Calibri Light" w:hAnsi="Calibri Light"/>
      <w:b/>
      <w:bCs/>
      <w:kern w:val="28"/>
      <w:sz w:val="32"/>
      <w:szCs w:val="32"/>
    </w:rPr>
  </w:style>
  <w:style w:type="character" w:customStyle="1" w:styleId="ae">
    <w:name w:val="副标题 字符"/>
    <w:link w:val="ad"/>
    <w:rsid w:val="006E1115"/>
    <w:rPr>
      <w:rFonts w:ascii="Calibri Light" w:hAnsi="Calibri Light" w:cs="Times New Roman"/>
      <w:b/>
      <w:bCs/>
      <w:kern w:val="28"/>
      <w:sz w:val="32"/>
      <w:szCs w:val="32"/>
    </w:rPr>
  </w:style>
  <w:style w:type="character" w:customStyle="1" w:styleId="40">
    <w:name w:val="标题 4 字符"/>
    <w:link w:val="4"/>
    <w:semiHidden/>
    <w:rsid w:val="006E1115"/>
    <w:rPr>
      <w:rFonts w:ascii="Calibri Light" w:eastAsia="宋体" w:hAnsi="Calibri Light" w:cs="Times New Roman"/>
      <w:b/>
      <w:bCs/>
      <w:kern w:val="2"/>
      <w:sz w:val="28"/>
      <w:szCs w:val="28"/>
    </w:rPr>
  </w:style>
  <w:style w:type="paragraph" w:customStyle="1" w:styleId="XBRLTitle4">
    <w:name w:val="XBRLTitle4"/>
    <w:basedOn w:val="ad"/>
    <w:next w:val="4"/>
    <w:qFormat/>
    <w:rsid w:val="006E1115"/>
    <w:pPr>
      <w:spacing w:beforeLines="50" w:before="50" w:afterLines="50" w:after="50" w:line="240" w:lineRule="auto"/>
      <w:ind w:left="794" w:hanging="794"/>
      <w:jc w:val="left"/>
      <w:outlineLvl w:val="9"/>
    </w:pPr>
    <w:rPr>
      <w:sz w:val="24"/>
    </w:rPr>
  </w:style>
  <w:style w:type="paragraph" w:customStyle="1" w:styleId="XBRLTitle5">
    <w:name w:val="XBRLTitle5"/>
    <w:basedOn w:val="ad"/>
    <w:next w:val="4"/>
    <w:qFormat/>
    <w:rsid w:val="006E1115"/>
    <w:pPr>
      <w:spacing w:beforeLines="50" w:before="50" w:afterLines="50" w:after="50" w:line="240" w:lineRule="auto"/>
      <w:ind w:left="1021" w:hanging="1021"/>
      <w:jc w:val="left"/>
      <w:outlineLvl w:val="9"/>
    </w:pPr>
  </w:style>
  <w:style w:type="paragraph" w:customStyle="1" w:styleId="XBRLTitle6">
    <w:name w:val="XBRLTitle6"/>
    <w:basedOn w:val="ad"/>
    <w:next w:val="4"/>
    <w:qFormat/>
    <w:rsid w:val="006E1115"/>
    <w:pPr>
      <w:spacing w:beforeLines="50" w:before="50" w:afterLines="50" w:after="50" w:line="240" w:lineRule="auto"/>
      <w:ind w:left="1021" w:hanging="1021"/>
      <w:jc w:val="left"/>
      <w:outlineLvl w:val="9"/>
    </w:pPr>
    <w:rPr>
      <w:sz w:val="24"/>
    </w:rPr>
  </w:style>
  <w:style w:type="paragraph" w:customStyle="1" w:styleId="-8">
    <w:name w:val="模板-正文无缩进"/>
    <w:basedOn w:val="-"/>
    <w:link w:val="-Char0"/>
    <w:qFormat/>
    <w:rsid w:val="00C7329B"/>
    <w:pPr>
      <w:ind w:firstLineChars="0" w:firstLine="0"/>
    </w:pPr>
    <w:rPr>
      <w:bCs/>
      <w:szCs w:val="30"/>
    </w:rPr>
  </w:style>
  <w:style w:type="character" w:customStyle="1" w:styleId="-Char0">
    <w:name w:val="模板-正文无缩进 Char"/>
    <w:link w:val="-8"/>
    <w:rsid w:val="00C7329B"/>
    <w:rPr>
      <w:rFonts w:ascii="宋体" w:hAnsi="宋体"/>
      <w:bCs/>
      <w:color w:val="222222"/>
      <w:sz w:val="21"/>
      <w:szCs w:val="30"/>
      <w:lang w:val="x-none" w:eastAsia="x-none"/>
    </w:rPr>
  </w:style>
  <w:style w:type="paragraph" w:customStyle="1" w:styleId="-9">
    <w:name w:val="模板-目录"/>
    <w:basedOn w:val="3"/>
    <w:link w:val="-Char1"/>
    <w:autoRedefine/>
    <w:qFormat/>
    <w:rsid w:val="00B47C1C"/>
    <w:pPr>
      <w:snapToGrid w:val="0"/>
      <w:jc w:val="right"/>
    </w:pPr>
  </w:style>
  <w:style w:type="paragraph" w:styleId="3">
    <w:name w:val="toc 3"/>
    <w:basedOn w:val="a"/>
    <w:next w:val="a"/>
    <w:link w:val="30"/>
    <w:autoRedefine/>
    <w:semiHidden/>
    <w:unhideWhenUsed/>
    <w:rsid w:val="00B47C1C"/>
    <w:pPr>
      <w:ind w:leftChars="400" w:left="840"/>
    </w:pPr>
  </w:style>
  <w:style w:type="character" w:customStyle="1" w:styleId="30">
    <w:name w:val="目录 3 字符"/>
    <w:basedOn w:val="a0"/>
    <w:link w:val="3"/>
    <w:semiHidden/>
    <w:rsid w:val="00B47C1C"/>
    <w:rPr>
      <w:kern w:val="2"/>
      <w:sz w:val="21"/>
      <w:szCs w:val="24"/>
    </w:rPr>
  </w:style>
  <w:style w:type="character" w:customStyle="1" w:styleId="-Char1">
    <w:name w:val="模板-目录 Char"/>
    <w:basedOn w:val="30"/>
    <w:link w:val="-9"/>
    <w:rsid w:val="00B47C1C"/>
    <w:rPr>
      <w:kern w:val="2"/>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037822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jpg"/><Relationship Id="rId14"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A21DDE6-92A7-4633-B401-FD5C98ADFD5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12</Pages>
  <Words>6250</Words>
  <Characters>7290</Characters>
  <Application>Microsoft Office Word</Application>
  <DocSecurity>0</DocSecurity>
  <Lines>552</Lines>
  <Paragraphs>360</Paragraphs>
  <ScaleCrop>false</ScaleCrop>
  <Company>MC SYSTEM</Company>
  <LinksUpToDate>false</LinksUpToDate>
  <CharactersWithSpaces>7363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MC SYSTEM</dc:creator>
  <cp:lastModifiedBy>MC SYSTEM</cp:lastModifiedBy>
  <cp:revision>2</cp:revision>
  <dcterms:created xsi:type="dcterms:W3CDTF">2026-07-20T01:52:00Z</dcterms:created>
  <dcterms:modified xsi:type="dcterms:W3CDTF">2026-07-20T01:53:00Z</dcterms:modified>
</cp:coreProperties>
</file>