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6534" w:rsidRDefault="000A6534" w:rsidP="00F00FCB">
      <w:pPr>
        <w:pStyle w:val="-"/>
        <w:ind w:firstLine="420"/>
      </w:pPr>
    </w:p>
    <w:p w:rsidR="000A6534" w:rsidRDefault="000A6534" w:rsidP="000A6534">
      <w:pPr>
        <w:jc w:val="center"/>
        <w:rPr>
          <w:rFonts w:ascii="宋体" w:hAnsi="宋体"/>
          <w:b/>
          <w:bCs/>
          <w:sz w:val="28"/>
          <w:szCs w:val="30"/>
        </w:rPr>
      </w:pPr>
    </w:p>
    <w:p w:rsidR="0044723E" w:rsidRPr="0044723E" w:rsidRDefault="00AE3F5B" w:rsidP="0044723E">
      <w:pPr>
        <w:jc w:val="center"/>
        <w:rPr>
          <w:rFonts w:ascii="宋体" w:hAnsi="宋体"/>
          <w:b/>
          <w:bCs/>
          <w:sz w:val="48"/>
          <w:szCs w:val="30"/>
        </w:rPr>
      </w:pPr>
      <w:r w:rsidRPr="0044723E">
        <w:rPr>
          <w:rFonts w:ascii="宋体" w:hAnsi="宋体"/>
          <w:b/>
          <w:bCs/>
          <w:sz w:val="48"/>
          <w:szCs w:val="30"/>
        </w:rPr>
        <w:t xml:space="preserve"> </w:t>
      </w:r>
      <w:r w:rsidR="00F87013">
        <w:rPr>
          <w:rFonts w:ascii="宋体" w:hAnsi="宋体" w:hint="eastAsia"/>
          <w:b/>
          <w:bCs/>
          <w:sz w:val="48"/>
          <w:szCs w:val="30"/>
        </w:rPr>
        <w:t>南方深证主板</w:t>
      </w:r>
      <w:r w:rsidR="00F87013">
        <w:rPr>
          <w:rFonts w:ascii="宋体" w:hAnsi="宋体"/>
          <w:b/>
          <w:bCs/>
          <w:sz w:val="48"/>
          <w:szCs w:val="30"/>
        </w:rPr>
        <w:t>50交易型开放式指数证券投资基金联接基金2026年第2季度报告</w:t>
      </w:r>
    </w:p>
    <w:p w:rsidR="0044723E" w:rsidRDefault="0044723E" w:rsidP="00D17C56">
      <w:pPr>
        <w:jc w:val="center"/>
        <w:rPr>
          <w:rFonts w:ascii="宋体" w:hAnsi="宋体"/>
          <w:b/>
          <w:bCs/>
          <w:sz w:val="48"/>
          <w:szCs w:val="30"/>
        </w:rPr>
      </w:pPr>
      <w:bookmarkStart w:id="0" w:name="OLE_LINK1"/>
      <w:bookmarkStart w:id="1" w:name="OLE_LINK2"/>
    </w:p>
    <w:p w:rsidR="00D17C56" w:rsidRDefault="00D17C56" w:rsidP="00D17C56">
      <w:pPr>
        <w:jc w:val="center"/>
        <w:rPr>
          <w:rFonts w:ascii="宋体" w:hAnsi="宋体"/>
          <w:b/>
          <w:bCs/>
          <w:sz w:val="28"/>
          <w:szCs w:val="30"/>
        </w:rPr>
      </w:pPr>
    </w:p>
    <w:bookmarkEnd w:id="0"/>
    <w:bookmarkEnd w:id="1"/>
    <w:p w:rsidR="00D17C56" w:rsidRDefault="00F87013" w:rsidP="00D17C56">
      <w:pPr>
        <w:jc w:val="center"/>
        <w:rPr>
          <w:rFonts w:ascii="宋体" w:hAnsi="宋体"/>
          <w:b/>
          <w:bCs/>
          <w:sz w:val="28"/>
          <w:szCs w:val="30"/>
        </w:rPr>
      </w:pPr>
      <w:r>
        <w:rPr>
          <w:rFonts w:ascii="宋体" w:hAnsi="宋体"/>
          <w:b/>
          <w:bCs/>
          <w:sz w:val="28"/>
          <w:szCs w:val="30"/>
        </w:rPr>
        <w:t>2026年06月30日</w:t>
      </w:r>
    </w:p>
    <w:p w:rsidR="00C30704" w:rsidRDefault="00C30704" w:rsidP="003433CF">
      <w:pPr>
        <w:jc w:val="center"/>
        <w:rPr>
          <w:rFonts w:ascii="宋体" w:hAnsi="宋体"/>
          <w:sz w:val="28"/>
          <w:szCs w:val="30"/>
        </w:rPr>
      </w:pPr>
    </w:p>
    <w:p w:rsidR="0078485C" w:rsidRDefault="0078485C" w:rsidP="003433CF">
      <w:pPr>
        <w:jc w:val="center"/>
        <w:rPr>
          <w:rFonts w:ascii="宋体" w:hAnsi="宋体"/>
          <w:sz w:val="28"/>
          <w:szCs w:val="30"/>
        </w:rPr>
      </w:pPr>
    </w:p>
    <w:p w:rsidR="0078485C" w:rsidRDefault="0078485C" w:rsidP="003433CF">
      <w:pPr>
        <w:jc w:val="center"/>
        <w:rPr>
          <w:rFonts w:ascii="宋体" w:hAnsi="宋体"/>
          <w:sz w:val="28"/>
          <w:szCs w:val="30"/>
        </w:rPr>
      </w:pPr>
    </w:p>
    <w:p w:rsidR="0061364E" w:rsidRDefault="0061364E"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CF004A" w:rsidRDefault="00CF004A" w:rsidP="003433CF">
      <w:pPr>
        <w:jc w:val="center"/>
        <w:rPr>
          <w:rFonts w:ascii="宋体" w:hAnsi="宋体"/>
          <w:sz w:val="28"/>
          <w:szCs w:val="30"/>
        </w:rPr>
      </w:pPr>
    </w:p>
    <w:p w:rsidR="003433CF" w:rsidRDefault="003433CF" w:rsidP="003433CF">
      <w:pPr>
        <w:jc w:val="center"/>
        <w:rPr>
          <w:rFonts w:ascii="宋体" w:hAnsi="宋体"/>
          <w:sz w:val="28"/>
          <w:szCs w:val="30"/>
        </w:rPr>
      </w:pPr>
    </w:p>
    <w:p w:rsidR="003433CF" w:rsidRDefault="003433CF" w:rsidP="003433CF">
      <w:pPr>
        <w:jc w:val="center"/>
        <w:rPr>
          <w:rFonts w:ascii="宋体" w:hAnsi="宋体"/>
          <w:sz w:val="28"/>
          <w:szCs w:val="30"/>
        </w:rPr>
      </w:pP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基金管理人：</w:t>
      </w:r>
      <w:r w:rsidR="00F87013">
        <w:rPr>
          <w:rFonts w:ascii="宋体" w:hAnsi="宋体" w:hint="eastAsia"/>
          <w:b/>
          <w:bCs/>
          <w:sz w:val="28"/>
          <w:szCs w:val="30"/>
        </w:rPr>
        <w:t>南方基金管理股份有限公司</w:t>
      </w:r>
      <w:r w:rsidR="00D17C56">
        <w:rPr>
          <w:rFonts w:ascii="宋体" w:hAnsi="宋体"/>
          <w:b/>
          <w:bCs/>
          <w:sz w:val="28"/>
          <w:szCs w:val="30"/>
        </w:rPr>
        <w:t xml:space="preserve"> </w:t>
      </w:r>
    </w:p>
    <w:p w:rsidR="00D17C56" w:rsidRDefault="00AE3F5B" w:rsidP="00D17C56">
      <w:pPr>
        <w:ind w:firstLineChars="600" w:firstLine="1687"/>
        <w:rPr>
          <w:rFonts w:ascii="宋体" w:hAnsi="宋体"/>
          <w:b/>
          <w:bCs/>
          <w:sz w:val="28"/>
          <w:szCs w:val="30"/>
        </w:rPr>
      </w:pPr>
      <w:r>
        <w:rPr>
          <w:rFonts w:ascii="宋体" w:hAnsi="宋体" w:hint="eastAsia"/>
          <w:b/>
          <w:bCs/>
          <w:sz w:val="28"/>
          <w:szCs w:val="30"/>
        </w:rPr>
        <w:t>基金托管人：</w:t>
      </w:r>
      <w:r w:rsidR="00F87013">
        <w:rPr>
          <w:rFonts w:ascii="宋体" w:hAnsi="宋体" w:hint="eastAsia"/>
          <w:b/>
          <w:bCs/>
          <w:sz w:val="28"/>
          <w:szCs w:val="30"/>
        </w:rPr>
        <w:t>中国工商银行股份有限公司</w:t>
      </w:r>
      <w:r w:rsidR="00D17C56">
        <w:rPr>
          <w:rFonts w:ascii="宋体" w:hAnsi="宋体"/>
          <w:b/>
          <w:bCs/>
          <w:sz w:val="28"/>
          <w:szCs w:val="30"/>
        </w:rPr>
        <w:t xml:space="preserve"> </w:t>
      </w:r>
    </w:p>
    <w:p w:rsidR="00EF763C" w:rsidRDefault="00AE3F5B" w:rsidP="00A94D0E">
      <w:pPr>
        <w:ind w:firstLineChars="600" w:firstLine="1687"/>
        <w:rPr>
          <w:rFonts w:ascii="宋体" w:hAnsi="宋体"/>
          <w:b/>
          <w:bCs/>
          <w:sz w:val="28"/>
          <w:szCs w:val="30"/>
        </w:rPr>
      </w:pPr>
      <w:r w:rsidRPr="00425AEE">
        <w:rPr>
          <w:rFonts w:ascii="宋体" w:hAnsi="宋体" w:hint="eastAsia"/>
          <w:b/>
          <w:bCs/>
          <w:sz w:val="28"/>
          <w:szCs w:val="30"/>
        </w:rPr>
        <w:t>送出日期：</w:t>
      </w:r>
      <w:r w:rsidR="00F87013">
        <w:rPr>
          <w:rFonts w:ascii="宋体" w:hAnsi="宋体"/>
          <w:b/>
          <w:bCs/>
          <w:sz w:val="28"/>
          <w:szCs w:val="30"/>
        </w:rPr>
        <w:t>2026年7月21日</w:t>
      </w:r>
      <w:r w:rsidR="00D17C56" w:rsidRPr="00425AEE">
        <w:rPr>
          <w:rFonts w:ascii="宋体" w:hAnsi="宋体"/>
          <w:b/>
          <w:bCs/>
          <w:sz w:val="28"/>
          <w:szCs w:val="30"/>
        </w:rPr>
        <w:t xml:space="preserve"> </w:t>
      </w:r>
    </w:p>
    <w:p w:rsidR="00D30948" w:rsidRPr="00A94D0E" w:rsidRDefault="00D30948" w:rsidP="00A94D0E">
      <w:pPr>
        <w:ind w:firstLineChars="600" w:firstLine="1687"/>
        <w:rPr>
          <w:rFonts w:ascii="宋体" w:hAnsi="宋体"/>
          <w:b/>
          <w:bCs/>
          <w:sz w:val="28"/>
          <w:szCs w:val="30"/>
        </w:rPr>
      </w:pPr>
    </w:p>
    <w:p w:rsidR="00F74FE9" w:rsidRDefault="005805A4" w:rsidP="004E571F">
      <w:pPr>
        <w:snapToGrid w:val="0"/>
        <w:spacing w:line="360" w:lineRule="auto"/>
        <w:jc w:val="left"/>
      </w:pPr>
      <w:r>
        <w:br w:type="page"/>
      </w:r>
    </w:p>
    <w:p w:rsidR="00F87013" w:rsidRDefault="00F87013" w:rsidP="00F87013">
      <w:pPr>
        <w:pStyle w:val="-1"/>
        <w:ind w:left="281" w:hanging="281"/>
      </w:pPr>
      <w:bookmarkStart w:id="2" w:name="_GoBack"/>
      <w:bookmarkEnd w:id="2"/>
      <w:r>
        <w:rPr>
          <w:rFonts w:hint="eastAsia"/>
        </w:rPr>
        <w:lastRenderedPageBreak/>
        <w:t>重要提示</w:t>
      </w:r>
    </w:p>
    <w:p w:rsidR="00F87013" w:rsidRDefault="00F87013" w:rsidP="00F87013">
      <w:pPr>
        <w:pStyle w:val="-"/>
        <w:ind w:firstLine="420"/>
      </w:pPr>
      <w:r>
        <w:rPr>
          <w:rFonts w:hint="eastAsia"/>
        </w:rPr>
        <w:t>基金管理人的董事会及董事保证本报告所载资料不存在虚假记载、误导性陈述或重大遗漏，并对其内容的真实性、准确性和完整性承担个别及连带责任。</w:t>
      </w:r>
    </w:p>
    <w:p w:rsidR="00F87013" w:rsidRDefault="00F87013" w:rsidP="00F87013">
      <w:pPr>
        <w:pStyle w:val="-"/>
        <w:ind w:firstLine="420"/>
      </w:pPr>
      <w:r>
        <w:rPr>
          <w:rFonts w:hint="eastAsia"/>
        </w:rPr>
        <w:t>基金托管人中国工商银行股份有限公司根据本基金合同约定，于2026年7月17日复核了本报告中的财务指标、净值表现和投资组合报告等内容，保证复核内容不存在虚假记载、误导性陈述或者重大遗漏。</w:t>
      </w:r>
    </w:p>
    <w:p w:rsidR="00F87013" w:rsidRDefault="00F87013" w:rsidP="00F87013">
      <w:pPr>
        <w:pStyle w:val="-"/>
        <w:ind w:firstLine="420"/>
      </w:pPr>
      <w:r>
        <w:rPr>
          <w:rFonts w:hint="eastAsia"/>
        </w:rPr>
        <w:t>基金管理人承诺以诚实信用、勤勉尽责的原则管理和运用基金资产，但不保证基金一定盈利。</w:t>
      </w:r>
    </w:p>
    <w:p w:rsidR="00F87013" w:rsidRDefault="00F87013" w:rsidP="00F87013">
      <w:pPr>
        <w:pStyle w:val="-"/>
        <w:ind w:firstLine="420"/>
      </w:pPr>
      <w:r>
        <w:rPr>
          <w:rFonts w:hint="eastAsia"/>
        </w:rPr>
        <w:t>基金的过往业绩并不代表其未来表现。投资有风险，投资者在作出投资决策前应仔细阅读本基金的招募说明书。</w:t>
      </w:r>
    </w:p>
    <w:p w:rsidR="00F87013" w:rsidRDefault="00F87013" w:rsidP="00F87013">
      <w:pPr>
        <w:pStyle w:val="-"/>
        <w:ind w:firstLine="420"/>
      </w:pPr>
      <w:r>
        <w:rPr>
          <w:rFonts w:hint="eastAsia"/>
        </w:rPr>
        <w:t>本报告中财务资料未经审计。</w:t>
      </w:r>
    </w:p>
    <w:p w:rsidR="00F87013" w:rsidRDefault="00F87013" w:rsidP="00F87013">
      <w:pPr>
        <w:pStyle w:val="-"/>
        <w:ind w:firstLine="420"/>
      </w:pPr>
      <w:r>
        <w:rPr>
          <w:rFonts w:hint="eastAsia"/>
        </w:rPr>
        <w:t>本报告期自2026年4月1日起至6月30日止。</w:t>
      </w:r>
    </w:p>
    <w:p w:rsidR="00F87013" w:rsidRDefault="00F87013" w:rsidP="00F87013">
      <w:pPr>
        <w:pStyle w:val="-1"/>
        <w:ind w:left="281" w:hanging="281"/>
      </w:pPr>
      <w:r>
        <w:rPr>
          <w:rFonts w:hint="eastAsia"/>
        </w:rPr>
        <w:t>基金产品概况</w:t>
      </w:r>
    </w:p>
    <w:p w:rsidR="00F87013" w:rsidRDefault="00F87013" w:rsidP="00F87013">
      <w:pPr>
        <w:pStyle w:val="-2"/>
        <w:spacing w:before="312"/>
      </w:pPr>
      <w:r>
        <w:rPr>
          <w:rFonts w:hint="eastAsia"/>
        </w:rPr>
        <w:t>基金基本情况</w:t>
      </w:r>
    </w:p>
    <w:tbl>
      <w:tblPr>
        <w:tblStyle w:val="-noheader"/>
        <w:tblW w:w="8306" w:type="dxa"/>
        <w:tblLayout w:type="fixed"/>
        <w:tblLook w:val="04A0" w:firstRow="1" w:lastRow="0" w:firstColumn="1" w:lastColumn="0" w:noHBand="0" w:noVBand="1"/>
      </w:tblPr>
      <w:tblGrid>
        <w:gridCol w:w="2768"/>
        <w:gridCol w:w="2769"/>
        <w:gridCol w:w="2769"/>
      </w:tblGrid>
      <w:tr w:rsidR="00F87013" w:rsidTr="00DE58DC">
        <w:tc>
          <w:tcPr>
            <w:tcW w:w="2768" w:type="dxa"/>
          </w:tcPr>
          <w:p w:rsidR="00F87013" w:rsidRDefault="00F87013" w:rsidP="00F87013">
            <w:pPr>
              <w:jc w:val="left"/>
            </w:pPr>
            <w:r>
              <w:rPr>
                <w:rFonts w:hint="eastAsia"/>
              </w:rPr>
              <w:t>基金简称</w:t>
            </w:r>
          </w:p>
        </w:tc>
        <w:tc>
          <w:tcPr>
            <w:tcW w:w="5538" w:type="dxa"/>
            <w:gridSpan w:val="2"/>
          </w:tcPr>
          <w:p w:rsidR="00F87013" w:rsidRDefault="00F87013" w:rsidP="00F87013">
            <w:pPr>
              <w:jc w:val="left"/>
            </w:pPr>
            <w:r>
              <w:rPr>
                <w:rFonts w:hint="eastAsia"/>
              </w:rPr>
              <w:t>南方深证主板</w:t>
            </w:r>
            <w:r>
              <w:rPr>
                <w:rFonts w:hint="eastAsia"/>
              </w:rPr>
              <w:t>50ETF</w:t>
            </w:r>
            <w:r>
              <w:rPr>
                <w:rFonts w:hint="eastAsia"/>
              </w:rPr>
              <w:t>联接</w:t>
            </w:r>
          </w:p>
        </w:tc>
      </w:tr>
      <w:tr w:rsidR="00F87013" w:rsidTr="006321EB">
        <w:tc>
          <w:tcPr>
            <w:tcW w:w="2768" w:type="dxa"/>
          </w:tcPr>
          <w:p w:rsidR="00F87013" w:rsidRDefault="00F87013" w:rsidP="00F87013">
            <w:pPr>
              <w:jc w:val="left"/>
            </w:pPr>
            <w:r>
              <w:rPr>
                <w:rFonts w:hint="eastAsia"/>
              </w:rPr>
              <w:t>基金主代码</w:t>
            </w:r>
          </w:p>
        </w:tc>
        <w:tc>
          <w:tcPr>
            <w:tcW w:w="5538" w:type="dxa"/>
            <w:gridSpan w:val="2"/>
          </w:tcPr>
          <w:p w:rsidR="00F87013" w:rsidRDefault="00F87013" w:rsidP="00F87013">
            <w:pPr>
              <w:jc w:val="left"/>
            </w:pPr>
            <w:r>
              <w:t>021949</w:t>
            </w:r>
          </w:p>
        </w:tc>
      </w:tr>
      <w:tr w:rsidR="00F87013" w:rsidTr="00DB58A5">
        <w:tc>
          <w:tcPr>
            <w:tcW w:w="2768" w:type="dxa"/>
          </w:tcPr>
          <w:p w:rsidR="00F87013" w:rsidRDefault="00F87013" w:rsidP="00F87013">
            <w:pPr>
              <w:jc w:val="left"/>
            </w:pPr>
            <w:r>
              <w:rPr>
                <w:rFonts w:hint="eastAsia"/>
              </w:rPr>
              <w:t>交易代码</w:t>
            </w:r>
          </w:p>
        </w:tc>
        <w:tc>
          <w:tcPr>
            <w:tcW w:w="5538" w:type="dxa"/>
            <w:gridSpan w:val="2"/>
          </w:tcPr>
          <w:p w:rsidR="00F87013" w:rsidRDefault="00F87013" w:rsidP="00F87013">
            <w:pPr>
              <w:jc w:val="left"/>
            </w:pPr>
            <w:r>
              <w:t>021949</w:t>
            </w:r>
          </w:p>
        </w:tc>
      </w:tr>
      <w:tr w:rsidR="00F87013" w:rsidTr="00FB01D0">
        <w:tc>
          <w:tcPr>
            <w:tcW w:w="2768" w:type="dxa"/>
          </w:tcPr>
          <w:p w:rsidR="00F87013" w:rsidRDefault="00F87013" w:rsidP="00F87013">
            <w:pPr>
              <w:jc w:val="left"/>
            </w:pPr>
            <w:r>
              <w:rPr>
                <w:rFonts w:hint="eastAsia"/>
              </w:rPr>
              <w:t>基金运作方式</w:t>
            </w:r>
          </w:p>
        </w:tc>
        <w:tc>
          <w:tcPr>
            <w:tcW w:w="5538" w:type="dxa"/>
            <w:gridSpan w:val="2"/>
          </w:tcPr>
          <w:p w:rsidR="00F87013" w:rsidRDefault="00F87013" w:rsidP="00F87013">
            <w:pPr>
              <w:jc w:val="left"/>
            </w:pPr>
            <w:r>
              <w:rPr>
                <w:rFonts w:hint="eastAsia"/>
              </w:rPr>
              <w:t>契约型开放式</w:t>
            </w:r>
          </w:p>
        </w:tc>
      </w:tr>
      <w:tr w:rsidR="00F87013" w:rsidTr="00951FFE">
        <w:tc>
          <w:tcPr>
            <w:tcW w:w="2768" w:type="dxa"/>
          </w:tcPr>
          <w:p w:rsidR="00F87013" w:rsidRDefault="00F87013" w:rsidP="00F87013">
            <w:pPr>
              <w:jc w:val="left"/>
            </w:pPr>
            <w:r>
              <w:rPr>
                <w:rFonts w:hint="eastAsia"/>
              </w:rPr>
              <w:t>基金合同生效日</w:t>
            </w:r>
          </w:p>
        </w:tc>
        <w:tc>
          <w:tcPr>
            <w:tcW w:w="5538" w:type="dxa"/>
            <w:gridSpan w:val="2"/>
          </w:tcPr>
          <w:p w:rsidR="00F87013" w:rsidRDefault="00F87013" w:rsidP="00F87013">
            <w:pPr>
              <w:jc w:val="left"/>
            </w:pPr>
            <w:r>
              <w:rPr>
                <w:rFonts w:hint="eastAsia"/>
              </w:rPr>
              <w:t>2024</w:t>
            </w:r>
            <w:r>
              <w:rPr>
                <w:rFonts w:hint="eastAsia"/>
              </w:rPr>
              <w:t>年</w:t>
            </w:r>
            <w:r>
              <w:rPr>
                <w:rFonts w:hint="eastAsia"/>
              </w:rPr>
              <w:t>10</w:t>
            </w:r>
            <w:r>
              <w:rPr>
                <w:rFonts w:hint="eastAsia"/>
              </w:rPr>
              <w:t>月</w:t>
            </w:r>
            <w:r>
              <w:rPr>
                <w:rFonts w:hint="eastAsia"/>
              </w:rPr>
              <w:t>18</w:t>
            </w:r>
            <w:r>
              <w:rPr>
                <w:rFonts w:hint="eastAsia"/>
              </w:rPr>
              <w:t>日</w:t>
            </w:r>
          </w:p>
        </w:tc>
      </w:tr>
      <w:tr w:rsidR="00F87013" w:rsidTr="007D76C3">
        <w:tc>
          <w:tcPr>
            <w:tcW w:w="2768" w:type="dxa"/>
          </w:tcPr>
          <w:p w:rsidR="00F87013" w:rsidRDefault="00F87013" w:rsidP="00F87013">
            <w:pPr>
              <w:jc w:val="left"/>
            </w:pPr>
            <w:r>
              <w:rPr>
                <w:rFonts w:hint="eastAsia"/>
              </w:rPr>
              <w:t>报告期末基金份额总额</w:t>
            </w:r>
          </w:p>
        </w:tc>
        <w:tc>
          <w:tcPr>
            <w:tcW w:w="5538" w:type="dxa"/>
            <w:gridSpan w:val="2"/>
          </w:tcPr>
          <w:p w:rsidR="00F87013" w:rsidRDefault="00F87013" w:rsidP="00F87013">
            <w:pPr>
              <w:jc w:val="left"/>
            </w:pPr>
            <w:r>
              <w:rPr>
                <w:rFonts w:hint="eastAsia"/>
              </w:rPr>
              <w:t>15,311,034.64</w:t>
            </w:r>
            <w:r>
              <w:rPr>
                <w:rFonts w:hint="eastAsia"/>
              </w:rPr>
              <w:t>份</w:t>
            </w:r>
          </w:p>
        </w:tc>
      </w:tr>
      <w:tr w:rsidR="00F87013" w:rsidTr="00471D17">
        <w:tc>
          <w:tcPr>
            <w:tcW w:w="2768" w:type="dxa"/>
          </w:tcPr>
          <w:p w:rsidR="00F87013" w:rsidRDefault="00F87013" w:rsidP="00F87013">
            <w:pPr>
              <w:jc w:val="left"/>
            </w:pPr>
            <w:r>
              <w:rPr>
                <w:rFonts w:hint="eastAsia"/>
              </w:rPr>
              <w:t>投资目标</w:t>
            </w:r>
          </w:p>
        </w:tc>
        <w:tc>
          <w:tcPr>
            <w:tcW w:w="5538" w:type="dxa"/>
            <w:gridSpan w:val="2"/>
          </w:tcPr>
          <w:p w:rsidR="00F87013" w:rsidRDefault="00F87013" w:rsidP="00F87013">
            <w:pPr>
              <w:jc w:val="left"/>
            </w:pPr>
            <w:r>
              <w:rPr>
                <w:rFonts w:hint="eastAsia"/>
              </w:rPr>
              <w:t>本基金通过投资于目标</w:t>
            </w:r>
            <w:r>
              <w:rPr>
                <w:rFonts w:hint="eastAsia"/>
              </w:rPr>
              <w:t>ETF</w:t>
            </w:r>
            <w:r>
              <w:rPr>
                <w:rFonts w:hint="eastAsia"/>
              </w:rPr>
              <w:t>，紧密跟踪标的指数，追求与业绩比较基准相似的回报。</w:t>
            </w:r>
          </w:p>
        </w:tc>
      </w:tr>
      <w:tr w:rsidR="00F87013" w:rsidTr="006422CB">
        <w:tc>
          <w:tcPr>
            <w:tcW w:w="2768" w:type="dxa"/>
          </w:tcPr>
          <w:p w:rsidR="00F87013" w:rsidRDefault="00F87013" w:rsidP="00F87013">
            <w:pPr>
              <w:jc w:val="left"/>
            </w:pPr>
            <w:r>
              <w:rPr>
                <w:rFonts w:hint="eastAsia"/>
              </w:rPr>
              <w:t>投资策略</w:t>
            </w:r>
          </w:p>
        </w:tc>
        <w:tc>
          <w:tcPr>
            <w:tcW w:w="5538" w:type="dxa"/>
            <w:gridSpan w:val="2"/>
          </w:tcPr>
          <w:p w:rsidR="00F87013" w:rsidRDefault="00F87013" w:rsidP="00F87013">
            <w:r>
              <w:rPr>
                <w:rFonts w:hint="eastAsia"/>
              </w:rPr>
              <w:t>本基金为被动式指数基金，主要投资于目标</w:t>
            </w:r>
            <w:r>
              <w:rPr>
                <w:rFonts w:hint="eastAsia"/>
              </w:rPr>
              <w:t>ETF</w:t>
            </w:r>
            <w:r>
              <w:rPr>
                <w:rFonts w:hint="eastAsia"/>
              </w:rPr>
              <w:t>。本基金并不参与目标</w:t>
            </w:r>
            <w:r>
              <w:rPr>
                <w:rFonts w:hint="eastAsia"/>
              </w:rPr>
              <w:t>ETF</w:t>
            </w:r>
            <w:r>
              <w:rPr>
                <w:rFonts w:hint="eastAsia"/>
              </w:rPr>
              <w:t>的管理。在正常市场情况下，本基金力争净值增长率与业绩比较基准之间的日均跟踪偏离度不超过</w:t>
            </w:r>
            <w:r>
              <w:rPr>
                <w:rFonts w:hint="eastAsia"/>
              </w:rPr>
              <w:t>0.35%</w:t>
            </w:r>
            <w:r>
              <w:rPr>
                <w:rFonts w:hint="eastAsia"/>
              </w:rPr>
              <w:t>，年跟踪误差不超过</w:t>
            </w:r>
            <w:r>
              <w:rPr>
                <w:rFonts w:hint="eastAsia"/>
              </w:rPr>
              <w:t>4%</w:t>
            </w:r>
            <w:r>
              <w:rPr>
                <w:rFonts w:hint="eastAsia"/>
              </w:rPr>
              <w:t>。如因指数编制规则调整或其他因素导致跟踪偏离度和跟踪误差超过上述范围，基金管理人应采取合理措施避免跟踪偏离度、跟踪误差进一步扩大。具体投资策略包括：</w:t>
            </w:r>
            <w:r>
              <w:rPr>
                <w:rFonts w:hint="eastAsia"/>
              </w:rPr>
              <w:t>1</w:t>
            </w:r>
            <w:r>
              <w:rPr>
                <w:rFonts w:hint="eastAsia"/>
              </w:rPr>
              <w:t>、资产配置策略；</w:t>
            </w:r>
            <w:r>
              <w:rPr>
                <w:rFonts w:hint="eastAsia"/>
              </w:rPr>
              <w:t>2</w:t>
            </w:r>
            <w:r>
              <w:rPr>
                <w:rFonts w:hint="eastAsia"/>
              </w:rPr>
              <w:t>、目标</w:t>
            </w:r>
            <w:r>
              <w:rPr>
                <w:rFonts w:hint="eastAsia"/>
              </w:rPr>
              <w:t>ETF</w:t>
            </w:r>
            <w:r>
              <w:rPr>
                <w:rFonts w:hint="eastAsia"/>
              </w:rPr>
              <w:t>投资策略；</w:t>
            </w:r>
            <w:r>
              <w:rPr>
                <w:rFonts w:hint="eastAsia"/>
              </w:rPr>
              <w:t>3</w:t>
            </w:r>
            <w:r>
              <w:rPr>
                <w:rFonts w:hint="eastAsia"/>
              </w:rPr>
              <w:t>、成份股、备选成份股投资策略；</w:t>
            </w:r>
            <w:r>
              <w:rPr>
                <w:rFonts w:hint="eastAsia"/>
              </w:rPr>
              <w:t>4</w:t>
            </w:r>
            <w:r>
              <w:rPr>
                <w:rFonts w:hint="eastAsia"/>
              </w:rPr>
              <w:t>、金融衍生品投资策略；</w:t>
            </w:r>
            <w:r>
              <w:rPr>
                <w:rFonts w:hint="eastAsia"/>
              </w:rPr>
              <w:t>5</w:t>
            </w:r>
            <w:r>
              <w:rPr>
                <w:rFonts w:hint="eastAsia"/>
              </w:rPr>
              <w:t>、债券投资策略；</w:t>
            </w:r>
            <w:r>
              <w:rPr>
                <w:rFonts w:hint="eastAsia"/>
              </w:rPr>
              <w:t>6</w:t>
            </w:r>
            <w:r>
              <w:rPr>
                <w:rFonts w:hint="eastAsia"/>
              </w:rPr>
              <w:t>、可转换债券及可交换债券投资策略；</w:t>
            </w:r>
            <w:r>
              <w:rPr>
                <w:rFonts w:hint="eastAsia"/>
              </w:rPr>
              <w:t>7</w:t>
            </w:r>
            <w:r>
              <w:rPr>
                <w:rFonts w:hint="eastAsia"/>
              </w:rPr>
              <w:t>、资产支持证券投资策略；</w:t>
            </w:r>
            <w:r>
              <w:rPr>
                <w:rFonts w:hint="eastAsia"/>
              </w:rPr>
              <w:t>8</w:t>
            </w:r>
            <w:r>
              <w:rPr>
                <w:rFonts w:hint="eastAsia"/>
              </w:rPr>
              <w:t>、融资及转融通证券出借业务投资策略；</w:t>
            </w:r>
            <w:r>
              <w:rPr>
                <w:rFonts w:hint="eastAsia"/>
              </w:rPr>
              <w:t>9</w:t>
            </w:r>
            <w:r>
              <w:rPr>
                <w:rFonts w:hint="eastAsia"/>
              </w:rPr>
              <w:t>、存托凭证投资策略。</w:t>
            </w:r>
          </w:p>
        </w:tc>
      </w:tr>
      <w:tr w:rsidR="00F87013" w:rsidTr="00BD772D">
        <w:tc>
          <w:tcPr>
            <w:tcW w:w="2768" w:type="dxa"/>
          </w:tcPr>
          <w:p w:rsidR="00F87013" w:rsidRDefault="00F87013" w:rsidP="00F87013">
            <w:pPr>
              <w:jc w:val="left"/>
            </w:pPr>
            <w:r>
              <w:rPr>
                <w:rFonts w:hint="eastAsia"/>
              </w:rPr>
              <w:t>业绩比较基准</w:t>
            </w:r>
          </w:p>
        </w:tc>
        <w:tc>
          <w:tcPr>
            <w:tcW w:w="5538" w:type="dxa"/>
            <w:gridSpan w:val="2"/>
          </w:tcPr>
          <w:p w:rsidR="00F87013" w:rsidRDefault="00F87013" w:rsidP="00F87013">
            <w:r>
              <w:rPr>
                <w:rFonts w:hint="eastAsia"/>
              </w:rPr>
              <w:t>本基金的标的指数为深证主板</w:t>
            </w:r>
            <w:r>
              <w:rPr>
                <w:rFonts w:hint="eastAsia"/>
              </w:rPr>
              <w:t>50</w:t>
            </w:r>
            <w:r>
              <w:rPr>
                <w:rFonts w:hint="eastAsia"/>
              </w:rPr>
              <w:t>指数。</w:t>
            </w:r>
          </w:p>
          <w:p w:rsidR="00F87013" w:rsidRDefault="00F87013" w:rsidP="00F87013">
            <w:r>
              <w:rPr>
                <w:rFonts w:hint="eastAsia"/>
              </w:rPr>
              <w:t>本基金业绩比较基准为深证主板</w:t>
            </w:r>
            <w:r>
              <w:rPr>
                <w:rFonts w:hint="eastAsia"/>
              </w:rPr>
              <w:t>50</w:t>
            </w:r>
            <w:r>
              <w:rPr>
                <w:rFonts w:hint="eastAsia"/>
              </w:rPr>
              <w:t>指数收益率×</w:t>
            </w:r>
            <w:r>
              <w:rPr>
                <w:rFonts w:hint="eastAsia"/>
              </w:rPr>
              <w:t>95%+</w:t>
            </w:r>
            <w:r>
              <w:rPr>
                <w:rFonts w:hint="eastAsia"/>
              </w:rPr>
              <w:t>银</w:t>
            </w:r>
            <w:r>
              <w:rPr>
                <w:rFonts w:hint="eastAsia"/>
              </w:rPr>
              <w:lastRenderedPageBreak/>
              <w:t>行活期存款利率（税后）×</w:t>
            </w:r>
            <w:r>
              <w:rPr>
                <w:rFonts w:hint="eastAsia"/>
              </w:rPr>
              <w:t>5%</w:t>
            </w:r>
            <w:r>
              <w:rPr>
                <w:rFonts w:hint="eastAsia"/>
              </w:rPr>
              <w:t>。</w:t>
            </w:r>
          </w:p>
        </w:tc>
      </w:tr>
      <w:tr w:rsidR="00F87013" w:rsidTr="00C44423">
        <w:tc>
          <w:tcPr>
            <w:tcW w:w="2768" w:type="dxa"/>
          </w:tcPr>
          <w:p w:rsidR="00F87013" w:rsidRDefault="00F87013" w:rsidP="00F87013">
            <w:pPr>
              <w:jc w:val="left"/>
            </w:pPr>
            <w:r>
              <w:rPr>
                <w:rFonts w:hint="eastAsia"/>
              </w:rPr>
              <w:lastRenderedPageBreak/>
              <w:t>风险收益特征</w:t>
            </w:r>
          </w:p>
        </w:tc>
        <w:tc>
          <w:tcPr>
            <w:tcW w:w="5538" w:type="dxa"/>
            <w:gridSpan w:val="2"/>
          </w:tcPr>
          <w:p w:rsidR="00F87013" w:rsidRDefault="00F87013" w:rsidP="00F87013">
            <w:r>
              <w:rPr>
                <w:rFonts w:hint="eastAsia"/>
              </w:rPr>
              <w:t>本基金的目标</w:t>
            </w:r>
            <w:r>
              <w:rPr>
                <w:rFonts w:hint="eastAsia"/>
              </w:rPr>
              <w:t>ETF</w:t>
            </w:r>
            <w:r>
              <w:rPr>
                <w:rFonts w:hint="eastAsia"/>
              </w:rPr>
              <w:t>为股票型基金，一般而言，其长期平均风险与预期收益高于混合型基金、债券型基金与货币市场基金。本基金为</w:t>
            </w:r>
            <w:r>
              <w:rPr>
                <w:rFonts w:hint="eastAsia"/>
              </w:rPr>
              <w:t>ETF</w:t>
            </w:r>
            <w:r>
              <w:rPr>
                <w:rFonts w:hint="eastAsia"/>
              </w:rPr>
              <w:t>联接基金，通过投资于目标</w:t>
            </w:r>
            <w:r>
              <w:rPr>
                <w:rFonts w:hint="eastAsia"/>
              </w:rPr>
              <w:t>ETF</w:t>
            </w:r>
            <w:r>
              <w:rPr>
                <w:rFonts w:hint="eastAsia"/>
              </w:rPr>
              <w:t>跟踪标的指数表现，具有与标的指数以及标的指数所代表的市场相似的风险收益特征。</w:t>
            </w:r>
          </w:p>
        </w:tc>
      </w:tr>
      <w:tr w:rsidR="00F87013" w:rsidTr="00A06DBE">
        <w:tc>
          <w:tcPr>
            <w:tcW w:w="2768" w:type="dxa"/>
          </w:tcPr>
          <w:p w:rsidR="00F87013" w:rsidRDefault="00F87013" w:rsidP="00F87013">
            <w:pPr>
              <w:jc w:val="left"/>
            </w:pPr>
            <w:r>
              <w:rPr>
                <w:rFonts w:hint="eastAsia"/>
              </w:rPr>
              <w:t>基金管理人</w:t>
            </w:r>
          </w:p>
        </w:tc>
        <w:tc>
          <w:tcPr>
            <w:tcW w:w="5538" w:type="dxa"/>
            <w:gridSpan w:val="2"/>
          </w:tcPr>
          <w:p w:rsidR="00F87013" w:rsidRDefault="00F87013" w:rsidP="00F87013">
            <w:pPr>
              <w:jc w:val="left"/>
            </w:pPr>
            <w:r>
              <w:rPr>
                <w:rFonts w:hint="eastAsia"/>
              </w:rPr>
              <w:t>南方基金管理股份有限公司</w:t>
            </w:r>
          </w:p>
        </w:tc>
      </w:tr>
      <w:tr w:rsidR="00F87013" w:rsidTr="00F87013">
        <w:tc>
          <w:tcPr>
            <w:tcW w:w="2768" w:type="dxa"/>
          </w:tcPr>
          <w:p w:rsidR="00F87013" w:rsidRDefault="00F87013" w:rsidP="00F87013">
            <w:pPr>
              <w:jc w:val="left"/>
            </w:pPr>
            <w:r>
              <w:rPr>
                <w:rFonts w:hint="eastAsia"/>
              </w:rPr>
              <w:t>基金托管人</w:t>
            </w:r>
          </w:p>
        </w:tc>
        <w:tc>
          <w:tcPr>
            <w:tcW w:w="5538" w:type="dxa"/>
            <w:gridSpan w:val="2"/>
          </w:tcPr>
          <w:p w:rsidR="00F87013" w:rsidRDefault="00F87013" w:rsidP="00F87013">
            <w:pPr>
              <w:jc w:val="left"/>
            </w:pPr>
            <w:r>
              <w:rPr>
                <w:rFonts w:hint="eastAsia"/>
              </w:rPr>
              <w:t>中国工商银行股份有限公司</w:t>
            </w:r>
          </w:p>
        </w:tc>
      </w:tr>
      <w:tr w:rsidR="00F87013" w:rsidTr="00F87013">
        <w:tc>
          <w:tcPr>
            <w:tcW w:w="2768" w:type="dxa"/>
          </w:tcPr>
          <w:p w:rsidR="00F87013" w:rsidRDefault="00F87013" w:rsidP="00F87013">
            <w:pPr>
              <w:jc w:val="left"/>
            </w:pPr>
            <w:r>
              <w:rPr>
                <w:rFonts w:hint="eastAsia"/>
              </w:rPr>
              <w:t>下属分级基金的基金简称</w:t>
            </w:r>
          </w:p>
        </w:tc>
        <w:tc>
          <w:tcPr>
            <w:tcW w:w="2769" w:type="dxa"/>
          </w:tcPr>
          <w:p w:rsidR="00F87013" w:rsidRDefault="00F87013" w:rsidP="00F87013">
            <w:pPr>
              <w:jc w:val="left"/>
            </w:pPr>
            <w:r>
              <w:rPr>
                <w:rFonts w:hint="eastAsia"/>
              </w:rPr>
              <w:t>南方深证主板</w:t>
            </w:r>
            <w:r>
              <w:rPr>
                <w:rFonts w:hint="eastAsia"/>
              </w:rPr>
              <w:t>50ETF</w:t>
            </w:r>
            <w:r>
              <w:rPr>
                <w:rFonts w:hint="eastAsia"/>
              </w:rPr>
              <w:t>联接</w:t>
            </w:r>
            <w:r>
              <w:rPr>
                <w:rFonts w:hint="eastAsia"/>
              </w:rPr>
              <w:t>A</w:t>
            </w:r>
          </w:p>
        </w:tc>
        <w:tc>
          <w:tcPr>
            <w:tcW w:w="2769" w:type="dxa"/>
          </w:tcPr>
          <w:p w:rsidR="00F87013" w:rsidRDefault="00F87013" w:rsidP="00F87013">
            <w:pPr>
              <w:jc w:val="left"/>
            </w:pPr>
            <w:r>
              <w:rPr>
                <w:rFonts w:hint="eastAsia"/>
              </w:rPr>
              <w:t>南方深证主板</w:t>
            </w:r>
            <w:r>
              <w:rPr>
                <w:rFonts w:hint="eastAsia"/>
              </w:rPr>
              <w:t>50ETF</w:t>
            </w:r>
            <w:r>
              <w:rPr>
                <w:rFonts w:hint="eastAsia"/>
              </w:rPr>
              <w:t>联接</w:t>
            </w:r>
            <w:r>
              <w:rPr>
                <w:rFonts w:hint="eastAsia"/>
              </w:rPr>
              <w:t>C</w:t>
            </w:r>
          </w:p>
        </w:tc>
      </w:tr>
      <w:tr w:rsidR="00F87013" w:rsidTr="00F87013">
        <w:tc>
          <w:tcPr>
            <w:tcW w:w="2768" w:type="dxa"/>
          </w:tcPr>
          <w:p w:rsidR="00F87013" w:rsidRDefault="00F87013" w:rsidP="00F87013">
            <w:pPr>
              <w:jc w:val="left"/>
            </w:pPr>
            <w:r>
              <w:rPr>
                <w:rFonts w:hint="eastAsia"/>
              </w:rPr>
              <w:t>下属分级基金的交易代码</w:t>
            </w:r>
          </w:p>
        </w:tc>
        <w:tc>
          <w:tcPr>
            <w:tcW w:w="2769" w:type="dxa"/>
          </w:tcPr>
          <w:p w:rsidR="00F87013" w:rsidRDefault="00F87013" w:rsidP="00F87013">
            <w:pPr>
              <w:jc w:val="left"/>
            </w:pPr>
            <w:r>
              <w:t>021949</w:t>
            </w:r>
          </w:p>
        </w:tc>
        <w:tc>
          <w:tcPr>
            <w:tcW w:w="2769" w:type="dxa"/>
          </w:tcPr>
          <w:p w:rsidR="00F87013" w:rsidRDefault="00F87013" w:rsidP="00F87013">
            <w:pPr>
              <w:jc w:val="left"/>
            </w:pPr>
            <w:r>
              <w:t>021950</w:t>
            </w:r>
          </w:p>
        </w:tc>
      </w:tr>
      <w:tr w:rsidR="00F87013" w:rsidTr="00F87013">
        <w:tc>
          <w:tcPr>
            <w:tcW w:w="2768" w:type="dxa"/>
          </w:tcPr>
          <w:p w:rsidR="00F87013" w:rsidRDefault="00F87013" w:rsidP="00F87013">
            <w:pPr>
              <w:jc w:val="left"/>
            </w:pPr>
            <w:r>
              <w:rPr>
                <w:rFonts w:hint="eastAsia"/>
              </w:rPr>
              <w:t>报告期末下属分级基金的份额总额</w:t>
            </w:r>
          </w:p>
        </w:tc>
        <w:tc>
          <w:tcPr>
            <w:tcW w:w="2769" w:type="dxa"/>
          </w:tcPr>
          <w:p w:rsidR="00F87013" w:rsidRDefault="00F87013" w:rsidP="00F87013">
            <w:pPr>
              <w:jc w:val="left"/>
            </w:pPr>
            <w:r>
              <w:rPr>
                <w:rFonts w:hint="eastAsia"/>
              </w:rPr>
              <w:t>6,968,054.41</w:t>
            </w:r>
            <w:r>
              <w:rPr>
                <w:rFonts w:hint="eastAsia"/>
              </w:rPr>
              <w:t>份</w:t>
            </w:r>
          </w:p>
        </w:tc>
        <w:tc>
          <w:tcPr>
            <w:tcW w:w="2769" w:type="dxa"/>
          </w:tcPr>
          <w:p w:rsidR="00F87013" w:rsidRDefault="00F87013" w:rsidP="00F87013">
            <w:pPr>
              <w:jc w:val="left"/>
            </w:pPr>
            <w:r>
              <w:rPr>
                <w:rFonts w:hint="eastAsia"/>
              </w:rPr>
              <w:t>8,342,980.23</w:t>
            </w:r>
            <w:r>
              <w:rPr>
                <w:rFonts w:hint="eastAsia"/>
              </w:rPr>
              <w:t>份</w:t>
            </w:r>
          </w:p>
        </w:tc>
      </w:tr>
    </w:tbl>
    <w:p w:rsidR="00F87013" w:rsidRDefault="00F87013" w:rsidP="00F87013">
      <w:pPr>
        <w:pStyle w:val="-2"/>
        <w:spacing w:before="312"/>
      </w:pPr>
      <w:r>
        <w:rPr>
          <w:rFonts w:hint="eastAsia"/>
        </w:rPr>
        <w:t>目标基金基本情况</w:t>
      </w:r>
    </w:p>
    <w:tbl>
      <w:tblPr>
        <w:tblStyle w:val="-noheader"/>
        <w:tblW w:w="8506" w:type="dxa"/>
        <w:tblLayout w:type="fixed"/>
        <w:tblLook w:val="04A0" w:firstRow="1" w:lastRow="0" w:firstColumn="1" w:lastColumn="0" w:noHBand="0" w:noVBand="1"/>
      </w:tblPr>
      <w:tblGrid>
        <w:gridCol w:w="4253"/>
        <w:gridCol w:w="4253"/>
      </w:tblGrid>
      <w:tr w:rsidR="00F87013" w:rsidTr="00F87013">
        <w:tc>
          <w:tcPr>
            <w:tcW w:w="4253" w:type="dxa"/>
          </w:tcPr>
          <w:p w:rsidR="00F87013" w:rsidRDefault="00F87013" w:rsidP="00F87013">
            <w:pPr>
              <w:jc w:val="left"/>
            </w:pPr>
            <w:r>
              <w:rPr>
                <w:rFonts w:hint="eastAsia"/>
              </w:rPr>
              <w:t>基金名称</w:t>
            </w:r>
          </w:p>
        </w:tc>
        <w:tc>
          <w:tcPr>
            <w:tcW w:w="4253" w:type="dxa"/>
          </w:tcPr>
          <w:p w:rsidR="00F87013" w:rsidRDefault="00F87013" w:rsidP="00F87013">
            <w:pPr>
              <w:jc w:val="left"/>
            </w:pPr>
            <w:r>
              <w:rPr>
                <w:rFonts w:hint="eastAsia"/>
              </w:rPr>
              <w:t>南方深证主板</w:t>
            </w:r>
            <w:r>
              <w:rPr>
                <w:rFonts w:hint="eastAsia"/>
              </w:rPr>
              <w:t>50</w:t>
            </w:r>
            <w:r>
              <w:rPr>
                <w:rFonts w:hint="eastAsia"/>
              </w:rPr>
              <w:t>交易型开放式指数证券投资基金</w:t>
            </w:r>
          </w:p>
        </w:tc>
      </w:tr>
      <w:tr w:rsidR="00F87013" w:rsidTr="00F87013">
        <w:tc>
          <w:tcPr>
            <w:tcW w:w="4253" w:type="dxa"/>
          </w:tcPr>
          <w:p w:rsidR="00F87013" w:rsidRDefault="00F87013" w:rsidP="00F87013">
            <w:pPr>
              <w:jc w:val="left"/>
            </w:pPr>
            <w:r>
              <w:rPr>
                <w:rFonts w:hint="eastAsia"/>
              </w:rPr>
              <w:t>基金主代码</w:t>
            </w:r>
          </w:p>
        </w:tc>
        <w:tc>
          <w:tcPr>
            <w:tcW w:w="4253" w:type="dxa"/>
          </w:tcPr>
          <w:p w:rsidR="00F87013" w:rsidRDefault="00F87013" w:rsidP="00F87013">
            <w:pPr>
              <w:jc w:val="left"/>
            </w:pPr>
            <w:r>
              <w:t>159578</w:t>
            </w:r>
          </w:p>
        </w:tc>
      </w:tr>
      <w:tr w:rsidR="00F87013" w:rsidTr="00F87013">
        <w:tc>
          <w:tcPr>
            <w:tcW w:w="4253" w:type="dxa"/>
          </w:tcPr>
          <w:p w:rsidR="00F87013" w:rsidRDefault="00F87013" w:rsidP="00F87013">
            <w:pPr>
              <w:jc w:val="left"/>
            </w:pPr>
            <w:r>
              <w:rPr>
                <w:rFonts w:hint="eastAsia"/>
              </w:rPr>
              <w:t>基金运作方式</w:t>
            </w:r>
          </w:p>
        </w:tc>
        <w:tc>
          <w:tcPr>
            <w:tcW w:w="4253" w:type="dxa"/>
          </w:tcPr>
          <w:p w:rsidR="00F87013" w:rsidRDefault="00F87013" w:rsidP="00F87013">
            <w:pPr>
              <w:jc w:val="left"/>
            </w:pPr>
            <w:r>
              <w:rPr>
                <w:rFonts w:hint="eastAsia"/>
              </w:rPr>
              <w:t>交易型开放式</w:t>
            </w:r>
          </w:p>
        </w:tc>
      </w:tr>
      <w:tr w:rsidR="00F87013" w:rsidTr="00F87013">
        <w:tc>
          <w:tcPr>
            <w:tcW w:w="4253" w:type="dxa"/>
          </w:tcPr>
          <w:p w:rsidR="00F87013" w:rsidRDefault="00F87013" w:rsidP="00F87013">
            <w:pPr>
              <w:jc w:val="left"/>
            </w:pPr>
            <w:r>
              <w:rPr>
                <w:rFonts w:hint="eastAsia"/>
              </w:rPr>
              <w:t>基金合同生效日</w:t>
            </w:r>
          </w:p>
        </w:tc>
        <w:tc>
          <w:tcPr>
            <w:tcW w:w="4253" w:type="dxa"/>
          </w:tcPr>
          <w:p w:rsidR="00F87013" w:rsidRDefault="00F87013" w:rsidP="00F87013">
            <w:pPr>
              <w:jc w:val="left"/>
            </w:pPr>
            <w:r>
              <w:rPr>
                <w:rFonts w:hint="eastAsia"/>
              </w:rPr>
              <w:t>2024</w:t>
            </w:r>
            <w:r>
              <w:rPr>
                <w:rFonts w:hint="eastAsia"/>
              </w:rPr>
              <w:t>年</w:t>
            </w:r>
            <w:r>
              <w:rPr>
                <w:rFonts w:hint="eastAsia"/>
              </w:rPr>
              <w:t>5</w:t>
            </w:r>
            <w:r>
              <w:rPr>
                <w:rFonts w:hint="eastAsia"/>
              </w:rPr>
              <w:t>月</w:t>
            </w:r>
            <w:r>
              <w:rPr>
                <w:rFonts w:hint="eastAsia"/>
              </w:rPr>
              <w:t>30</w:t>
            </w:r>
            <w:r>
              <w:rPr>
                <w:rFonts w:hint="eastAsia"/>
              </w:rPr>
              <w:t>日</w:t>
            </w:r>
          </w:p>
        </w:tc>
      </w:tr>
      <w:tr w:rsidR="00F87013" w:rsidTr="00F87013">
        <w:tc>
          <w:tcPr>
            <w:tcW w:w="4253" w:type="dxa"/>
          </w:tcPr>
          <w:p w:rsidR="00F87013" w:rsidRDefault="00F87013" w:rsidP="00F87013">
            <w:pPr>
              <w:jc w:val="left"/>
            </w:pPr>
            <w:r>
              <w:rPr>
                <w:rFonts w:hint="eastAsia"/>
              </w:rPr>
              <w:t>基金份额上市的证券交易所</w:t>
            </w:r>
          </w:p>
        </w:tc>
        <w:tc>
          <w:tcPr>
            <w:tcW w:w="4253" w:type="dxa"/>
          </w:tcPr>
          <w:p w:rsidR="00F87013" w:rsidRDefault="00F87013" w:rsidP="00F87013">
            <w:pPr>
              <w:jc w:val="left"/>
            </w:pPr>
            <w:r>
              <w:rPr>
                <w:rFonts w:hint="eastAsia"/>
              </w:rPr>
              <w:t>深圳证券交易所</w:t>
            </w:r>
          </w:p>
        </w:tc>
      </w:tr>
      <w:tr w:rsidR="00F87013" w:rsidTr="00F87013">
        <w:tc>
          <w:tcPr>
            <w:tcW w:w="4253" w:type="dxa"/>
          </w:tcPr>
          <w:p w:rsidR="00F87013" w:rsidRDefault="00F87013" w:rsidP="00F87013">
            <w:pPr>
              <w:jc w:val="left"/>
            </w:pPr>
            <w:r>
              <w:rPr>
                <w:rFonts w:hint="eastAsia"/>
              </w:rPr>
              <w:t>上市日期</w:t>
            </w:r>
          </w:p>
        </w:tc>
        <w:tc>
          <w:tcPr>
            <w:tcW w:w="4253" w:type="dxa"/>
          </w:tcPr>
          <w:p w:rsidR="00F87013" w:rsidRDefault="00F87013" w:rsidP="00F87013">
            <w:pPr>
              <w:jc w:val="left"/>
            </w:pPr>
            <w:r>
              <w:rPr>
                <w:rFonts w:hint="eastAsia"/>
              </w:rPr>
              <w:t>2024</w:t>
            </w:r>
            <w:r>
              <w:rPr>
                <w:rFonts w:hint="eastAsia"/>
              </w:rPr>
              <w:t>年</w:t>
            </w:r>
            <w:r>
              <w:rPr>
                <w:rFonts w:hint="eastAsia"/>
              </w:rPr>
              <w:t>6</w:t>
            </w:r>
            <w:r>
              <w:rPr>
                <w:rFonts w:hint="eastAsia"/>
              </w:rPr>
              <w:t>月</w:t>
            </w:r>
            <w:r>
              <w:rPr>
                <w:rFonts w:hint="eastAsia"/>
              </w:rPr>
              <w:t>7</w:t>
            </w:r>
            <w:r>
              <w:rPr>
                <w:rFonts w:hint="eastAsia"/>
              </w:rPr>
              <w:t>日</w:t>
            </w:r>
          </w:p>
        </w:tc>
      </w:tr>
      <w:tr w:rsidR="00F87013" w:rsidTr="00F87013">
        <w:tc>
          <w:tcPr>
            <w:tcW w:w="4253" w:type="dxa"/>
          </w:tcPr>
          <w:p w:rsidR="00F87013" w:rsidRDefault="00F87013" w:rsidP="00F87013">
            <w:pPr>
              <w:jc w:val="left"/>
            </w:pPr>
            <w:r>
              <w:rPr>
                <w:rFonts w:hint="eastAsia"/>
              </w:rPr>
              <w:t>基金管理人名称</w:t>
            </w:r>
          </w:p>
        </w:tc>
        <w:tc>
          <w:tcPr>
            <w:tcW w:w="4253" w:type="dxa"/>
          </w:tcPr>
          <w:p w:rsidR="00F87013" w:rsidRDefault="00F87013" w:rsidP="00F87013">
            <w:pPr>
              <w:jc w:val="left"/>
            </w:pPr>
            <w:r>
              <w:rPr>
                <w:rFonts w:hint="eastAsia"/>
              </w:rPr>
              <w:t>南方基金管理股份有限公司</w:t>
            </w:r>
          </w:p>
        </w:tc>
      </w:tr>
      <w:tr w:rsidR="00F87013" w:rsidTr="00F87013">
        <w:tc>
          <w:tcPr>
            <w:tcW w:w="4253" w:type="dxa"/>
          </w:tcPr>
          <w:p w:rsidR="00F87013" w:rsidRDefault="00F87013" w:rsidP="00F87013">
            <w:pPr>
              <w:jc w:val="left"/>
            </w:pPr>
            <w:r>
              <w:rPr>
                <w:rFonts w:hint="eastAsia"/>
              </w:rPr>
              <w:t>基金托管人名称</w:t>
            </w:r>
          </w:p>
        </w:tc>
        <w:tc>
          <w:tcPr>
            <w:tcW w:w="4253" w:type="dxa"/>
          </w:tcPr>
          <w:p w:rsidR="00F87013" w:rsidRDefault="00F87013" w:rsidP="00F87013">
            <w:pPr>
              <w:jc w:val="left"/>
            </w:pPr>
            <w:r>
              <w:rPr>
                <w:rFonts w:hint="eastAsia"/>
              </w:rPr>
              <w:t>中国工商银行股份有限公司</w:t>
            </w:r>
          </w:p>
        </w:tc>
      </w:tr>
    </w:tbl>
    <w:p w:rsidR="00F87013" w:rsidRDefault="00F87013" w:rsidP="00F87013">
      <w:pPr>
        <w:pStyle w:val="-2"/>
        <w:spacing w:before="312"/>
      </w:pPr>
      <w:r>
        <w:rPr>
          <w:rFonts w:hint="eastAsia"/>
        </w:rPr>
        <w:t>目标基金产品说明</w:t>
      </w:r>
    </w:p>
    <w:tbl>
      <w:tblPr>
        <w:tblStyle w:val="-noheader"/>
        <w:tblW w:w="8506" w:type="dxa"/>
        <w:tblLayout w:type="fixed"/>
        <w:tblLook w:val="04A0" w:firstRow="1" w:lastRow="0" w:firstColumn="1" w:lastColumn="0" w:noHBand="0" w:noVBand="1"/>
      </w:tblPr>
      <w:tblGrid>
        <w:gridCol w:w="1418"/>
        <w:gridCol w:w="7088"/>
      </w:tblGrid>
      <w:tr w:rsidR="00F87013" w:rsidTr="00F87013">
        <w:tc>
          <w:tcPr>
            <w:tcW w:w="1418" w:type="dxa"/>
          </w:tcPr>
          <w:p w:rsidR="00F87013" w:rsidRDefault="00F87013" w:rsidP="00F87013">
            <w:pPr>
              <w:jc w:val="left"/>
            </w:pPr>
            <w:r>
              <w:rPr>
                <w:rFonts w:hint="eastAsia"/>
              </w:rPr>
              <w:t>投资目标</w:t>
            </w:r>
          </w:p>
        </w:tc>
        <w:tc>
          <w:tcPr>
            <w:tcW w:w="7088" w:type="dxa"/>
          </w:tcPr>
          <w:p w:rsidR="00F87013" w:rsidRDefault="00F87013" w:rsidP="00F87013">
            <w:pPr>
              <w:jc w:val="left"/>
            </w:pPr>
            <w:r>
              <w:rPr>
                <w:rFonts w:hint="eastAsia"/>
              </w:rPr>
              <w:t>紧密跟踪标的指数，追求跟踪偏离度和跟踪误差最小化。</w:t>
            </w:r>
          </w:p>
        </w:tc>
      </w:tr>
      <w:tr w:rsidR="00F87013" w:rsidTr="00F87013">
        <w:tc>
          <w:tcPr>
            <w:tcW w:w="1418" w:type="dxa"/>
          </w:tcPr>
          <w:p w:rsidR="00F87013" w:rsidRDefault="00F87013" w:rsidP="00F87013">
            <w:pPr>
              <w:jc w:val="left"/>
            </w:pPr>
            <w:r>
              <w:rPr>
                <w:rFonts w:hint="eastAsia"/>
              </w:rPr>
              <w:t>投资策略</w:t>
            </w:r>
          </w:p>
        </w:tc>
        <w:tc>
          <w:tcPr>
            <w:tcW w:w="7088" w:type="dxa"/>
          </w:tcPr>
          <w:p w:rsidR="00F87013" w:rsidRDefault="00F87013" w:rsidP="00F87013">
            <w:r>
              <w:rPr>
                <w:rFonts w:hint="eastAsia"/>
              </w:rPr>
              <w:t>本基金主要采用完全复制策略、替代策略及其他适当的策略以更好地跟踪标的指数，实现基金投资目标。本基金力争日均跟踪偏离度的绝对值不超过</w:t>
            </w:r>
            <w:r>
              <w:rPr>
                <w:rFonts w:hint="eastAsia"/>
              </w:rPr>
              <w:t>0.2%</w:t>
            </w:r>
            <w:r>
              <w:rPr>
                <w:rFonts w:hint="eastAsia"/>
              </w:rPr>
              <w:t>，年跟踪误差不超过</w:t>
            </w:r>
            <w:r>
              <w:rPr>
                <w:rFonts w:hint="eastAsia"/>
              </w:rPr>
              <w:t>2%</w:t>
            </w:r>
            <w:r>
              <w:rPr>
                <w:rFonts w:hint="eastAsia"/>
              </w:rPr>
              <w:t>。主要投资策略包括：完全复制策略、替代策略、金融衍生品投资策略、债券投资策略、可转换债券及可交换债券投资策略、资产支持证券投资策略、融资及转融通证券出借业务投资策略、存托凭证投资策略等。</w:t>
            </w:r>
          </w:p>
        </w:tc>
      </w:tr>
      <w:tr w:rsidR="00F87013" w:rsidTr="00F87013">
        <w:tc>
          <w:tcPr>
            <w:tcW w:w="1418" w:type="dxa"/>
          </w:tcPr>
          <w:p w:rsidR="00F87013" w:rsidRDefault="00F87013" w:rsidP="00F87013">
            <w:pPr>
              <w:jc w:val="left"/>
            </w:pPr>
            <w:r>
              <w:rPr>
                <w:rFonts w:hint="eastAsia"/>
              </w:rPr>
              <w:t>业绩比较基准</w:t>
            </w:r>
          </w:p>
        </w:tc>
        <w:tc>
          <w:tcPr>
            <w:tcW w:w="7088" w:type="dxa"/>
          </w:tcPr>
          <w:p w:rsidR="00F87013" w:rsidRDefault="00F87013" w:rsidP="00F87013">
            <w:pPr>
              <w:jc w:val="left"/>
            </w:pPr>
            <w:r>
              <w:rPr>
                <w:rFonts w:hint="eastAsia"/>
              </w:rPr>
              <w:t>本基金的业绩比较基准为标的指数收益率。本基金标的指数为深证主板</w:t>
            </w:r>
            <w:r>
              <w:rPr>
                <w:rFonts w:hint="eastAsia"/>
              </w:rPr>
              <w:t>50</w:t>
            </w:r>
            <w:r>
              <w:rPr>
                <w:rFonts w:hint="eastAsia"/>
              </w:rPr>
              <w:t>指数，及其未来可能发生的变更。</w:t>
            </w:r>
          </w:p>
        </w:tc>
      </w:tr>
      <w:tr w:rsidR="00F87013" w:rsidTr="00F87013">
        <w:tc>
          <w:tcPr>
            <w:tcW w:w="1418" w:type="dxa"/>
          </w:tcPr>
          <w:p w:rsidR="00F87013" w:rsidRDefault="00F87013" w:rsidP="00F87013">
            <w:pPr>
              <w:jc w:val="left"/>
            </w:pPr>
            <w:r>
              <w:rPr>
                <w:rFonts w:hint="eastAsia"/>
              </w:rPr>
              <w:t>风险收益特征</w:t>
            </w:r>
          </w:p>
        </w:tc>
        <w:tc>
          <w:tcPr>
            <w:tcW w:w="7088" w:type="dxa"/>
          </w:tcPr>
          <w:p w:rsidR="00F87013" w:rsidRDefault="00F87013" w:rsidP="00F87013">
            <w:r>
              <w:rPr>
                <w:rFonts w:hint="eastAsia"/>
              </w:rPr>
              <w:t>本基金属股票型基金，一般而言，其长期平均风险和预期收益水平高于混合型基金、债券型基金与货币市场基金。本基金采用完全复制法跟踪标的指数的表现，具有与标的指数、以及标的指数所代表的股票市场相似的风险收益特征。</w:t>
            </w:r>
          </w:p>
        </w:tc>
      </w:tr>
    </w:tbl>
    <w:p w:rsidR="00F87013" w:rsidRDefault="00F87013" w:rsidP="00F87013">
      <w:pPr>
        <w:pStyle w:val="-1"/>
        <w:ind w:left="281" w:hanging="281"/>
      </w:pPr>
      <w:r>
        <w:rPr>
          <w:rFonts w:hint="eastAsia"/>
        </w:rPr>
        <w:t>主要财务指标和基金净值表现</w:t>
      </w:r>
    </w:p>
    <w:p w:rsidR="00F87013" w:rsidRDefault="00F87013" w:rsidP="00F87013">
      <w:pPr>
        <w:pStyle w:val="-2"/>
        <w:spacing w:before="312"/>
      </w:pPr>
      <w:r>
        <w:rPr>
          <w:rFonts w:hint="eastAsia"/>
        </w:rPr>
        <w:lastRenderedPageBreak/>
        <w:t>主要财务指标</w:t>
      </w:r>
    </w:p>
    <w:p w:rsidR="00F87013" w:rsidRDefault="00F87013" w:rsidP="00F87013">
      <w:pPr>
        <w:jc w:val="right"/>
      </w:pPr>
      <w:r>
        <w:rPr>
          <w:rFonts w:hint="eastAsia"/>
        </w:rPr>
        <w:t>单位：人民币元</w:t>
      </w:r>
    </w:p>
    <w:tbl>
      <w:tblPr>
        <w:tblStyle w:val="-0"/>
        <w:tblW w:w="8306" w:type="dxa"/>
        <w:tblLayout w:type="fixed"/>
        <w:tblLook w:val="04A0" w:firstRow="1" w:lastRow="0" w:firstColumn="1" w:lastColumn="0" w:noHBand="0" w:noVBand="1"/>
      </w:tblPr>
      <w:tblGrid>
        <w:gridCol w:w="2768"/>
        <w:gridCol w:w="2769"/>
        <w:gridCol w:w="2769"/>
      </w:tblGrid>
      <w:tr w:rsidR="00F87013" w:rsidTr="00F87013">
        <w:trPr>
          <w:cnfStyle w:val="100000000000" w:firstRow="1" w:lastRow="0" w:firstColumn="0" w:lastColumn="0" w:oddVBand="0" w:evenVBand="0" w:oddHBand="0" w:evenHBand="0" w:firstRowFirstColumn="0" w:firstRowLastColumn="0" w:lastRowFirstColumn="0" w:lastRowLastColumn="0"/>
        </w:trPr>
        <w:tc>
          <w:tcPr>
            <w:tcW w:w="2768" w:type="dxa"/>
            <w:vMerge w:val="restart"/>
          </w:tcPr>
          <w:p w:rsidR="00F87013" w:rsidRPr="00F87013" w:rsidRDefault="00F87013" w:rsidP="00F87013">
            <w:pPr>
              <w:jc w:val="center"/>
              <w:rPr>
                <w:b/>
              </w:rPr>
            </w:pPr>
            <w:r w:rsidRPr="00F87013">
              <w:rPr>
                <w:rFonts w:hint="eastAsia"/>
                <w:b/>
              </w:rPr>
              <w:t>主要财务指标</w:t>
            </w:r>
          </w:p>
        </w:tc>
        <w:tc>
          <w:tcPr>
            <w:tcW w:w="5538" w:type="dxa"/>
            <w:gridSpan w:val="2"/>
            <w:tcBorders>
              <w:bottom w:val="single" w:sz="4" w:space="0" w:color="auto"/>
            </w:tcBorders>
          </w:tcPr>
          <w:p w:rsidR="00F87013" w:rsidRPr="00F87013" w:rsidRDefault="00F87013" w:rsidP="00F87013">
            <w:pPr>
              <w:jc w:val="center"/>
              <w:rPr>
                <w:b/>
              </w:rPr>
            </w:pPr>
            <w:r w:rsidRPr="00F87013">
              <w:rPr>
                <w:rFonts w:hint="eastAsia"/>
                <w:b/>
              </w:rPr>
              <w:t>报告期（</w:t>
            </w:r>
            <w:r w:rsidRPr="00F87013">
              <w:rPr>
                <w:rFonts w:hint="eastAsia"/>
                <w:b/>
              </w:rPr>
              <w:t>2026</w:t>
            </w:r>
            <w:r w:rsidRPr="00F87013">
              <w:rPr>
                <w:rFonts w:hint="eastAsia"/>
                <w:b/>
              </w:rPr>
              <w:t>年</w:t>
            </w:r>
            <w:r w:rsidRPr="00F87013">
              <w:rPr>
                <w:rFonts w:hint="eastAsia"/>
                <w:b/>
              </w:rPr>
              <w:t>4</w:t>
            </w:r>
            <w:r w:rsidRPr="00F87013">
              <w:rPr>
                <w:rFonts w:hint="eastAsia"/>
                <w:b/>
              </w:rPr>
              <w:t>月</w:t>
            </w:r>
            <w:r w:rsidRPr="00F87013">
              <w:rPr>
                <w:rFonts w:hint="eastAsia"/>
                <w:b/>
              </w:rPr>
              <w:t>1</w:t>
            </w:r>
            <w:r w:rsidRPr="00F87013">
              <w:rPr>
                <w:rFonts w:hint="eastAsia"/>
                <w:b/>
              </w:rPr>
              <w:t>日－</w:t>
            </w:r>
            <w:r w:rsidRPr="00F87013">
              <w:rPr>
                <w:rFonts w:hint="eastAsia"/>
                <w:b/>
              </w:rPr>
              <w:t>2026</w:t>
            </w:r>
            <w:r w:rsidRPr="00F87013">
              <w:rPr>
                <w:rFonts w:hint="eastAsia"/>
                <w:b/>
              </w:rPr>
              <w:t>年</w:t>
            </w:r>
            <w:r w:rsidRPr="00F87013">
              <w:rPr>
                <w:rFonts w:hint="eastAsia"/>
                <w:b/>
              </w:rPr>
              <w:t>6</w:t>
            </w:r>
            <w:r w:rsidRPr="00F87013">
              <w:rPr>
                <w:rFonts w:hint="eastAsia"/>
                <w:b/>
              </w:rPr>
              <w:t>月</w:t>
            </w:r>
            <w:r w:rsidRPr="00F87013">
              <w:rPr>
                <w:rFonts w:hint="eastAsia"/>
                <w:b/>
              </w:rPr>
              <w:t>30</w:t>
            </w:r>
            <w:r w:rsidRPr="00F87013">
              <w:rPr>
                <w:rFonts w:hint="eastAsia"/>
                <w:b/>
              </w:rPr>
              <w:t>日）</w:t>
            </w:r>
          </w:p>
        </w:tc>
      </w:tr>
      <w:tr w:rsidR="00F87013" w:rsidTr="00F87013">
        <w:tc>
          <w:tcPr>
            <w:tcW w:w="2768" w:type="dxa"/>
            <w:vMerge/>
          </w:tcPr>
          <w:p w:rsidR="00F87013" w:rsidRDefault="00F87013" w:rsidP="00F87013">
            <w:pPr>
              <w:jc w:val="left"/>
            </w:pPr>
          </w:p>
        </w:tc>
        <w:tc>
          <w:tcPr>
            <w:tcW w:w="2769" w:type="dxa"/>
            <w:shd w:val="clear" w:color="auto" w:fill="BFBFBF"/>
          </w:tcPr>
          <w:p w:rsidR="00F87013" w:rsidRPr="00F87013" w:rsidRDefault="00F87013" w:rsidP="00F87013">
            <w:pPr>
              <w:jc w:val="center"/>
              <w:rPr>
                <w:b/>
              </w:rPr>
            </w:pPr>
            <w:r w:rsidRPr="00F87013">
              <w:rPr>
                <w:rFonts w:hint="eastAsia"/>
                <w:b/>
              </w:rPr>
              <w:t>南方深证主板</w:t>
            </w:r>
            <w:r w:rsidRPr="00F87013">
              <w:rPr>
                <w:rFonts w:hint="eastAsia"/>
                <w:b/>
              </w:rPr>
              <w:t>50ETF</w:t>
            </w:r>
            <w:r w:rsidRPr="00F87013">
              <w:rPr>
                <w:rFonts w:hint="eastAsia"/>
                <w:b/>
              </w:rPr>
              <w:t>联接</w:t>
            </w:r>
            <w:r w:rsidRPr="00F87013">
              <w:rPr>
                <w:rFonts w:hint="eastAsia"/>
                <w:b/>
              </w:rPr>
              <w:t>A</w:t>
            </w:r>
          </w:p>
        </w:tc>
        <w:tc>
          <w:tcPr>
            <w:tcW w:w="2769" w:type="dxa"/>
            <w:shd w:val="clear" w:color="auto" w:fill="BFBFBF"/>
          </w:tcPr>
          <w:p w:rsidR="00F87013" w:rsidRPr="00F87013" w:rsidRDefault="00F87013" w:rsidP="00F87013">
            <w:pPr>
              <w:jc w:val="center"/>
              <w:rPr>
                <w:b/>
              </w:rPr>
            </w:pPr>
            <w:r w:rsidRPr="00F87013">
              <w:rPr>
                <w:rFonts w:hint="eastAsia"/>
                <w:b/>
              </w:rPr>
              <w:t>南方深证主板</w:t>
            </w:r>
            <w:r w:rsidRPr="00F87013">
              <w:rPr>
                <w:rFonts w:hint="eastAsia"/>
                <w:b/>
              </w:rPr>
              <w:t>50ETF</w:t>
            </w:r>
            <w:r w:rsidRPr="00F87013">
              <w:rPr>
                <w:rFonts w:hint="eastAsia"/>
                <w:b/>
              </w:rPr>
              <w:t>联接</w:t>
            </w:r>
            <w:r w:rsidRPr="00F87013">
              <w:rPr>
                <w:rFonts w:hint="eastAsia"/>
                <w:b/>
              </w:rPr>
              <w:t>C</w:t>
            </w:r>
          </w:p>
        </w:tc>
      </w:tr>
      <w:tr w:rsidR="00F87013" w:rsidTr="00F87013">
        <w:tc>
          <w:tcPr>
            <w:tcW w:w="2768" w:type="dxa"/>
          </w:tcPr>
          <w:p w:rsidR="00F87013" w:rsidRDefault="00F87013" w:rsidP="00F87013">
            <w:pPr>
              <w:jc w:val="left"/>
            </w:pPr>
            <w:r>
              <w:rPr>
                <w:rFonts w:hint="eastAsia"/>
              </w:rPr>
              <w:t>1.</w:t>
            </w:r>
            <w:r>
              <w:rPr>
                <w:rFonts w:hint="eastAsia"/>
              </w:rPr>
              <w:t>本期已实现收益</w:t>
            </w:r>
          </w:p>
        </w:tc>
        <w:tc>
          <w:tcPr>
            <w:tcW w:w="2769" w:type="dxa"/>
          </w:tcPr>
          <w:p w:rsidR="00F87013" w:rsidRDefault="00F87013" w:rsidP="00F87013">
            <w:pPr>
              <w:jc w:val="right"/>
            </w:pPr>
            <w:r>
              <w:t>396,383.12</w:t>
            </w:r>
          </w:p>
        </w:tc>
        <w:tc>
          <w:tcPr>
            <w:tcW w:w="2769" w:type="dxa"/>
          </w:tcPr>
          <w:p w:rsidR="00F87013" w:rsidRDefault="00F87013" w:rsidP="00F87013">
            <w:pPr>
              <w:jc w:val="right"/>
            </w:pPr>
            <w:r>
              <w:t>431,160.34</w:t>
            </w:r>
          </w:p>
        </w:tc>
      </w:tr>
      <w:tr w:rsidR="00F87013" w:rsidTr="00F87013">
        <w:tc>
          <w:tcPr>
            <w:tcW w:w="2768" w:type="dxa"/>
          </w:tcPr>
          <w:p w:rsidR="00F87013" w:rsidRDefault="00F87013" w:rsidP="00F87013">
            <w:pPr>
              <w:jc w:val="left"/>
            </w:pPr>
            <w:r>
              <w:rPr>
                <w:rFonts w:hint="eastAsia"/>
              </w:rPr>
              <w:t>2.</w:t>
            </w:r>
            <w:r>
              <w:rPr>
                <w:rFonts w:hint="eastAsia"/>
              </w:rPr>
              <w:t>本期利润</w:t>
            </w:r>
          </w:p>
        </w:tc>
        <w:tc>
          <w:tcPr>
            <w:tcW w:w="2769" w:type="dxa"/>
          </w:tcPr>
          <w:p w:rsidR="00F87013" w:rsidRDefault="00F87013" w:rsidP="00F87013">
            <w:pPr>
              <w:jc w:val="right"/>
            </w:pPr>
            <w:r>
              <w:t>520,196.80</w:t>
            </w:r>
          </w:p>
        </w:tc>
        <w:tc>
          <w:tcPr>
            <w:tcW w:w="2769" w:type="dxa"/>
          </w:tcPr>
          <w:p w:rsidR="00F87013" w:rsidRDefault="00F87013" w:rsidP="00F87013">
            <w:pPr>
              <w:jc w:val="right"/>
            </w:pPr>
            <w:r>
              <w:t>611,558.83</w:t>
            </w:r>
          </w:p>
        </w:tc>
      </w:tr>
      <w:tr w:rsidR="00F87013" w:rsidTr="00F87013">
        <w:tc>
          <w:tcPr>
            <w:tcW w:w="2768" w:type="dxa"/>
          </w:tcPr>
          <w:p w:rsidR="00F87013" w:rsidRDefault="00F87013" w:rsidP="00F87013">
            <w:pPr>
              <w:jc w:val="left"/>
            </w:pPr>
            <w:r>
              <w:rPr>
                <w:rFonts w:hint="eastAsia"/>
              </w:rPr>
              <w:t>3.</w:t>
            </w:r>
            <w:r>
              <w:rPr>
                <w:rFonts w:hint="eastAsia"/>
              </w:rPr>
              <w:t>加权平均基金份额本期利润</w:t>
            </w:r>
          </w:p>
        </w:tc>
        <w:tc>
          <w:tcPr>
            <w:tcW w:w="2769" w:type="dxa"/>
          </w:tcPr>
          <w:p w:rsidR="00F87013" w:rsidRDefault="00F87013" w:rsidP="00F87013">
            <w:pPr>
              <w:jc w:val="right"/>
            </w:pPr>
            <w:r>
              <w:t>0.0585</w:t>
            </w:r>
          </w:p>
        </w:tc>
        <w:tc>
          <w:tcPr>
            <w:tcW w:w="2769" w:type="dxa"/>
          </w:tcPr>
          <w:p w:rsidR="00F87013" w:rsidRDefault="00F87013" w:rsidP="00F87013">
            <w:pPr>
              <w:jc w:val="right"/>
            </w:pPr>
            <w:r>
              <w:t>0.0626</w:t>
            </w:r>
          </w:p>
        </w:tc>
      </w:tr>
      <w:tr w:rsidR="00F87013" w:rsidTr="00F87013">
        <w:tc>
          <w:tcPr>
            <w:tcW w:w="2768" w:type="dxa"/>
          </w:tcPr>
          <w:p w:rsidR="00F87013" w:rsidRDefault="00F87013" w:rsidP="00F87013">
            <w:pPr>
              <w:jc w:val="left"/>
            </w:pPr>
            <w:r>
              <w:rPr>
                <w:rFonts w:hint="eastAsia"/>
              </w:rPr>
              <w:t>4.</w:t>
            </w:r>
            <w:r>
              <w:rPr>
                <w:rFonts w:hint="eastAsia"/>
              </w:rPr>
              <w:t>期末基金资产净值</w:t>
            </w:r>
          </w:p>
        </w:tc>
        <w:tc>
          <w:tcPr>
            <w:tcW w:w="2769" w:type="dxa"/>
          </w:tcPr>
          <w:p w:rsidR="00F87013" w:rsidRDefault="00F87013" w:rsidP="00F87013">
            <w:pPr>
              <w:jc w:val="right"/>
            </w:pPr>
            <w:r>
              <w:t>7,731,929.94</w:t>
            </w:r>
          </w:p>
        </w:tc>
        <w:tc>
          <w:tcPr>
            <w:tcW w:w="2769" w:type="dxa"/>
          </w:tcPr>
          <w:p w:rsidR="00F87013" w:rsidRDefault="00F87013" w:rsidP="00F87013">
            <w:pPr>
              <w:jc w:val="right"/>
            </w:pPr>
            <w:r>
              <w:t>9,210,147.33</w:t>
            </w:r>
          </w:p>
        </w:tc>
      </w:tr>
      <w:tr w:rsidR="00F87013" w:rsidTr="00F87013">
        <w:tc>
          <w:tcPr>
            <w:tcW w:w="2768" w:type="dxa"/>
          </w:tcPr>
          <w:p w:rsidR="00F87013" w:rsidRDefault="00F87013" w:rsidP="00F87013">
            <w:pPr>
              <w:jc w:val="left"/>
            </w:pPr>
            <w:r>
              <w:rPr>
                <w:rFonts w:hint="eastAsia"/>
              </w:rPr>
              <w:t>5.</w:t>
            </w:r>
            <w:r>
              <w:rPr>
                <w:rFonts w:hint="eastAsia"/>
              </w:rPr>
              <w:t>期末基金份额净值</w:t>
            </w:r>
          </w:p>
        </w:tc>
        <w:tc>
          <w:tcPr>
            <w:tcW w:w="2769" w:type="dxa"/>
          </w:tcPr>
          <w:p w:rsidR="00F87013" w:rsidRDefault="00F87013" w:rsidP="00F87013">
            <w:pPr>
              <w:jc w:val="right"/>
            </w:pPr>
            <w:r>
              <w:t>1.1096</w:t>
            </w:r>
          </w:p>
        </w:tc>
        <w:tc>
          <w:tcPr>
            <w:tcW w:w="2769" w:type="dxa"/>
          </w:tcPr>
          <w:p w:rsidR="00F87013" w:rsidRDefault="00F87013" w:rsidP="00F87013">
            <w:pPr>
              <w:jc w:val="right"/>
            </w:pPr>
            <w:r>
              <w:t>1.1039</w:t>
            </w:r>
          </w:p>
        </w:tc>
      </w:tr>
    </w:tbl>
    <w:p w:rsidR="00F87013" w:rsidRDefault="00F87013" w:rsidP="00F87013">
      <w:pPr>
        <w:pStyle w:val="-8"/>
      </w:pPr>
      <w:r>
        <w:rPr>
          <w:rFonts w:hint="eastAsia"/>
        </w:rPr>
        <w:t>注：基金业绩指标不包括持有人认（申）购或交易基金的各项费用，计入费用后实际收益水平要低于所列数字；</w:t>
      </w:r>
    </w:p>
    <w:p w:rsidR="00F87013" w:rsidRDefault="00F87013" w:rsidP="00F87013">
      <w:pPr>
        <w:pStyle w:val="-"/>
        <w:ind w:firstLine="420"/>
      </w:pPr>
      <w:r>
        <w:rPr>
          <w:rFonts w:hint="eastAsia"/>
        </w:rPr>
        <w:t>本期已实现收益指基金本期利息收入、投资收益、其他收入(不含公允价值变动收益)扣除相关费用和信用减值损失后的余额，本期利润为本期已实现收益加上本期公允价值变动收益。</w:t>
      </w:r>
    </w:p>
    <w:p w:rsidR="00F87013" w:rsidRDefault="00F87013" w:rsidP="00F87013">
      <w:pPr>
        <w:pStyle w:val="-2"/>
        <w:spacing w:before="312"/>
      </w:pPr>
      <w:r>
        <w:rPr>
          <w:rFonts w:hint="eastAsia"/>
        </w:rPr>
        <w:t>基金净值表现</w:t>
      </w:r>
    </w:p>
    <w:p w:rsidR="00F87013" w:rsidRDefault="00F87013" w:rsidP="00F87013">
      <w:pPr>
        <w:pStyle w:val="-3"/>
        <w:spacing w:before="156" w:after="156"/>
      </w:pPr>
      <w:r>
        <w:rPr>
          <w:rFonts w:hint="eastAsia"/>
        </w:rPr>
        <w:t>本报告期基金份额净值增长率及其与同期业绩比较基准收益率的比较</w:t>
      </w:r>
    </w:p>
    <w:p w:rsidR="00F87013" w:rsidRDefault="00F87013" w:rsidP="00F87013">
      <w:pPr>
        <w:pStyle w:val="-"/>
        <w:ind w:firstLine="420"/>
      </w:pPr>
      <w:r>
        <w:rPr>
          <w:rFonts w:hint="eastAsia"/>
        </w:rPr>
        <w:t>南方深证主板50ETF联接A</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87013" w:rsidTr="00F87013">
        <w:trPr>
          <w:cnfStyle w:val="100000000000" w:firstRow="1" w:lastRow="0" w:firstColumn="0" w:lastColumn="0" w:oddVBand="0" w:evenVBand="0" w:oddHBand="0" w:evenHBand="0" w:firstRowFirstColumn="0" w:firstRowLastColumn="0" w:lastRowFirstColumn="0" w:lastRowLastColumn="0"/>
        </w:trPr>
        <w:tc>
          <w:tcPr>
            <w:tcW w:w="1429" w:type="dxa"/>
          </w:tcPr>
          <w:p w:rsidR="00F87013" w:rsidRPr="00F87013" w:rsidRDefault="00F87013" w:rsidP="00F87013">
            <w:pPr>
              <w:jc w:val="center"/>
              <w:rPr>
                <w:b/>
              </w:rPr>
            </w:pPr>
            <w:r w:rsidRPr="00F87013">
              <w:rPr>
                <w:rFonts w:hint="eastAsia"/>
                <w:b/>
              </w:rPr>
              <w:t>阶段</w:t>
            </w:r>
          </w:p>
        </w:tc>
        <w:tc>
          <w:tcPr>
            <w:tcW w:w="1315" w:type="dxa"/>
          </w:tcPr>
          <w:p w:rsidR="00F87013" w:rsidRPr="00F87013" w:rsidRDefault="00F87013" w:rsidP="00F87013">
            <w:pPr>
              <w:jc w:val="center"/>
              <w:rPr>
                <w:b/>
              </w:rPr>
            </w:pPr>
            <w:r w:rsidRPr="00F87013">
              <w:rPr>
                <w:rFonts w:hint="eastAsia"/>
                <w:b/>
              </w:rPr>
              <w:t>净值增长率①</w:t>
            </w:r>
          </w:p>
        </w:tc>
        <w:tc>
          <w:tcPr>
            <w:tcW w:w="1315" w:type="dxa"/>
          </w:tcPr>
          <w:p w:rsidR="00F87013" w:rsidRPr="00F87013" w:rsidRDefault="00F87013" w:rsidP="00F87013">
            <w:pPr>
              <w:jc w:val="center"/>
              <w:rPr>
                <w:b/>
              </w:rPr>
            </w:pPr>
            <w:r w:rsidRPr="00F87013">
              <w:rPr>
                <w:rFonts w:hint="eastAsia"/>
                <w:b/>
              </w:rPr>
              <w:t>净值增长率标准差②</w:t>
            </w:r>
          </w:p>
        </w:tc>
        <w:tc>
          <w:tcPr>
            <w:tcW w:w="1315" w:type="dxa"/>
          </w:tcPr>
          <w:p w:rsidR="00F87013" w:rsidRPr="00F87013" w:rsidRDefault="00F87013" w:rsidP="00F87013">
            <w:pPr>
              <w:jc w:val="center"/>
              <w:rPr>
                <w:b/>
              </w:rPr>
            </w:pPr>
            <w:r w:rsidRPr="00F87013">
              <w:rPr>
                <w:rFonts w:hint="eastAsia"/>
                <w:b/>
              </w:rPr>
              <w:t>业绩比较基准收益率③</w:t>
            </w:r>
          </w:p>
        </w:tc>
        <w:tc>
          <w:tcPr>
            <w:tcW w:w="1315" w:type="dxa"/>
          </w:tcPr>
          <w:p w:rsidR="00F87013" w:rsidRPr="00F87013" w:rsidRDefault="00F87013" w:rsidP="00F87013">
            <w:pPr>
              <w:jc w:val="center"/>
              <w:rPr>
                <w:b/>
              </w:rPr>
            </w:pPr>
            <w:r w:rsidRPr="00F87013">
              <w:rPr>
                <w:rFonts w:hint="eastAsia"/>
                <w:b/>
              </w:rPr>
              <w:t>业绩比较基准收益率标准差④</w:t>
            </w:r>
          </w:p>
        </w:tc>
        <w:tc>
          <w:tcPr>
            <w:tcW w:w="907" w:type="dxa"/>
          </w:tcPr>
          <w:p w:rsidR="00F87013" w:rsidRPr="00F87013" w:rsidRDefault="00F87013" w:rsidP="00F87013">
            <w:pPr>
              <w:jc w:val="center"/>
              <w:rPr>
                <w:b/>
              </w:rPr>
            </w:pPr>
            <w:r w:rsidRPr="00F87013">
              <w:rPr>
                <w:rFonts w:hint="eastAsia"/>
                <w:b/>
              </w:rPr>
              <w:t>①</w:t>
            </w:r>
            <w:r w:rsidRPr="00F87013">
              <w:rPr>
                <w:rFonts w:hint="eastAsia"/>
                <w:b/>
              </w:rPr>
              <w:t>-</w:t>
            </w:r>
            <w:r w:rsidRPr="00F87013">
              <w:rPr>
                <w:rFonts w:hint="eastAsia"/>
                <w:b/>
              </w:rPr>
              <w:t>③</w:t>
            </w:r>
          </w:p>
        </w:tc>
        <w:tc>
          <w:tcPr>
            <w:tcW w:w="907" w:type="dxa"/>
          </w:tcPr>
          <w:p w:rsidR="00F87013" w:rsidRPr="00F87013" w:rsidRDefault="00F87013" w:rsidP="00F87013">
            <w:pPr>
              <w:jc w:val="center"/>
              <w:rPr>
                <w:b/>
              </w:rPr>
            </w:pPr>
            <w:r w:rsidRPr="00F87013">
              <w:rPr>
                <w:rFonts w:hint="eastAsia"/>
                <w:b/>
              </w:rPr>
              <w:t>②</w:t>
            </w:r>
            <w:r w:rsidRPr="00F87013">
              <w:rPr>
                <w:rFonts w:hint="eastAsia"/>
                <w:b/>
              </w:rPr>
              <w:t>-</w:t>
            </w:r>
            <w:r w:rsidRPr="00F87013">
              <w:rPr>
                <w:rFonts w:hint="eastAsia"/>
                <w:b/>
              </w:rPr>
              <w:t>④</w:t>
            </w:r>
          </w:p>
        </w:tc>
      </w:tr>
      <w:tr w:rsidR="00F87013" w:rsidTr="00F87013">
        <w:tc>
          <w:tcPr>
            <w:tcW w:w="1429" w:type="dxa"/>
          </w:tcPr>
          <w:p w:rsidR="00F87013" w:rsidRDefault="00F87013" w:rsidP="00F87013">
            <w:pPr>
              <w:jc w:val="left"/>
            </w:pPr>
            <w:r>
              <w:rPr>
                <w:rFonts w:hint="eastAsia"/>
              </w:rPr>
              <w:t>过去三个月</w:t>
            </w:r>
          </w:p>
        </w:tc>
        <w:tc>
          <w:tcPr>
            <w:tcW w:w="1315" w:type="dxa"/>
          </w:tcPr>
          <w:p w:rsidR="00F87013" w:rsidRDefault="00F87013" w:rsidP="00F87013">
            <w:pPr>
              <w:jc w:val="right"/>
            </w:pPr>
            <w:r>
              <w:t>4.71%</w:t>
            </w:r>
          </w:p>
        </w:tc>
        <w:tc>
          <w:tcPr>
            <w:tcW w:w="1315" w:type="dxa"/>
          </w:tcPr>
          <w:p w:rsidR="00F87013" w:rsidRDefault="00F87013" w:rsidP="00F87013">
            <w:pPr>
              <w:jc w:val="right"/>
            </w:pPr>
            <w:r>
              <w:t>1.00%</w:t>
            </w:r>
          </w:p>
        </w:tc>
        <w:tc>
          <w:tcPr>
            <w:tcW w:w="1315" w:type="dxa"/>
          </w:tcPr>
          <w:p w:rsidR="00F87013" w:rsidRDefault="00F87013" w:rsidP="00F87013">
            <w:pPr>
              <w:jc w:val="right"/>
            </w:pPr>
            <w:r>
              <w:t>3.89%</w:t>
            </w:r>
          </w:p>
        </w:tc>
        <w:tc>
          <w:tcPr>
            <w:tcW w:w="1315" w:type="dxa"/>
          </w:tcPr>
          <w:p w:rsidR="00F87013" w:rsidRDefault="00F87013" w:rsidP="00F87013">
            <w:pPr>
              <w:jc w:val="right"/>
            </w:pPr>
            <w:r>
              <w:t>1.00%</w:t>
            </w:r>
          </w:p>
        </w:tc>
        <w:tc>
          <w:tcPr>
            <w:tcW w:w="907" w:type="dxa"/>
          </w:tcPr>
          <w:p w:rsidR="00F87013" w:rsidRDefault="00F87013" w:rsidP="00F87013">
            <w:pPr>
              <w:jc w:val="right"/>
            </w:pPr>
            <w:r>
              <w:t>0.82%</w:t>
            </w:r>
          </w:p>
        </w:tc>
        <w:tc>
          <w:tcPr>
            <w:tcW w:w="907" w:type="dxa"/>
          </w:tcPr>
          <w:p w:rsidR="00F87013" w:rsidRDefault="00F87013" w:rsidP="00F87013">
            <w:pPr>
              <w:jc w:val="right"/>
            </w:pPr>
            <w:r>
              <w:t>0.00%</w:t>
            </w:r>
          </w:p>
        </w:tc>
      </w:tr>
      <w:tr w:rsidR="00F87013" w:rsidTr="00F87013">
        <w:tc>
          <w:tcPr>
            <w:tcW w:w="1429" w:type="dxa"/>
          </w:tcPr>
          <w:p w:rsidR="00F87013" w:rsidRDefault="00F87013" w:rsidP="00F87013">
            <w:pPr>
              <w:jc w:val="left"/>
            </w:pPr>
            <w:r>
              <w:rPr>
                <w:rFonts w:hint="eastAsia"/>
              </w:rPr>
              <w:t>过去六个月</w:t>
            </w:r>
          </w:p>
        </w:tc>
        <w:tc>
          <w:tcPr>
            <w:tcW w:w="1315" w:type="dxa"/>
          </w:tcPr>
          <w:p w:rsidR="00F87013" w:rsidRDefault="00F87013" w:rsidP="00F87013">
            <w:pPr>
              <w:jc w:val="right"/>
            </w:pPr>
            <w:r>
              <w:t>2.62%</w:t>
            </w:r>
          </w:p>
        </w:tc>
        <w:tc>
          <w:tcPr>
            <w:tcW w:w="1315" w:type="dxa"/>
          </w:tcPr>
          <w:p w:rsidR="00F87013" w:rsidRDefault="00F87013" w:rsidP="00F87013">
            <w:pPr>
              <w:jc w:val="right"/>
            </w:pPr>
            <w:r>
              <w:t>0.98%</w:t>
            </w:r>
          </w:p>
        </w:tc>
        <w:tc>
          <w:tcPr>
            <w:tcW w:w="1315" w:type="dxa"/>
          </w:tcPr>
          <w:p w:rsidR="00F87013" w:rsidRDefault="00F87013" w:rsidP="00F87013">
            <w:pPr>
              <w:jc w:val="right"/>
            </w:pPr>
            <w:r>
              <w:t>1.81%</w:t>
            </w:r>
          </w:p>
        </w:tc>
        <w:tc>
          <w:tcPr>
            <w:tcW w:w="1315" w:type="dxa"/>
          </w:tcPr>
          <w:p w:rsidR="00F87013" w:rsidRDefault="00F87013" w:rsidP="00F87013">
            <w:pPr>
              <w:jc w:val="right"/>
            </w:pPr>
            <w:r>
              <w:t>0.97%</w:t>
            </w:r>
          </w:p>
        </w:tc>
        <w:tc>
          <w:tcPr>
            <w:tcW w:w="907" w:type="dxa"/>
          </w:tcPr>
          <w:p w:rsidR="00F87013" w:rsidRDefault="00F87013" w:rsidP="00F87013">
            <w:pPr>
              <w:jc w:val="right"/>
            </w:pPr>
            <w:r>
              <w:t>0.81%</w:t>
            </w:r>
          </w:p>
        </w:tc>
        <w:tc>
          <w:tcPr>
            <w:tcW w:w="907" w:type="dxa"/>
          </w:tcPr>
          <w:p w:rsidR="00F87013" w:rsidRDefault="00F87013" w:rsidP="00F87013">
            <w:pPr>
              <w:jc w:val="right"/>
            </w:pPr>
            <w:r>
              <w:t>0.01%</w:t>
            </w:r>
          </w:p>
        </w:tc>
      </w:tr>
      <w:tr w:rsidR="00F87013" w:rsidTr="00F87013">
        <w:tc>
          <w:tcPr>
            <w:tcW w:w="1429" w:type="dxa"/>
          </w:tcPr>
          <w:p w:rsidR="00F87013" w:rsidRDefault="00F87013" w:rsidP="00F87013">
            <w:pPr>
              <w:jc w:val="left"/>
            </w:pPr>
            <w:r>
              <w:rPr>
                <w:rFonts w:hint="eastAsia"/>
              </w:rPr>
              <w:t>过去一年</w:t>
            </w:r>
          </w:p>
        </w:tc>
        <w:tc>
          <w:tcPr>
            <w:tcW w:w="1315" w:type="dxa"/>
          </w:tcPr>
          <w:p w:rsidR="00F87013" w:rsidRDefault="00F87013" w:rsidP="00F87013">
            <w:pPr>
              <w:jc w:val="right"/>
            </w:pPr>
            <w:r>
              <w:t>12.89%</w:t>
            </w:r>
          </w:p>
        </w:tc>
        <w:tc>
          <w:tcPr>
            <w:tcW w:w="1315" w:type="dxa"/>
          </w:tcPr>
          <w:p w:rsidR="00F87013" w:rsidRDefault="00F87013" w:rsidP="00F87013">
            <w:pPr>
              <w:jc w:val="right"/>
            </w:pPr>
            <w:r>
              <w:t>0.91%</w:t>
            </w:r>
          </w:p>
        </w:tc>
        <w:tc>
          <w:tcPr>
            <w:tcW w:w="1315" w:type="dxa"/>
          </w:tcPr>
          <w:p w:rsidR="00F87013" w:rsidRDefault="00F87013" w:rsidP="00F87013">
            <w:pPr>
              <w:jc w:val="right"/>
            </w:pPr>
            <w:r>
              <w:t>10.58%</w:t>
            </w:r>
          </w:p>
        </w:tc>
        <w:tc>
          <w:tcPr>
            <w:tcW w:w="1315" w:type="dxa"/>
          </w:tcPr>
          <w:p w:rsidR="00F87013" w:rsidRDefault="00F87013" w:rsidP="00F87013">
            <w:pPr>
              <w:jc w:val="right"/>
            </w:pPr>
            <w:r>
              <w:t>0.90%</w:t>
            </w:r>
          </w:p>
        </w:tc>
        <w:tc>
          <w:tcPr>
            <w:tcW w:w="907" w:type="dxa"/>
          </w:tcPr>
          <w:p w:rsidR="00F87013" w:rsidRDefault="00F87013" w:rsidP="00F87013">
            <w:pPr>
              <w:jc w:val="right"/>
            </w:pPr>
            <w:r>
              <w:t>2.31%</w:t>
            </w:r>
          </w:p>
        </w:tc>
        <w:tc>
          <w:tcPr>
            <w:tcW w:w="907" w:type="dxa"/>
          </w:tcPr>
          <w:p w:rsidR="00F87013" w:rsidRDefault="00F87013" w:rsidP="00F87013">
            <w:pPr>
              <w:jc w:val="right"/>
            </w:pPr>
            <w:r>
              <w:t>0.01%</w:t>
            </w:r>
          </w:p>
        </w:tc>
      </w:tr>
      <w:tr w:rsidR="00F87013" w:rsidTr="00F87013">
        <w:tc>
          <w:tcPr>
            <w:tcW w:w="1429" w:type="dxa"/>
          </w:tcPr>
          <w:p w:rsidR="00F87013" w:rsidRDefault="00F87013" w:rsidP="00F87013">
            <w:pPr>
              <w:jc w:val="left"/>
            </w:pPr>
            <w:r>
              <w:rPr>
                <w:rFonts w:hint="eastAsia"/>
              </w:rPr>
              <w:t>自基金合同生效起至今</w:t>
            </w:r>
          </w:p>
        </w:tc>
        <w:tc>
          <w:tcPr>
            <w:tcW w:w="1315" w:type="dxa"/>
          </w:tcPr>
          <w:p w:rsidR="00F87013" w:rsidRDefault="00F87013" w:rsidP="00F87013">
            <w:pPr>
              <w:jc w:val="right"/>
            </w:pPr>
            <w:r>
              <w:t>10.96%</w:t>
            </w:r>
          </w:p>
        </w:tc>
        <w:tc>
          <w:tcPr>
            <w:tcW w:w="1315" w:type="dxa"/>
          </w:tcPr>
          <w:p w:rsidR="00F87013" w:rsidRDefault="00F87013" w:rsidP="00F87013">
            <w:pPr>
              <w:jc w:val="right"/>
            </w:pPr>
            <w:r>
              <w:t>0.89%</w:t>
            </w:r>
          </w:p>
        </w:tc>
        <w:tc>
          <w:tcPr>
            <w:tcW w:w="1315" w:type="dxa"/>
          </w:tcPr>
          <w:p w:rsidR="00F87013" w:rsidRDefault="00F87013" w:rsidP="00F87013">
            <w:pPr>
              <w:jc w:val="right"/>
            </w:pPr>
            <w:r>
              <w:t>10.97%</w:t>
            </w:r>
          </w:p>
        </w:tc>
        <w:tc>
          <w:tcPr>
            <w:tcW w:w="1315" w:type="dxa"/>
          </w:tcPr>
          <w:p w:rsidR="00F87013" w:rsidRDefault="00F87013" w:rsidP="00F87013">
            <w:pPr>
              <w:jc w:val="right"/>
            </w:pPr>
            <w:r>
              <w:t>0.96%</w:t>
            </w:r>
          </w:p>
        </w:tc>
        <w:tc>
          <w:tcPr>
            <w:tcW w:w="907" w:type="dxa"/>
          </w:tcPr>
          <w:p w:rsidR="00F87013" w:rsidRDefault="00F87013" w:rsidP="00F87013">
            <w:pPr>
              <w:jc w:val="right"/>
            </w:pPr>
            <w:r>
              <w:t>-0.01%</w:t>
            </w:r>
          </w:p>
        </w:tc>
        <w:tc>
          <w:tcPr>
            <w:tcW w:w="907" w:type="dxa"/>
          </w:tcPr>
          <w:p w:rsidR="00F87013" w:rsidRDefault="00F87013" w:rsidP="00F87013">
            <w:pPr>
              <w:jc w:val="right"/>
            </w:pPr>
            <w:r>
              <w:t>-0.07%</w:t>
            </w:r>
          </w:p>
        </w:tc>
      </w:tr>
    </w:tbl>
    <w:p w:rsidR="00F87013" w:rsidRDefault="00F87013" w:rsidP="00F87013">
      <w:pPr>
        <w:pStyle w:val="-"/>
        <w:ind w:firstLine="420"/>
      </w:pPr>
      <w:r>
        <w:rPr>
          <w:rFonts w:hint="eastAsia"/>
        </w:rPr>
        <w:t>南方深证主板50ETF联接C</w:t>
      </w:r>
    </w:p>
    <w:tbl>
      <w:tblPr>
        <w:tblStyle w:val="-0"/>
        <w:tblW w:w="8503" w:type="dxa"/>
        <w:tblLayout w:type="fixed"/>
        <w:tblLook w:val="04A0" w:firstRow="1" w:lastRow="0" w:firstColumn="1" w:lastColumn="0" w:noHBand="0" w:noVBand="1"/>
      </w:tblPr>
      <w:tblGrid>
        <w:gridCol w:w="1429"/>
        <w:gridCol w:w="1315"/>
        <w:gridCol w:w="1315"/>
        <w:gridCol w:w="1315"/>
        <w:gridCol w:w="1315"/>
        <w:gridCol w:w="907"/>
        <w:gridCol w:w="907"/>
      </w:tblGrid>
      <w:tr w:rsidR="00F87013" w:rsidTr="00F87013">
        <w:trPr>
          <w:cnfStyle w:val="100000000000" w:firstRow="1" w:lastRow="0" w:firstColumn="0" w:lastColumn="0" w:oddVBand="0" w:evenVBand="0" w:oddHBand="0" w:evenHBand="0" w:firstRowFirstColumn="0" w:firstRowLastColumn="0" w:lastRowFirstColumn="0" w:lastRowLastColumn="0"/>
        </w:trPr>
        <w:tc>
          <w:tcPr>
            <w:tcW w:w="1429" w:type="dxa"/>
          </w:tcPr>
          <w:p w:rsidR="00F87013" w:rsidRPr="00F87013" w:rsidRDefault="00F87013" w:rsidP="00F87013">
            <w:pPr>
              <w:jc w:val="center"/>
              <w:rPr>
                <w:b/>
              </w:rPr>
            </w:pPr>
            <w:r w:rsidRPr="00F87013">
              <w:rPr>
                <w:rFonts w:hint="eastAsia"/>
                <w:b/>
              </w:rPr>
              <w:t>阶段</w:t>
            </w:r>
          </w:p>
        </w:tc>
        <w:tc>
          <w:tcPr>
            <w:tcW w:w="1315" w:type="dxa"/>
          </w:tcPr>
          <w:p w:rsidR="00F87013" w:rsidRPr="00F87013" w:rsidRDefault="00F87013" w:rsidP="00F87013">
            <w:pPr>
              <w:jc w:val="center"/>
              <w:rPr>
                <w:b/>
              </w:rPr>
            </w:pPr>
            <w:r w:rsidRPr="00F87013">
              <w:rPr>
                <w:rFonts w:hint="eastAsia"/>
                <w:b/>
              </w:rPr>
              <w:t>净值增长率①</w:t>
            </w:r>
          </w:p>
        </w:tc>
        <w:tc>
          <w:tcPr>
            <w:tcW w:w="1315" w:type="dxa"/>
          </w:tcPr>
          <w:p w:rsidR="00F87013" w:rsidRPr="00F87013" w:rsidRDefault="00F87013" w:rsidP="00F87013">
            <w:pPr>
              <w:jc w:val="center"/>
              <w:rPr>
                <w:b/>
              </w:rPr>
            </w:pPr>
            <w:r w:rsidRPr="00F87013">
              <w:rPr>
                <w:rFonts w:hint="eastAsia"/>
                <w:b/>
              </w:rPr>
              <w:t>净值增长率标准差②</w:t>
            </w:r>
          </w:p>
        </w:tc>
        <w:tc>
          <w:tcPr>
            <w:tcW w:w="1315" w:type="dxa"/>
          </w:tcPr>
          <w:p w:rsidR="00F87013" w:rsidRPr="00F87013" w:rsidRDefault="00F87013" w:rsidP="00F87013">
            <w:pPr>
              <w:jc w:val="center"/>
              <w:rPr>
                <w:b/>
              </w:rPr>
            </w:pPr>
            <w:r w:rsidRPr="00F87013">
              <w:rPr>
                <w:rFonts w:hint="eastAsia"/>
                <w:b/>
              </w:rPr>
              <w:t>业绩比较基准收益率③</w:t>
            </w:r>
          </w:p>
        </w:tc>
        <w:tc>
          <w:tcPr>
            <w:tcW w:w="1315" w:type="dxa"/>
          </w:tcPr>
          <w:p w:rsidR="00F87013" w:rsidRPr="00F87013" w:rsidRDefault="00F87013" w:rsidP="00F87013">
            <w:pPr>
              <w:jc w:val="center"/>
              <w:rPr>
                <w:b/>
              </w:rPr>
            </w:pPr>
            <w:r w:rsidRPr="00F87013">
              <w:rPr>
                <w:rFonts w:hint="eastAsia"/>
                <w:b/>
              </w:rPr>
              <w:t>业绩比较基准收益率标准差④</w:t>
            </w:r>
          </w:p>
        </w:tc>
        <w:tc>
          <w:tcPr>
            <w:tcW w:w="907" w:type="dxa"/>
          </w:tcPr>
          <w:p w:rsidR="00F87013" w:rsidRPr="00F87013" w:rsidRDefault="00F87013" w:rsidP="00F87013">
            <w:pPr>
              <w:jc w:val="center"/>
              <w:rPr>
                <w:b/>
              </w:rPr>
            </w:pPr>
            <w:r w:rsidRPr="00F87013">
              <w:rPr>
                <w:rFonts w:hint="eastAsia"/>
                <w:b/>
              </w:rPr>
              <w:t>①</w:t>
            </w:r>
            <w:r w:rsidRPr="00F87013">
              <w:rPr>
                <w:rFonts w:hint="eastAsia"/>
                <w:b/>
              </w:rPr>
              <w:t>-</w:t>
            </w:r>
            <w:r w:rsidRPr="00F87013">
              <w:rPr>
                <w:rFonts w:hint="eastAsia"/>
                <w:b/>
              </w:rPr>
              <w:t>③</w:t>
            </w:r>
          </w:p>
        </w:tc>
        <w:tc>
          <w:tcPr>
            <w:tcW w:w="907" w:type="dxa"/>
          </w:tcPr>
          <w:p w:rsidR="00F87013" w:rsidRPr="00F87013" w:rsidRDefault="00F87013" w:rsidP="00F87013">
            <w:pPr>
              <w:jc w:val="center"/>
              <w:rPr>
                <w:b/>
              </w:rPr>
            </w:pPr>
            <w:r w:rsidRPr="00F87013">
              <w:rPr>
                <w:rFonts w:hint="eastAsia"/>
                <w:b/>
              </w:rPr>
              <w:t>②</w:t>
            </w:r>
            <w:r w:rsidRPr="00F87013">
              <w:rPr>
                <w:rFonts w:hint="eastAsia"/>
                <w:b/>
              </w:rPr>
              <w:t>-</w:t>
            </w:r>
            <w:r w:rsidRPr="00F87013">
              <w:rPr>
                <w:rFonts w:hint="eastAsia"/>
                <w:b/>
              </w:rPr>
              <w:t>④</w:t>
            </w:r>
          </w:p>
        </w:tc>
      </w:tr>
      <w:tr w:rsidR="00F87013" w:rsidTr="00F87013">
        <w:tc>
          <w:tcPr>
            <w:tcW w:w="1429" w:type="dxa"/>
          </w:tcPr>
          <w:p w:rsidR="00F87013" w:rsidRDefault="00F87013" w:rsidP="00F87013">
            <w:pPr>
              <w:jc w:val="left"/>
            </w:pPr>
            <w:r>
              <w:rPr>
                <w:rFonts w:hint="eastAsia"/>
              </w:rPr>
              <w:t>过去三个月</w:t>
            </w:r>
          </w:p>
        </w:tc>
        <w:tc>
          <w:tcPr>
            <w:tcW w:w="1315" w:type="dxa"/>
          </w:tcPr>
          <w:p w:rsidR="00F87013" w:rsidRDefault="00F87013" w:rsidP="00F87013">
            <w:pPr>
              <w:jc w:val="right"/>
            </w:pPr>
            <w:r>
              <w:t>4.63%</w:t>
            </w:r>
          </w:p>
        </w:tc>
        <w:tc>
          <w:tcPr>
            <w:tcW w:w="1315" w:type="dxa"/>
          </w:tcPr>
          <w:p w:rsidR="00F87013" w:rsidRDefault="00F87013" w:rsidP="00F87013">
            <w:pPr>
              <w:jc w:val="right"/>
            </w:pPr>
            <w:r>
              <w:t>1.00%</w:t>
            </w:r>
          </w:p>
        </w:tc>
        <w:tc>
          <w:tcPr>
            <w:tcW w:w="1315" w:type="dxa"/>
          </w:tcPr>
          <w:p w:rsidR="00F87013" w:rsidRDefault="00F87013" w:rsidP="00F87013">
            <w:pPr>
              <w:jc w:val="right"/>
            </w:pPr>
            <w:r>
              <w:t>3.89%</w:t>
            </w:r>
          </w:p>
        </w:tc>
        <w:tc>
          <w:tcPr>
            <w:tcW w:w="1315" w:type="dxa"/>
          </w:tcPr>
          <w:p w:rsidR="00F87013" w:rsidRDefault="00F87013" w:rsidP="00F87013">
            <w:pPr>
              <w:jc w:val="right"/>
            </w:pPr>
            <w:r>
              <w:t>1.00%</w:t>
            </w:r>
          </w:p>
        </w:tc>
        <w:tc>
          <w:tcPr>
            <w:tcW w:w="907" w:type="dxa"/>
          </w:tcPr>
          <w:p w:rsidR="00F87013" w:rsidRDefault="00F87013" w:rsidP="00F87013">
            <w:pPr>
              <w:jc w:val="right"/>
            </w:pPr>
            <w:r>
              <w:t>0.74%</w:t>
            </w:r>
          </w:p>
        </w:tc>
        <w:tc>
          <w:tcPr>
            <w:tcW w:w="907" w:type="dxa"/>
          </w:tcPr>
          <w:p w:rsidR="00F87013" w:rsidRDefault="00F87013" w:rsidP="00F87013">
            <w:pPr>
              <w:jc w:val="right"/>
            </w:pPr>
            <w:r>
              <w:t>0.00%</w:t>
            </w:r>
          </w:p>
        </w:tc>
      </w:tr>
      <w:tr w:rsidR="00F87013" w:rsidTr="00F87013">
        <w:tc>
          <w:tcPr>
            <w:tcW w:w="1429" w:type="dxa"/>
          </w:tcPr>
          <w:p w:rsidR="00F87013" w:rsidRDefault="00F87013" w:rsidP="00F87013">
            <w:pPr>
              <w:jc w:val="left"/>
            </w:pPr>
            <w:r>
              <w:rPr>
                <w:rFonts w:hint="eastAsia"/>
              </w:rPr>
              <w:t>过去六个月</w:t>
            </w:r>
          </w:p>
        </w:tc>
        <w:tc>
          <w:tcPr>
            <w:tcW w:w="1315" w:type="dxa"/>
          </w:tcPr>
          <w:p w:rsidR="00F87013" w:rsidRDefault="00F87013" w:rsidP="00F87013">
            <w:pPr>
              <w:jc w:val="right"/>
            </w:pPr>
            <w:r>
              <w:t>2.47%</w:t>
            </w:r>
          </w:p>
        </w:tc>
        <w:tc>
          <w:tcPr>
            <w:tcW w:w="1315" w:type="dxa"/>
          </w:tcPr>
          <w:p w:rsidR="00F87013" w:rsidRDefault="00F87013" w:rsidP="00F87013">
            <w:pPr>
              <w:jc w:val="right"/>
            </w:pPr>
            <w:r>
              <w:t>0.98%</w:t>
            </w:r>
          </w:p>
        </w:tc>
        <w:tc>
          <w:tcPr>
            <w:tcW w:w="1315" w:type="dxa"/>
          </w:tcPr>
          <w:p w:rsidR="00F87013" w:rsidRDefault="00F87013" w:rsidP="00F87013">
            <w:pPr>
              <w:jc w:val="right"/>
            </w:pPr>
            <w:r>
              <w:t>1.81%</w:t>
            </w:r>
          </w:p>
        </w:tc>
        <w:tc>
          <w:tcPr>
            <w:tcW w:w="1315" w:type="dxa"/>
          </w:tcPr>
          <w:p w:rsidR="00F87013" w:rsidRDefault="00F87013" w:rsidP="00F87013">
            <w:pPr>
              <w:jc w:val="right"/>
            </w:pPr>
            <w:r>
              <w:t>0.97%</w:t>
            </w:r>
          </w:p>
        </w:tc>
        <w:tc>
          <w:tcPr>
            <w:tcW w:w="907" w:type="dxa"/>
          </w:tcPr>
          <w:p w:rsidR="00F87013" w:rsidRDefault="00F87013" w:rsidP="00F87013">
            <w:pPr>
              <w:jc w:val="right"/>
            </w:pPr>
            <w:r>
              <w:t>0.66%</w:t>
            </w:r>
          </w:p>
        </w:tc>
        <w:tc>
          <w:tcPr>
            <w:tcW w:w="907" w:type="dxa"/>
          </w:tcPr>
          <w:p w:rsidR="00F87013" w:rsidRDefault="00F87013" w:rsidP="00F87013">
            <w:pPr>
              <w:jc w:val="right"/>
            </w:pPr>
            <w:r>
              <w:t>0.01%</w:t>
            </w:r>
          </w:p>
        </w:tc>
      </w:tr>
      <w:tr w:rsidR="00F87013" w:rsidTr="00F87013">
        <w:tc>
          <w:tcPr>
            <w:tcW w:w="1429" w:type="dxa"/>
          </w:tcPr>
          <w:p w:rsidR="00F87013" w:rsidRDefault="00F87013" w:rsidP="00F87013">
            <w:pPr>
              <w:jc w:val="left"/>
            </w:pPr>
            <w:r>
              <w:rPr>
                <w:rFonts w:hint="eastAsia"/>
              </w:rPr>
              <w:t>过去一年</w:t>
            </w:r>
          </w:p>
        </w:tc>
        <w:tc>
          <w:tcPr>
            <w:tcW w:w="1315" w:type="dxa"/>
          </w:tcPr>
          <w:p w:rsidR="00F87013" w:rsidRDefault="00F87013" w:rsidP="00F87013">
            <w:pPr>
              <w:jc w:val="right"/>
            </w:pPr>
            <w:r>
              <w:t>12.55%</w:t>
            </w:r>
          </w:p>
        </w:tc>
        <w:tc>
          <w:tcPr>
            <w:tcW w:w="1315" w:type="dxa"/>
          </w:tcPr>
          <w:p w:rsidR="00F87013" w:rsidRDefault="00F87013" w:rsidP="00F87013">
            <w:pPr>
              <w:jc w:val="right"/>
            </w:pPr>
            <w:r>
              <w:t>0.91%</w:t>
            </w:r>
          </w:p>
        </w:tc>
        <w:tc>
          <w:tcPr>
            <w:tcW w:w="1315" w:type="dxa"/>
          </w:tcPr>
          <w:p w:rsidR="00F87013" w:rsidRDefault="00F87013" w:rsidP="00F87013">
            <w:pPr>
              <w:jc w:val="right"/>
            </w:pPr>
            <w:r>
              <w:t>10.58%</w:t>
            </w:r>
          </w:p>
        </w:tc>
        <w:tc>
          <w:tcPr>
            <w:tcW w:w="1315" w:type="dxa"/>
          </w:tcPr>
          <w:p w:rsidR="00F87013" w:rsidRDefault="00F87013" w:rsidP="00F87013">
            <w:pPr>
              <w:jc w:val="right"/>
            </w:pPr>
            <w:r>
              <w:t>0.90%</w:t>
            </w:r>
          </w:p>
        </w:tc>
        <w:tc>
          <w:tcPr>
            <w:tcW w:w="907" w:type="dxa"/>
          </w:tcPr>
          <w:p w:rsidR="00F87013" w:rsidRDefault="00F87013" w:rsidP="00F87013">
            <w:pPr>
              <w:jc w:val="right"/>
            </w:pPr>
            <w:r>
              <w:t>1.97%</w:t>
            </w:r>
          </w:p>
        </w:tc>
        <w:tc>
          <w:tcPr>
            <w:tcW w:w="907" w:type="dxa"/>
          </w:tcPr>
          <w:p w:rsidR="00F87013" w:rsidRDefault="00F87013" w:rsidP="00F87013">
            <w:pPr>
              <w:jc w:val="right"/>
            </w:pPr>
            <w:r>
              <w:t>0.01%</w:t>
            </w:r>
          </w:p>
        </w:tc>
      </w:tr>
      <w:tr w:rsidR="00F87013" w:rsidTr="00F87013">
        <w:tc>
          <w:tcPr>
            <w:tcW w:w="1429" w:type="dxa"/>
          </w:tcPr>
          <w:p w:rsidR="00F87013" w:rsidRDefault="00F87013" w:rsidP="00F87013">
            <w:pPr>
              <w:jc w:val="left"/>
            </w:pPr>
            <w:r>
              <w:rPr>
                <w:rFonts w:hint="eastAsia"/>
              </w:rPr>
              <w:t>自基金合同生效起至今</w:t>
            </w:r>
          </w:p>
        </w:tc>
        <w:tc>
          <w:tcPr>
            <w:tcW w:w="1315" w:type="dxa"/>
          </w:tcPr>
          <w:p w:rsidR="00F87013" w:rsidRDefault="00F87013" w:rsidP="00F87013">
            <w:pPr>
              <w:jc w:val="right"/>
            </w:pPr>
            <w:r>
              <w:t>10.39%</w:t>
            </w:r>
          </w:p>
        </w:tc>
        <w:tc>
          <w:tcPr>
            <w:tcW w:w="1315" w:type="dxa"/>
          </w:tcPr>
          <w:p w:rsidR="00F87013" w:rsidRDefault="00F87013" w:rsidP="00F87013">
            <w:pPr>
              <w:jc w:val="right"/>
            </w:pPr>
            <w:r>
              <w:t>0.89%</w:t>
            </w:r>
          </w:p>
        </w:tc>
        <w:tc>
          <w:tcPr>
            <w:tcW w:w="1315" w:type="dxa"/>
          </w:tcPr>
          <w:p w:rsidR="00F87013" w:rsidRDefault="00F87013" w:rsidP="00F87013">
            <w:pPr>
              <w:jc w:val="right"/>
            </w:pPr>
            <w:r>
              <w:t>10.97%</w:t>
            </w:r>
          </w:p>
        </w:tc>
        <w:tc>
          <w:tcPr>
            <w:tcW w:w="1315" w:type="dxa"/>
          </w:tcPr>
          <w:p w:rsidR="00F87013" w:rsidRDefault="00F87013" w:rsidP="00F87013">
            <w:pPr>
              <w:jc w:val="right"/>
            </w:pPr>
            <w:r>
              <w:t>0.96%</w:t>
            </w:r>
          </w:p>
        </w:tc>
        <w:tc>
          <w:tcPr>
            <w:tcW w:w="907" w:type="dxa"/>
          </w:tcPr>
          <w:p w:rsidR="00F87013" w:rsidRDefault="00F87013" w:rsidP="00F87013">
            <w:pPr>
              <w:jc w:val="right"/>
            </w:pPr>
            <w:r>
              <w:t>-0.58%</w:t>
            </w:r>
          </w:p>
        </w:tc>
        <w:tc>
          <w:tcPr>
            <w:tcW w:w="907" w:type="dxa"/>
          </w:tcPr>
          <w:p w:rsidR="00F87013" w:rsidRDefault="00F87013" w:rsidP="00F87013">
            <w:pPr>
              <w:jc w:val="right"/>
            </w:pPr>
            <w:r>
              <w:t>-0.07%</w:t>
            </w:r>
          </w:p>
        </w:tc>
      </w:tr>
    </w:tbl>
    <w:p w:rsidR="00F87013" w:rsidRDefault="00F87013" w:rsidP="00F87013">
      <w:pPr>
        <w:pStyle w:val="-3"/>
        <w:spacing w:before="156" w:after="156"/>
      </w:pPr>
      <w:r>
        <w:rPr>
          <w:rFonts w:hint="eastAsia"/>
        </w:rPr>
        <w:t>自基金合同生效以来基金份额累计净值增长率变动及其与同期业绩比较基准收益率变动的比较</w:t>
      </w:r>
    </w:p>
    <w:p w:rsidR="00F87013" w:rsidRDefault="00F87013" w:rsidP="00F87013">
      <w:r>
        <w:rPr>
          <w:noProof/>
        </w:rPr>
        <w:lastRenderedPageBreak/>
        <w:drawing>
          <wp:inline distT="0" distB="0" distL="0" distR="0">
            <wp:extent cx="5274310" cy="3723005"/>
            <wp:effectExtent l="0" t="0" r="2540" b="0"/>
            <wp:docPr id="1" name="图片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F87013" w:rsidRDefault="00F87013" w:rsidP="00F87013">
      <w:r>
        <w:rPr>
          <w:noProof/>
        </w:rPr>
        <w:drawing>
          <wp:inline distT="0" distB="0" distL="0" distR="0">
            <wp:extent cx="5274310" cy="3723005"/>
            <wp:effectExtent l="0" t="0" r="2540" b="0"/>
            <wp:docPr id="2" name="图片 2"/>
            <wp:cNvGraphicFramePr/>
            <a:graphic xmlns:a="http://schemas.openxmlformats.org/drawingml/2006/main">
              <a:graphicData uri="http://schemas.openxmlformats.org/drawingml/2006/picture">
                <pic:pic xmlns:pic="http://schemas.openxmlformats.org/drawingml/2006/picture">
                  <pic:nvPicPr>
                    <pic:cNvPr id="2" name=""/>
                    <pic:cNvPicPr/>
                  </pic:nvPicPr>
                  <pic:blipFill>
                    <a:blip r:embed="rId9">
                      <a:extLst>
                        <a:ext uri="{28A0092B-C50C-407E-A947-70E740481C1C}">
                          <a14:useLocalDpi xmlns:a14="http://schemas.microsoft.com/office/drawing/2010/main" val="0"/>
                        </a:ext>
                      </a:extLst>
                    </a:blip>
                    <a:stretch>
                      <a:fillRect/>
                    </a:stretch>
                  </pic:blipFill>
                  <pic:spPr>
                    <a:xfrm>
                      <a:off x="0" y="0"/>
                      <a:ext cx="5274310" cy="3723005"/>
                    </a:xfrm>
                    <a:prstGeom prst="rect">
                      <a:avLst/>
                    </a:prstGeom>
                  </pic:spPr>
                </pic:pic>
              </a:graphicData>
            </a:graphic>
          </wp:inline>
        </w:drawing>
      </w:r>
    </w:p>
    <w:p w:rsidR="00F87013" w:rsidRDefault="00F87013" w:rsidP="00F87013">
      <w:pPr>
        <w:pStyle w:val="-1"/>
        <w:ind w:left="281" w:hanging="281"/>
      </w:pPr>
      <w:r>
        <w:rPr>
          <w:rFonts w:hint="eastAsia"/>
        </w:rPr>
        <w:t>管理人报告</w:t>
      </w:r>
    </w:p>
    <w:p w:rsidR="00F87013" w:rsidRDefault="00F87013" w:rsidP="00F87013">
      <w:pPr>
        <w:pStyle w:val="-2"/>
        <w:spacing w:before="312"/>
      </w:pPr>
      <w:r>
        <w:rPr>
          <w:rFonts w:hint="eastAsia"/>
        </w:rPr>
        <w:t>基金经理（或基金经理小组）简介</w:t>
      </w:r>
    </w:p>
    <w:tbl>
      <w:tblPr>
        <w:tblStyle w:val="-0"/>
        <w:tblW w:w="8506" w:type="dxa"/>
        <w:tblLayout w:type="fixed"/>
        <w:tblLook w:val="04A0" w:firstRow="1" w:lastRow="0" w:firstColumn="1" w:lastColumn="0" w:noHBand="0" w:noVBand="1"/>
      </w:tblPr>
      <w:tblGrid>
        <w:gridCol w:w="862"/>
        <w:gridCol w:w="851"/>
        <w:gridCol w:w="1117"/>
        <w:gridCol w:w="1117"/>
        <w:gridCol w:w="703"/>
        <w:gridCol w:w="3856"/>
      </w:tblGrid>
      <w:tr w:rsidR="00F87013" w:rsidTr="00C76852">
        <w:trPr>
          <w:cnfStyle w:val="100000000000" w:firstRow="1" w:lastRow="0" w:firstColumn="0" w:lastColumn="0" w:oddVBand="0" w:evenVBand="0" w:oddHBand="0" w:evenHBand="0" w:firstRowFirstColumn="0" w:firstRowLastColumn="0" w:lastRowFirstColumn="0" w:lastRowLastColumn="0"/>
        </w:trPr>
        <w:tc>
          <w:tcPr>
            <w:tcW w:w="862" w:type="dxa"/>
            <w:vMerge w:val="restart"/>
          </w:tcPr>
          <w:p w:rsidR="00F87013" w:rsidRPr="00F87013" w:rsidRDefault="00F87013" w:rsidP="00F87013">
            <w:pPr>
              <w:jc w:val="center"/>
              <w:rPr>
                <w:b/>
              </w:rPr>
            </w:pPr>
            <w:r w:rsidRPr="00F87013">
              <w:rPr>
                <w:rFonts w:hint="eastAsia"/>
                <w:b/>
              </w:rPr>
              <w:lastRenderedPageBreak/>
              <w:t>姓名</w:t>
            </w:r>
          </w:p>
        </w:tc>
        <w:tc>
          <w:tcPr>
            <w:tcW w:w="851" w:type="dxa"/>
            <w:vMerge w:val="restart"/>
          </w:tcPr>
          <w:p w:rsidR="00F87013" w:rsidRPr="00F87013" w:rsidRDefault="00F87013" w:rsidP="00F87013">
            <w:pPr>
              <w:jc w:val="center"/>
              <w:rPr>
                <w:b/>
              </w:rPr>
            </w:pPr>
            <w:r w:rsidRPr="00F87013">
              <w:rPr>
                <w:rFonts w:hint="eastAsia"/>
                <w:b/>
              </w:rPr>
              <w:t>职务</w:t>
            </w:r>
          </w:p>
        </w:tc>
        <w:tc>
          <w:tcPr>
            <w:tcW w:w="2234" w:type="dxa"/>
            <w:gridSpan w:val="2"/>
            <w:tcBorders>
              <w:bottom w:val="single" w:sz="4" w:space="0" w:color="auto"/>
            </w:tcBorders>
          </w:tcPr>
          <w:p w:rsidR="00F87013" w:rsidRPr="00F87013" w:rsidRDefault="00F87013" w:rsidP="00F87013">
            <w:pPr>
              <w:jc w:val="center"/>
              <w:rPr>
                <w:b/>
              </w:rPr>
            </w:pPr>
            <w:r w:rsidRPr="00F87013">
              <w:rPr>
                <w:rFonts w:hint="eastAsia"/>
                <w:b/>
              </w:rPr>
              <w:t>任本基金的基金经理期限</w:t>
            </w:r>
          </w:p>
        </w:tc>
        <w:tc>
          <w:tcPr>
            <w:tcW w:w="703" w:type="dxa"/>
            <w:vMerge w:val="restart"/>
          </w:tcPr>
          <w:p w:rsidR="00F87013" w:rsidRPr="00F87013" w:rsidRDefault="00F87013" w:rsidP="00F87013">
            <w:pPr>
              <w:jc w:val="center"/>
              <w:rPr>
                <w:b/>
              </w:rPr>
            </w:pPr>
            <w:r w:rsidRPr="00F87013">
              <w:rPr>
                <w:rFonts w:hint="eastAsia"/>
                <w:b/>
              </w:rPr>
              <w:t>证券从业年限</w:t>
            </w:r>
          </w:p>
        </w:tc>
        <w:tc>
          <w:tcPr>
            <w:tcW w:w="3856" w:type="dxa"/>
            <w:vMerge w:val="restart"/>
          </w:tcPr>
          <w:p w:rsidR="00F87013" w:rsidRPr="00F87013" w:rsidRDefault="00F87013" w:rsidP="00F87013">
            <w:pPr>
              <w:jc w:val="center"/>
              <w:rPr>
                <w:b/>
              </w:rPr>
            </w:pPr>
            <w:r w:rsidRPr="00F87013">
              <w:rPr>
                <w:rFonts w:hint="eastAsia"/>
                <w:b/>
              </w:rPr>
              <w:t>说明</w:t>
            </w:r>
          </w:p>
        </w:tc>
      </w:tr>
      <w:tr w:rsidR="00F87013" w:rsidTr="00F87013">
        <w:tc>
          <w:tcPr>
            <w:tcW w:w="862" w:type="dxa"/>
            <w:vMerge/>
          </w:tcPr>
          <w:p w:rsidR="00F87013" w:rsidRDefault="00F87013" w:rsidP="00F87013">
            <w:pPr>
              <w:jc w:val="left"/>
            </w:pPr>
          </w:p>
        </w:tc>
        <w:tc>
          <w:tcPr>
            <w:tcW w:w="851" w:type="dxa"/>
            <w:vMerge/>
          </w:tcPr>
          <w:p w:rsidR="00F87013" w:rsidRDefault="00F87013" w:rsidP="00F87013">
            <w:pPr>
              <w:jc w:val="left"/>
            </w:pPr>
          </w:p>
        </w:tc>
        <w:tc>
          <w:tcPr>
            <w:tcW w:w="1117" w:type="dxa"/>
            <w:shd w:val="clear" w:color="auto" w:fill="BFBFBF"/>
          </w:tcPr>
          <w:p w:rsidR="00F87013" w:rsidRPr="00F87013" w:rsidRDefault="00F87013" w:rsidP="00F87013">
            <w:pPr>
              <w:jc w:val="center"/>
              <w:rPr>
                <w:b/>
              </w:rPr>
            </w:pPr>
            <w:r w:rsidRPr="00F87013">
              <w:rPr>
                <w:rFonts w:hint="eastAsia"/>
                <w:b/>
              </w:rPr>
              <w:t>任职日期</w:t>
            </w:r>
          </w:p>
        </w:tc>
        <w:tc>
          <w:tcPr>
            <w:tcW w:w="1117" w:type="dxa"/>
            <w:shd w:val="clear" w:color="auto" w:fill="BFBFBF"/>
          </w:tcPr>
          <w:p w:rsidR="00F87013" w:rsidRPr="00F87013" w:rsidRDefault="00F87013" w:rsidP="00F87013">
            <w:pPr>
              <w:jc w:val="center"/>
              <w:rPr>
                <w:b/>
              </w:rPr>
            </w:pPr>
            <w:r w:rsidRPr="00F87013">
              <w:rPr>
                <w:rFonts w:hint="eastAsia"/>
                <w:b/>
              </w:rPr>
              <w:t>离任日期</w:t>
            </w:r>
          </w:p>
        </w:tc>
        <w:tc>
          <w:tcPr>
            <w:tcW w:w="703" w:type="dxa"/>
            <w:vMerge/>
          </w:tcPr>
          <w:p w:rsidR="00F87013" w:rsidRDefault="00F87013" w:rsidP="00F87013">
            <w:pPr>
              <w:jc w:val="left"/>
            </w:pPr>
          </w:p>
        </w:tc>
        <w:tc>
          <w:tcPr>
            <w:tcW w:w="3856" w:type="dxa"/>
            <w:vMerge/>
          </w:tcPr>
          <w:p w:rsidR="00F87013" w:rsidRDefault="00F87013" w:rsidP="00F87013">
            <w:pPr>
              <w:jc w:val="left"/>
            </w:pPr>
          </w:p>
        </w:tc>
      </w:tr>
      <w:tr w:rsidR="00F87013" w:rsidTr="00F87013">
        <w:tc>
          <w:tcPr>
            <w:tcW w:w="862" w:type="dxa"/>
          </w:tcPr>
          <w:p w:rsidR="00F87013" w:rsidRDefault="00F87013" w:rsidP="00F87013">
            <w:pPr>
              <w:jc w:val="left"/>
            </w:pPr>
            <w:r>
              <w:rPr>
                <w:rFonts w:hint="eastAsia"/>
              </w:rPr>
              <w:t>朱恒红</w:t>
            </w:r>
          </w:p>
        </w:tc>
        <w:tc>
          <w:tcPr>
            <w:tcW w:w="851" w:type="dxa"/>
          </w:tcPr>
          <w:p w:rsidR="00F87013" w:rsidRDefault="00F87013" w:rsidP="00F87013">
            <w:pPr>
              <w:jc w:val="left"/>
            </w:pPr>
            <w:r>
              <w:rPr>
                <w:rFonts w:hint="eastAsia"/>
              </w:rPr>
              <w:t>本基金基金经理</w:t>
            </w:r>
          </w:p>
        </w:tc>
        <w:tc>
          <w:tcPr>
            <w:tcW w:w="1117" w:type="dxa"/>
          </w:tcPr>
          <w:p w:rsidR="00F87013" w:rsidRDefault="00F87013" w:rsidP="00F87013">
            <w:pPr>
              <w:jc w:val="left"/>
            </w:pPr>
            <w:r>
              <w:rPr>
                <w:rFonts w:hint="eastAsia"/>
              </w:rPr>
              <w:t>2024</w:t>
            </w:r>
            <w:r>
              <w:rPr>
                <w:rFonts w:hint="eastAsia"/>
              </w:rPr>
              <w:t>年</w:t>
            </w:r>
            <w:r>
              <w:rPr>
                <w:rFonts w:hint="eastAsia"/>
              </w:rPr>
              <w:t>10</w:t>
            </w:r>
            <w:r>
              <w:rPr>
                <w:rFonts w:hint="eastAsia"/>
              </w:rPr>
              <w:t>月</w:t>
            </w:r>
            <w:r>
              <w:rPr>
                <w:rFonts w:hint="eastAsia"/>
              </w:rPr>
              <w:t>18</w:t>
            </w:r>
            <w:r>
              <w:rPr>
                <w:rFonts w:hint="eastAsia"/>
              </w:rPr>
              <w:t>日</w:t>
            </w:r>
          </w:p>
        </w:tc>
        <w:tc>
          <w:tcPr>
            <w:tcW w:w="1117" w:type="dxa"/>
          </w:tcPr>
          <w:p w:rsidR="00F87013" w:rsidRDefault="00F87013" w:rsidP="00F87013">
            <w:pPr>
              <w:jc w:val="right"/>
            </w:pPr>
            <w:r>
              <w:t>-</w:t>
            </w:r>
          </w:p>
        </w:tc>
        <w:tc>
          <w:tcPr>
            <w:tcW w:w="703" w:type="dxa"/>
          </w:tcPr>
          <w:p w:rsidR="00F87013" w:rsidRDefault="00F87013" w:rsidP="00F87013">
            <w:pPr>
              <w:jc w:val="left"/>
            </w:pPr>
            <w:r>
              <w:rPr>
                <w:rFonts w:hint="eastAsia"/>
              </w:rPr>
              <w:t>9</w:t>
            </w:r>
            <w:r>
              <w:rPr>
                <w:rFonts w:hint="eastAsia"/>
              </w:rPr>
              <w:t>年</w:t>
            </w:r>
          </w:p>
        </w:tc>
        <w:tc>
          <w:tcPr>
            <w:tcW w:w="3856" w:type="dxa"/>
          </w:tcPr>
          <w:p w:rsidR="00F87013" w:rsidRDefault="00F87013" w:rsidP="00F87013">
            <w:r>
              <w:rPr>
                <w:rFonts w:hint="eastAsia"/>
              </w:rPr>
              <w:t>中国国籍，北京大学经济学硕士，具有基金从业资格。</w:t>
            </w:r>
            <w:r>
              <w:rPr>
                <w:rFonts w:hint="eastAsia"/>
              </w:rPr>
              <w:t>2016</w:t>
            </w:r>
            <w:r>
              <w:rPr>
                <w:rFonts w:hint="eastAsia"/>
              </w:rPr>
              <w:t>年</w:t>
            </w:r>
            <w:r>
              <w:rPr>
                <w:rFonts w:hint="eastAsia"/>
              </w:rPr>
              <w:t>7</w:t>
            </w:r>
            <w:r>
              <w:rPr>
                <w:rFonts w:hint="eastAsia"/>
              </w:rPr>
              <w:t>月加入南方基金，历任数量化投资部助理研究员、指数投资部研究员；</w:t>
            </w:r>
            <w:r>
              <w:rPr>
                <w:rFonts w:hint="eastAsia"/>
              </w:rPr>
              <w:t>2019</w:t>
            </w:r>
            <w:r>
              <w:rPr>
                <w:rFonts w:hint="eastAsia"/>
              </w:rPr>
              <w:t>年</w:t>
            </w:r>
            <w:r>
              <w:rPr>
                <w:rFonts w:hint="eastAsia"/>
              </w:rPr>
              <w:t>7</w:t>
            </w:r>
            <w:r>
              <w:rPr>
                <w:rFonts w:hint="eastAsia"/>
              </w:rPr>
              <w:t>月</w:t>
            </w:r>
            <w:r>
              <w:rPr>
                <w:rFonts w:hint="eastAsia"/>
              </w:rPr>
              <w:t>12</w:t>
            </w:r>
            <w:r>
              <w:rPr>
                <w:rFonts w:hint="eastAsia"/>
              </w:rPr>
              <w:t>日至</w:t>
            </w:r>
            <w:r>
              <w:rPr>
                <w:rFonts w:hint="eastAsia"/>
              </w:rPr>
              <w:t>2020</w:t>
            </w:r>
            <w:r>
              <w:rPr>
                <w:rFonts w:hint="eastAsia"/>
              </w:rPr>
              <w:t>年</w:t>
            </w:r>
            <w:r>
              <w:rPr>
                <w:rFonts w:hint="eastAsia"/>
              </w:rPr>
              <w:t>12</w:t>
            </w:r>
            <w:r>
              <w:rPr>
                <w:rFonts w:hint="eastAsia"/>
              </w:rPr>
              <w:t>月</w:t>
            </w:r>
            <w:r>
              <w:rPr>
                <w:rFonts w:hint="eastAsia"/>
              </w:rPr>
              <w:t>25</w:t>
            </w:r>
            <w:r>
              <w:rPr>
                <w:rFonts w:hint="eastAsia"/>
              </w:rPr>
              <w:t>日，任投资经理；</w:t>
            </w:r>
            <w:r>
              <w:rPr>
                <w:rFonts w:hint="eastAsia"/>
              </w:rPr>
              <w:t>2023</w:t>
            </w:r>
            <w:r>
              <w:rPr>
                <w:rFonts w:hint="eastAsia"/>
              </w:rPr>
              <w:t>年</w:t>
            </w:r>
            <w:r>
              <w:rPr>
                <w:rFonts w:hint="eastAsia"/>
              </w:rPr>
              <w:t>4</w:t>
            </w:r>
            <w:r>
              <w:rPr>
                <w:rFonts w:hint="eastAsia"/>
              </w:rPr>
              <w:t>月</w:t>
            </w:r>
            <w:r>
              <w:rPr>
                <w:rFonts w:hint="eastAsia"/>
              </w:rPr>
              <w:t>13</w:t>
            </w:r>
            <w:r>
              <w:rPr>
                <w:rFonts w:hint="eastAsia"/>
              </w:rPr>
              <w:t>日至</w:t>
            </w:r>
            <w:r>
              <w:rPr>
                <w:rFonts w:hint="eastAsia"/>
              </w:rPr>
              <w:t>2024</w:t>
            </w:r>
            <w:r>
              <w:rPr>
                <w:rFonts w:hint="eastAsia"/>
              </w:rPr>
              <w:t>年</w:t>
            </w:r>
            <w:r>
              <w:rPr>
                <w:rFonts w:hint="eastAsia"/>
              </w:rPr>
              <w:t>5</w:t>
            </w:r>
            <w:r>
              <w:rPr>
                <w:rFonts w:hint="eastAsia"/>
              </w:rPr>
              <w:t>月</w:t>
            </w:r>
            <w:r>
              <w:rPr>
                <w:rFonts w:hint="eastAsia"/>
              </w:rPr>
              <w:t>17</w:t>
            </w:r>
            <w:r>
              <w:rPr>
                <w:rFonts w:hint="eastAsia"/>
              </w:rPr>
              <w:t>日，任南方沪深</w:t>
            </w:r>
            <w:r>
              <w:rPr>
                <w:rFonts w:hint="eastAsia"/>
              </w:rPr>
              <w:t>300ESG</w:t>
            </w:r>
            <w:r>
              <w:rPr>
                <w:rFonts w:hint="eastAsia"/>
              </w:rPr>
              <w:t>基准</w:t>
            </w:r>
            <w:r>
              <w:rPr>
                <w:rFonts w:hint="eastAsia"/>
              </w:rPr>
              <w:t>ETF</w:t>
            </w:r>
            <w:r>
              <w:rPr>
                <w:rFonts w:hint="eastAsia"/>
              </w:rPr>
              <w:t>基金经理；</w:t>
            </w:r>
            <w:r>
              <w:rPr>
                <w:rFonts w:hint="eastAsia"/>
              </w:rPr>
              <w:t>2021</w:t>
            </w:r>
            <w:r>
              <w:rPr>
                <w:rFonts w:hint="eastAsia"/>
              </w:rPr>
              <w:t>年</w:t>
            </w:r>
            <w:r>
              <w:rPr>
                <w:rFonts w:hint="eastAsia"/>
              </w:rPr>
              <w:t>7</w:t>
            </w:r>
            <w:r>
              <w:rPr>
                <w:rFonts w:hint="eastAsia"/>
              </w:rPr>
              <w:t>月</w:t>
            </w:r>
            <w:r>
              <w:rPr>
                <w:rFonts w:hint="eastAsia"/>
              </w:rPr>
              <w:t>16</w:t>
            </w:r>
            <w:r>
              <w:rPr>
                <w:rFonts w:hint="eastAsia"/>
              </w:rPr>
              <w:t>日至</w:t>
            </w:r>
            <w:r>
              <w:rPr>
                <w:rFonts w:hint="eastAsia"/>
              </w:rPr>
              <w:t>2025</w:t>
            </w:r>
            <w:r>
              <w:rPr>
                <w:rFonts w:hint="eastAsia"/>
              </w:rPr>
              <w:t>年</w:t>
            </w:r>
            <w:r>
              <w:rPr>
                <w:rFonts w:hint="eastAsia"/>
              </w:rPr>
              <w:t>6</w:t>
            </w:r>
            <w:r>
              <w:rPr>
                <w:rFonts w:hint="eastAsia"/>
              </w:rPr>
              <w:t>月</w:t>
            </w:r>
            <w:r>
              <w:rPr>
                <w:rFonts w:hint="eastAsia"/>
              </w:rPr>
              <w:t>6</w:t>
            </w:r>
            <w:r>
              <w:rPr>
                <w:rFonts w:hint="eastAsia"/>
              </w:rPr>
              <w:t>日，任南方中证香港科技</w:t>
            </w:r>
            <w:r>
              <w:rPr>
                <w:rFonts w:hint="eastAsia"/>
              </w:rPr>
              <w:t>ETF</w:t>
            </w:r>
            <w:r>
              <w:rPr>
                <w:rFonts w:hint="eastAsia"/>
              </w:rPr>
              <w:t>（</w:t>
            </w:r>
            <w:r>
              <w:rPr>
                <w:rFonts w:hint="eastAsia"/>
              </w:rPr>
              <w:t>QDII</w:t>
            </w:r>
            <w:r>
              <w:rPr>
                <w:rFonts w:hint="eastAsia"/>
              </w:rPr>
              <w:t>）基金经理；</w:t>
            </w:r>
            <w:r>
              <w:rPr>
                <w:rFonts w:hint="eastAsia"/>
              </w:rPr>
              <w:t>2020</w:t>
            </w:r>
            <w:r>
              <w:rPr>
                <w:rFonts w:hint="eastAsia"/>
              </w:rPr>
              <w:t>年</w:t>
            </w:r>
            <w:r>
              <w:rPr>
                <w:rFonts w:hint="eastAsia"/>
              </w:rPr>
              <w:t>12</w:t>
            </w:r>
            <w:r>
              <w:rPr>
                <w:rFonts w:hint="eastAsia"/>
              </w:rPr>
              <w:t>月</w:t>
            </w:r>
            <w:r>
              <w:rPr>
                <w:rFonts w:hint="eastAsia"/>
              </w:rPr>
              <w:t>25</w:t>
            </w:r>
            <w:r>
              <w:rPr>
                <w:rFonts w:hint="eastAsia"/>
              </w:rPr>
              <w:t>日至今，任南方策略优化混合基金经理；</w:t>
            </w:r>
            <w:r>
              <w:rPr>
                <w:rFonts w:hint="eastAsia"/>
              </w:rPr>
              <w:t>2021</w:t>
            </w:r>
            <w:r>
              <w:rPr>
                <w:rFonts w:hint="eastAsia"/>
              </w:rPr>
              <w:t>年</w:t>
            </w:r>
            <w:r>
              <w:rPr>
                <w:rFonts w:hint="eastAsia"/>
              </w:rPr>
              <w:t>4</w:t>
            </w:r>
            <w:r>
              <w:rPr>
                <w:rFonts w:hint="eastAsia"/>
              </w:rPr>
              <w:t>月</w:t>
            </w:r>
            <w:r>
              <w:rPr>
                <w:rFonts w:hint="eastAsia"/>
              </w:rPr>
              <w:t>23</w:t>
            </w:r>
            <w:r>
              <w:rPr>
                <w:rFonts w:hint="eastAsia"/>
              </w:rPr>
              <w:t>日至今，任南方中证创新药产业</w:t>
            </w:r>
            <w:r>
              <w:rPr>
                <w:rFonts w:hint="eastAsia"/>
              </w:rPr>
              <w:t>ETF</w:t>
            </w:r>
            <w:r>
              <w:rPr>
                <w:rFonts w:hint="eastAsia"/>
              </w:rPr>
              <w:t>基金经理；</w:t>
            </w:r>
            <w:r>
              <w:rPr>
                <w:rFonts w:hint="eastAsia"/>
              </w:rPr>
              <w:t>2021</w:t>
            </w:r>
            <w:r>
              <w:rPr>
                <w:rFonts w:hint="eastAsia"/>
              </w:rPr>
              <w:t>年</w:t>
            </w:r>
            <w:r>
              <w:rPr>
                <w:rFonts w:hint="eastAsia"/>
              </w:rPr>
              <w:t>11</w:t>
            </w:r>
            <w:r>
              <w:rPr>
                <w:rFonts w:hint="eastAsia"/>
              </w:rPr>
              <w:t>月</w:t>
            </w:r>
            <w:r>
              <w:rPr>
                <w:rFonts w:hint="eastAsia"/>
              </w:rPr>
              <w:t>2</w:t>
            </w:r>
            <w:r>
              <w:rPr>
                <w:rFonts w:hint="eastAsia"/>
              </w:rPr>
              <w:t>日至今，任南方中证全指医疗保健</w:t>
            </w:r>
            <w:r>
              <w:rPr>
                <w:rFonts w:hint="eastAsia"/>
              </w:rPr>
              <w:t>ETF</w:t>
            </w:r>
            <w:r>
              <w:rPr>
                <w:rFonts w:hint="eastAsia"/>
              </w:rPr>
              <w:t>基金经理；</w:t>
            </w:r>
            <w:r>
              <w:rPr>
                <w:rFonts w:hint="eastAsia"/>
              </w:rPr>
              <w:t>2022</w:t>
            </w:r>
            <w:r>
              <w:rPr>
                <w:rFonts w:hint="eastAsia"/>
              </w:rPr>
              <w:t>年</w:t>
            </w:r>
            <w:r>
              <w:rPr>
                <w:rFonts w:hint="eastAsia"/>
              </w:rPr>
              <w:t>6</w:t>
            </w:r>
            <w:r>
              <w:rPr>
                <w:rFonts w:hint="eastAsia"/>
              </w:rPr>
              <w:t>月</w:t>
            </w:r>
            <w:r>
              <w:rPr>
                <w:rFonts w:hint="eastAsia"/>
              </w:rPr>
              <w:t>17</w:t>
            </w:r>
            <w:r>
              <w:rPr>
                <w:rFonts w:hint="eastAsia"/>
              </w:rPr>
              <w:t>日至今，任南方恒生生物科技</w:t>
            </w:r>
            <w:r>
              <w:rPr>
                <w:rFonts w:hint="eastAsia"/>
              </w:rPr>
              <w:t>ETF</w:t>
            </w:r>
            <w:r>
              <w:rPr>
                <w:rFonts w:hint="eastAsia"/>
              </w:rPr>
              <w:t>（</w:t>
            </w:r>
            <w:r>
              <w:rPr>
                <w:rFonts w:hint="eastAsia"/>
              </w:rPr>
              <w:t>QDII</w:t>
            </w:r>
            <w:r>
              <w:rPr>
                <w:rFonts w:hint="eastAsia"/>
              </w:rPr>
              <w:t>）（原：南方恒生香港上市生物科技</w:t>
            </w:r>
            <w:r>
              <w:rPr>
                <w:rFonts w:hint="eastAsia"/>
              </w:rPr>
              <w:t>ETF</w:t>
            </w:r>
            <w:r>
              <w:rPr>
                <w:rFonts w:hint="eastAsia"/>
              </w:rPr>
              <w:t>（</w:t>
            </w:r>
            <w:r>
              <w:rPr>
                <w:rFonts w:hint="eastAsia"/>
              </w:rPr>
              <w:t>QDII</w:t>
            </w:r>
            <w:r>
              <w:rPr>
                <w:rFonts w:hint="eastAsia"/>
              </w:rPr>
              <w:t>））基金经理；</w:t>
            </w:r>
            <w:r>
              <w:rPr>
                <w:rFonts w:hint="eastAsia"/>
              </w:rPr>
              <w:t>2022</w:t>
            </w:r>
            <w:r>
              <w:rPr>
                <w:rFonts w:hint="eastAsia"/>
              </w:rPr>
              <w:t>年</w:t>
            </w:r>
            <w:r>
              <w:rPr>
                <w:rFonts w:hint="eastAsia"/>
              </w:rPr>
              <w:t>7</w:t>
            </w:r>
            <w:r>
              <w:rPr>
                <w:rFonts w:hint="eastAsia"/>
              </w:rPr>
              <w:t>月</w:t>
            </w:r>
            <w:r>
              <w:rPr>
                <w:rFonts w:hint="eastAsia"/>
              </w:rPr>
              <w:t>11</w:t>
            </w:r>
            <w:r>
              <w:rPr>
                <w:rFonts w:hint="eastAsia"/>
              </w:rPr>
              <w:t>日至今，任南方中证上海环交所碳中和</w:t>
            </w:r>
            <w:r>
              <w:rPr>
                <w:rFonts w:hint="eastAsia"/>
              </w:rPr>
              <w:t>ETF</w:t>
            </w:r>
            <w:r>
              <w:rPr>
                <w:rFonts w:hint="eastAsia"/>
              </w:rPr>
              <w:t>基金经理；</w:t>
            </w:r>
            <w:r>
              <w:rPr>
                <w:rFonts w:hint="eastAsia"/>
              </w:rPr>
              <w:t>2022</w:t>
            </w:r>
            <w:r>
              <w:rPr>
                <w:rFonts w:hint="eastAsia"/>
              </w:rPr>
              <w:t>年</w:t>
            </w:r>
            <w:r>
              <w:rPr>
                <w:rFonts w:hint="eastAsia"/>
              </w:rPr>
              <w:t>12</w:t>
            </w:r>
            <w:r>
              <w:rPr>
                <w:rFonts w:hint="eastAsia"/>
              </w:rPr>
              <w:t>月</w:t>
            </w:r>
            <w:r>
              <w:rPr>
                <w:rFonts w:hint="eastAsia"/>
              </w:rPr>
              <w:t>1</w:t>
            </w:r>
            <w:r>
              <w:rPr>
                <w:rFonts w:hint="eastAsia"/>
              </w:rPr>
              <w:t>日至今，任南方上证科创板</w:t>
            </w:r>
            <w:r>
              <w:rPr>
                <w:rFonts w:hint="eastAsia"/>
              </w:rPr>
              <w:t>50</w:t>
            </w:r>
            <w:r>
              <w:rPr>
                <w:rFonts w:hint="eastAsia"/>
              </w:rPr>
              <w:t>成份增强策略</w:t>
            </w:r>
            <w:r>
              <w:rPr>
                <w:rFonts w:hint="eastAsia"/>
              </w:rPr>
              <w:t>ETF</w:t>
            </w:r>
            <w:r>
              <w:rPr>
                <w:rFonts w:hint="eastAsia"/>
              </w:rPr>
              <w:t>基金经理；</w:t>
            </w:r>
            <w:r>
              <w:rPr>
                <w:rFonts w:hint="eastAsia"/>
              </w:rPr>
              <w:t>2023</w:t>
            </w:r>
            <w:r>
              <w:rPr>
                <w:rFonts w:hint="eastAsia"/>
              </w:rPr>
              <w:t>年</w:t>
            </w:r>
            <w:r>
              <w:rPr>
                <w:rFonts w:hint="eastAsia"/>
              </w:rPr>
              <w:t>5</w:t>
            </w:r>
            <w:r>
              <w:rPr>
                <w:rFonts w:hint="eastAsia"/>
              </w:rPr>
              <w:t>月</w:t>
            </w:r>
            <w:r>
              <w:rPr>
                <w:rFonts w:hint="eastAsia"/>
              </w:rPr>
              <w:t>30</w:t>
            </w:r>
            <w:r>
              <w:rPr>
                <w:rFonts w:hint="eastAsia"/>
              </w:rPr>
              <w:t>日至今，任南方恒生生物科技</w:t>
            </w:r>
            <w:r>
              <w:rPr>
                <w:rFonts w:hint="eastAsia"/>
              </w:rPr>
              <w:t>ETF</w:t>
            </w:r>
            <w:r>
              <w:rPr>
                <w:rFonts w:hint="eastAsia"/>
              </w:rPr>
              <w:t>发起联接（</w:t>
            </w:r>
            <w:r>
              <w:rPr>
                <w:rFonts w:hint="eastAsia"/>
              </w:rPr>
              <w:t>QDII</w:t>
            </w:r>
            <w:r>
              <w:rPr>
                <w:rFonts w:hint="eastAsia"/>
              </w:rPr>
              <w:t>）（原：南方恒生香港上市生物科技</w:t>
            </w:r>
            <w:r>
              <w:rPr>
                <w:rFonts w:hint="eastAsia"/>
              </w:rPr>
              <w:t>ETF</w:t>
            </w:r>
            <w:r>
              <w:rPr>
                <w:rFonts w:hint="eastAsia"/>
              </w:rPr>
              <w:t>发起联接（</w:t>
            </w:r>
            <w:r>
              <w:rPr>
                <w:rFonts w:hint="eastAsia"/>
              </w:rPr>
              <w:t>QDII</w:t>
            </w:r>
            <w:r>
              <w:rPr>
                <w:rFonts w:hint="eastAsia"/>
              </w:rPr>
              <w:t>））基金经理；</w:t>
            </w:r>
            <w:r>
              <w:rPr>
                <w:rFonts w:hint="eastAsia"/>
              </w:rPr>
              <w:t>2023</w:t>
            </w:r>
            <w:r>
              <w:rPr>
                <w:rFonts w:hint="eastAsia"/>
              </w:rPr>
              <w:t>年</w:t>
            </w:r>
            <w:r>
              <w:rPr>
                <w:rFonts w:hint="eastAsia"/>
              </w:rPr>
              <w:t>6</w:t>
            </w:r>
            <w:r>
              <w:rPr>
                <w:rFonts w:hint="eastAsia"/>
              </w:rPr>
              <w:t>月</w:t>
            </w:r>
            <w:r>
              <w:rPr>
                <w:rFonts w:hint="eastAsia"/>
              </w:rPr>
              <w:t>1</w:t>
            </w:r>
            <w:r>
              <w:rPr>
                <w:rFonts w:hint="eastAsia"/>
              </w:rPr>
              <w:t>日至今，任南方中证上海环交所碳中和</w:t>
            </w:r>
            <w:r>
              <w:rPr>
                <w:rFonts w:hint="eastAsia"/>
              </w:rPr>
              <w:t>ETF</w:t>
            </w:r>
            <w:r>
              <w:rPr>
                <w:rFonts w:hint="eastAsia"/>
              </w:rPr>
              <w:t>联接基金经理；</w:t>
            </w:r>
            <w:r>
              <w:rPr>
                <w:rFonts w:hint="eastAsia"/>
              </w:rPr>
              <w:t>2023</w:t>
            </w:r>
            <w:r>
              <w:rPr>
                <w:rFonts w:hint="eastAsia"/>
              </w:rPr>
              <w:t>年</w:t>
            </w:r>
            <w:r>
              <w:rPr>
                <w:rFonts w:hint="eastAsia"/>
              </w:rPr>
              <w:t>10</w:t>
            </w:r>
            <w:r>
              <w:rPr>
                <w:rFonts w:hint="eastAsia"/>
              </w:rPr>
              <w:t>月</w:t>
            </w:r>
            <w:r>
              <w:rPr>
                <w:rFonts w:hint="eastAsia"/>
              </w:rPr>
              <w:t>24</w:t>
            </w:r>
            <w:r>
              <w:rPr>
                <w:rFonts w:hint="eastAsia"/>
              </w:rPr>
              <w:t>日至今，任南方中证全指医疗保健设备与服务</w:t>
            </w:r>
            <w:r>
              <w:rPr>
                <w:rFonts w:hint="eastAsia"/>
              </w:rPr>
              <w:t>ETF</w:t>
            </w:r>
            <w:r>
              <w:rPr>
                <w:rFonts w:hint="eastAsia"/>
              </w:rPr>
              <w:t>发起联接基金经理；</w:t>
            </w:r>
            <w:r>
              <w:rPr>
                <w:rFonts w:hint="eastAsia"/>
              </w:rPr>
              <w:t>2023</w:t>
            </w:r>
            <w:r>
              <w:rPr>
                <w:rFonts w:hint="eastAsia"/>
              </w:rPr>
              <w:t>年</w:t>
            </w:r>
            <w:r>
              <w:rPr>
                <w:rFonts w:hint="eastAsia"/>
              </w:rPr>
              <w:t>12</w:t>
            </w:r>
            <w:r>
              <w:rPr>
                <w:rFonts w:hint="eastAsia"/>
              </w:rPr>
              <w:t>月</w:t>
            </w:r>
            <w:r>
              <w:rPr>
                <w:rFonts w:hint="eastAsia"/>
              </w:rPr>
              <w:t>8</w:t>
            </w:r>
            <w:r>
              <w:rPr>
                <w:rFonts w:hint="eastAsia"/>
              </w:rPr>
              <w:t>日至今，任南方上证科创板</w:t>
            </w:r>
            <w:r>
              <w:rPr>
                <w:rFonts w:hint="eastAsia"/>
              </w:rPr>
              <w:t>100ETF</w:t>
            </w:r>
            <w:r>
              <w:rPr>
                <w:rFonts w:hint="eastAsia"/>
              </w:rPr>
              <w:t>基金经理；</w:t>
            </w:r>
            <w:r>
              <w:rPr>
                <w:rFonts w:hint="eastAsia"/>
              </w:rPr>
              <w:t>2024</w:t>
            </w:r>
            <w:r>
              <w:rPr>
                <w:rFonts w:hint="eastAsia"/>
              </w:rPr>
              <w:t>年</w:t>
            </w:r>
            <w:r>
              <w:rPr>
                <w:rFonts w:hint="eastAsia"/>
              </w:rPr>
              <w:t>4</w:t>
            </w:r>
            <w:r>
              <w:rPr>
                <w:rFonts w:hint="eastAsia"/>
              </w:rPr>
              <w:t>月</w:t>
            </w:r>
            <w:r>
              <w:rPr>
                <w:rFonts w:hint="eastAsia"/>
              </w:rPr>
              <w:t>16</w:t>
            </w:r>
            <w:r>
              <w:rPr>
                <w:rFonts w:hint="eastAsia"/>
              </w:rPr>
              <w:t>日至今，任南方中证创新药产业</w:t>
            </w:r>
            <w:r>
              <w:rPr>
                <w:rFonts w:hint="eastAsia"/>
              </w:rPr>
              <w:t>ETF</w:t>
            </w:r>
            <w:r>
              <w:rPr>
                <w:rFonts w:hint="eastAsia"/>
              </w:rPr>
              <w:t>发起联接基金经理；</w:t>
            </w:r>
            <w:r>
              <w:rPr>
                <w:rFonts w:hint="eastAsia"/>
              </w:rPr>
              <w:t>2024</w:t>
            </w:r>
            <w:r>
              <w:rPr>
                <w:rFonts w:hint="eastAsia"/>
              </w:rPr>
              <w:t>年</w:t>
            </w:r>
            <w:r>
              <w:rPr>
                <w:rFonts w:hint="eastAsia"/>
              </w:rPr>
              <w:t>5</w:t>
            </w:r>
            <w:r>
              <w:rPr>
                <w:rFonts w:hint="eastAsia"/>
              </w:rPr>
              <w:t>月</w:t>
            </w:r>
            <w:r>
              <w:rPr>
                <w:rFonts w:hint="eastAsia"/>
              </w:rPr>
              <w:t>30</w:t>
            </w:r>
            <w:r>
              <w:rPr>
                <w:rFonts w:hint="eastAsia"/>
              </w:rPr>
              <w:t>日至今，任南方深证主板</w:t>
            </w:r>
            <w:r>
              <w:rPr>
                <w:rFonts w:hint="eastAsia"/>
              </w:rPr>
              <w:t>50ETF</w:t>
            </w:r>
            <w:r>
              <w:rPr>
                <w:rFonts w:hint="eastAsia"/>
              </w:rPr>
              <w:t>基金经理；</w:t>
            </w:r>
            <w:r>
              <w:rPr>
                <w:rFonts w:hint="eastAsia"/>
              </w:rPr>
              <w:t>2024</w:t>
            </w:r>
            <w:r>
              <w:rPr>
                <w:rFonts w:hint="eastAsia"/>
              </w:rPr>
              <w:t>年</w:t>
            </w:r>
            <w:r>
              <w:rPr>
                <w:rFonts w:hint="eastAsia"/>
              </w:rPr>
              <w:t>6</w:t>
            </w:r>
            <w:r>
              <w:rPr>
                <w:rFonts w:hint="eastAsia"/>
              </w:rPr>
              <w:t>月</w:t>
            </w:r>
            <w:r>
              <w:rPr>
                <w:rFonts w:hint="eastAsia"/>
              </w:rPr>
              <w:t>24</w:t>
            </w:r>
            <w:r>
              <w:rPr>
                <w:rFonts w:hint="eastAsia"/>
              </w:rPr>
              <w:t>日至今，任南方上证科创板</w:t>
            </w:r>
            <w:r>
              <w:rPr>
                <w:rFonts w:hint="eastAsia"/>
              </w:rPr>
              <w:t>100ETF</w:t>
            </w:r>
            <w:r>
              <w:rPr>
                <w:rFonts w:hint="eastAsia"/>
              </w:rPr>
              <w:t>联接基金经理；</w:t>
            </w:r>
            <w:r>
              <w:rPr>
                <w:rFonts w:hint="eastAsia"/>
              </w:rPr>
              <w:t>2024</w:t>
            </w:r>
            <w:r>
              <w:rPr>
                <w:rFonts w:hint="eastAsia"/>
              </w:rPr>
              <w:t>年</w:t>
            </w:r>
            <w:r>
              <w:rPr>
                <w:rFonts w:hint="eastAsia"/>
              </w:rPr>
              <w:t>9</w:t>
            </w:r>
            <w:r>
              <w:rPr>
                <w:rFonts w:hint="eastAsia"/>
              </w:rPr>
              <w:t>月</w:t>
            </w:r>
            <w:r>
              <w:rPr>
                <w:rFonts w:hint="eastAsia"/>
              </w:rPr>
              <w:t>25</w:t>
            </w:r>
            <w:r>
              <w:rPr>
                <w:rFonts w:hint="eastAsia"/>
              </w:rPr>
              <w:t>日至今，任南方中证</w:t>
            </w:r>
            <w:r>
              <w:rPr>
                <w:rFonts w:hint="eastAsia"/>
              </w:rPr>
              <w:t>A500ETF</w:t>
            </w:r>
            <w:r>
              <w:rPr>
                <w:rFonts w:hint="eastAsia"/>
              </w:rPr>
              <w:t>基金经理；</w:t>
            </w:r>
            <w:r>
              <w:rPr>
                <w:rFonts w:hint="eastAsia"/>
              </w:rPr>
              <w:t>2024</w:t>
            </w:r>
            <w:r>
              <w:rPr>
                <w:rFonts w:hint="eastAsia"/>
              </w:rPr>
              <w:t>年</w:t>
            </w:r>
            <w:r>
              <w:rPr>
                <w:rFonts w:hint="eastAsia"/>
              </w:rPr>
              <w:t>10</w:t>
            </w:r>
            <w:r>
              <w:rPr>
                <w:rFonts w:hint="eastAsia"/>
              </w:rPr>
              <w:t>月</w:t>
            </w:r>
            <w:r>
              <w:rPr>
                <w:rFonts w:hint="eastAsia"/>
              </w:rPr>
              <w:t>18</w:t>
            </w:r>
            <w:r>
              <w:rPr>
                <w:rFonts w:hint="eastAsia"/>
              </w:rPr>
              <w:t>日至今，任南方深证主板</w:t>
            </w:r>
            <w:r>
              <w:rPr>
                <w:rFonts w:hint="eastAsia"/>
              </w:rPr>
              <w:t>50ETF</w:t>
            </w:r>
            <w:r>
              <w:rPr>
                <w:rFonts w:hint="eastAsia"/>
              </w:rPr>
              <w:t>联接基金经理；</w:t>
            </w:r>
            <w:r>
              <w:rPr>
                <w:rFonts w:hint="eastAsia"/>
              </w:rPr>
              <w:t>2024</w:t>
            </w:r>
            <w:r>
              <w:rPr>
                <w:rFonts w:hint="eastAsia"/>
              </w:rPr>
              <w:t>年</w:t>
            </w:r>
            <w:r>
              <w:rPr>
                <w:rFonts w:hint="eastAsia"/>
              </w:rPr>
              <w:t>11</w:t>
            </w:r>
            <w:r>
              <w:rPr>
                <w:rFonts w:hint="eastAsia"/>
              </w:rPr>
              <w:t>月</w:t>
            </w:r>
            <w:r>
              <w:rPr>
                <w:rFonts w:hint="eastAsia"/>
              </w:rPr>
              <w:t>12</w:t>
            </w:r>
            <w:r>
              <w:rPr>
                <w:rFonts w:hint="eastAsia"/>
              </w:rPr>
              <w:t>日至今，任南方中证</w:t>
            </w:r>
            <w:r>
              <w:rPr>
                <w:rFonts w:hint="eastAsia"/>
              </w:rPr>
              <w:t>A500ETF</w:t>
            </w:r>
            <w:r>
              <w:rPr>
                <w:rFonts w:hint="eastAsia"/>
              </w:rPr>
              <w:t>联接基金经理；</w:t>
            </w:r>
            <w:r>
              <w:rPr>
                <w:rFonts w:hint="eastAsia"/>
              </w:rPr>
              <w:t>2025</w:t>
            </w:r>
            <w:r>
              <w:rPr>
                <w:rFonts w:hint="eastAsia"/>
              </w:rPr>
              <w:t>年</w:t>
            </w:r>
            <w:r>
              <w:rPr>
                <w:rFonts w:hint="eastAsia"/>
              </w:rPr>
              <w:t>1</w:t>
            </w:r>
            <w:r>
              <w:rPr>
                <w:rFonts w:hint="eastAsia"/>
              </w:rPr>
              <w:t>月</w:t>
            </w:r>
            <w:r>
              <w:rPr>
                <w:rFonts w:hint="eastAsia"/>
              </w:rPr>
              <w:t>14</w:t>
            </w:r>
            <w:r>
              <w:rPr>
                <w:rFonts w:hint="eastAsia"/>
              </w:rPr>
              <w:t>日至今，任南方中证港股通汽车产业主题</w:t>
            </w:r>
            <w:r>
              <w:rPr>
                <w:rFonts w:hint="eastAsia"/>
              </w:rPr>
              <w:t>ETF</w:t>
            </w:r>
            <w:r>
              <w:rPr>
                <w:rFonts w:hint="eastAsia"/>
              </w:rPr>
              <w:t>发起</w:t>
            </w:r>
            <w:r>
              <w:rPr>
                <w:rFonts w:hint="eastAsia"/>
              </w:rPr>
              <w:lastRenderedPageBreak/>
              <w:t>联接（原：南方中证港股通汽车产业主题指数发起）基金经理；</w:t>
            </w:r>
            <w:r>
              <w:rPr>
                <w:rFonts w:hint="eastAsia"/>
              </w:rPr>
              <w:t>2026</w:t>
            </w:r>
            <w:r>
              <w:rPr>
                <w:rFonts w:hint="eastAsia"/>
              </w:rPr>
              <w:t>年</w:t>
            </w:r>
            <w:r>
              <w:rPr>
                <w:rFonts w:hint="eastAsia"/>
              </w:rPr>
              <w:t>3</w:t>
            </w:r>
            <w:r>
              <w:rPr>
                <w:rFonts w:hint="eastAsia"/>
              </w:rPr>
              <w:t>月</w:t>
            </w:r>
            <w:r>
              <w:rPr>
                <w:rFonts w:hint="eastAsia"/>
              </w:rPr>
              <w:t>18</w:t>
            </w:r>
            <w:r>
              <w:rPr>
                <w:rFonts w:hint="eastAsia"/>
              </w:rPr>
              <w:t>日至今，任南方中证港股通汽车产业主题</w:t>
            </w:r>
            <w:r>
              <w:rPr>
                <w:rFonts w:hint="eastAsia"/>
              </w:rPr>
              <w:t>ETF</w:t>
            </w:r>
            <w:r>
              <w:rPr>
                <w:rFonts w:hint="eastAsia"/>
              </w:rPr>
              <w:t>基金经理。</w:t>
            </w:r>
          </w:p>
        </w:tc>
      </w:tr>
    </w:tbl>
    <w:p w:rsidR="00F87013" w:rsidRDefault="00F87013" w:rsidP="00F87013">
      <w:pPr>
        <w:pStyle w:val="-8"/>
      </w:pPr>
      <w:r>
        <w:rPr>
          <w:rFonts w:hint="eastAsia"/>
        </w:rPr>
        <w:lastRenderedPageBreak/>
        <w:t>注：1、本基金首任基金经理的任职日期为本基金合同生效日，后任基金经理的任职日期以及历任基金经理的离任日期为公司相关会议作出决定的公告（生效）日期；</w:t>
      </w:r>
    </w:p>
    <w:p w:rsidR="00F87013" w:rsidRDefault="00F87013" w:rsidP="00F87013">
      <w:pPr>
        <w:pStyle w:val="-"/>
        <w:ind w:firstLine="420"/>
      </w:pPr>
      <w:r>
        <w:rPr>
          <w:rFonts w:hint="eastAsia"/>
        </w:rPr>
        <w:t>2、证券从业年限计算标准遵从中国证监会《证券基金经营机构董事、监事、高级管理人员及从业人员监督管理办法》中关于证券基金从业人员范围的相关规定。</w:t>
      </w:r>
    </w:p>
    <w:p w:rsidR="00F87013" w:rsidRDefault="00F87013" w:rsidP="00F87013">
      <w:pPr>
        <w:pStyle w:val="-2"/>
        <w:spacing w:before="312"/>
      </w:pPr>
      <w:r>
        <w:rPr>
          <w:rFonts w:hint="eastAsia"/>
        </w:rPr>
        <w:t>管理人对报告期内本基金运作遵规守信情况的说明</w:t>
      </w:r>
    </w:p>
    <w:p w:rsidR="00F87013" w:rsidRDefault="00F87013" w:rsidP="00F87013">
      <w:pPr>
        <w:pStyle w:val="-"/>
        <w:ind w:firstLine="420"/>
      </w:pPr>
      <w:r>
        <w:rPr>
          <w:rFonts w:hint="eastAsia"/>
        </w:rPr>
        <w:t>本报告期内，本基金管理人严格遵守《中华人民共和国证券投资基金法》及其他有关法律法规的规定及本基金基金合同的约定，本着诚实信用、勤勉尽责的原则管理和运用基金资产，在严格控制风险的基础上，为基金份额持有人谋求利益。本报告期内，本基金运作整体合法合规，不存在损害基金份额持有人利益的行为。基金的投资范围、投资比例及投资组合符合有关法律法规及基金合同的规定。</w:t>
      </w:r>
    </w:p>
    <w:p w:rsidR="00F87013" w:rsidRDefault="00F87013" w:rsidP="00F87013">
      <w:pPr>
        <w:pStyle w:val="-2"/>
        <w:spacing w:before="312"/>
      </w:pPr>
      <w:r>
        <w:rPr>
          <w:rFonts w:hint="eastAsia"/>
        </w:rPr>
        <w:t>公平交易专项说明</w:t>
      </w:r>
    </w:p>
    <w:p w:rsidR="00F87013" w:rsidRDefault="00F87013" w:rsidP="00F87013">
      <w:pPr>
        <w:pStyle w:val="-3"/>
        <w:spacing w:before="156" w:after="156"/>
      </w:pPr>
      <w:r>
        <w:rPr>
          <w:rFonts w:hint="eastAsia"/>
        </w:rPr>
        <w:t>公平交易制度的执行情况</w:t>
      </w:r>
    </w:p>
    <w:p w:rsidR="00F87013" w:rsidRDefault="00F87013" w:rsidP="00F87013">
      <w:pPr>
        <w:pStyle w:val="-"/>
        <w:ind w:firstLine="420"/>
      </w:pPr>
      <w:r>
        <w:rPr>
          <w:rFonts w:hint="eastAsia"/>
        </w:rPr>
        <w:t>本报告期内，本基金管理人严格执行《证券投资基金管理公司公平交易制度指导意见》，完善相应制度及流程，通过系统和人工等各种方式在各业务环节严格控制交易公平执行，公平对待旗下管理的所有基金和投资组合。</w:t>
      </w:r>
    </w:p>
    <w:p w:rsidR="00F87013" w:rsidRDefault="00F87013" w:rsidP="00F87013">
      <w:pPr>
        <w:pStyle w:val="-3"/>
        <w:spacing w:before="156" w:after="156"/>
      </w:pPr>
      <w:r>
        <w:rPr>
          <w:rFonts w:hint="eastAsia"/>
        </w:rPr>
        <w:t>异常交易行为的专项说明</w:t>
      </w:r>
    </w:p>
    <w:p w:rsidR="00F87013" w:rsidRDefault="00F87013" w:rsidP="00F87013">
      <w:pPr>
        <w:pStyle w:val="-"/>
        <w:ind w:firstLine="420"/>
      </w:pPr>
      <w:r>
        <w:rPr>
          <w:rFonts w:hint="eastAsia"/>
        </w:rPr>
        <w:t>本基金于本报告期内不存在异常交易行为。本报告期内基金管理人管理的所有投资组合参与的交易所公开竞价同日反向交易成交较少的单边交易量超过该证券当日成交量的5%的交易次数为8次，是由于指数投资组合的投资策略导致。</w:t>
      </w:r>
    </w:p>
    <w:p w:rsidR="00F87013" w:rsidRDefault="00F87013" w:rsidP="00F87013">
      <w:pPr>
        <w:pStyle w:val="-2"/>
        <w:spacing w:before="312"/>
      </w:pPr>
      <w:r>
        <w:rPr>
          <w:rFonts w:hint="eastAsia"/>
        </w:rPr>
        <w:t>报告期内基金投资策略和运作分析</w:t>
      </w:r>
    </w:p>
    <w:p w:rsidR="00F87013" w:rsidRDefault="00F87013" w:rsidP="00F87013">
      <w:pPr>
        <w:pStyle w:val="-"/>
        <w:ind w:firstLine="420"/>
      </w:pPr>
      <w:r>
        <w:rPr>
          <w:rFonts w:hint="eastAsia"/>
        </w:rPr>
        <w:t>二季度，市场整体呈现冲高回落、高位震荡、指数分化的格局，其中深主板50指数上涨4.08%。季初市场延续反弹动能，上证指数5月一度冲高刷新近十年新高，但中旬后受海外"滞胀"预期升温、美联储政策框架重塑及中东地缘反复扰动影响，风险偏好回落，指数拐头下行失守4100点后转入宽幅震荡。二季度市场结构化特征极致分化，AI产业链在算力建设加速与光通信需求爆发的驱动下表现强势，半导体、硬件设备、通信设备等板块季涨幅超40%，光通信、PCB等细分方向持续活跃；与此同时，能源链随中东局势缓和明显回吐，石油石化一季度暴涨后大幅回落，消费、医药生物、软件等板块则持续处于调整通道，高</w:t>
      </w:r>
      <w:r>
        <w:rPr>
          <w:rFonts w:hint="eastAsia"/>
        </w:rPr>
        <w:lastRenderedPageBreak/>
        <w:t>股息防御方向阶段性占优。一方面，"十五五"规划细则逐步落地叠加AI产业浪潮持续，为科技成长提供中长期政策与产业双击；另一方面，海外滞胀压力、美联储政策不确定性及地缘冲突反复仍对风险偏好形成压制。三季度市场预计将在高位震荡格局中等待盈利验证，随着中报陆续披露，市场核心矛盾将进一步锚定企业盈利改善的成色。AI算力、先进制造等新质生产力方向仍是中长期主线，景气边际修复的消费与出海链有望接力演绎"复苏牛"。</w:t>
      </w:r>
    </w:p>
    <w:p w:rsidR="00F87013" w:rsidRDefault="00F87013" w:rsidP="00F87013">
      <w:pPr>
        <w:pStyle w:val="-"/>
        <w:ind w:firstLine="420"/>
      </w:pPr>
      <w:r>
        <w:rPr>
          <w:rFonts w:hint="eastAsia"/>
        </w:rPr>
        <w:t>期间我们通过自建的指数化交易系统、日内择时交易模型、跟踪误差归因分析系统、ETF现金流精算系统等，将本基金的跟踪误差指标控制在较好水平，并通过严格的风险管理流程，确保了本基金的安全运作。</w:t>
      </w:r>
    </w:p>
    <w:p w:rsidR="00F87013" w:rsidRDefault="00F87013" w:rsidP="00F87013">
      <w:pPr>
        <w:pStyle w:val="-"/>
        <w:ind w:firstLine="420"/>
      </w:pPr>
      <w:r>
        <w:rPr>
          <w:rFonts w:hint="eastAsia"/>
        </w:rPr>
        <w:t>我们对本基金报告期内跟踪误差归因分析如下：</w:t>
      </w:r>
    </w:p>
    <w:p w:rsidR="00F87013" w:rsidRDefault="00F87013" w:rsidP="00F87013">
      <w:pPr>
        <w:pStyle w:val="-"/>
        <w:ind w:firstLine="420"/>
      </w:pPr>
      <w:r>
        <w:rPr>
          <w:rFonts w:hint="eastAsia"/>
        </w:rPr>
        <w:t>（1）报告期内，我们根据指数定期的成份股调整进行了基金调仓，事前我们制定了详细的调仓方案，在实施过程中引入多方校验机制防范风险发生，从实施结果来看，效果良好，跟踪误差控制在理想范围内。</w:t>
      </w:r>
    </w:p>
    <w:p w:rsidR="00F87013" w:rsidRDefault="00F87013" w:rsidP="00F87013">
      <w:pPr>
        <w:pStyle w:val="-"/>
        <w:ind w:firstLine="420"/>
      </w:pPr>
      <w:r>
        <w:rPr>
          <w:rFonts w:hint="eastAsia"/>
        </w:rPr>
        <w:t>（2）大额申购赎回带来的成份股权重偏差，对此我们通过日内择时交易争取跟踪误差最小化。</w:t>
      </w:r>
    </w:p>
    <w:p w:rsidR="00F87013" w:rsidRDefault="00F87013" w:rsidP="00F87013">
      <w:pPr>
        <w:pStyle w:val="-2"/>
        <w:spacing w:before="312"/>
      </w:pPr>
      <w:r>
        <w:rPr>
          <w:rFonts w:hint="eastAsia"/>
        </w:rPr>
        <w:t>报告期内基金的业绩表现</w:t>
      </w:r>
    </w:p>
    <w:p w:rsidR="00F87013" w:rsidRDefault="00F87013" w:rsidP="00F87013">
      <w:pPr>
        <w:pStyle w:val="-"/>
        <w:ind w:firstLine="420"/>
      </w:pPr>
      <w:r>
        <w:rPr>
          <w:rFonts w:hint="eastAsia"/>
        </w:rPr>
        <w:t>截至报告期末，本基金A份额净值为1.1096元，报告期内，份额净值增长率为4.71%，同期业绩基准增长率为3.89%；本基金C份额净值为1.1039元，报告期内，份额净值增长率为4.63%，同期业绩基准增长率为3.89%。</w:t>
      </w:r>
    </w:p>
    <w:p w:rsidR="00F87013" w:rsidRDefault="00F87013" w:rsidP="00F87013">
      <w:pPr>
        <w:pStyle w:val="-2"/>
        <w:spacing w:before="312"/>
      </w:pPr>
      <w:r>
        <w:rPr>
          <w:rFonts w:hint="eastAsia"/>
        </w:rPr>
        <w:t>报告期内基金持有人数或基金资产净值预警说明</w:t>
      </w:r>
    </w:p>
    <w:p w:rsidR="00F87013" w:rsidRDefault="00F87013" w:rsidP="00F87013">
      <w:pPr>
        <w:pStyle w:val="-"/>
        <w:ind w:firstLine="420"/>
      </w:pPr>
      <w:r>
        <w:rPr>
          <w:rFonts w:hint="eastAsia"/>
        </w:rPr>
        <w:t>报告期内，本基金已出现连续六十个交易日基金份额持有人数量不满二百人或者基金资产净值低于五千万元的情形，具体时间范围如下：</w:t>
      </w:r>
    </w:p>
    <w:p w:rsidR="00F87013" w:rsidRDefault="00F87013" w:rsidP="00F87013">
      <w:pPr>
        <w:pStyle w:val="-"/>
        <w:ind w:firstLine="420"/>
      </w:pPr>
      <w:r>
        <w:rPr>
          <w:rFonts w:hint="eastAsia"/>
        </w:rPr>
        <w:t>2026年04月01日至2026年06月30日</w:t>
      </w:r>
    </w:p>
    <w:p w:rsidR="00F87013" w:rsidRDefault="00F87013" w:rsidP="00F87013">
      <w:pPr>
        <w:pStyle w:val="-"/>
        <w:ind w:firstLine="420"/>
      </w:pPr>
      <w:r>
        <w:rPr>
          <w:rFonts w:hint="eastAsia"/>
        </w:rPr>
        <w:t>基金管理人已根据基金合同及法律法规规定以及本基金实际情况，通过集中营销、向中国证监会报告并提出解决方案等方式积极处理。</w:t>
      </w:r>
    </w:p>
    <w:p w:rsidR="00F87013" w:rsidRDefault="00F87013" w:rsidP="00F87013">
      <w:pPr>
        <w:pStyle w:val="-"/>
        <w:ind w:firstLine="420"/>
      </w:pPr>
      <w:r>
        <w:rPr>
          <w:rFonts w:hint="eastAsia"/>
        </w:rPr>
        <w:t>本报告期内，基金管理人在下列期间内自主承担本基金的信息披露费、审计费等固定费用：</w:t>
      </w:r>
    </w:p>
    <w:p w:rsidR="00F87013" w:rsidRDefault="00F87013" w:rsidP="00F87013">
      <w:pPr>
        <w:pStyle w:val="-"/>
        <w:ind w:firstLine="420"/>
      </w:pPr>
      <w:r>
        <w:rPr>
          <w:rFonts w:hint="eastAsia"/>
        </w:rPr>
        <w:t>2026年04月01日-2026年06月30日。</w:t>
      </w:r>
    </w:p>
    <w:p w:rsidR="00F87013" w:rsidRDefault="00F87013" w:rsidP="00F87013">
      <w:pPr>
        <w:pStyle w:val="-1"/>
        <w:ind w:left="281" w:hanging="281"/>
      </w:pPr>
      <w:r>
        <w:rPr>
          <w:rFonts w:hint="eastAsia"/>
        </w:rPr>
        <w:t>投资组合报告</w:t>
      </w:r>
    </w:p>
    <w:p w:rsidR="00F87013" w:rsidRDefault="00F87013" w:rsidP="00F87013">
      <w:pPr>
        <w:pStyle w:val="-2"/>
        <w:spacing w:before="312"/>
      </w:pPr>
      <w:r>
        <w:rPr>
          <w:rFonts w:hint="eastAsia"/>
        </w:rPr>
        <w:t>报告期末基金资产组合情况</w:t>
      </w:r>
    </w:p>
    <w:p w:rsidR="00F87013" w:rsidRDefault="00F87013" w:rsidP="00F87013">
      <w:pPr>
        <w:jc w:val="right"/>
      </w:pPr>
      <w:r>
        <w:rPr>
          <w:rFonts w:hint="eastAsia"/>
        </w:rPr>
        <w:lastRenderedPageBreak/>
        <w:t>金额单位：人民币元</w:t>
      </w:r>
    </w:p>
    <w:tbl>
      <w:tblPr>
        <w:tblStyle w:val="-0"/>
        <w:tblW w:w="8504" w:type="dxa"/>
        <w:tblLayout w:type="fixed"/>
        <w:tblLook w:val="04A0" w:firstRow="1" w:lastRow="0" w:firstColumn="1" w:lastColumn="0" w:noHBand="0" w:noVBand="1"/>
      </w:tblPr>
      <w:tblGrid>
        <w:gridCol w:w="646"/>
        <w:gridCol w:w="2971"/>
        <w:gridCol w:w="2381"/>
        <w:gridCol w:w="2506"/>
      </w:tblGrid>
      <w:tr w:rsidR="00F87013" w:rsidTr="00F87013">
        <w:trPr>
          <w:cnfStyle w:val="100000000000" w:firstRow="1" w:lastRow="0" w:firstColumn="0" w:lastColumn="0" w:oddVBand="0" w:evenVBand="0" w:oddHBand="0" w:evenHBand="0" w:firstRowFirstColumn="0" w:firstRowLastColumn="0" w:lastRowFirstColumn="0" w:lastRowLastColumn="0"/>
        </w:trPr>
        <w:tc>
          <w:tcPr>
            <w:tcW w:w="646" w:type="dxa"/>
          </w:tcPr>
          <w:p w:rsidR="00F87013" w:rsidRPr="00F87013" w:rsidRDefault="00F87013" w:rsidP="00F87013">
            <w:pPr>
              <w:jc w:val="center"/>
              <w:rPr>
                <w:b/>
              </w:rPr>
            </w:pPr>
            <w:r w:rsidRPr="00F87013">
              <w:rPr>
                <w:rFonts w:hint="eastAsia"/>
                <w:b/>
              </w:rPr>
              <w:t>序号</w:t>
            </w:r>
          </w:p>
        </w:tc>
        <w:tc>
          <w:tcPr>
            <w:tcW w:w="2971" w:type="dxa"/>
          </w:tcPr>
          <w:p w:rsidR="00F87013" w:rsidRPr="00F87013" w:rsidRDefault="00F87013" w:rsidP="00F87013">
            <w:pPr>
              <w:jc w:val="center"/>
              <w:rPr>
                <w:b/>
              </w:rPr>
            </w:pPr>
            <w:r w:rsidRPr="00F87013">
              <w:rPr>
                <w:rFonts w:hint="eastAsia"/>
                <w:b/>
              </w:rPr>
              <w:t>项目</w:t>
            </w:r>
          </w:p>
        </w:tc>
        <w:tc>
          <w:tcPr>
            <w:tcW w:w="2381" w:type="dxa"/>
          </w:tcPr>
          <w:p w:rsidR="00F87013" w:rsidRPr="00F87013" w:rsidRDefault="00F87013" w:rsidP="00F87013">
            <w:pPr>
              <w:jc w:val="center"/>
              <w:rPr>
                <w:b/>
              </w:rPr>
            </w:pPr>
            <w:r w:rsidRPr="00F87013">
              <w:rPr>
                <w:rFonts w:hint="eastAsia"/>
                <w:b/>
              </w:rPr>
              <w:t>金额（元）</w:t>
            </w:r>
          </w:p>
        </w:tc>
        <w:tc>
          <w:tcPr>
            <w:tcW w:w="2506" w:type="dxa"/>
          </w:tcPr>
          <w:p w:rsidR="00F87013" w:rsidRPr="00F87013" w:rsidRDefault="00F87013" w:rsidP="00F87013">
            <w:pPr>
              <w:jc w:val="center"/>
              <w:rPr>
                <w:b/>
              </w:rPr>
            </w:pPr>
            <w:r w:rsidRPr="00F87013">
              <w:rPr>
                <w:rFonts w:hint="eastAsia"/>
                <w:b/>
              </w:rPr>
              <w:t>占基金总资产的比例（</w:t>
            </w:r>
            <w:r w:rsidRPr="00F87013">
              <w:rPr>
                <w:rFonts w:hint="eastAsia"/>
                <w:b/>
              </w:rPr>
              <w:t>%</w:t>
            </w:r>
            <w:r w:rsidRPr="00F87013">
              <w:rPr>
                <w:rFonts w:hint="eastAsia"/>
                <w:b/>
              </w:rPr>
              <w:t>）</w:t>
            </w:r>
          </w:p>
        </w:tc>
      </w:tr>
      <w:tr w:rsidR="00F87013" w:rsidTr="00F87013">
        <w:tc>
          <w:tcPr>
            <w:tcW w:w="646" w:type="dxa"/>
          </w:tcPr>
          <w:p w:rsidR="00F87013" w:rsidRDefault="00F87013" w:rsidP="00F87013">
            <w:pPr>
              <w:jc w:val="center"/>
            </w:pPr>
            <w:r>
              <w:t>1</w:t>
            </w:r>
          </w:p>
        </w:tc>
        <w:tc>
          <w:tcPr>
            <w:tcW w:w="2971" w:type="dxa"/>
          </w:tcPr>
          <w:p w:rsidR="00F87013" w:rsidRDefault="00F87013" w:rsidP="00F87013">
            <w:pPr>
              <w:jc w:val="left"/>
            </w:pPr>
            <w:r>
              <w:rPr>
                <w:rFonts w:hint="eastAsia"/>
              </w:rPr>
              <w:t>权益投资</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p>
        </w:tc>
        <w:tc>
          <w:tcPr>
            <w:tcW w:w="2971" w:type="dxa"/>
          </w:tcPr>
          <w:p w:rsidR="00F87013" w:rsidRDefault="00F87013" w:rsidP="00F87013">
            <w:pPr>
              <w:jc w:val="left"/>
            </w:pPr>
            <w:r>
              <w:rPr>
                <w:rFonts w:hint="eastAsia"/>
              </w:rPr>
              <w:t>其中：股票</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r>
              <w:t>2</w:t>
            </w:r>
          </w:p>
        </w:tc>
        <w:tc>
          <w:tcPr>
            <w:tcW w:w="2971" w:type="dxa"/>
          </w:tcPr>
          <w:p w:rsidR="00F87013" w:rsidRDefault="00F87013" w:rsidP="00F87013">
            <w:pPr>
              <w:jc w:val="left"/>
            </w:pPr>
            <w:r>
              <w:rPr>
                <w:rFonts w:hint="eastAsia"/>
              </w:rPr>
              <w:t>基金投资</w:t>
            </w:r>
          </w:p>
        </w:tc>
        <w:tc>
          <w:tcPr>
            <w:tcW w:w="2381" w:type="dxa"/>
          </w:tcPr>
          <w:p w:rsidR="00F87013" w:rsidRDefault="00F87013" w:rsidP="00F87013">
            <w:pPr>
              <w:jc w:val="right"/>
            </w:pPr>
            <w:r>
              <w:t>16,108,109.66</w:t>
            </w:r>
          </w:p>
        </w:tc>
        <w:tc>
          <w:tcPr>
            <w:tcW w:w="2506" w:type="dxa"/>
          </w:tcPr>
          <w:p w:rsidR="00F87013" w:rsidRDefault="00F87013" w:rsidP="00F87013">
            <w:pPr>
              <w:jc w:val="right"/>
            </w:pPr>
            <w:r>
              <w:t>92.86</w:t>
            </w:r>
          </w:p>
        </w:tc>
      </w:tr>
      <w:tr w:rsidR="00F87013" w:rsidTr="00F87013">
        <w:tc>
          <w:tcPr>
            <w:tcW w:w="646" w:type="dxa"/>
          </w:tcPr>
          <w:p w:rsidR="00F87013" w:rsidRDefault="00F87013" w:rsidP="00F87013">
            <w:pPr>
              <w:jc w:val="center"/>
            </w:pPr>
            <w:r>
              <w:t>3</w:t>
            </w:r>
          </w:p>
        </w:tc>
        <w:tc>
          <w:tcPr>
            <w:tcW w:w="2971" w:type="dxa"/>
          </w:tcPr>
          <w:p w:rsidR="00F87013" w:rsidRDefault="00F87013" w:rsidP="00F87013">
            <w:pPr>
              <w:jc w:val="left"/>
            </w:pPr>
            <w:r>
              <w:rPr>
                <w:rFonts w:hint="eastAsia"/>
              </w:rPr>
              <w:t>固定收益投资</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p>
        </w:tc>
        <w:tc>
          <w:tcPr>
            <w:tcW w:w="2971" w:type="dxa"/>
          </w:tcPr>
          <w:p w:rsidR="00F87013" w:rsidRDefault="00F87013" w:rsidP="00F87013">
            <w:pPr>
              <w:jc w:val="left"/>
            </w:pPr>
            <w:r>
              <w:rPr>
                <w:rFonts w:hint="eastAsia"/>
              </w:rPr>
              <w:t>其中：债券</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p>
        </w:tc>
        <w:tc>
          <w:tcPr>
            <w:tcW w:w="2971" w:type="dxa"/>
          </w:tcPr>
          <w:p w:rsidR="00F87013" w:rsidRDefault="00F87013" w:rsidP="00F87013">
            <w:pPr>
              <w:jc w:val="left"/>
            </w:pPr>
            <w:r>
              <w:rPr>
                <w:rFonts w:hint="eastAsia"/>
              </w:rPr>
              <w:t xml:space="preserve">      </w:t>
            </w:r>
            <w:r>
              <w:rPr>
                <w:rFonts w:hint="eastAsia"/>
              </w:rPr>
              <w:t>资产支持证券</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r>
              <w:t>4</w:t>
            </w:r>
          </w:p>
        </w:tc>
        <w:tc>
          <w:tcPr>
            <w:tcW w:w="2971" w:type="dxa"/>
          </w:tcPr>
          <w:p w:rsidR="00F87013" w:rsidRDefault="00F87013" w:rsidP="00F87013">
            <w:pPr>
              <w:jc w:val="left"/>
            </w:pPr>
            <w:r>
              <w:rPr>
                <w:rFonts w:hint="eastAsia"/>
              </w:rPr>
              <w:t>贵金属投资</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r>
              <w:t>5</w:t>
            </w:r>
          </w:p>
        </w:tc>
        <w:tc>
          <w:tcPr>
            <w:tcW w:w="2971" w:type="dxa"/>
          </w:tcPr>
          <w:p w:rsidR="00F87013" w:rsidRDefault="00F87013" w:rsidP="00F87013">
            <w:pPr>
              <w:jc w:val="left"/>
            </w:pPr>
            <w:r>
              <w:rPr>
                <w:rFonts w:hint="eastAsia"/>
              </w:rPr>
              <w:t>金融衍生品投资</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r>
              <w:t>6</w:t>
            </w:r>
          </w:p>
        </w:tc>
        <w:tc>
          <w:tcPr>
            <w:tcW w:w="2971" w:type="dxa"/>
          </w:tcPr>
          <w:p w:rsidR="00F87013" w:rsidRDefault="00F87013" w:rsidP="00F87013">
            <w:pPr>
              <w:jc w:val="left"/>
            </w:pPr>
            <w:r>
              <w:rPr>
                <w:rFonts w:hint="eastAsia"/>
              </w:rPr>
              <w:t>买入返售金融资产</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p>
        </w:tc>
        <w:tc>
          <w:tcPr>
            <w:tcW w:w="2971" w:type="dxa"/>
          </w:tcPr>
          <w:p w:rsidR="00F87013" w:rsidRDefault="00F87013" w:rsidP="00F87013">
            <w:pPr>
              <w:jc w:val="left"/>
            </w:pPr>
            <w:r>
              <w:rPr>
                <w:rFonts w:hint="eastAsia"/>
              </w:rPr>
              <w:t>其中：买断式回购的买入返售金融资产</w:t>
            </w:r>
          </w:p>
        </w:tc>
        <w:tc>
          <w:tcPr>
            <w:tcW w:w="2381" w:type="dxa"/>
          </w:tcPr>
          <w:p w:rsidR="00F87013" w:rsidRDefault="00F87013" w:rsidP="00F87013">
            <w:pPr>
              <w:jc w:val="right"/>
            </w:pPr>
            <w:r>
              <w:t>-</w:t>
            </w:r>
          </w:p>
        </w:tc>
        <w:tc>
          <w:tcPr>
            <w:tcW w:w="2506" w:type="dxa"/>
          </w:tcPr>
          <w:p w:rsidR="00F87013" w:rsidRDefault="00F87013" w:rsidP="00F87013">
            <w:pPr>
              <w:jc w:val="right"/>
            </w:pPr>
            <w:r>
              <w:t>-</w:t>
            </w:r>
          </w:p>
        </w:tc>
      </w:tr>
      <w:tr w:rsidR="00F87013" w:rsidTr="00F87013">
        <w:tc>
          <w:tcPr>
            <w:tcW w:w="646" w:type="dxa"/>
          </w:tcPr>
          <w:p w:rsidR="00F87013" w:rsidRDefault="00F87013" w:rsidP="00F87013">
            <w:pPr>
              <w:jc w:val="center"/>
            </w:pPr>
            <w:r>
              <w:t>7</w:t>
            </w:r>
          </w:p>
        </w:tc>
        <w:tc>
          <w:tcPr>
            <w:tcW w:w="2971" w:type="dxa"/>
          </w:tcPr>
          <w:p w:rsidR="00F87013" w:rsidRDefault="00F87013" w:rsidP="00F87013">
            <w:pPr>
              <w:jc w:val="left"/>
            </w:pPr>
            <w:r>
              <w:rPr>
                <w:rFonts w:hint="eastAsia"/>
              </w:rPr>
              <w:t>银行存款和结算备付金合计</w:t>
            </w:r>
          </w:p>
        </w:tc>
        <w:tc>
          <w:tcPr>
            <w:tcW w:w="2381" w:type="dxa"/>
          </w:tcPr>
          <w:p w:rsidR="00F87013" w:rsidRDefault="00F87013" w:rsidP="00F87013">
            <w:pPr>
              <w:jc w:val="right"/>
            </w:pPr>
            <w:r>
              <w:t>972,165.55</w:t>
            </w:r>
          </w:p>
        </w:tc>
        <w:tc>
          <w:tcPr>
            <w:tcW w:w="2506" w:type="dxa"/>
          </w:tcPr>
          <w:p w:rsidR="00F87013" w:rsidRDefault="00F87013" w:rsidP="00F87013">
            <w:pPr>
              <w:jc w:val="right"/>
            </w:pPr>
            <w:r>
              <w:t>5.60</w:t>
            </w:r>
          </w:p>
        </w:tc>
      </w:tr>
      <w:tr w:rsidR="00F87013" w:rsidTr="00F87013">
        <w:tc>
          <w:tcPr>
            <w:tcW w:w="646" w:type="dxa"/>
          </w:tcPr>
          <w:p w:rsidR="00F87013" w:rsidRDefault="00F87013" w:rsidP="00F87013">
            <w:pPr>
              <w:jc w:val="center"/>
            </w:pPr>
            <w:r>
              <w:t>8</w:t>
            </w:r>
          </w:p>
        </w:tc>
        <w:tc>
          <w:tcPr>
            <w:tcW w:w="2971" w:type="dxa"/>
          </w:tcPr>
          <w:p w:rsidR="00F87013" w:rsidRDefault="00F87013" w:rsidP="00F87013">
            <w:pPr>
              <w:jc w:val="left"/>
            </w:pPr>
            <w:r>
              <w:rPr>
                <w:rFonts w:hint="eastAsia"/>
              </w:rPr>
              <w:t>其他资产</w:t>
            </w:r>
          </w:p>
        </w:tc>
        <w:tc>
          <w:tcPr>
            <w:tcW w:w="2381" w:type="dxa"/>
          </w:tcPr>
          <w:p w:rsidR="00F87013" w:rsidRDefault="00F87013" w:rsidP="00F87013">
            <w:pPr>
              <w:jc w:val="right"/>
            </w:pPr>
            <w:r>
              <w:t>267,149.69</w:t>
            </w:r>
          </w:p>
        </w:tc>
        <w:tc>
          <w:tcPr>
            <w:tcW w:w="2506" w:type="dxa"/>
          </w:tcPr>
          <w:p w:rsidR="00F87013" w:rsidRDefault="00F87013" w:rsidP="00F87013">
            <w:pPr>
              <w:jc w:val="right"/>
            </w:pPr>
            <w:r>
              <w:t>1.54</w:t>
            </w:r>
          </w:p>
        </w:tc>
      </w:tr>
      <w:tr w:rsidR="00F87013" w:rsidTr="00F87013">
        <w:tc>
          <w:tcPr>
            <w:tcW w:w="646" w:type="dxa"/>
          </w:tcPr>
          <w:p w:rsidR="00F87013" w:rsidRDefault="00F87013" w:rsidP="00F87013">
            <w:pPr>
              <w:jc w:val="center"/>
            </w:pPr>
            <w:r>
              <w:t>9</w:t>
            </w:r>
          </w:p>
        </w:tc>
        <w:tc>
          <w:tcPr>
            <w:tcW w:w="2971" w:type="dxa"/>
          </w:tcPr>
          <w:p w:rsidR="00F87013" w:rsidRDefault="00F87013" w:rsidP="00F87013">
            <w:pPr>
              <w:jc w:val="left"/>
            </w:pPr>
            <w:r>
              <w:rPr>
                <w:rFonts w:hint="eastAsia"/>
              </w:rPr>
              <w:t>合计</w:t>
            </w:r>
          </w:p>
        </w:tc>
        <w:tc>
          <w:tcPr>
            <w:tcW w:w="2381" w:type="dxa"/>
          </w:tcPr>
          <w:p w:rsidR="00F87013" w:rsidRDefault="00F87013" w:rsidP="00F87013">
            <w:pPr>
              <w:jc w:val="right"/>
            </w:pPr>
            <w:r>
              <w:t>17,347,424.90</w:t>
            </w:r>
          </w:p>
        </w:tc>
        <w:tc>
          <w:tcPr>
            <w:tcW w:w="2506" w:type="dxa"/>
          </w:tcPr>
          <w:p w:rsidR="00F87013" w:rsidRDefault="00F87013" w:rsidP="00F87013">
            <w:pPr>
              <w:jc w:val="right"/>
            </w:pPr>
            <w:r>
              <w:t>100.00</w:t>
            </w:r>
          </w:p>
        </w:tc>
      </w:tr>
    </w:tbl>
    <w:p w:rsidR="00F87013" w:rsidRDefault="00F87013" w:rsidP="00F87013">
      <w:pPr>
        <w:pStyle w:val="-2"/>
        <w:spacing w:before="312"/>
      </w:pPr>
      <w:r>
        <w:rPr>
          <w:rFonts w:hint="eastAsia"/>
        </w:rPr>
        <w:t>报告期末按行业分类的股票投资组合</w:t>
      </w:r>
    </w:p>
    <w:p w:rsidR="00F87013" w:rsidRDefault="00F87013" w:rsidP="00F87013">
      <w:pPr>
        <w:pStyle w:val="-3"/>
        <w:spacing w:before="156" w:after="156"/>
      </w:pPr>
      <w:r>
        <w:rPr>
          <w:rFonts w:hint="eastAsia"/>
        </w:rPr>
        <w:t>报告期末按行业分类的境内股票投资组合</w:t>
      </w:r>
    </w:p>
    <w:p w:rsidR="00F87013" w:rsidRDefault="00F87013" w:rsidP="00F87013">
      <w:pPr>
        <w:pStyle w:val="-"/>
        <w:ind w:firstLine="420"/>
      </w:pPr>
      <w:r>
        <w:rPr>
          <w:rFonts w:hint="eastAsia"/>
        </w:rPr>
        <w:t>无。</w:t>
      </w:r>
    </w:p>
    <w:p w:rsidR="00F87013" w:rsidRDefault="00F87013" w:rsidP="00F87013">
      <w:pPr>
        <w:pStyle w:val="-3"/>
        <w:spacing w:before="156" w:after="156"/>
      </w:pPr>
      <w:r>
        <w:rPr>
          <w:rFonts w:hint="eastAsia"/>
        </w:rPr>
        <w:t>报告期末按行业分类的港股通投资股票投资组合</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期末按公允价值占基金资产净值比例大小排序的股票投资明细</w:t>
      </w:r>
    </w:p>
    <w:p w:rsidR="00F87013" w:rsidRDefault="00F87013" w:rsidP="00F87013">
      <w:pPr>
        <w:pStyle w:val="-3"/>
        <w:spacing w:before="156" w:after="156"/>
      </w:pPr>
      <w:r>
        <w:rPr>
          <w:rFonts w:hint="eastAsia"/>
        </w:rPr>
        <w:t>报告期末按公允价值占基金资产净值比例大小排序的前十名股票投资明细</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报告期末按债券品种分类的债券投资组合</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报告期末按公允价值占基金资产净值比例大小排名的前五名债券投资明细</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报告期末按公允价值占基金资产净值比例大小排名的前十名资产支持证券投资明细</w:t>
      </w:r>
    </w:p>
    <w:p w:rsidR="00F87013" w:rsidRDefault="00F87013" w:rsidP="00F87013">
      <w:pPr>
        <w:pStyle w:val="-"/>
        <w:ind w:firstLine="420"/>
      </w:pPr>
      <w:r>
        <w:rPr>
          <w:rFonts w:hint="eastAsia"/>
        </w:rPr>
        <w:t>本基金本报告期末未持有资产支持证券。</w:t>
      </w:r>
    </w:p>
    <w:p w:rsidR="00F87013" w:rsidRDefault="00F87013" w:rsidP="00F87013">
      <w:pPr>
        <w:pStyle w:val="-2"/>
        <w:spacing w:before="312"/>
      </w:pPr>
      <w:r>
        <w:rPr>
          <w:rFonts w:hint="eastAsia"/>
        </w:rPr>
        <w:lastRenderedPageBreak/>
        <w:t>报告期末按公允价值占基金资产净值比例大小排序的前五名贵金属投资明细</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报告期末按公允价值占基金资产净值比例大小排名的前五名权证投资明细</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报告期末按公允价值占基金资产净值比例大小排序的前十名基金投资明细</w:t>
      </w:r>
    </w:p>
    <w:tbl>
      <w:tblPr>
        <w:tblStyle w:val="-0"/>
        <w:tblW w:w="0" w:type="auto"/>
        <w:tblLayout w:type="fixed"/>
        <w:tblLook w:val="04A0" w:firstRow="1" w:lastRow="0" w:firstColumn="1" w:lastColumn="0" w:noHBand="0" w:noVBand="1"/>
      </w:tblPr>
      <w:tblGrid>
        <w:gridCol w:w="1186"/>
        <w:gridCol w:w="1186"/>
        <w:gridCol w:w="1186"/>
        <w:gridCol w:w="1187"/>
        <w:gridCol w:w="1187"/>
        <w:gridCol w:w="1187"/>
        <w:gridCol w:w="1187"/>
      </w:tblGrid>
      <w:tr w:rsidR="00F87013" w:rsidTr="00F87013">
        <w:trPr>
          <w:cnfStyle w:val="100000000000" w:firstRow="1" w:lastRow="0" w:firstColumn="0" w:lastColumn="0" w:oddVBand="0" w:evenVBand="0" w:oddHBand="0" w:evenHBand="0" w:firstRowFirstColumn="0" w:firstRowLastColumn="0" w:lastRowFirstColumn="0" w:lastRowLastColumn="0"/>
        </w:trPr>
        <w:tc>
          <w:tcPr>
            <w:tcW w:w="1186" w:type="dxa"/>
          </w:tcPr>
          <w:p w:rsidR="00F87013" w:rsidRPr="00F87013" w:rsidRDefault="00F87013" w:rsidP="00F87013">
            <w:pPr>
              <w:jc w:val="center"/>
              <w:rPr>
                <w:b/>
              </w:rPr>
            </w:pPr>
            <w:r w:rsidRPr="00F87013">
              <w:rPr>
                <w:rFonts w:hint="eastAsia"/>
                <w:b/>
              </w:rPr>
              <w:t>序号</w:t>
            </w:r>
          </w:p>
        </w:tc>
        <w:tc>
          <w:tcPr>
            <w:tcW w:w="1186" w:type="dxa"/>
          </w:tcPr>
          <w:p w:rsidR="00F87013" w:rsidRPr="00F87013" w:rsidRDefault="00F87013" w:rsidP="00F87013">
            <w:pPr>
              <w:jc w:val="center"/>
              <w:rPr>
                <w:b/>
              </w:rPr>
            </w:pPr>
            <w:r w:rsidRPr="00F87013">
              <w:rPr>
                <w:rFonts w:hint="eastAsia"/>
                <w:b/>
              </w:rPr>
              <w:t>基金名称</w:t>
            </w:r>
          </w:p>
        </w:tc>
        <w:tc>
          <w:tcPr>
            <w:tcW w:w="1186" w:type="dxa"/>
          </w:tcPr>
          <w:p w:rsidR="00F87013" w:rsidRPr="00F87013" w:rsidRDefault="00F87013" w:rsidP="00F87013">
            <w:pPr>
              <w:jc w:val="center"/>
              <w:rPr>
                <w:b/>
              </w:rPr>
            </w:pPr>
            <w:r w:rsidRPr="00F87013">
              <w:rPr>
                <w:rFonts w:hint="eastAsia"/>
                <w:b/>
              </w:rPr>
              <w:t>基金类型</w:t>
            </w:r>
          </w:p>
        </w:tc>
        <w:tc>
          <w:tcPr>
            <w:tcW w:w="1187" w:type="dxa"/>
          </w:tcPr>
          <w:p w:rsidR="00F87013" w:rsidRPr="00F87013" w:rsidRDefault="00F87013" w:rsidP="00F87013">
            <w:pPr>
              <w:jc w:val="center"/>
              <w:rPr>
                <w:b/>
              </w:rPr>
            </w:pPr>
            <w:r w:rsidRPr="00F87013">
              <w:rPr>
                <w:rFonts w:hint="eastAsia"/>
                <w:b/>
              </w:rPr>
              <w:t>运作方式</w:t>
            </w:r>
          </w:p>
        </w:tc>
        <w:tc>
          <w:tcPr>
            <w:tcW w:w="1187" w:type="dxa"/>
          </w:tcPr>
          <w:p w:rsidR="00F87013" w:rsidRPr="00F87013" w:rsidRDefault="00F87013" w:rsidP="00F87013">
            <w:pPr>
              <w:jc w:val="center"/>
              <w:rPr>
                <w:b/>
              </w:rPr>
            </w:pPr>
            <w:r w:rsidRPr="00F87013">
              <w:rPr>
                <w:rFonts w:hint="eastAsia"/>
                <w:b/>
              </w:rPr>
              <w:t>管理人</w:t>
            </w:r>
          </w:p>
        </w:tc>
        <w:tc>
          <w:tcPr>
            <w:tcW w:w="1187" w:type="dxa"/>
          </w:tcPr>
          <w:p w:rsidR="00F87013" w:rsidRPr="00F87013" w:rsidRDefault="00F87013" w:rsidP="00F87013">
            <w:pPr>
              <w:jc w:val="center"/>
              <w:rPr>
                <w:b/>
              </w:rPr>
            </w:pPr>
            <w:r w:rsidRPr="00F87013">
              <w:rPr>
                <w:rFonts w:hint="eastAsia"/>
                <w:b/>
              </w:rPr>
              <w:t>公允价值（元）</w:t>
            </w:r>
          </w:p>
        </w:tc>
        <w:tc>
          <w:tcPr>
            <w:tcW w:w="1187" w:type="dxa"/>
          </w:tcPr>
          <w:p w:rsidR="00F87013" w:rsidRPr="00F87013" w:rsidRDefault="00F87013" w:rsidP="00F87013">
            <w:pPr>
              <w:jc w:val="center"/>
              <w:rPr>
                <w:b/>
              </w:rPr>
            </w:pPr>
            <w:r w:rsidRPr="00F87013">
              <w:rPr>
                <w:rFonts w:hint="eastAsia"/>
                <w:b/>
              </w:rPr>
              <w:t>占基金资产净值比例（</w:t>
            </w:r>
            <w:r w:rsidRPr="00F87013">
              <w:rPr>
                <w:rFonts w:hint="eastAsia"/>
                <w:b/>
              </w:rPr>
              <w:t>%</w:t>
            </w:r>
            <w:r w:rsidRPr="00F87013">
              <w:rPr>
                <w:rFonts w:hint="eastAsia"/>
                <w:b/>
              </w:rPr>
              <w:t>）</w:t>
            </w:r>
          </w:p>
        </w:tc>
      </w:tr>
      <w:tr w:rsidR="00F87013" w:rsidTr="00F87013">
        <w:tc>
          <w:tcPr>
            <w:tcW w:w="1186" w:type="dxa"/>
          </w:tcPr>
          <w:p w:rsidR="00F87013" w:rsidRDefault="00F87013" w:rsidP="00F87013">
            <w:pPr>
              <w:jc w:val="center"/>
            </w:pPr>
            <w:r>
              <w:t>1</w:t>
            </w:r>
          </w:p>
        </w:tc>
        <w:tc>
          <w:tcPr>
            <w:tcW w:w="1186" w:type="dxa"/>
          </w:tcPr>
          <w:p w:rsidR="00F87013" w:rsidRDefault="00F87013" w:rsidP="00F87013">
            <w:pPr>
              <w:jc w:val="left"/>
            </w:pPr>
            <w:r>
              <w:rPr>
                <w:rFonts w:hint="eastAsia"/>
              </w:rPr>
              <w:t>南方深证主板</w:t>
            </w:r>
            <w:r>
              <w:rPr>
                <w:rFonts w:hint="eastAsia"/>
              </w:rPr>
              <w:t>50ETF</w:t>
            </w:r>
          </w:p>
        </w:tc>
        <w:tc>
          <w:tcPr>
            <w:tcW w:w="1186" w:type="dxa"/>
          </w:tcPr>
          <w:p w:rsidR="00F87013" w:rsidRDefault="00F87013" w:rsidP="00F87013">
            <w:pPr>
              <w:jc w:val="left"/>
            </w:pPr>
            <w:r>
              <w:rPr>
                <w:rFonts w:hint="eastAsia"/>
              </w:rPr>
              <w:t>股票型</w:t>
            </w:r>
          </w:p>
        </w:tc>
        <w:tc>
          <w:tcPr>
            <w:tcW w:w="1187" w:type="dxa"/>
          </w:tcPr>
          <w:p w:rsidR="00F87013" w:rsidRDefault="00F87013" w:rsidP="00F87013">
            <w:pPr>
              <w:jc w:val="left"/>
            </w:pPr>
            <w:r>
              <w:rPr>
                <w:rFonts w:hint="eastAsia"/>
              </w:rPr>
              <w:t>交易型开放式</w:t>
            </w:r>
          </w:p>
        </w:tc>
        <w:tc>
          <w:tcPr>
            <w:tcW w:w="1187" w:type="dxa"/>
          </w:tcPr>
          <w:p w:rsidR="00F87013" w:rsidRDefault="00F87013" w:rsidP="00F87013">
            <w:pPr>
              <w:jc w:val="left"/>
            </w:pPr>
            <w:r>
              <w:rPr>
                <w:rFonts w:hint="eastAsia"/>
              </w:rPr>
              <w:t>南方基金管理股份有限公司</w:t>
            </w:r>
          </w:p>
        </w:tc>
        <w:tc>
          <w:tcPr>
            <w:tcW w:w="1187" w:type="dxa"/>
          </w:tcPr>
          <w:p w:rsidR="00F87013" w:rsidRDefault="00F87013" w:rsidP="00F87013">
            <w:pPr>
              <w:jc w:val="right"/>
            </w:pPr>
            <w:r>
              <w:t>16,108,109.66</w:t>
            </w:r>
          </w:p>
        </w:tc>
        <w:tc>
          <w:tcPr>
            <w:tcW w:w="1187" w:type="dxa"/>
          </w:tcPr>
          <w:p w:rsidR="00F87013" w:rsidRDefault="00F87013" w:rsidP="00F87013">
            <w:pPr>
              <w:jc w:val="right"/>
            </w:pPr>
            <w:r>
              <w:t>95.08</w:t>
            </w:r>
          </w:p>
        </w:tc>
      </w:tr>
    </w:tbl>
    <w:p w:rsidR="00F87013" w:rsidRDefault="00F87013" w:rsidP="00F87013">
      <w:pPr>
        <w:pStyle w:val="-2"/>
        <w:spacing w:before="312"/>
      </w:pPr>
      <w:r>
        <w:rPr>
          <w:rFonts w:hint="eastAsia"/>
        </w:rPr>
        <w:t>报告期末本基金投资的股指期货交易情况说明</w:t>
      </w:r>
    </w:p>
    <w:p w:rsidR="00F87013" w:rsidRDefault="00F87013" w:rsidP="00F87013">
      <w:pPr>
        <w:pStyle w:val="-3"/>
        <w:spacing w:before="156" w:after="156"/>
      </w:pPr>
      <w:r>
        <w:rPr>
          <w:rFonts w:hint="eastAsia"/>
        </w:rPr>
        <w:t>报告期末本基金投资的股指期货持仓和损益明细</w:t>
      </w:r>
    </w:p>
    <w:p w:rsidR="00F87013" w:rsidRDefault="00F87013" w:rsidP="00F87013">
      <w:pPr>
        <w:pStyle w:val="-"/>
        <w:ind w:firstLine="420"/>
      </w:pPr>
      <w:r>
        <w:rPr>
          <w:rFonts w:hint="eastAsia"/>
        </w:rPr>
        <w:t>无。</w:t>
      </w:r>
    </w:p>
    <w:p w:rsidR="00F87013" w:rsidRDefault="00F87013" w:rsidP="00F87013">
      <w:pPr>
        <w:pStyle w:val="-3"/>
        <w:spacing w:before="156" w:after="156"/>
      </w:pPr>
      <w:r>
        <w:rPr>
          <w:rFonts w:hint="eastAsia"/>
        </w:rPr>
        <w:t>本基金投资股指期货的投资政策</w:t>
      </w:r>
    </w:p>
    <w:p w:rsidR="00F87013" w:rsidRDefault="00F87013" w:rsidP="00F87013">
      <w:pPr>
        <w:pStyle w:val="-"/>
        <w:ind w:firstLine="420"/>
      </w:pPr>
      <w:r>
        <w:rPr>
          <w:rFonts w:hint="eastAsia"/>
        </w:rPr>
        <w:t>本基金投资股指期货将根据风险管理的原则，以套期保值为目的，主要选择流动性好、交易活跃的股指期货合约。本基金力争利用股指期货，降低股票仓位基金合同频繁调整的交易成本和跟踪误差，达到有效跟踪标的指数的目的。</w:t>
      </w:r>
    </w:p>
    <w:p w:rsidR="00F87013" w:rsidRDefault="00F87013" w:rsidP="00F87013">
      <w:pPr>
        <w:pStyle w:val="-2"/>
        <w:spacing w:before="312"/>
      </w:pPr>
      <w:r>
        <w:rPr>
          <w:rFonts w:hint="eastAsia"/>
        </w:rPr>
        <w:t>报告期末本基金投资的国债期货交易情况说明</w:t>
      </w:r>
    </w:p>
    <w:p w:rsidR="00F87013" w:rsidRDefault="00F87013" w:rsidP="00F87013">
      <w:pPr>
        <w:pStyle w:val="-3"/>
        <w:spacing w:before="156" w:after="156"/>
      </w:pPr>
      <w:r>
        <w:rPr>
          <w:rFonts w:hint="eastAsia"/>
        </w:rPr>
        <w:t>本期国债期货投资政策</w:t>
      </w:r>
    </w:p>
    <w:p w:rsidR="00F87013" w:rsidRDefault="00F87013" w:rsidP="00F87013">
      <w:pPr>
        <w:pStyle w:val="-"/>
        <w:ind w:firstLine="420"/>
      </w:pPr>
      <w:r>
        <w:rPr>
          <w:rFonts w:hint="eastAsia"/>
        </w:rPr>
        <w:t>无。</w:t>
      </w:r>
    </w:p>
    <w:p w:rsidR="00F87013" w:rsidRDefault="00F87013" w:rsidP="00F87013">
      <w:pPr>
        <w:pStyle w:val="-3"/>
        <w:spacing w:before="156" w:after="156"/>
      </w:pPr>
      <w:r>
        <w:rPr>
          <w:rFonts w:hint="eastAsia"/>
        </w:rPr>
        <w:t>报告期末本基金投资的国债期货持仓和损益明细</w:t>
      </w:r>
    </w:p>
    <w:p w:rsidR="00F87013" w:rsidRDefault="00F87013" w:rsidP="00F87013">
      <w:pPr>
        <w:pStyle w:val="-"/>
        <w:ind w:firstLine="420"/>
      </w:pPr>
      <w:r>
        <w:rPr>
          <w:rFonts w:hint="eastAsia"/>
        </w:rPr>
        <w:t>无。</w:t>
      </w:r>
    </w:p>
    <w:p w:rsidR="00F87013" w:rsidRDefault="00F87013" w:rsidP="00F87013">
      <w:pPr>
        <w:pStyle w:val="-3"/>
        <w:spacing w:before="156" w:after="156"/>
      </w:pPr>
      <w:r>
        <w:rPr>
          <w:rFonts w:hint="eastAsia"/>
        </w:rPr>
        <w:t>本期国债期货投资评价</w:t>
      </w:r>
    </w:p>
    <w:p w:rsidR="00F87013" w:rsidRDefault="00F87013" w:rsidP="00F87013">
      <w:pPr>
        <w:pStyle w:val="-"/>
        <w:ind w:firstLine="420"/>
      </w:pPr>
      <w:r>
        <w:rPr>
          <w:rFonts w:hint="eastAsia"/>
        </w:rPr>
        <w:t>无。</w:t>
      </w:r>
    </w:p>
    <w:p w:rsidR="00F87013" w:rsidRDefault="00F87013" w:rsidP="00F87013">
      <w:pPr>
        <w:pStyle w:val="-2"/>
        <w:spacing w:before="312"/>
      </w:pPr>
      <w:r>
        <w:rPr>
          <w:rFonts w:hint="eastAsia"/>
        </w:rPr>
        <w:t>投资组合报告附注</w:t>
      </w:r>
    </w:p>
    <w:p w:rsidR="00F87013" w:rsidRDefault="00F87013" w:rsidP="00F87013">
      <w:pPr>
        <w:pStyle w:val="-3"/>
        <w:spacing w:before="156" w:after="156"/>
      </w:pPr>
      <w:r>
        <w:rPr>
          <w:rFonts w:hint="eastAsia"/>
        </w:rPr>
        <w:t>声明本基金投资的前十名证券的发行主体本期是否出现被监管部门立案</w:t>
      </w:r>
      <w:r>
        <w:rPr>
          <w:rFonts w:hint="eastAsia"/>
        </w:rPr>
        <w:lastRenderedPageBreak/>
        <w:t>调查，或在报告编制日前一年内受到公开谴责、处罚的情形。如是，还应对相关证券的投资决策程序做出说明</w:t>
      </w:r>
    </w:p>
    <w:p w:rsidR="00F87013" w:rsidRDefault="00F87013" w:rsidP="00F87013">
      <w:pPr>
        <w:pStyle w:val="-"/>
        <w:ind w:firstLine="420"/>
      </w:pPr>
      <w:r>
        <w:rPr>
          <w:rFonts w:hint="eastAsia"/>
        </w:rPr>
        <w:t>报告期内基金投资的前十名证券的发行主体未有被监管部门立案调查，不存在报告编制日前一年内受到公开谴责、处罚的情形。</w:t>
      </w:r>
    </w:p>
    <w:p w:rsidR="00F87013" w:rsidRDefault="00F87013" w:rsidP="00F87013">
      <w:pPr>
        <w:pStyle w:val="-3"/>
        <w:spacing w:before="156" w:after="156"/>
      </w:pPr>
      <w:r>
        <w:rPr>
          <w:rFonts w:hint="eastAsia"/>
        </w:rPr>
        <w:t>声明基金投资的前十名股票是否超出基金合同约定的备选股票库。如是，还应对相关股票的投资决策程序做出说明。</w:t>
      </w:r>
    </w:p>
    <w:p w:rsidR="00F87013" w:rsidRDefault="00F87013" w:rsidP="00F87013">
      <w:pPr>
        <w:pStyle w:val="-"/>
        <w:ind w:firstLine="420"/>
      </w:pPr>
      <w:r>
        <w:rPr>
          <w:rFonts w:hint="eastAsia"/>
        </w:rPr>
        <w:t>本基金投资的前十名股票（如有）没有超出基金合同约定的备选股票库，本基金管理人从制度和流程上要求股票必须先入库再买入。</w:t>
      </w:r>
    </w:p>
    <w:p w:rsidR="00F87013" w:rsidRDefault="00F87013" w:rsidP="00F87013">
      <w:pPr>
        <w:pStyle w:val="-3"/>
        <w:spacing w:before="156" w:after="156"/>
      </w:pPr>
      <w:r>
        <w:rPr>
          <w:rFonts w:hint="eastAsia"/>
        </w:rPr>
        <w:t>其他资产构成</w:t>
      </w:r>
    </w:p>
    <w:tbl>
      <w:tblPr>
        <w:tblStyle w:val="-0"/>
        <w:tblW w:w="8505" w:type="dxa"/>
        <w:tblLayout w:type="fixed"/>
        <w:tblLook w:val="04A0" w:firstRow="1" w:lastRow="0" w:firstColumn="1" w:lastColumn="0" w:noHBand="0" w:noVBand="1"/>
      </w:tblPr>
      <w:tblGrid>
        <w:gridCol w:w="743"/>
        <w:gridCol w:w="2977"/>
        <w:gridCol w:w="4785"/>
      </w:tblGrid>
      <w:tr w:rsidR="00F87013" w:rsidTr="00F87013">
        <w:trPr>
          <w:cnfStyle w:val="100000000000" w:firstRow="1" w:lastRow="0" w:firstColumn="0" w:lastColumn="0" w:oddVBand="0" w:evenVBand="0" w:oddHBand="0" w:evenHBand="0" w:firstRowFirstColumn="0" w:firstRowLastColumn="0" w:lastRowFirstColumn="0" w:lastRowLastColumn="0"/>
        </w:trPr>
        <w:tc>
          <w:tcPr>
            <w:tcW w:w="743" w:type="dxa"/>
          </w:tcPr>
          <w:p w:rsidR="00F87013" w:rsidRPr="00F87013" w:rsidRDefault="00F87013" w:rsidP="00F87013">
            <w:pPr>
              <w:jc w:val="center"/>
              <w:rPr>
                <w:b/>
              </w:rPr>
            </w:pPr>
            <w:r w:rsidRPr="00F87013">
              <w:rPr>
                <w:rFonts w:hint="eastAsia"/>
                <w:b/>
              </w:rPr>
              <w:t>序号</w:t>
            </w:r>
          </w:p>
        </w:tc>
        <w:tc>
          <w:tcPr>
            <w:tcW w:w="2977" w:type="dxa"/>
          </w:tcPr>
          <w:p w:rsidR="00F87013" w:rsidRPr="00F87013" w:rsidRDefault="00F87013" w:rsidP="00F87013">
            <w:pPr>
              <w:jc w:val="center"/>
              <w:rPr>
                <w:b/>
              </w:rPr>
            </w:pPr>
            <w:r w:rsidRPr="00F87013">
              <w:rPr>
                <w:rFonts w:hint="eastAsia"/>
                <w:b/>
              </w:rPr>
              <w:t>名称</w:t>
            </w:r>
          </w:p>
        </w:tc>
        <w:tc>
          <w:tcPr>
            <w:tcW w:w="4785" w:type="dxa"/>
          </w:tcPr>
          <w:p w:rsidR="00F87013" w:rsidRPr="00F87013" w:rsidRDefault="00F87013" w:rsidP="00F87013">
            <w:pPr>
              <w:jc w:val="center"/>
              <w:rPr>
                <w:b/>
              </w:rPr>
            </w:pPr>
            <w:r w:rsidRPr="00F87013">
              <w:rPr>
                <w:rFonts w:hint="eastAsia"/>
                <w:b/>
              </w:rPr>
              <w:t>金额（元）</w:t>
            </w:r>
          </w:p>
        </w:tc>
      </w:tr>
      <w:tr w:rsidR="00F87013" w:rsidTr="00F87013">
        <w:tc>
          <w:tcPr>
            <w:tcW w:w="743" w:type="dxa"/>
          </w:tcPr>
          <w:p w:rsidR="00F87013" w:rsidRDefault="00F87013" w:rsidP="00F87013">
            <w:pPr>
              <w:jc w:val="center"/>
            </w:pPr>
            <w:r>
              <w:t>1</w:t>
            </w:r>
          </w:p>
        </w:tc>
        <w:tc>
          <w:tcPr>
            <w:tcW w:w="2977" w:type="dxa"/>
          </w:tcPr>
          <w:p w:rsidR="00F87013" w:rsidRDefault="00F87013" w:rsidP="00F87013">
            <w:pPr>
              <w:jc w:val="left"/>
            </w:pPr>
            <w:r>
              <w:rPr>
                <w:rFonts w:hint="eastAsia"/>
              </w:rPr>
              <w:t>存出保证金</w:t>
            </w:r>
          </w:p>
        </w:tc>
        <w:tc>
          <w:tcPr>
            <w:tcW w:w="4785" w:type="dxa"/>
          </w:tcPr>
          <w:p w:rsidR="00F87013" w:rsidRDefault="00F87013" w:rsidP="00F87013">
            <w:pPr>
              <w:jc w:val="right"/>
            </w:pPr>
            <w:r>
              <w:t>4,721.17</w:t>
            </w:r>
          </w:p>
        </w:tc>
      </w:tr>
      <w:tr w:rsidR="00F87013" w:rsidTr="00F87013">
        <w:tc>
          <w:tcPr>
            <w:tcW w:w="743" w:type="dxa"/>
          </w:tcPr>
          <w:p w:rsidR="00F87013" w:rsidRDefault="00F87013" w:rsidP="00F87013">
            <w:pPr>
              <w:jc w:val="center"/>
            </w:pPr>
            <w:r>
              <w:t>2</w:t>
            </w:r>
          </w:p>
        </w:tc>
        <w:tc>
          <w:tcPr>
            <w:tcW w:w="2977" w:type="dxa"/>
          </w:tcPr>
          <w:p w:rsidR="00F87013" w:rsidRDefault="00F87013" w:rsidP="00F87013">
            <w:pPr>
              <w:jc w:val="left"/>
            </w:pPr>
            <w:r>
              <w:rPr>
                <w:rFonts w:hint="eastAsia"/>
              </w:rPr>
              <w:t>应收证券清算款</w:t>
            </w:r>
          </w:p>
        </w:tc>
        <w:tc>
          <w:tcPr>
            <w:tcW w:w="4785" w:type="dxa"/>
          </w:tcPr>
          <w:p w:rsidR="00F87013" w:rsidRDefault="00F87013" w:rsidP="00F87013">
            <w:pPr>
              <w:jc w:val="right"/>
            </w:pPr>
            <w:r>
              <w:t>209,896.80</w:t>
            </w:r>
          </w:p>
        </w:tc>
      </w:tr>
      <w:tr w:rsidR="00F87013" w:rsidTr="00F87013">
        <w:tc>
          <w:tcPr>
            <w:tcW w:w="743" w:type="dxa"/>
          </w:tcPr>
          <w:p w:rsidR="00F87013" w:rsidRDefault="00F87013" w:rsidP="00F87013">
            <w:pPr>
              <w:jc w:val="center"/>
            </w:pPr>
            <w:r>
              <w:t>3</w:t>
            </w:r>
          </w:p>
        </w:tc>
        <w:tc>
          <w:tcPr>
            <w:tcW w:w="2977" w:type="dxa"/>
          </w:tcPr>
          <w:p w:rsidR="00F87013" w:rsidRDefault="00F87013" w:rsidP="00F87013">
            <w:pPr>
              <w:jc w:val="left"/>
            </w:pPr>
            <w:r>
              <w:rPr>
                <w:rFonts w:hint="eastAsia"/>
              </w:rPr>
              <w:t>应收股利</w:t>
            </w:r>
          </w:p>
        </w:tc>
        <w:tc>
          <w:tcPr>
            <w:tcW w:w="4785" w:type="dxa"/>
          </w:tcPr>
          <w:p w:rsidR="00F87013" w:rsidRDefault="00F87013" w:rsidP="00F87013">
            <w:pPr>
              <w:jc w:val="right"/>
            </w:pPr>
            <w:r>
              <w:t>-</w:t>
            </w:r>
          </w:p>
        </w:tc>
      </w:tr>
      <w:tr w:rsidR="00F87013" w:rsidTr="00F87013">
        <w:tc>
          <w:tcPr>
            <w:tcW w:w="743" w:type="dxa"/>
          </w:tcPr>
          <w:p w:rsidR="00F87013" w:rsidRDefault="00F87013" w:rsidP="00F87013">
            <w:pPr>
              <w:jc w:val="center"/>
            </w:pPr>
            <w:r>
              <w:t>4</w:t>
            </w:r>
          </w:p>
        </w:tc>
        <w:tc>
          <w:tcPr>
            <w:tcW w:w="2977" w:type="dxa"/>
          </w:tcPr>
          <w:p w:rsidR="00F87013" w:rsidRDefault="00F87013" w:rsidP="00F87013">
            <w:pPr>
              <w:jc w:val="left"/>
            </w:pPr>
            <w:r>
              <w:rPr>
                <w:rFonts w:hint="eastAsia"/>
              </w:rPr>
              <w:t>应收利息</w:t>
            </w:r>
          </w:p>
        </w:tc>
        <w:tc>
          <w:tcPr>
            <w:tcW w:w="4785" w:type="dxa"/>
          </w:tcPr>
          <w:p w:rsidR="00F87013" w:rsidRDefault="00F87013" w:rsidP="00F87013">
            <w:pPr>
              <w:jc w:val="right"/>
            </w:pPr>
            <w:r>
              <w:t>-</w:t>
            </w:r>
          </w:p>
        </w:tc>
      </w:tr>
      <w:tr w:rsidR="00F87013" w:rsidTr="00F87013">
        <w:tc>
          <w:tcPr>
            <w:tcW w:w="743" w:type="dxa"/>
          </w:tcPr>
          <w:p w:rsidR="00F87013" w:rsidRDefault="00F87013" w:rsidP="00F87013">
            <w:pPr>
              <w:jc w:val="center"/>
            </w:pPr>
            <w:r>
              <w:t>5</w:t>
            </w:r>
          </w:p>
        </w:tc>
        <w:tc>
          <w:tcPr>
            <w:tcW w:w="2977" w:type="dxa"/>
          </w:tcPr>
          <w:p w:rsidR="00F87013" w:rsidRDefault="00F87013" w:rsidP="00F87013">
            <w:pPr>
              <w:jc w:val="left"/>
            </w:pPr>
            <w:r>
              <w:rPr>
                <w:rFonts w:hint="eastAsia"/>
              </w:rPr>
              <w:t>应收申购款</w:t>
            </w:r>
          </w:p>
        </w:tc>
        <w:tc>
          <w:tcPr>
            <w:tcW w:w="4785" w:type="dxa"/>
          </w:tcPr>
          <w:p w:rsidR="00F87013" w:rsidRDefault="00F87013" w:rsidP="00F87013">
            <w:pPr>
              <w:jc w:val="right"/>
            </w:pPr>
            <w:r>
              <w:t>52,531.72</w:t>
            </w:r>
          </w:p>
        </w:tc>
      </w:tr>
      <w:tr w:rsidR="00F87013" w:rsidTr="00F87013">
        <w:tc>
          <w:tcPr>
            <w:tcW w:w="743" w:type="dxa"/>
          </w:tcPr>
          <w:p w:rsidR="00F87013" w:rsidRDefault="00F87013" w:rsidP="00F87013">
            <w:pPr>
              <w:jc w:val="center"/>
            </w:pPr>
            <w:r>
              <w:t>6</w:t>
            </w:r>
          </w:p>
        </w:tc>
        <w:tc>
          <w:tcPr>
            <w:tcW w:w="2977" w:type="dxa"/>
          </w:tcPr>
          <w:p w:rsidR="00F87013" w:rsidRDefault="00F87013" w:rsidP="00F87013">
            <w:pPr>
              <w:jc w:val="left"/>
            </w:pPr>
            <w:r>
              <w:rPr>
                <w:rFonts w:hint="eastAsia"/>
              </w:rPr>
              <w:t>其他应收款</w:t>
            </w:r>
          </w:p>
        </w:tc>
        <w:tc>
          <w:tcPr>
            <w:tcW w:w="4785" w:type="dxa"/>
          </w:tcPr>
          <w:p w:rsidR="00F87013" w:rsidRDefault="00F87013" w:rsidP="00F87013">
            <w:pPr>
              <w:jc w:val="right"/>
            </w:pPr>
            <w:r>
              <w:t>-</w:t>
            </w:r>
          </w:p>
        </w:tc>
      </w:tr>
      <w:tr w:rsidR="00F87013" w:rsidTr="00F87013">
        <w:tc>
          <w:tcPr>
            <w:tcW w:w="743" w:type="dxa"/>
          </w:tcPr>
          <w:p w:rsidR="00F87013" w:rsidRDefault="00F87013" w:rsidP="00F87013">
            <w:pPr>
              <w:jc w:val="center"/>
            </w:pPr>
            <w:r>
              <w:t>7</w:t>
            </w:r>
          </w:p>
        </w:tc>
        <w:tc>
          <w:tcPr>
            <w:tcW w:w="2977" w:type="dxa"/>
          </w:tcPr>
          <w:p w:rsidR="00F87013" w:rsidRDefault="00F87013" w:rsidP="00F87013">
            <w:pPr>
              <w:jc w:val="left"/>
            </w:pPr>
            <w:r>
              <w:rPr>
                <w:rFonts w:hint="eastAsia"/>
              </w:rPr>
              <w:t>待摊费用</w:t>
            </w:r>
          </w:p>
        </w:tc>
        <w:tc>
          <w:tcPr>
            <w:tcW w:w="4785" w:type="dxa"/>
          </w:tcPr>
          <w:p w:rsidR="00F87013" w:rsidRDefault="00F87013" w:rsidP="00F87013">
            <w:pPr>
              <w:jc w:val="right"/>
            </w:pPr>
            <w:r>
              <w:t>-</w:t>
            </w:r>
          </w:p>
        </w:tc>
      </w:tr>
      <w:tr w:rsidR="00F87013" w:rsidTr="00F87013">
        <w:tc>
          <w:tcPr>
            <w:tcW w:w="743" w:type="dxa"/>
          </w:tcPr>
          <w:p w:rsidR="00F87013" w:rsidRDefault="00F87013" w:rsidP="00F87013">
            <w:pPr>
              <w:jc w:val="center"/>
            </w:pPr>
            <w:r>
              <w:t>8</w:t>
            </w:r>
          </w:p>
        </w:tc>
        <w:tc>
          <w:tcPr>
            <w:tcW w:w="2977" w:type="dxa"/>
          </w:tcPr>
          <w:p w:rsidR="00F87013" w:rsidRDefault="00F87013" w:rsidP="00F87013">
            <w:pPr>
              <w:jc w:val="left"/>
            </w:pPr>
            <w:r>
              <w:rPr>
                <w:rFonts w:hint="eastAsia"/>
              </w:rPr>
              <w:t>其他</w:t>
            </w:r>
          </w:p>
        </w:tc>
        <w:tc>
          <w:tcPr>
            <w:tcW w:w="4785" w:type="dxa"/>
          </w:tcPr>
          <w:p w:rsidR="00F87013" w:rsidRDefault="00F87013" w:rsidP="00F87013">
            <w:pPr>
              <w:jc w:val="right"/>
            </w:pPr>
            <w:r>
              <w:t>-</w:t>
            </w:r>
          </w:p>
        </w:tc>
      </w:tr>
      <w:tr w:rsidR="00F87013" w:rsidTr="00F87013">
        <w:tc>
          <w:tcPr>
            <w:tcW w:w="743" w:type="dxa"/>
          </w:tcPr>
          <w:p w:rsidR="00F87013" w:rsidRDefault="00F87013" w:rsidP="00F87013">
            <w:pPr>
              <w:jc w:val="center"/>
            </w:pPr>
            <w:r>
              <w:t>9</w:t>
            </w:r>
          </w:p>
        </w:tc>
        <w:tc>
          <w:tcPr>
            <w:tcW w:w="2977" w:type="dxa"/>
          </w:tcPr>
          <w:p w:rsidR="00F87013" w:rsidRDefault="00F87013" w:rsidP="00F87013">
            <w:pPr>
              <w:jc w:val="left"/>
            </w:pPr>
            <w:r>
              <w:rPr>
                <w:rFonts w:hint="eastAsia"/>
              </w:rPr>
              <w:t>合计</w:t>
            </w:r>
          </w:p>
        </w:tc>
        <w:tc>
          <w:tcPr>
            <w:tcW w:w="4785" w:type="dxa"/>
          </w:tcPr>
          <w:p w:rsidR="00F87013" w:rsidRDefault="00F87013" w:rsidP="00F87013">
            <w:pPr>
              <w:jc w:val="right"/>
            </w:pPr>
            <w:r>
              <w:t>267,149.69</w:t>
            </w:r>
          </w:p>
        </w:tc>
      </w:tr>
    </w:tbl>
    <w:p w:rsidR="00F87013" w:rsidRDefault="00F87013" w:rsidP="00F87013">
      <w:pPr>
        <w:pStyle w:val="-3"/>
        <w:spacing w:before="156" w:after="156"/>
      </w:pPr>
      <w:r>
        <w:rPr>
          <w:rFonts w:hint="eastAsia"/>
        </w:rPr>
        <w:t>报告期末持有的处于转股期的可转换债券明细</w:t>
      </w:r>
    </w:p>
    <w:p w:rsidR="00F87013" w:rsidRDefault="00F87013" w:rsidP="00F87013">
      <w:pPr>
        <w:pStyle w:val="-"/>
        <w:ind w:firstLine="420"/>
      </w:pPr>
      <w:r>
        <w:rPr>
          <w:rFonts w:hint="eastAsia"/>
        </w:rPr>
        <w:t>本基金本报告期末未持有处于转股期的可转换债券。</w:t>
      </w:r>
    </w:p>
    <w:p w:rsidR="00F87013" w:rsidRDefault="00F87013" w:rsidP="00F87013">
      <w:pPr>
        <w:pStyle w:val="-3"/>
        <w:spacing w:before="156" w:after="156"/>
      </w:pPr>
      <w:r>
        <w:rPr>
          <w:rFonts w:hint="eastAsia"/>
        </w:rPr>
        <w:t>报告期末前十名股票中存在流通受限情况的说明</w:t>
      </w:r>
    </w:p>
    <w:p w:rsidR="00F87013" w:rsidRDefault="00F87013" w:rsidP="00F87013">
      <w:pPr>
        <w:pStyle w:val="-"/>
        <w:ind w:firstLine="420"/>
      </w:pPr>
      <w:r>
        <w:rPr>
          <w:rFonts w:hint="eastAsia"/>
        </w:rPr>
        <w:t>无。</w:t>
      </w:r>
    </w:p>
    <w:p w:rsidR="00F87013" w:rsidRDefault="00F87013" w:rsidP="00F87013">
      <w:pPr>
        <w:pStyle w:val="-1"/>
        <w:ind w:left="281" w:hanging="281"/>
      </w:pPr>
      <w:r>
        <w:rPr>
          <w:rFonts w:hint="eastAsia"/>
        </w:rPr>
        <w:t>开放式基金份额变动</w:t>
      </w:r>
    </w:p>
    <w:p w:rsidR="00F87013" w:rsidRDefault="00F87013" w:rsidP="00F87013">
      <w:pPr>
        <w:jc w:val="right"/>
      </w:pPr>
      <w:r>
        <w:rPr>
          <w:rFonts w:hint="eastAsia"/>
        </w:rPr>
        <w:t>单位：份</w:t>
      </w:r>
    </w:p>
    <w:tbl>
      <w:tblPr>
        <w:tblStyle w:val="-0"/>
        <w:tblW w:w="0" w:type="auto"/>
        <w:tblLayout w:type="fixed"/>
        <w:tblLook w:val="04A0" w:firstRow="1" w:lastRow="0" w:firstColumn="1" w:lastColumn="0" w:noHBand="0" w:noVBand="1"/>
      </w:tblPr>
      <w:tblGrid>
        <w:gridCol w:w="2768"/>
        <w:gridCol w:w="2769"/>
        <w:gridCol w:w="2769"/>
      </w:tblGrid>
      <w:tr w:rsidR="00F87013" w:rsidTr="00F87013">
        <w:trPr>
          <w:cnfStyle w:val="100000000000" w:firstRow="1" w:lastRow="0" w:firstColumn="0" w:lastColumn="0" w:oddVBand="0" w:evenVBand="0" w:oddHBand="0" w:evenHBand="0" w:firstRowFirstColumn="0" w:firstRowLastColumn="0" w:lastRowFirstColumn="0" w:lastRowLastColumn="0"/>
        </w:trPr>
        <w:tc>
          <w:tcPr>
            <w:tcW w:w="2768" w:type="dxa"/>
          </w:tcPr>
          <w:p w:rsidR="00F87013" w:rsidRPr="00F87013" w:rsidRDefault="00F87013" w:rsidP="00F87013">
            <w:pPr>
              <w:jc w:val="center"/>
              <w:rPr>
                <w:b/>
              </w:rPr>
            </w:pPr>
            <w:r w:rsidRPr="00F87013">
              <w:rPr>
                <w:rFonts w:hint="eastAsia"/>
                <w:b/>
              </w:rPr>
              <w:t>项目</w:t>
            </w:r>
          </w:p>
        </w:tc>
        <w:tc>
          <w:tcPr>
            <w:tcW w:w="2769" w:type="dxa"/>
          </w:tcPr>
          <w:p w:rsidR="00F87013" w:rsidRPr="00F87013" w:rsidRDefault="00F87013" w:rsidP="00F87013">
            <w:pPr>
              <w:jc w:val="center"/>
              <w:rPr>
                <w:b/>
              </w:rPr>
            </w:pPr>
            <w:r w:rsidRPr="00F87013">
              <w:rPr>
                <w:rFonts w:hint="eastAsia"/>
                <w:b/>
              </w:rPr>
              <w:t>南方深证主板</w:t>
            </w:r>
            <w:r w:rsidRPr="00F87013">
              <w:rPr>
                <w:rFonts w:hint="eastAsia"/>
                <w:b/>
              </w:rPr>
              <w:t>50ETF</w:t>
            </w:r>
            <w:r w:rsidRPr="00F87013">
              <w:rPr>
                <w:rFonts w:hint="eastAsia"/>
                <w:b/>
              </w:rPr>
              <w:t>联接</w:t>
            </w:r>
            <w:r w:rsidRPr="00F87013">
              <w:rPr>
                <w:rFonts w:hint="eastAsia"/>
                <w:b/>
              </w:rPr>
              <w:t>A</w:t>
            </w:r>
          </w:p>
        </w:tc>
        <w:tc>
          <w:tcPr>
            <w:tcW w:w="2769" w:type="dxa"/>
          </w:tcPr>
          <w:p w:rsidR="00F87013" w:rsidRPr="00F87013" w:rsidRDefault="00F87013" w:rsidP="00F87013">
            <w:pPr>
              <w:jc w:val="center"/>
              <w:rPr>
                <w:b/>
              </w:rPr>
            </w:pPr>
            <w:r w:rsidRPr="00F87013">
              <w:rPr>
                <w:rFonts w:hint="eastAsia"/>
                <w:b/>
              </w:rPr>
              <w:t>南方深证主板</w:t>
            </w:r>
            <w:r w:rsidRPr="00F87013">
              <w:rPr>
                <w:rFonts w:hint="eastAsia"/>
                <w:b/>
              </w:rPr>
              <w:t>50ETF</w:t>
            </w:r>
            <w:r w:rsidRPr="00F87013">
              <w:rPr>
                <w:rFonts w:hint="eastAsia"/>
                <w:b/>
              </w:rPr>
              <w:t>联接</w:t>
            </w:r>
            <w:r w:rsidRPr="00F87013">
              <w:rPr>
                <w:rFonts w:hint="eastAsia"/>
                <w:b/>
              </w:rPr>
              <w:t>C</w:t>
            </w:r>
          </w:p>
        </w:tc>
      </w:tr>
      <w:tr w:rsidR="00F87013" w:rsidTr="00F87013">
        <w:tc>
          <w:tcPr>
            <w:tcW w:w="2768" w:type="dxa"/>
          </w:tcPr>
          <w:p w:rsidR="00F87013" w:rsidRDefault="00F87013" w:rsidP="00F87013">
            <w:pPr>
              <w:jc w:val="left"/>
            </w:pPr>
            <w:r>
              <w:rPr>
                <w:rFonts w:hint="eastAsia"/>
              </w:rPr>
              <w:t>报告期期初基金份额总额</w:t>
            </w:r>
          </w:p>
        </w:tc>
        <w:tc>
          <w:tcPr>
            <w:tcW w:w="2769" w:type="dxa"/>
          </w:tcPr>
          <w:p w:rsidR="00F87013" w:rsidRDefault="00F87013" w:rsidP="00F87013">
            <w:pPr>
              <w:jc w:val="right"/>
            </w:pPr>
            <w:r>
              <w:t>10,845,381.28</w:t>
            </w:r>
          </w:p>
        </w:tc>
        <w:tc>
          <w:tcPr>
            <w:tcW w:w="2769" w:type="dxa"/>
          </w:tcPr>
          <w:p w:rsidR="00F87013" w:rsidRDefault="00F87013" w:rsidP="00F87013">
            <w:pPr>
              <w:jc w:val="right"/>
            </w:pPr>
            <w:r>
              <w:t>12,394,136.53</w:t>
            </w:r>
          </w:p>
        </w:tc>
      </w:tr>
      <w:tr w:rsidR="00F87013" w:rsidTr="00F87013">
        <w:tc>
          <w:tcPr>
            <w:tcW w:w="2768" w:type="dxa"/>
          </w:tcPr>
          <w:p w:rsidR="00F87013" w:rsidRDefault="00F87013" w:rsidP="00F87013">
            <w:pPr>
              <w:jc w:val="left"/>
            </w:pPr>
            <w:r>
              <w:rPr>
                <w:rFonts w:hint="eastAsia"/>
              </w:rPr>
              <w:t>报告期期间基金总申购份额</w:t>
            </w:r>
          </w:p>
        </w:tc>
        <w:tc>
          <w:tcPr>
            <w:tcW w:w="2769" w:type="dxa"/>
          </w:tcPr>
          <w:p w:rsidR="00F87013" w:rsidRDefault="00F87013" w:rsidP="00F87013">
            <w:pPr>
              <w:jc w:val="right"/>
            </w:pPr>
            <w:r>
              <w:t>174,812.64</w:t>
            </w:r>
          </w:p>
        </w:tc>
        <w:tc>
          <w:tcPr>
            <w:tcW w:w="2769" w:type="dxa"/>
          </w:tcPr>
          <w:p w:rsidR="00F87013" w:rsidRDefault="00F87013" w:rsidP="00F87013">
            <w:pPr>
              <w:jc w:val="right"/>
            </w:pPr>
            <w:r>
              <w:t>557,627.15</w:t>
            </w:r>
          </w:p>
        </w:tc>
      </w:tr>
      <w:tr w:rsidR="00F87013" w:rsidTr="00F87013">
        <w:tc>
          <w:tcPr>
            <w:tcW w:w="2768" w:type="dxa"/>
          </w:tcPr>
          <w:p w:rsidR="00F87013" w:rsidRDefault="00F87013" w:rsidP="00F87013">
            <w:pPr>
              <w:jc w:val="left"/>
            </w:pPr>
            <w:r>
              <w:rPr>
                <w:rFonts w:hint="eastAsia"/>
              </w:rPr>
              <w:t>减：报告期期间基金总赎回份额</w:t>
            </w:r>
          </w:p>
        </w:tc>
        <w:tc>
          <w:tcPr>
            <w:tcW w:w="2769" w:type="dxa"/>
          </w:tcPr>
          <w:p w:rsidR="00F87013" w:rsidRDefault="00F87013" w:rsidP="00F87013">
            <w:pPr>
              <w:jc w:val="right"/>
            </w:pPr>
            <w:r>
              <w:t>4,052,139.51</w:t>
            </w:r>
          </w:p>
        </w:tc>
        <w:tc>
          <w:tcPr>
            <w:tcW w:w="2769" w:type="dxa"/>
          </w:tcPr>
          <w:p w:rsidR="00F87013" w:rsidRDefault="00F87013" w:rsidP="00F87013">
            <w:pPr>
              <w:jc w:val="right"/>
            </w:pPr>
            <w:r>
              <w:t>4,608,783.45</w:t>
            </w:r>
          </w:p>
        </w:tc>
      </w:tr>
      <w:tr w:rsidR="00F87013" w:rsidTr="00F87013">
        <w:tc>
          <w:tcPr>
            <w:tcW w:w="2768" w:type="dxa"/>
          </w:tcPr>
          <w:p w:rsidR="00F87013" w:rsidRDefault="00F87013" w:rsidP="00F87013">
            <w:pPr>
              <w:jc w:val="left"/>
            </w:pPr>
            <w:r>
              <w:rPr>
                <w:rFonts w:hint="eastAsia"/>
              </w:rPr>
              <w:t>报告期期间基金拆分变动份额（份额减少以</w:t>
            </w:r>
            <w:r>
              <w:rPr>
                <w:rFonts w:hint="eastAsia"/>
              </w:rPr>
              <w:t>"-"</w:t>
            </w:r>
            <w:r>
              <w:rPr>
                <w:rFonts w:hint="eastAsia"/>
              </w:rPr>
              <w:t>填列）</w:t>
            </w:r>
          </w:p>
        </w:tc>
        <w:tc>
          <w:tcPr>
            <w:tcW w:w="2769" w:type="dxa"/>
          </w:tcPr>
          <w:p w:rsidR="00F87013" w:rsidRDefault="00F87013" w:rsidP="00F87013">
            <w:pPr>
              <w:jc w:val="right"/>
            </w:pPr>
            <w:r>
              <w:t>-</w:t>
            </w:r>
          </w:p>
        </w:tc>
        <w:tc>
          <w:tcPr>
            <w:tcW w:w="2769" w:type="dxa"/>
          </w:tcPr>
          <w:p w:rsidR="00F87013" w:rsidRDefault="00F87013" w:rsidP="00F87013">
            <w:pPr>
              <w:jc w:val="right"/>
            </w:pPr>
            <w:r>
              <w:t>-</w:t>
            </w:r>
          </w:p>
        </w:tc>
      </w:tr>
      <w:tr w:rsidR="00F87013" w:rsidTr="00F87013">
        <w:tc>
          <w:tcPr>
            <w:tcW w:w="2768" w:type="dxa"/>
          </w:tcPr>
          <w:p w:rsidR="00F87013" w:rsidRDefault="00F87013" w:rsidP="00F87013">
            <w:pPr>
              <w:jc w:val="left"/>
            </w:pPr>
            <w:r>
              <w:rPr>
                <w:rFonts w:hint="eastAsia"/>
              </w:rPr>
              <w:t>报告期期末基金份额总额</w:t>
            </w:r>
          </w:p>
        </w:tc>
        <w:tc>
          <w:tcPr>
            <w:tcW w:w="2769" w:type="dxa"/>
          </w:tcPr>
          <w:p w:rsidR="00F87013" w:rsidRDefault="00F87013" w:rsidP="00F87013">
            <w:pPr>
              <w:jc w:val="right"/>
            </w:pPr>
            <w:r>
              <w:t>6,968,054.41</w:t>
            </w:r>
          </w:p>
        </w:tc>
        <w:tc>
          <w:tcPr>
            <w:tcW w:w="2769" w:type="dxa"/>
          </w:tcPr>
          <w:p w:rsidR="00F87013" w:rsidRDefault="00F87013" w:rsidP="00F87013">
            <w:pPr>
              <w:jc w:val="right"/>
            </w:pPr>
            <w:r>
              <w:t>8,342,980.23</w:t>
            </w:r>
          </w:p>
        </w:tc>
      </w:tr>
    </w:tbl>
    <w:p w:rsidR="00F87013" w:rsidRDefault="00F87013" w:rsidP="00F87013">
      <w:pPr>
        <w:pStyle w:val="-1"/>
        <w:ind w:left="281" w:hanging="281"/>
      </w:pPr>
      <w:r>
        <w:rPr>
          <w:rFonts w:hint="eastAsia"/>
        </w:rPr>
        <w:lastRenderedPageBreak/>
        <w:t>基金管理人运用固有资金投资本基金情况</w:t>
      </w:r>
    </w:p>
    <w:p w:rsidR="00F87013" w:rsidRDefault="00F87013" w:rsidP="00F87013">
      <w:pPr>
        <w:pStyle w:val="-2"/>
        <w:spacing w:before="312"/>
      </w:pPr>
      <w:r>
        <w:rPr>
          <w:rFonts w:hint="eastAsia"/>
        </w:rPr>
        <w:t>基金管理人持有本基金份额变动情况</w:t>
      </w:r>
    </w:p>
    <w:p w:rsidR="00F87013" w:rsidRDefault="00F87013" w:rsidP="00F87013">
      <w:pPr>
        <w:pStyle w:val="-"/>
        <w:ind w:firstLine="420"/>
      </w:pPr>
      <w:r>
        <w:rPr>
          <w:rFonts w:hint="eastAsia"/>
        </w:rPr>
        <w:t>本报告期末，基金管理人未持有本基金份额。</w:t>
      </w:r>
    </w:p>
    <w:p w:rsidR="00F87013" w:rsidRDefault="00F87013" w:rsidP="00F87013">
      <w:pPr>
        <w:pStyle w:val="-2"/>
        <w:spacing w:before="312"/>
      </w:pPr>
      <w:r>
        <w:rPr>
          <w:rFonts w:hint="eastAsia"/>
        </w:rPr>
        <w:t>基金管理人运用固有资金投资本基金交易明细</w:t>
      </w:r>
    </w:p>
    <w:p w:rsidR="00F87013" w:rsidRDefault="00F87013" w:rsidP="00F87013">
      <w:pPr>
        <w:pStyle w:val="-"/>
        <w:ind w:firstLine="420"/>
      </w:pPr>
      <w:r>
        <w:rPr>
          <w:rFonts w:hint="eastAsia"/>
        </w:rPr>
        <w:t>本报告期内，基金管理人不存在申购、赎回或买卖本基金的情况。</w:t>
      </w:r>
    </w:p>
    <w:p w:rsidR="00F87013" w:rsidRDefault="00F87013" w:rsidP="00F87013">
      <w:pPr>
        <w:pStyle w:val="-1"/>
        <w:ind w:left="281" w:hanging="281"/>
      </w:pPr>
      <w:r>
        <w:rPr>
          <w:rFonts w:hint="eastAsia"/>
        </w:rPr>
        <w:t>影响投资者决策的其他重要信息</w:t>
      </w:r>
    </w:p>
    <w:p w:rsidR="00F87013" w:rsidRDefault="00F87013" w:rsidP="00F87013">
      <w:pPr>
        <w:pStyle w:val="-2"/>
        <w:spacing w:before="312"/>
      </w:pPr>
      <w:r>
        <w:rPr>
          <w:rFonts w:hint="eastAsia"/>
        </w:rPr>
        <w:t>报告期内单一投资者持有基金份额比例达到或超过20%的情况</w:t>
      </w:r>
    </w:p>
    <w:p w:rsidR="00F87013" w:rsidRDefault="00F87013" w:rsidP="00F87013">
      <w:pPr>
        <w:pStyle w:val="-"/>
        <w:ind w:firstLine="420"/>
      </w:pPr>
      <w:r>
        <w:rPr>
          <w:rFonts w:hint="eastAsia"/>
        </w:rPr>
        <w:t>报告期内单一投资者持有基金份额比例不存在达到或超过20%的情况。</w:t>
      </w:r>
    </w:p>
    <w:p w:rsidR="00F87013" w:rsidRDefault="00F87013" w:rsidP="00F87013">
      <w:pPr>
        <w:pStyle w:val="-2"/>
        <w:spacing w:before="312"/>
      </w:pPr>
      <w:r>
        <w:rPr>
          <w:rFonts w:hint="eastAsia"/>
        </w:rPr>
        <w:t>影响投资者决策的其他重要信息</w:t>
      </w:r>
    </w:p>
    <w:p w:rsidR="00F87013" w:rsidRDefault="00F87013" w:rsidP="00F87013">
      <w:pPr>
        <w:pStyle w:val="-"/>
        <w:ind w:firstLine="420"/>
      </w:pPr>
      <w:r>
        <w:rPr>
          <w:rFonts w:hint="eastAsia"/>
        </w:rPr>
        <w:t>无。</w:t>
      </w:r>
    </w:p>
    <w:p w:rsidR="00F87013" w:rsidRDefault="00F87013" w:rsidP="00F87013">
      <w:pPr>
        <w:pStyle w:val="-1"/>
        <w:ind w:left="281" w:hanging="281"/>
      </w:pPr>
      <w:r>
        <w:rPr>
          <w:rFonts w:hint="eastAsia"/>
        </w:rPr>
        <w:t>备查文件目录</w:t>
      </w:r>
    </w:p>
    <w:p w:rsidR="00F87013" w:rsidRDefault="00F87013" w:rsidP="00F87013">
      <w:pPr>
        <w:pStyle w:val="-2"/>
        <w:spacing w:before="312"/>
      </w:pPr>
      <w:r>
        <w:rPr>
          <w:rFonts w:hint="eastAsia"/>
        </w:rPr>
        <w:t>备查文件目录</w:t>
      </w:r>
    </w:p>
    <w:p w:rsidR="00F87013" w:rsidRDefault="00F87013" w:rsidP="00F87013">
      <w:pPr>
        <w:pStyle w:val="-"/>
        <w:ind w:firstLine="420"/>
      </w:pPr>
      <w:r>
        <w:rPr>
          <w:rFonts w:hint="eastAsia"/>
        </w:rPr>
        <w:t>1、《南方深证主板50交易型开放式指数证券投资基金联接基金基金合同》；</w:t>
      </w:r>
    </w:p>
    <w:p w:rsidR="00F87013" w:rsidRDefault="00F87013" w:rsidP="00F87013">
      <w:pPr>
        <w:pStyle w:val="-"/>
        <w:ind w:firstLine="420"/>
      </w:pPr>
      <w:r>
        <w:rPr>
          <w:rFonts w:hint="eastAsia"/>
        </w:rPr>
        <w:t>2、《南方深证主板50交易型开放式指数证券投资基金联接基金托管协议》；</w:t>
      </w:r>
    </w:p>
    <w:p w:rsidR="00F87013" w:rsidRDefault="00F87013" w:rsidP="00F87013">
      <w:pPr>
        <w:pStyle w:val="-"/>
        <w:ind w:firstLine="420"/>
      </w:pPr>
      <w:r>
        <w:rPr>
          <w:rFonts w:hint="eastAsia"/>
        </w:rPr>
        <w:t>3、南方深证主板50交易型开放式指数证券投资基金联接基金2026年2季度报告原文。</w:t>
      </w:r>
    </w:p>
    <w:p w:rsidR="00F87013" w:rsidRDefault="00F87013" w:rsidP="00F87013">
      <w:pPr>
        <w:pStyle w:val="-2"/>
        <w:spacing w:before="312"/>
      </w:pPr>
      <w:r>
        <w:rPr>
          <w:rFonts w:hint="eastAsia"/>
        </w:rPr>
        <w:t>存放地点</w:t>
      </w:r>
    </w:p>
    <w:p w:rsidR="00F87013" w:rsidRDefault="00F87013" w:rsidP="00F87013">
      <w:pPr>
        <w:pStyle w:val="-"/>
        <w:ind w:firstLine="420"/>
      </w:pPr>
      <w:r>
        <w:rPr>
          <w:rFonts w:hint="eastAsia"/>
        </w:rPr>
        <w:t>深圳市福田区莲花街道益田路5999号基金大厦32-42楼。</w:t>
      </w:r>
    </w:p>
    <w:p w:rsidR="00F87013" w:rsidRDefault="00F87013" w:rsidP="00F87013">
      <w:pPr>
        <w:pStyle w:val="-2"/>
        <w:spacing w:before="312"/>
      </w:pPr>
      <w:r>
        <w:rPr>
          <w:rFonts w:hint="eastAsia"/>
        </w:rPr>
        <w:t>查阅方式</w:t>
      </w:r>
    </w:p>
    <w:p w:rsidR="00F87013" w:rsidRDefault="00F87013" w:rsidP="00F87013">
      <w:pPr>
        <w:pStyle w:val="-"/>
        <w:ind w:firstLine="420"/>
      </w:pPr>
      <w:r>
        <w:rPr>
          <w:rFonts w:hint="eastAsia"/>
        </w:rPr>
        <w:t>网站：http://www.nffund.com</w:t>
      </w:r>
    </w:p>
    <w:p w:rsidR="003C7DC3" w:rsidRDefault="00F87013" w:rsidP="00F87013">
      <w:r>
        <w:t xml:space="preserve"> </w:t>
      </w:r>
    </w:p>
    <w:sectPr w:rsidR="003C7DC3" w:rsidSect="00225D75">
      <w:headerReference w:type="default" r:id="rId10"/>
      <w:footerReference w:type="default" r:id="rId11"/>
      <w:headerReference w:type="first" r:id="rId12"/>
      <w:pgSz w:w="11906" w:h="16838"/>
      <w:pgMar w:top="1440" w:right="1800" w:bottom="1440" w:left="1800" w:header="851" w:footer="992" w:gutter="0"/>
      <w:pgNumType w:start="0"/>
      <w:cols w:space="425"/>
      <w:titlePg/>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87013" w:rsidRDefault="00F87013" w:rsidP="00D17C56">
      <w:r>
        <w:separator/>
      </w:r>
    </w:p>
  </w:endnote>
  <w:endnote w:type="continuationSeparator" w:id="0">
    <w:p w:rsidR="00F87013" w:rsidRDefault="00F87013" w:rsidP="00D17C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A00002EF" w:usb1="4000207B"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B0F0F" w:rsidRPr="00C8294A" w:rsidRDefault="00AE3F5B" w:rsidP="00C8294A">
    <w:pPr>
      <w:pStyle w:val="a9"/>
      <w:jc w:val="center"/>
      <w:rPr>
        <w:rFonts w:ascii="宋体" w:hAnsi="宋体"/>
      </w:rPr>
    </w:pPr>
    <w:r w:rsidRPr="00C8294A">
      <w:rPr>
        <w:rFonts w:ascii="宋体" w:hAnsi="宋体" w:hint="eastAsia"/>
        <w:bCs/>
      </w:rPr>
      <w:t>第</w:t>
    </w:r>
    <w:r w:rsidRPr="00C8294A">
      <w:rPr>
        <w:rFonts w:ascii="宋体" w:hAnsi="宋体"/>
        <w:bCs/>
      </w:rPr>
      <w:t xml:space="preserve"> </w:t>
    </w:r>
    <w:r w:rsidR="00C8294A" w:rsidRPr="00C8294A">
      <w:rPr>
        <w:rFonts w:ascii="宋体" w:hAnsi="宋体"/>
        <w:bCs/>
      </w:rPr>
      <w:fldChar w:fldCharType="begin"/>
    </w:r>
    <w:r w:rsidR="00C8294A" w:rsidRPr="00C8294A">
      <w:rPr>
        <w:rFonts w:ascii="宋体" w:hAnsi="宋体"/>
        <w:bCs/>
      </w:rPr>
      <w:instrText>PAGE  \* Arabic  \* MERGEFORMAT</w:instrText>
    </w:r>
    <w:r w:rsidR="00C8294A" w:rsidRPr="00C8294A">
      <w:rPr>
        <w:rFonts w:ascii="宋体" w:hAnsi="宋体"/>
        <w:bCs/>
      </w:rPr>
      <w:fldChar w:fldCharType="separate"/>
    </w:r>
    <w:r w:rsidR="006F561E" w:rsidRPr="006F561E">
      <w:rPr>
        <w:rFonts w:ascii="宋体" w:hAnsi="宋体"/>
        <w:bCs/>
        <w:noProof/>
        <w:lang w:val="zh-CN"/>
      </w:rPr>
      <w:t>11</w:t>
    </w:r>
    <w:r w:rsidR="00C8294A" w:rsidRPr="00C8294A">
      <w:rPr>
        <w:rFonts w:ascii="宋体" w:hAnsi="宋体"/>
        <w:bCs/>
      </w:rPr>
      <w:fldChar w:fldCharType="end"/>
    </w:r>
    <w:r w:rsidRPr="00C8294A">
      <w:rPr>
        <w:rFonts w:ascii="宋体" w:hAnsi="宋体"/>
        <w:bCs/>
      </w:rPr>
      <w:t xml:space="preserve"> </w:t>
    </w:r>
    <w:r w:rsidRPr="00C8294A">
      <w:rPr>
        <w:rFonts w:ascii="宋体" w:hAnsi="宋体" w:hint="eastAsia"/>
        <w:bCs/>
      </w:rPr>
      <w:t>页</w:t>
    </w:r>
    <w:r w:rsidRPr="00C8294A">
      <w:rPr>
        <w:rFonts w:ascii="宋体" w:hAnsi="宋体"/>
        <w:lang w:val="zh-CN"/>
      </w:rPr>
      <w:t xml:space="preserve"> </w:t>
    </w:r>
    <w:r w:rsidRPr="00C8294A">
      <w:rPr>
        <w:rFonts w:ascii="宋体" w:hAnsi="宋体" w:hint="eastAsia"/>
        <w:lang w:val="zh-CN"/>
      </w:rPr>
      <w:t>共</w:t>
    </w:r>
    <w:r w:rsidR="003959FD">
      <w:rPr>
        <w:rFonts w:ascii="宋体" w:hAnsi="宋体" w:hint="eastAsia"/>
        <w:lang w:val="zh-CN"/>
      </w:rPr>
      <w:t xml:space="preserve"> </w:t>
    </w:r>
    <w:r w:rsidR="00C8294A" w:rsidRPr="00FB6D5E">
      <w:rPr>
        <w:rFonts w:ascii="宋体" w:hAnsi="宋体"/>
        <w:bCs/>
      </w:rPr>
      <w:fldChar w:fldCharType="begin"/>
    </w:r>
    <w:r w:rsidR="00FB6D5E" w:rsidRPr="00FB6D5E">
      <w:rPr>
        <w:rFonts w:ascii="宋体" w:hAnsi="宋体" w:hint="eastAsia"/>
        <w:bCs/>
      </w:rPr>
      <w:instrText>=</w:instrText>
    </w:r>
    <w:r w:rsidR="00FB6D5E" w:rsidRPr="00FB6D5E">
      <w:rPr>
        <w:rFonts w:ascii="宋体" w:hAnsi="宋体"/>
        <w:bCs/>
      </w:rPr>
      <w:fldChar w:fldCharType="begin"/>
    </w:r>
    <w:r w:rsidR="00FB6D5E" w:rsidRPr="00FB6D5E">
      <w:rPr>
        <w:rFonts w:ascii="宋体" w:hAnsi="宋体"/>
        <w:bCs/>
      </w:rPr>
      <w:instrText xml:space="preserve"> NUMPAGES </w:instrText>
    </w:r>
    <w:r w:rsidR="00FB6D5E" w:rsidRPr="00FB6D5E">
      <w:rPr>
        <w:rFonts w:ascii="宋体" w:hAnsi="宋体"/>
        <w:bCs/>
      </w:rPr>
      <w:fldChar w:fldCharType="separate"/>
    </w:r>
    <w:r w:rsidR="006F561E">
      <w:rPr>
        <w:rFonts w:ascii="宋体" w:hAnsi="宋体"/>
        <w:bCs/>
        <w:noProof/>
      </w:rPr>
      <w:instrText>12</w:instrText>
    </w:r>
    <w:r w:rsidR="00FB6D5E" w:rsidRPr="00FB6D5E">
      <w:rPr>
        <w:rFonts w:ascii="宋体" w:hAnsi="宋体"/>
        <w:bCs/>
      </w:rPr>
      <w:fldChar w:fldCharType="end"/>
    </w:r>
    <w:r w:rsidR="00FB6D5E" w:rsidRPr="00FB6D5E">
      <w:rPr>
        <w:rFonts w:ascii="宋体" w:hAnsi="宋体" w:hint="eastAsia"/>
        <w:bCs/>
      </w:rPr>
      <w:instrText>-1</w:instrText>
    </w:r>
    <w:r w:rsidR="00C8294A" w:rsidRPr="00FB6D5E">
      <w:rPr>
        <w:rFonts w:ascii="宋体" w:hAnsi="宋体"/>
        <w:bCs/>
      </w:rPr>
      <w:instrText xml:space="preserve">  \* Arabic  \* MERGEFORMAT</w:instrText>
    </w:r>
    <w:r w:rsidR="00C8294A" w:rsidRPr="00FB6D5E">
      <w:rPr>
        <w:rFonts w:ascii="宋体" w:hAnsi="宋体"/>
        <w:bCs/>
      </w:rPr>
      <w:fldChar w:fldCharType="separate"/>
    </w:r>
    <w:r w:rsidR="006F561E">
      <w:rPr>
        <w:rFonts w:ascii="宋体" w:hAnsi="宋体"/>
        <w:bCs/>
        <w:noProof/>
      </w:rPr>
      <w:t>11</w:t>
    </w:r>
    <w:r w:rsidR="00C8294A" w:rsidRPr="00FB6D5E">
      <w:rPr>
        <w:rFonts w:ascii="宋体" w:hAnsi="宋体"/>
        <w:bCs/>
      </w:rPr>
      <w:fldChar w:fldCharType="end"/>
    </w:r>
    <w:r w:rsidR="003959FD">
      <w:rPr>
        <w:rFonts w:ascii="宋体" w:hAnsi="宋体"/>
        <w:bCs/>
      </w:rPr>
      <w:t xml:space="preserve"> </w:t>
    </w:r>
    <w:r w:rsidRPr="00C8294A">
      <w:rPr>
        <w:rFonts w:ascii="宋体" w:hAnsi="宋体" w:hint="eastAsia"/>
        <w:bCs/>
      </w:rPr>
      <w:t>页</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87013" w:rsidRDefault="00F87013" w:rsidP="00D17C56">
      <w:r>
        <w:separator/>
      </w:r>
    </w:p>
  </w:footnote>
  <w:footnote w:type="continuationSeparator" w:id="0">
    <w:p w:rsidR="00F87013" w:rsidRDefault="00F87013" w:rsidP="00D17C56">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50C9A" w:rsidRDefault="00F87013" w:rsidP="00AE3F5B">
    <w:pPr>
      <w:pStyle w:val="a7"/>
      <w:pBdr>
        <w:bottom w:val="single" w:sz="4" w:space="1" w:color="auto"/>
      </w:pBdr>
      <w:jc w:val="right"/>
    </w:pPr>
    <w:r>
      <w:rPr>
        <w:rFonts w:hint="eastAsia"/>
      </w:rPr>
      <w:t>南方深证主板</w:t>
    </w:r>
    <w:r>
      <w:rPr>
        <w:rFonts w:hint="eastAsia"/>
      </w:rPr>
      <w:t>50</w:t>
    </w:r>
    <w:r>
      <w:rPr>
        <w:rFonts w:hint="eastAsia"/>
      </w:rPr>
      <w:t>交易型开放式指数证券投资基金联接基金</w:t>
    </w:r>
    <w:r>
      <w:rPr>
        <w:rFonts w:hint="eastAsia"/>
      </w:rPr>
      <w:t>2026</w:t>
    </w:r>
    <w:r>
      <w:rPr>
        <w:rFonts w:hint="eastAsia"/>
      </w:rPr>
      <w:t>年第</w:t>
    </w:r>
    <w:r>
      <w:rPr>
        <w:rFonts w:hint="eastAsia"/>
      </w:rPr>
      <w:t>2</w:t>
    </w:r>
    <w:r>
      <w:rPr>
        <w:rFonts w:hint="eastAsia"/>
      </w:rPr>
      <w:t>季度报告</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86A5F" w:rsidRDefault="00986A5F" w:rsidP="00986A5F">
    <w:pPr>
      <w:pStyle w:val="a7"/>
      <w:pBdr>
        <w:bottom w:val="none" w:sz="0" w:space="0" w:color="auto"/>
      </w:pBd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E9778E"/>
    <w:multiLevelType w:val="multilevel"/>
    <w:tmpl w:val="81260924"/>
    <w:lvl w:ilvl="0">
      <w:start w:val="1"/>
      <w:numFmt w:val="decimal"/>
      <w:pStyle w:val="-1"/>
      <w:suff w:val="space"/>
      <w:lvlText w:val="§%1"/>
      <w:lvlJc w:val="center"/>
      <w:pPr>
        <w:ind w:left="425" w:hanging="425"/>
      </w:pPr>
      <w:rPr>
        <w:rFonts w:hint="eastAsia"/>
      </w:rPr>
    </w:lvl>
    <w:lvl w:ilvl="1">
      <w:start w:val="1"/>
      <w:numFmt w:val="decimal"/>
      <w:pStyle w:val="-2"/>
      <w:suff w:val="space"/>
      <w:lvlText w:val="%1.%2"/>
      <w:lvlJc w:val="left"/>
      <w:pPr>
        <w:ind w:left="992" w:hanging="992"/>
      </w:pPr>
      <w:rPr>
        <w:rFonts w:hint="eastAsia"/>
      </w:rPr>
    </w:lvl>
    <w:lvl w:ilvl="2">
      <w:start w:val="1"/>
      <w:numFmt w:val="decimal"/>
      <w:pStyle w:val="-3"/>
      <w:suff w:val="space"/>
      <w:lvlText w:val="%1.%2.%3"/>
      <w:lvlJc w:val="left"/>
      <w:pPr>
        <w:ind w:left="1418" w:hanging="1418"/>
      </w:pPr>
      <w:rPr>
        <w:rFonts w:hint="eastAsia"/>
      </w:rPr>
    </w:lvl>
    <w:lvl w:ilvl="3">
      <w:start w:val="1"/>
      <w:numFmt w:val="decimal"/>
      <w:pStyle w:val="-4"/>
      <w:suff w:val="space"/>
      <w:lvlText w:val="%1.%2.%3.%4"/>
      <w:lvlJc w:val="left"/>
      <w:pPr>
        <w:ind w:left="1984" w:hanging="1984"/>
      </w:pPr>
      <w:rPr>
        <w:rFonts w:hint="eastAsia"/>
      </w:rPr>
    </w:lvl>
    <w:lvl w:ilvl="4">
      <w:start w:val="1"/>
      <w:numFmt w:val="decimal"/>
      <w:pStyle w:val="-5"/>
      <w:suff w:val="space"/>
      <w:lvlText w:val="%1.%2.%3.%4.%5"/>
      <w:lvlJc w:val="left"/>
      <w:pPr>
        <w:ind w:left="2551" w:hanging="2551"/>
      </w:pPr>
      <w:rPr>
        <w:rFonts w:hint="eastAsia"/>
      </w:rPr>
    </w:lvl>
    <w:lvl w:ilvl="5">
      <w:start w:val="1"/>
      <w:numFmt w:val="decimal"/>
      <w:pStyle w:val="-6"/>
      <w:suff w:val="space"/>
      <w:lvlText w:val="%1.%2.%3.%4.%5.%6"/>
      <w:lvlJc w:val="left"/>
      <w:pPr>
        <w:ind w:left="3260" w:hanging="3260"/>
      </w:pPr>
      <w:rPr>
        <w:rFonts w:hint="eastAsia"/>
      </w:rPr>
    </w:lvl>
    <w:lvl w:ilvl="6">
      <w:start w:val="1"/>
      <w:numFmt w:val="decimal"/>
      <w:suff w:val="space"/>
      <w:lvlText w:val="%1.%2.%3.%4.%5.%6.%7"/>
      <w:lvlJc w:val="left"/>
      <w:pPr>
        <w:ind w:left="3827" w:hanging="3827"/>
      </w:pPr>
      <w:rPr>
        <w:rFonts w:hint="eastAsia"/>
      </w:rPr>
    </w:lvl>
    <w:lvl w:ilvl="7">
      <w:start w:val="1"/>
      <w:numFmt w:val="decimal"/>
      <w:suff w:val="space"/>
      <w:lvlText w:val="%1.%2.%3.%4.%5.%6.%7.%8"/>
      <w:lvlJc w:val="left"/>
      <w:pPr>
        <w:ind w:left="4394" w:hanging="4394"/>
      </w:pPr>
      <w:rPr>
        <w:rFonts w:hint="eastAsia"/>
      </w:rPr>
    </w:lvl>
    <w:lvl w:ilvl="8">
      <w:start w:val="1"/>
      <w:numFmt w:val="decimal"/>
      <w:suff w:val="space"/>
      <w:lvlText w:val="%1.%2.%3.%4.%5.%6.%7.%8.%9"/>
      <w:lvlJc w:val="left"/>
      <w:pPr>
        <w:ind w:left="5102" w:hanging="5102"/>
      </w:pPr>
      <w:rPr>
        <w:rFonts w:hint="eastAsia"/>
      </w:rPr>
    </w:lvl>
  </w:abstractNum>
  <w:abstractNum w:abstractNumId="1" w15:restartNumberingAfterBreak="0">
    <w:nsid w:val="7B7A4927"/>
    <w:multiLevelType w:val="hybridMultilevel"/>
    <w:tmpl w:val="60CAB9A4"/>
    <w:lvl w:ilvl="0" w:tplc="3B8861CA">
      <w:start w:val="1"/>
      <w:numFmt w:val="decimal"/>
      <w:lvlText w:val="%1、"/>
      <w:lvlJc w:val="left"/>
      <w:pPr>
        <w:ind w:left="870" w:hanging="420"/>
      </w:pPr>
      <w:rPr>
        <w:rFonts w:hint="eastAsia"/>
      </w:rPr>
    </w:lvl>
    <w:lvl w:ilvl="1" w:tplc="04090019" w:tentative="1">
      <w:start w:val="1"/>
      <w:numFmt w:val="lowerLetter"/>
      <w:lvlText w:val="%2)"/>
      <w:lvlJc w:val="left"/>
      <w:pPr>
        <w:ind w:left="1290" w:hanging="420"/>
      </w:pPr>
    </w:lvl>
    <w:lvl w:ilvl="2" w:tplc="0409001B" w:tentative="1">
      <w:start w:val="1"/>
      <w:numFmt w:val="lowerRoman"/>
      <w:lvlText w:val="%3."/>
      <w:lvlJc w:val="right"/>
      <w:pPr>
        <w:ind w:left="1710" w:hanging="420"/>
      </w:pPr>
    </w:lvl>
    <w:lvl w:ilvl="3" w:tplc="0409000F" w:tentative="1">
      <w:start w:val="1"/>
      <w:numFmt w:val="decimal"/>
      <w:lvlText w:val="%4."/>
      <w:lvlJc w:val="left"/>
      <w:pPr>
        <w:ind w:left="2130" w:hanging="420"/>
      </w:pPr>
    </w:lvl>
    <w:lvl w:ilvl="4" w:tplc="04090019" w:tentative="1">
      <w:start w:val="1"/>
      <w:numFmt w:val="lowerLetter"/>
      <w:lvlText w:val="%5)"/>
      <w:lvlJc w:val="left"/>
      <w:pPr>
        <w:ind w:left="2550" w:hanging="420"/>
      </w:pPr>
    </w:lvl>
    <w:lvl w:ilvl="5" w:tplc="0409001B" w:tentative="1">
      <w:start w:val="1"/>
      <w:numFmt w:val="lowerRoman"/>
      <w:lvlText w:val="%6."/>
      <w:lvlJc w:val="right"/>
      <w:pPr>
        <w:ind w:left="2970" w:hanging="420"/>
      </w:pPr>
    </w:lvl>
    <w:lvl w:ilvl="6" w:tplc="0409000F" w:tentative="1">
      <w:start w:val="1"/>
      <w:numFmt w:val="decimal"/>
      <w:lvlText w:val="%7."/>
      <w:lvlJc w:val="left"/>
      <w:pPr>
        <w:ind w:left="3390" w:hanging="420"/>
      </w:pPr>
    </w:lvl>
    <w:lvl w:ilvl="7" w:tplc="04090019" w:tentative="1">
      <w:start w:val="1"/>
      <w:numFmt w:val="lowerLetter"/>
      <w:lvlText w:val="%8)"/>
      <w:lvlJc w:val="left"/>
      <w:pPr>
        <w:ind w:left="3810" w:hanging="420"/>
      </w:pPr>
    </w:lvl>
    <w:lvl w:ilvl="8" w:tplc="0409001B" w:tentative="1">
      <w:start w:val="1"/>
      <w:numFmt w:val="lowerRoman"/>
      <w:lvlText w:val="%9."/>
      <w:lvlJc w:val="right"/>
      <w:pPr>
        <w:ind w:left="423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420"/>
  <w:drawingGridHorizontalSpacing w:val="105"/>
  <w:drawingGridVerticalSpacing w:val="156"/>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46AD4"/>
    <w:rsid w:val="00003EE6"/>
    <w:rsid w:val="000275E7"/>
    <w:rsid w:val="00031120"/>
    <w:rsid w:val="0004021A"/>
    <w:rsid w:val="00076D02"/>
    <w:rsid w:val="0008658E"/>
    <w:rsid w:val="000911A2"/>
    <w:rsid w:val="000956A4"/>
    <w:rsid w:val="000A6534"/>
    <w:rsid w:val="000C44B2"/>
    <w:rsid w:val="000D7A58"/>
    <w:rsid w:val="000E2872"/>
    <w:rsid w:val="000E7952"/>
    <w:rsid w:val="000E795D"/>
    <w:rsid w:val="00101D33"/>
    <w:rsid w:val="001201F8"/>
    <w:rsid w:val="00125BAB"/>
    <w:rsid w:val="001426F0"/>
    <w:rsid w:val="0017625F"/>
    <w:rsid w:val="00187B2C"/>
    <w:rsid w:val="001A65EF"/>
    <w:rsid w:val="001B0F0F"/>
    <w:rsid w:val="001B6F12"/>
    <w:rsid w:val="001E2FCE"/>
    <w:rsid w:val="001E67D0"/>
    <w:rsid w:val="00224F3E"/>
    <w:rsid w:val="00225D75"/>
    <w:rsid w:val="00241CEB"/>
    <w:rsid w:val="00265D8F"/>
    <w:rsid w:val="002905F2"/>
    <w:rsid w:val="00292F1C"/>
    <w:rsid w:val="002930DE"/>
    <w:rsid w:val="002972F4"/>
    <w:rsid w:val="002B191A"/>
    <w:rsid w:val="002C0575"/>
    <w:rsid w:val="00300A78"/>
    <w:rsid w:val="00321580"/>
    <w:rsid w:val="003433CF"/>
    <w:rsid w:val="00347B5C"/>
    <w:rsid w:val="00377AC4"/>
    <w:rsid w:val="003959FD"/>
    <w:rsid w:val="003B2C62"/>
    <w:rsid w:val="003C0F9E"/>
    <w:rsid w:val="003C7DC3"/>
    <w:rsid w:val="00425AEE"/>
    <w:rsid w:val="00434355"/>
    <w:rsid w:val="0044118E"/>
    <w:rsid w:val="0044723E"/>
    <w:rsid w:val="00480238"/>
    <w:rsid w:val="00491C2B"/>
    <w:rsid w:val="004A3B54"/>
    <w:rsid w:val="004A57DB"/>
    <w:rsid w:val="004B29EB"/>
    <w:rsid w:val="004B41FD"/>
    <w:rsid w:val="004B6CA1"/>
    <w:rsid w:val="004B6DE6"/>
    <w:rsid w:val="004B7673"/>
    <w:rsid w:val="004E571F"/>
    <w:rsid w:val="004E6689"/>
    <w:rsid w:val="00532A63"/>
    <w:rsid w:val="00544CE0"/>
    <w:rsid w:val="005805A4"/>
    <w:rsid w:val="005A028D"/>
    <w:rsid w:val="005B22CA"/>
    <w:rsid w:val="005C29BB"/>
    <w:rsid w:val="005C314A"/>
    <w:rsid w:val="005C6D52"/>
    <w:rsid w:val="006132B7"/>
    <w:rsid w:val="0061364E"/>
    <w:rsid w:val="00622588"/>
    <w:rsid w:val="0063383B"/>
    <w:rsid w:val="00650113"/>
    <w:rsid w:val="0066091F"/>
    <w:rsid w:val="00666AF5"/>
    <w:rsid w:val="006760FB"/>
    <w:rsid w:val="00685A42"/>
    <w:rsid w:val="006A2E19"/>
    <w:rsid w:val="006C1E63"/>
    <w:rsid w:val="006E1115"/>
    <w:rsid w:val="006F561E"/>
    <w:rsid w:val="007108F0"/>
    <w:rsid w:val="00747FAD"/>
    <w:rsid w:val="00750C9A"/>
    <w:rsid w:val="0078485C"/>
    <w:rsid w:val="00791182"/>
    <w:rsid w:val="00797EC6"/>
    <w:rsid w:val="007C0BF3"/>
    <w:rsid w:val="007D4AC7"/>
    <w:rsid w:val="007F6905"/>
    <w:rsid w:val="00800FA0"/>
    <w:rsid w:val="00815329"/>
    <w:rsid w:val="00823E12"/>
    <w:rsid w:val="00887CEB"/>
    <w:rsid w:val="008A77BC"/>
    <w:rsid w:val="008B3EBC"/>
    <w:rsid w:val="008C2BFC"/>
    <w:rsid w:val="00904545"/>
    <w:rsid w:val="009112E0"/>
    <w:rsid w:val="009161C4"/>
    <w:rsid w:val="00922090"/>
    <w:rsid w:val="00967A2F"/>
    <w:rsid w:val="00981362"/>
    <w:rsid w:val="00986A5F"/>
    <w:rsid w:val="009A0DF7"/>
    <w:rsid w:val="009A4AD8"/>
    <w:rsid w:val="009C6592"/>
    <w:rsid w:val="009D02C8"/>
    <w:rsid w:val="009D4E13"/>
    <w:rsid w:val="009E27F7"/>
    <w:rsid w:val="009F16FC"/>
    <w:rsid w:val="00A11620"/>
    <w:rsid w:val="00A13A20"/>
    <w:rsid w:val="00A2003F"/>
    <w:rsid w:val="00A51EC3"/>
    <w:rsid w:val="00A5309E"/>
    <w:rsid w:val="00A623D2"/>
    <w:rsid w:val="00A94D0E"/>
    <w:rsid w:val="00AC2797"/>
    <w:rsid w:val="00AC3470"/>
    <w:rsid w:val="00AE1D3F"/>
    <w:rsid w:val="00AE3F5B"/>
    <w:rsid w:val="00AF399D"/>
    <w:rsid w:val="00AF3CA2"/>
    <w:rsid w:val="00AF6ABA"/>
    <w:rsid w:val="00B073CA"/>
    <w:rsid w:val="00B2044A"/>
    <w:rsid w:val="00B25090"/>
    <w:rsid w:val="00B2731A"/>
    <w:rsid w:val="00B41CCE"/>
    <w:rsid w:val="00B47C1C"/>
    <w:rsid w:val="00B54672"/>
    <w:rsid w:val="00B85D10"/>
    <w:rsid w:val="00B9302D"/>
    <w:rsid w:val="00B9582B"/>
    <w:rsid w:val="00BA48F2"/>
    <w:rsid w:val="00BB3B3B"/>
    <w:rsid w:val="00BD3DD3"/>
    <w:rsid w:val="00BE1439"/>
    <w:rsid w:val="00BF0086"/>
    <w:rsid w:val="00BF31E2"/>
    <w:rsid w:val="00BF49EB"/>
    <w:rsid w:val="00C23B75"/>
    <w:rsid w:val="00C24CE9"/>
    <w:rsid w:val="00C27E02"/>
    <w:rsid w:val="00C30704"/>
    <w:rsid w:val="00C40EF3"/>
    <w:rsid w:val="00C54775"/>
    <w:rsid w:val="00C663DE"/>
    <w:rsid w:val="00C7329B"/>
    <w:rsid w:val="00C80C8D"/>
    <w:rsid w:val="00C8294A"/>
    <w:rsid w:val="00C975C3"/>
    <w:rsid w:val="00CA298C"/>
    <w:rsid w:val="00CA7768"/>
    <w:rsid w:val="00CA79F6"/>
    <w:rsid w:val="00CC0885"/>
    <w:rsid w:val="00CE4460"/>
    <w:rsid w:val="00CF004A"/>
    <w:rsid w:val="00CF294B"/>
    <w:rsid w:val="00CF3E7D"/>
    <w:rsid w:val="00D01AC0"/>
    <w:rsid w:val="00D04BB4"/>
    <w:rsid w:val="00D07422"/>
    <w:rsid w:val="00D12FF6"/>
    <w:rsid w:val="00D17C56"/>
    <w:rsid w:val="00D30948"/>
    <w:rsid w:val="00D45147"/>
    <w:rsid w:val="00D67E6D"/>
    <w:rsid w:val="00D86D2A"/>
    <w:rsid w:val="00D91699"/>
    <w:rsid w:val="00DB379D"/>
    <w:rsid w:val="00DD5CC6"/>
    <w:rsid w:val="00DE3895"/>
    <w:rsid w:val="00E063EF"/>
    <w:rsid w:val="00E10FA2"/>
    <w:rsid w:val="00E15633"/>
    <w:rsid w:val="00E46AD4"/>
    <w:rsid w:val="00E65F29"/>
    <w:rsid w:val="00E90D4A"/>
    <w:rsid w:val="00EA328F"/>
    <w:rsid w:val="00EC6F86"/>
    <w:rsid w:val="00EE12CF"/>
    <w:rsid w:val="00EF763C"/>
    <w:rsid w:val="00F00FCB"/>
    <w:rsid w:val="00F03A80"/>
    <w:rsid w:val="00F27CBE"/>
    <w:rsid w:val="00F448CB"/>
    <w:rsid w:val="00F45ADF"/>
    <w:rsid w:val="00F47050"/>
    <w:rsid w:val="00F513F8"/>
    <w:rsid w:val="00F74FE9"/>
    <w:rsid w:val="00F8552E"/>
    <w:rsid w:val="00F87013"/>
    <w:rsid w:val="00FB358D"/>
    <w:rsid w:val="00FB6D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AD64473-19F0-4FA3-B9CE-848FD5B5D6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1364E"/>
    <w:pPr>
      <w:widowControl w:val="0"/>
      <w:jc w:val="both"/>
    </w:pPr>
    <w:rPr>
      <w:kern w:val="2"/>
      <w:sz w:val="21"/>
      <w:szCs w:val="24"/>
    </w:rPr>
  </w:style>
  <w:style w:type="paragraph" w:styleId="1">
    <w:name w:val="heading 1"/>
    <w:basedOn w:val="a"/>
    <w:next w:val="a"/>
    <w:link w:val="10"/>
    <w:uiPriority w:val="9"/>
    <w:qFormat/>
    <w:rsid w:val="00E063EF"/>
    <w:pPr>
      <w:keepNext/>
      <w:keepLines/>
      <w:spacing w:before="340" w:after="330" w:line="578" w:lineRule="auto"/>
      <w:outlineLvl w:val="0"/>
    </w:pPr>
    <w:rPr>
      <w:b/>
      <w:bCs/>
      <w:kern w:val="44"/>
      <w:sz w:val="44"/>
      <w:szCs w:val="44"/>
      <w:lang w:val="x-none" w:eastAsia="x-none"/>
    </w:rPr>
  </w:style>
  <w:style w:type="paragraph" w:styleId="2">
    <w:name w:val="heading 2"/>
    <w:basedOn w:val="a"/>
    <w:link w:val="20"/>
    <w:uiPriority w:val="9"/>
    <w:qFormat/>
    <w:rsid w:val="00E063EF"/>
    <w:pPr>
      <w:widowControl/>
      <w:spacing w:before="100" w:beforeAutospacing="1" w:after="100" w:afterAutospacing="1"/>
      <w:jc w:val="left"/>
      <w:outlineLvl w:val="1"/>
    </w:pPr>
    <w:rPr>
      <w:rFonts w:ascii="宋体" w:hAnsi="宋体"/>
      <w:b/>
      <w:bCs/>
      <w:kern w:val="0"/>
      <w:sz w:val="18"/>
      <w:szCs w:val="18"/>
      <w:lang w:val="x-none" w:eastAsia="x-none"/>
    </w:rPr>
  </w:style>
  <w:style w:type="paragraph" w:styleId="4">
    <w:name w:val="heading 4"/>
    <w:basedOn w:val="a"/>
    <w:next w:val="a"/>
    <w:link w:val="40"/>
    <w:semiHidden/>
    <w:unhideWhenUsed/>
    <w:qFormat/>
    <w:rsid w:val="006E1115"/>
    <w:pPr>
      <w:keepNext/>
      <w:keepLines/>
      <w:spacing w:before="280" w:after="290" w:line="376" w:lineRule="auto"/>
      <w:outlineLvl w:val="3"/>
    </w:pPr>
    <w:rPr>
      <w:rFonts w:ascii="Calibri Light" w:hAnsi="Calibri Light"/>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link w:val="a4"/>
    <w:uiPriority w:val="99"/>
    <w:unhideWhenUsed/>
    <w:rsid w:val="00800FA0"/>
    <w:pPr>
      <w:widowControl/>
      <w:spacing w:before="100" w:beforeAutospacing="1" w:after="100" w:afterAutospacing="1"/>
      <w:jc w:val="left"/>
    </w:pPr>
    <w:rPr>
      <w:rFonts w:ascii="宋体" w:hAnsi="宋体"/>
      <w:kern w:val="0"/>
      <w:sz w:val="24"/>
      <w:lang w:val="x-none" w:eastAsia="x-none"/>
    </w:rPr>
  </w:style>
  <w:style w:type="paragraph" w:customStyle="1" w:styleId="-">
    <w:name w:val="模板-正文"/>
    <w:basedOn w:val="a3"/>
    <w:link w:val="-Char"/>
    <w:qFormat/>
    <w:rsid w:val="00F27CBE"/>
    <w:pPr>
      <w:snapToGrid w:val="0"/>
      <w:spacing w:before="0" w:beforeAutospacing="0" w:after="0" w:afterAutospacing="0" w:line="360" w:lineRule="auto"/>
      <w:ind w:firstLineChars="200" w:firstLine="200"/>
      <w:jc w:val="both"/>
    </w:pPr>
    <w:rPr>
      <w:color w:val="222222"/>
      <w:sz w:val="21"/>
      <w:szCs w:val="21"/>
    </w:rPr>
  </w:style>
  <w:style w:type="character" w:customStyle="1" w:styleId="20">
    <w:name w:val="标题 2 字符"/>
    <w:link w:val="2"/>
    <w:uiPriority w:val="9"/>
    <w:rsid w:val="00E063EF"/>
    <w:rPr>
      <w:rFonts w:ascii="宋体" w:hAnsi="宋体" w:cs="宋体"/>
      <w:b/>
      <w:bCs/>
      <w:sz w:val="18"/>
      <w:szCs w:val="18"/>
    </w:rPr>
  </w:style>
  <w:style w:type="character" w:customStyle="1" w:styleId="a4">
    <w:name w:val="普通(网站) 字符"/>
    <w:link w:val="a3"/>
    <w:uiPriority w:val="99"/>
    <w:rsid w:val="00800FA0"/>
    <w:rPr>
      <w:rFonts w:ascii="宋体" w:hAnsi="宋体" w:cs="宋体"/>
      <w:sz w:val="24"/>
      <w:szCs w:val="24"/>
    </w:rPr>
  </w:style>
  <w:style w:type="character" w:customStyle="1" w:styleId="-Char">
    <w:name w:val="模板-正文 Char"/>
    <w:link w:val="-"/>
    <w:rsid w:val="00F27CBE"/>
    <w:rPr>
      <w:rFonts w:ascii="宋体" w:hAnsi="宋体"/>
      <w:color w:val="222222"/>
      <w:sz w:val="21"/>
      <w:szCs w:val="21"/>
      <w:lang w:val="x-none" w:eastAsia="x-none"/>
    </w:rPr>
  </w:style>
  <w:style w:type="character" w:customStyle="1" w:styleId="docorderno">
    <w:name w:val="doc_order_no"/>
    <w:rsid w:val="00E063EF"/>
  </w:style>
  <w:style w:type="paragraph" w:customStyle="1" w:styleId="-2">
    <w:name w:val="模板-标题 2"/>
    <w:basedOn w:val="2"/>
    <w:link w:val="-2Char"/>
    <w:qFormat/>
    <w:rsid w:val="00D30948"/>
    <w:pPr>
      <w:numPr>
        <w:ilvl w:val="1"/>
        <w:numId w:val="2"/>
      </w:numPr>
      <w:spacing w:beforeLines="100" w:beforeAutospacing="0"/>
      <w:ind w:left="0" w:firstLine="0"/>
      <w:jc w:val="both"/>
    </w:pPr>
    <w:rPr>
      <w:color w:val="222222"/>
      <w:sz w:val="24"/>
    </w:rPr>
  </w:style>
  <w:style w:type="paragraph" w:styleId="21">
    <w:name w:val="toc 2"/>
    <w:basedOn w:val="a"/>
    <w:next w:val="a"/>
    <w:autoRedefine/>
    <w:uiPriority w:val="39"/>
    <w:rsid w:val="00E063EF"/>
    <w:pPr>
      <w:ind w:leftChars="200" w:left="420"/>
    </w:pPr>
  </w:style>
  <w:style w:type="character" w:customStyle="1" w:styleId="-2Char">
    <w:name w:val="模板-标题 2 Char"/>
    <w:link w:val="-2"/>
    <w:rsid w:val="00D30948"/>
    <w:rPr>
      <w:rFonts w:ascii="宋体" w:hAnsi="宋体"/>
      <w:b/>
      <w:bCs/>
      <w:color w:val="222222"/>
      <w:sz w:val="24"/>
      <w:szCs w:val="18"/>
      <w:lang w:val="x-none" w:eastAsia="x-none"/>
    </w:rPr>
  </w:style>
  <w:style w:type="character" w:styleId="a5">
    <w:name w:val="Hyperlink"/>
    <w:uiPriority w:val="99"/>
    <w:unhideWhenUsed/>
    <w:rsid w:val="00E063EF"/>
    <w:rPr>
      <w:color w:val="0000FF"/>
      <w:u w:val="single"/>
    </w:rPr>
  </w:style>
  <w:style w:type="character" w:customStyle="1" w:styleId="10">
    <w:name w:val="标题 1 字符"/>
    <w:link w:val="1"/>
    <w:uiPriority w:val="9"/>
    <w:rsid w:val="00E063EF"/>
    <w:rPr>
      <w:b/>
      <w:bCs/>
      <w:kern w:val="44"/>
      <w:sz w:val="44"/>
      <w:szCs w:val="44"/>
    </w:rPr>
  </w:style>
  <w:style w:type="paragraph" w:customStyle="1" w:styleId="-1">
    <w:name w:val="模板-标题 1"/>
    <w:basedOn w:val="1"/>
    <w:link w:val="-1Char"/>
    <w:qFormat/>
    <w:rsid w:val="00EF763C"/>
    <w:pPr>
      <w:keepNext w:val="0"/>
      <w:keepLines w:val="0"/>
      <w:widowControl/>
      <w:numPr>
        <w:numId w:val="2"/>
      </w:numPr>
      <w:adjustRightInd w:val="0"/>
      <w:spacing w:before="100" w:beforeAutospacing="1" w:after="100" w:afterAutospacing="1" w:line="240" w:lineRule="auto"/>
      <w:ind w:left="100" w:hangingChars="100" w:hanging="100"/>
      <w:jc w:val="center"/>
    </w:pPr>
    <w:rPr>
      <w:rFonts w:ascii="宋体" w:hAnsi="宋体"/>
      <w:color w:val="222222"/>
      <w:kern w:val="36"/>
      <w:sz w:val="28"/>
      <w:szCs w:val="24"/>
    </w:rPr>
  </w:style>
  <w:style w:type="paragraph" w:styleId="11">
    <w:name w:val="toc 1"/>
    <w:basedOn w:val="a"/>
    <w:next w:val="a"/>
    <w:autoRedefine/>
    <w:uiPriority w:val="39"/>
    <w:rsid w:val="00E063EF"/>
  </w:style>
  <w:style w:type="character" w:customStyle="1" w:styleId="-1Char">
    <w:name w:val="模板-标题 1 Char"/>
    <w:link w:val="-1"/>
    <w:rsid w:val="00EF763C"/>
    <w:rPr>
      <w:rFonts w:ascii="宋体" w:hAnsi="宋体"/>
      <w:b/>
      <w:bCs/>
      <w:color w:val="222222"/>
      <w:kern w:val="36"/>
      <w:sz w:val="28"/>
      <w:szCs w:val="24"/>
      <w:lang w:val="x-none" w:eastAsia="x-none"/>
    </w:rPr>
  </w:style>
  <w:style w:type="paragraph" w:customStyle="1" w:styleId="-3">
    <w:name w:val="模板-标题 3"/>
    <w:basedOn w:val="a"/>
    <w:link w:val="-3Char"/>
    <w:qFormat/>
    <w:rsid w:val="00347B5C"/>
    <w:pPr>
      <w:numPr>
        <w:ilvl w:val="2"/>
        <w:numId w:val="2"/>
      </w:numPr>
      <w:spacing w:beforeLines="50" w:before="50" w:afterLines="50" w:after="50"/>
      <w:ind w:left="0" w:firstLine="0"/>
      <w:outlineLvl w:val="2"/>
    </w:pPr>
    <w:rPr>
      <w:b/>
      <w:color w:val="222222"/>
      <w:sz w:val="24"/>
      <w:szCs w:val="18"/>
      <w:lang w:val="x-none" w:eastAsia="x-none"/>
    </w:rPr>
  </w:style>
  <w:style w:type="table" w:styleId="a6">
    <w:name w:val="Table Grid"/>
    <w:basedOn w:val="a1"/>
    <w:rsid w:val="00C975C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Char">
    <w:name w:val="模板-标题 3 Char"/>
    <w:link w:val="-3"/>
    <w:rsid w:val="00347B5C"/>
    <w:rPr>
      <w:b/>
      <w:color w:val="222222"/>
      <w:kern w:val="2"/>
      <w:sz w:val="24"/>
      <w:szCs w:val="18"/>
      <w:lang w:val="x-none" w:eastAsia="x-none"/>
    </w:rPr>
  </w:style>
  <w:style w:type="table" w:customStyle="1" w:styleId="-0">
    <w:name w:val="模板-表格"/>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tblStylePr w:type="firstRow">
      <w:pPr>
        <w:jc w:val="center"/>
      </w:pPr>
      <w:tblPr/>
      <w:trPr>
        <w:cantSplit w:val="0"/>
      </w:trPr>
      <w:tcPr>
        <w:shd w:val="clear" w:color="auto" w:fill="BFBFBF"/>
      </w:tcPr>
    </w:tblStylePr>
  </w:style>
  <w:style w:type="paragraph" w:styleId="a7">
    <w:name w:val="header"/>
    <w:basedOn w:val="a"/>
    <w:link w:val="a8"/>
    <w:rsid w:val="00D17C56"/>
    <w:pPr>
      <w:pBdr>
        <w:bottom w:val="single" w:sz="6" w:space="1" w:color="auto"/>
      </w:pBdr>
      <w:tabs>
        <w:tab w:val="center" w:pos="4153"/>
        <w:tab w:val="right" w:pos="8306"/>
      </w:tabs>
      <w:snapToGrid w:val="0"/>
      <w:jc w:val="center"/>
    </w:pPr>
    <w:rPr>
      <w:sz w:val="18"/>
      <w:szCs w:val="18"/>
    </w:rPr>
  </w:style>
  <w:style w:type="character" w:customStyle="1" w:styleId="a8">
    <w:name w:val="页眉 字符"/>
    <w:link w:val="a7"/>
    <w:rsid w:val="00D17C56"/>
    <w:rPr>
      <w:kern w:val="2"/>
      <w:sz w:val="18"/>
      <w:szCs w:val="18"/>
    </w:rPr>
  </w:style>
  <w:style w:type="paragraph" w:styleId="a9">
    <w:name w:val="footer"/>
    <w:basedOn w:val="a"/>
    <w:link w:val="aa"/>
    <w:uiPriority w:val="99"/>
    <w:rsid w:val="00D17C56"/>
    <w:pPr>
      <w:tabs>
        <w:tab w:val="center" w:pos="4153"/>
        <w:tab w:val="right" w:pos="8306"/>
      </w:tabs>
      <w:snapToGrid w:val="0"/>
      <w:jc w:val="left"/>
    </w:pPr>
    <w:rPr>
      <w:sz w:val="18"/>
      <w:szCs w:val="18"/>
    </w:rPr>
  </w:style>
  <w:style w:type="character" w:customStyle="1" w:styleId="aa">
    <w:name w:val="页脚 字符"/>
    <w:link w:val="a9"/>
    <w:uiPriority w:val="99"/>
    <w:rsid w:val="00D17C56"/>
    <w:rPr>
      <w:kern w:val="2"/>
      <w:sz w:val="18"/>
      <w:szCs w:val="18"/>
    </w:rPr>
  </w:style>
  <w:style w:type="paragraph" w:styleId="ab">
    <w:name w:val="Title"/>
    <w:basedOn w:val="a"/>
    <w:next w:val="a"/>
    <w:link w:val="ac"/>
    <w:qFormat/>
    <w:rsid w:val="00BA48F2"/>
    <w:pPr>
      <w:spacing w:before="240" w:after="60"/>
      <w:jc w:val="center"/>
      <w:outlineLvl w:val="0"/>
    </w:pPr>
    <w:rPr>
      <w:rFonts w:ascii="Cambria" w:hAnsi="Cambria"/>
      <w:b/>
      <w:bCs/>
      <w:sz w:val="32"/>
      <w:szCs w:val="32"/>
    </w:rPr>
  </w:style>
  <w:style w:type="character" w:customStyle="1" w:styleId="ac">
    <w:name w:val="标题 字符"/>
    <w:link w:val="ab"/>
    <w:rsid w:val="00BA48F2"/>
    <w:rPr>
      <w:rFonts w:ascii="Cambria" w:hAnsi="Cambria" w:cs="Times New Roman"/>
      <w:b/>
      <w:bCs/>
      <w:kern w:val="2"/>
      <w:sz w:val="32"/>
      <w:szCs w:val="32"/>
    </w:rPr>
  </w:style>
  <w:style w:type="paragraph" w:customStyle="1" w:styleId="-7">
    <w:name w:val="模板-标题"/>
    <w:basedOn w:val="ab"/>
    <w:qFormat/>
    <w:rsid w:val="00BA48F2"/>
    <w:pPr>
      <w:outlineLvl w:val="9"/>
    </w:pPr>
  </w:style>
  <w:style w:type="paragraph" w:customStyle="1" w:styleId="-4">
    <w:name w:val="模板-标题 4"/>
    <w:basedOn w:val="a"/>
    <w:qFormat/>
    <w:rsid w:val="00D30948"/>
    <w:pPr>
      <w:numPr>
        <w:ilvl w:val="3"/>
        <w:numId w:val="2"/>
      </w:numPr>
      <w:spacing w:beforeLines="50" w:before="50" w:afterLines="50" w:after="50"/>
      <w:ind w:left="0" w:firstLine="0"/>
    </w:pPr>
    <w:rPr>
      <w:b/>
      <w:sz w:val="24"/>
    </w:rPr>
  </w:style>
  <w:style w:type="paragraph" w:customStyle="1" w:styleId="-5">
    <w:name w:val="模板-标题 5"/>
    <w:basedOn w:val="-4"/>
    <w:qFormat/>
    <w:rsid w:val="00D30948"/>
    <w:pPr>
      <w:numPr>
        <w:ilvl w:val="4"/>
      </w:numPr>
      <w:ind w:left="0" w:firstLine="0"/>
    </w:pPr>
  </w:style>
  <w:style w:type="paragraph" w:customStyle="1" w:styleId="-6">
    <w:name w:val="模板-标题 6"/>
    <w:basedOn w:val="-5"/>
    <w:qFormat/>
    <w:rsid w:val="00D30948"/>
    <w:pPr>
      <w:numPr>
        <w:ilvl w:val="5"/>
      </w:numPr>
      <w:ind w:left="0" w:firstLine="0"/>
    </w:pPr>
  </w:style>
  <w:style w:type="table" w:customStyle="1" w:styleId="-noheader">
    <w:name w:val="模板-表格_noheader"/>
    <w:basedOn w:val="a1"/>
    <w:rsid w:val="0066091F"/>
    <w:tblPr>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rPr>
      <w:jc w:val="center"/>
    </w:trPr>
    <w:tcPr>
      <w:vAlign w:val="center"/>
    </w:tcPr>
  </w:style>
  <w:style w:type="table" w:styleId="22">
    <w:name w:val="Table Colorful 2"/>
    <w:basedOn w:val="a1"/>
    <w:rsid w:val="0063383B"/>
    <w:pPr>
      <w:widowControl w:val="0"/>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paragraph" w:customStyle="1" w:styleId="XBRLTitle1">
    <w:name w:val="XBRLTitle1"/>
    <w:basedOn w:val="1"/>
    <w:next w:val="2"/>
    <w:qFormat/>
    <w:rsid w:val="006E1115"/>
    <w:pPr>
      <w:spacing w:before="0" w:after="0" w:line="360" w:lineRule="auto"/>
      <w:ind w:left="425" w:hanging="425"/>
      <w:jc w:val="center"/>
    </w:pPr>
    <w:rPr>
      <w:sz w:val="28"/>
    </w:rPr>
  </w:style>
  <w:style w:type="paragraph" w:customStyle="1" w:styleId="XBRLTitle2">
    <w:name w:val="XBRLTitle2"/>
    <w:basedOn w:val="ad"/>
    <w:next w:val="4"/>
    <w:qFormat/>
    <w:rsid w:val="006E1115"/>
    <w:pPr>
      <w:spacing w:before="0" w:after="0" w:line="360" w:lineRule="auto"/>
      <w:jc w:val="left"/>
    </w:pPr>
    <w:rPr>
      <w:sz w:val="24"/>
    </w:rPr>
  </w:style>
  <w:style w:type="paragraph" w:customStyle="1" w:styleId="XBRLTitle3">
    <w:name w:val="XBRLTitle3"/>
    <w:basedOn w:val="ad"/>
    <w:next w:val="4"/>
    <w:qFormat/>
    <w:rsid w:val="006E1115"/>
    <w:pPr>
      <w:spacing w:before="0" w:after="0" w:line="360" w:lineRule="auto"/>
      <w:ind w:left="624" w:hanging="624"/>
      <w:jc w:val="left"/>
      <w:outlineLvl w:val="9"/>
    </w:pPr>
    <w:rPr>
      <w:sz w:val="24"/>
    </w:rPr>
  </w:style>
  <w:style w:type="paragraph" w:styleId="ad">
    <w:name w:val="Subtitle"/>
    <w:basedOn w:val="a"/>
    <w:next w:val="a"/>
    <w:link w:val="ae"/>
    <w:qFormat/>
    <w:rsid w:val="006E1115"/>
    <w:pPr>
      <w:spacing w:before="240" w:after="60" w:line="312" w:lineRule="auto"/>
      <w:jc w:val="center"/>
      <w:outlineLvl w:val="1"/>
    </w:pPr>
    <w:rPr>
      <w:rFonts w:ascii="Calibri Light" w:hAnsi="Calibri Light"/>
      <w:b/>
      <w:bCs/>
      <w:kern w:val="28"/>
      <w:sz w:val="32"/>
      <w:szCs w:val="32"/>
    </w:rPr>
  </w:style>
  <w:style w:type="character" w:customStyle="1" w:styleId="ae">
    <w:name w:val="副标题 字符"/>
    <w:link w:val="ad"/>
    <w:rsid w:val="006E1115"/>
    <w:rPr>
      <w:rFonts w:ascii="Calibri Light" w:hAnsi="Calibri Light" w:cs="Times New Roman"/>
      <w:b/>
      <w:bCs/>
      <w:kern w:val="28"/>
      <w:sz w:val="32"/>
      <w:szCs w:val="32"/>
    </w:rPr>
  </w:style>
  <w:style w:type="character" w:customStyle="1" w:styleId="40">
    <w:name w:val="标题 4 字符"/>
    <w:link w:val="4"/>
    <w:semiHidden/>
    <w:rsid w:val="006E1115"/>
    <w:rPr>
      <w:rFonts w:ascii="Calibri Light" w:eastAsia="宋体" w:hAnsi="Calibri Light" w:cs="Times New Roman"/>
      <w:b/>
      <w:bCs/>
      <w:kern w:val="2"/>
      <w:sz w:val="28"/>
      <w:szCs w:val="28"/>
    </w:rPr>
  </w:style>
  <w:style w:type="paragraph" w:customStyle="1" w:styleId="XBRLTitle4">
    <w:name w:val="XBRLTitle4"/>
    <w:basedOn w:val="ad"/>
    <w:next w:val="4"/>
    <w:qFormat/>
    <w:rsid w:val="006E1115"/>
    <w:pPr>
      <w:spacing w:beforeLines="50" w:before="50" w:afterLines="50" w:after="50" w:line="240" w:lineRule="auto"/>
      <w:ind w:left="794" w:hanging="794"/>
      <w:jc w:val="left"/>
      <w:outlineLvl w:val="9"/>
    </w:pPr>
    <w:rPr>
      <w:sz w:val="24"/>
    </w:rPr>
  </w:style>
  <w:style w:type="paragraph" w:customStyle="1" w:styleId="XBRLTitle5">
    <w:name w:val="XBRLTitle5"/>
    <w:basedOn w:val="ad"/>
    <w:next w:val="4"/>
    <w:qFormat/>
    <w:rsid w:val="006E1115"/>
    <w:pPr>
      <w:spacing w:beforeLines="50" w:before="50" w:afterLines="50" w:after="50" w:line="240" w:lineRule="auto"/>
      <w:ind w:left="1021" w:hanging="1021"/>
      <w:jc w:val="left"/>
      <w:outlineLvl w:val="9"/>
    </w:pPr>
  </w:style>
  <w:style w:type="paragraph" w:customStyle="1" w:styleId="XBRLTitle6">
    <w:name w:val="XBRLTitle6"/>
    <w:basedOn w:val="ad"/>
    <w:next w:val="4"/>
    <w:qFormat/>
    <w:rsid w:val="006E1115"/>
    <w:pPr>
      <w:spacing w:beforeLines="50" w:before="50" w:afterLines="50" w:after="50" w:line="240" w:lineRule="auto"/>
      <w:ind w:left="1021" w:hanging="1021"/>
      <w:jc w:val="left"/>
      <w:outlineLvl w:val="9"/>
    </w:pPr>
    <w:rPr>
      <w:sz w:val="24"/>
    </w:rPr>
  </w:style>
  <w:style w:type="paragraph" w:customStyle="1" w:styleId="-8">
    <w:name w:val="模板-正文无缩进"/>
    <w:basedOn w:val="-"/>
    <w:link w:val="-Char0"/>
    <w:qFormat/>
    <w:rsid w:val="00C7329B"/>
    <w:pPr>
      <w:ind w:firstLineChars="0" w:firstLine="0"/>
    </w:pPr>
    <w:rPr>
      <w:bCs/>
      <w:szCs w:val="30"/>
    </w:rPr>
  </w:style>
  <w:style w:type="character" w:customStyle="1" w:styleId="-Char0">
    <w:name w:val="模板-正文无缩进 Char"/>
    <w:link w:val="-8"/>
    <w:rsid w:val="00C7329B"/>
    <w:rPr>
      <w:rFonts w:ascii="宋体" w:hAnsi="宋体"/>
      <w:bCs/>
      <w:color w:val="222222"/>
      <w:sz w:val="21"/>
      <w:szCs w:val="30"/>
      <w:lang w:val="x-none" w:eastAsia="x-none"/>
    </w:rPr>
  </w:style>
  <w:style w:type="paragraph" w:customStyle="1" w:styleId="-9">
    <w:name w:val="模板-目录"/>
    <w:basedOn w:val="3"/>
    <w:link w:val="-Char1"/>
    <w:autoRedefine/>
    <w:qFormat/>
    <w:rsid w:val="00B47C1C"/>
    <w:pPr>
      <w:snapToGrid w:val="0"/>
      <w:jc w:val="right"/>
    </w:pPr>
  </w:style>
  <w:style w:type="paragraph" w:styleId="3">
    <w:name w:val="toc 3"/>
    <w:basedOn w:val="a"/>
    <w:next w:val="a"/>
    <w:link w:val="30"/>
    <w:autoRedefine/>
    <w:semiHidden/>
    <w:unhideWhenUsed/>
    <w:rsid w:val="00B47C1C"/>
    <w:pPr>
      <w:ind w:leftChars="400" w:left="840"/>
    </w:pPr>
  </w:style>
  <w:style w:type="character" w:customStyle="1" w:styleId="30">
    <w:name w:val="目录 3 字符"/>
    <w:basedOn w:val="a0"/>
    <w:link w:val="3"/>
    <w:semiHidden/>
    <w:rsid w:val="00B47C1C"/>
    <w:rPr>
      <w:kern w:val="2"/>
      <w:sz w:val="21"/>
      <w:szCs w:val="24"/>
    </w:rPr>
  </w:style>
  <w:style w:type="character" w:customStyle="1" w:styleId="-Char1">
    <w:name w:val="模板-目录 Char"/>
    <w:basedOn w:val="30"/>
    <w:link w:val="-9"/>
    <w:rsid w:val="00B47C1C"/>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37822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81F476-5C0A-48C2-8D31-20B19F939C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12</Pages>
  <Words>6128</Words>
  <Characters>7210</Characters>
  <Application>Microsoft Office Word</Application>
  <DocSecurity>0</DocSecurity>
  <Lines>581</Lines>
  <Paragraphs>390</Paragraphs>
  <ScaleCrop>false</ScaleCrop>
  <Company>MC SYSTEM</Company>
  <LinksUpToDate>false</LinksUpToDate>
  <CharactersWithSpaces>7277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MC SYSTEM</dc:creator>
  <cp:lastModifiedBy>MC SYSTEM</cp:lastModifiedBy>
  <cp:revision>2</cp:revision>
  <dcterms:created xsi:type="dcterms:W3CDTF">2026-07-17T11:20:00Z</dcterms:created>
  <dcterms:modified xsi:type="dcterms:W3CDTF">2026-07-17T11:20:00Z</dcterms:modified>
</cp:coreProperties>
</file>