
<file path=[Content_Types].xml><?xml version="1.0" encoding="utf-8"?>
<Types xmlns="http://schemas.openxmlformats.org/package/2006/content-types">
  <Default Extension="rels" ContentType="application/vnd.openxmlformats-package.relationships+xml"/>
  <Default Extension="xml" ContentType="application/xml"/>
  <Default Extension="jpg" ContentType="image/png"/>
  <Override PartName="/word/document.xml" ContentType="application/vnd.openxmlformats-officedocument.wordprocessingml.document.main+xml"/>
  <Override PartName="/customXml/itemProps1.xml" ContentType="application/vnd.openxmlformats-officedocument.customXmlProperties+xml"/>
  <Override PartName="/word/numbering.xml" ContentType="application/vnd.openxmlformats-officedocument.wordprocessingml.numbering+xml"/>
  <Override PartName="/word/styles.xml" ContentType="application/vnd.openxmlformats-officedocument.wordprocessingml.styles+xml"/>
  <Override PartName="/word/settings.xml" ContentType="application/vnd.openxmlformats-officedocument.wordprocessingml.settings+xml"/>
  <Override PartName="/word/webSettings.xml" ContentType="application/vnd.openxmlformats-officedocument.wordprocessingml.webSettings+xml"/>
  <Override PartName="/word/footnotes.xml" ContentType="application/vnd.openxmlformats-officedocument.wordprocessingml.footnotes+xml"/>
  <Override PartName="/word/endnotes.xml" ContentType="application/vnd.openxmlformats-officedocument.wordprocessingml.endnotes+xml"/>
  <Override PartName="/word/header1.xml" ContentType="application/vnd.openxmlformats-officedocument.wordprocessingml.header+xml"/>
  <Override PartName="/word/header2.xml" ContentType="application/vnd.openxmlformats-officedocument.wordprocessingml.header+xml"/>
  <Override PartName="/word/footer1.xml" ContentType="application/vnd.openxmlformats-officedocument.wordprocessingml.footer+xml"/>
  <Override PartName="/word/footer2.xml" ContentType="application/vnd.openxmlformats-officedocument.wordprocessingml.footer+xml"/>
  <Override PartName="/word/header3.xml" ContentType="application/vnd.openxmlformats-officedocument.wordprocessingml.header+xml"/>
  <Override PartName="/word/footer3.xml" ContentType="application/vnd.openxmlformats-officedocument.wordprocessingml.footer+xml"/>
  <Override PartName="/word/fontTable.xml" ContentType="application/vnd.openxmlformats-officedocument.wordprocessingml.fontTable+xml"/>
  <Override PartName="/word/theme/theme1.xml" ContentType="application/vnd.openxmlformats-officedocument.theme+xml"/>
  <Override PartName="/docProps/core.xml" ContentType="application/vnd.openxmlformats-package.core-properties+xml"/>
  <Override PartName="/docProps/app.xml" ContentType="application/vnd.openxmlformats-officedocument.extended-properties+xml"/>
</Types>
</file>

<file path=_rels/.rels><?xml version="1.0" encoding="UTF-8" standalone="yes"?>
<Relationships xmlns="http://schemas.openxmlformats.org/package/2006/relationships"><Relationship Id="rId3" Type="http://schemas.openxmlformats.org/officeDocument/2006/relationships/extended-properties" Target="docProps/app.xml"/><Relationship Id="rId2" Type="http://schemas.openxmlformats.org/package/2006/relationships/metadata/core-properties" Target="docProps/core.xml"/><Relationship Id="rId1" Type="http://schemas.openxmlformats.org/officeDocument/2006/relationships/officeDocument" Target="word/document.xml"/></Relationships>
</file>

<file path=word/document.xml><?xml version="1.0" encoding="utf-8"?>
<w:document xmlns:wpc="http://schemas.microsoft.com/office/word/2010/wordprocessingCanvas" xmlns:cx="http://schemas.microsoft.com/office/drawing/2014/chartex" xmlns:mc="http://schemas.openxmlformats.org/markup-compatibility/2006"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16se="http://schemas.microsoft.com/office/word/2015/wordml/symex" xmlns:wpg="http://schemas.microsoft.com/office/word/2010/wordprocessingGroup" xmlns:wpi="http://schemas.microsoft.com/office/word/2010/wordprocessingInk" xmlns:wne="http://schemas.microsoft.com/office/word/2006/wordml" xmlns:wps="http://schemas.microsoft.com/office/word/2010/wordprocessingShape" mc:Ignorable="w14 w15 w16se wp14">
  <w:body>
    <w:p w:rsidR="000A6534" w:rsidRDefault="000A6534" w:rsidP="00F00FCB">
      <w:pPr>
        <w:pStyle w:val="-"/>
        <w:ind w:firstLine="420"/>
      </w:pPr>
    </w:p>
    <w:p w:rsidR="000A6534" w:rsidRDefault="000A6534" w:rsidP="000A6534">
      <w:pPr>
        <w:jc w:val="center"/>
        <w:rPr>
          <w:rFonts w:ascii="宋体" w:hAnsi="宋体"/>
          <w:b/>
          <w:bCs/>
          <w:sz w:val="28"/>
          <w:szCs w:val="30"/>
        </w:rPr>
      </w:pPr>
    </w:p>
    <w:p w:rsidR="0044723E" w:rsidRPr="0044723E" w:rsidRDefault="00AE3F5B" w:rsidP="0044723E">
      <w:pPr>
        <w:jc w:val="center"/>
        <w:rPr>
          <w:rFonts w:ascii="宋体" w:hAnsi="宋体"/>
          <w:b/>
          <w:bCs/>
          <w:sz w:val="48"/>
          <w:szCs w:val="30"/>
        </w:rPr>
      </w:pPr>
      <w:r w:rsidRPr="0044723E">
        <w:rPr>
          <w:rFonts w:ascii="宋体" w:hAnsi="宋体"/>
          <w:b/>
          <w:bCs/>
          <w:sz w:val="48"/>
          <w:szCs w:val="30"/>
        </w:rPr>
        <w:t xml:space="preserve"> </w:t>
      </w:r>
      <w:r w:rsidR="00576402">
        <w:rPr>
          <w:rFonts w:ascii="宋体" w:hAnsi="宋体" w:hint="eastAsia"/>
          <w:b/>
          <w:bCs/>
          <w:sz w:val="48"/>
          <w:szCs w:val="30"/>
        </w:rPr>
        <w:t>南方中证港股通</w:t>
      </w:r>
      <w:r w:rsidR="00576402">
        <w:rPr>
          <w:rFonts w:ascii="宋体" w:hAnsi="宋体"/>
          <w:b/>
          <w:bCs/>
          <w:sz w:val="48"/>
          <w:szCs w:val="30"/>
        </w:rPr>
        <w:t>50交易型开放式指数证券投资基金2026年第1季度报告</w:t>
      </w:r>
    </w:p>
    <w:p w:rsidR="0044723E" w:rsidRDefault="0044723E" w:rsidP="00D17C56">
      <w:pPr>
        <w:jc w:val="center"/>
        <w:rPr>
          <w:rFonts w:ascii="宋体" w:hAnsi="宋体"/>
          <w:b/>
          <w:bCs/>
          <w:sz w:val="48"/>
          <w:szCs w:val="30"/>
        </w:rPr>
      </w:pPr>
      <w:bookmarkStart w:id="0" w:name="OLE_LINK1"/>
      <w:bookmarkStart w:id="1" w:name="OLE_LINK2"/>
    </w:p>
    <w:p w:rsidR="00D17C56" w:rsidRDefault="00D17C56" w:rsidP="00D17C56">
      <w:pPr>
        <w:jc w:val="center"/>
        <w:rPr>
          <w:rFonts w:ascii="宋体" w:hAnsi="宋体"/>
          <w:b/>
          <w:bCs/>
          <w:sz w:val="28"/>
          <w:szCs w:val="30"/>
        </w:rPr>
      </w:pPr>
    </w:p>
    <w:bookmarkEnd w:id="0"/>
    <w:bookmarkEnd w:id="1"/>
    <w:p w:rsidR="00D17C56" w:rsidRDefault="00576402" w:rsidP="00D17C56">
      <w:pPr>
        <w:jc w:val="center"/>
        <w:rPr>
          <w:rFonts w:ascii="宋体" w:hAnsi="宋体"/>
          <w:b/>
          <w:bCs/>
          <w:sz w:val="28"/>
          <w:szCs w:val="30"/>
        </w:rPr>
      </w:pPr>
      <w:r>
        <w:rPr>
          <w:rFonts w:ascii="宋体" w:hAnsi="宋体"/>
          <w:b/>
          <w:bCs/>
          <w:sz w:val="28"/>
          <w:szCs w:val="30"/>
        </w:rPr>
        <w:t>2026年03月31日</w:t>
      </w:r>
    </w:p>
    <w:p w:rsidR="00C30704" w:rsidRDefault="00C30704" w:rsidP="003433CF">
      <w:pPr>
        <w:jc w:val="center"/>
        <w:rPr>
          <w:rFonts w:ascii="宋体" w:hAnsi="宋体"/>
          <w:sz w:val="28"/>
          <w:szCs w:val="30"/>
        </w:rPr>
      </w:pPr>
    </w:p>
    <w:p w:rsidR="0078485C" w:rsidRDefault="0078485C" w:rsidP="003433CF">
      <w:pPr>
        <w:jc w:val="center"/>
        <w:rPr>
          <w:rFonts w:ascii="宋体" w:hAnsi="宋体"/>
          <w:sz w:val="28"/>
          <w:szCs w:val="30"/>
        </w:rPr>
      </w:pPr>
    </w:p>
    <w:p w:rsidR="0078485C" w:rsidRDefault="0078485C" w:rsidP="003433CF">
      <w:pPr>
        <w:jc w:val="center"/>
        <w:rPr>
          <w:rFonts w:ascii="宋体" w:hAnsi="宋体"/>
          <w:sz w:val="28"/>
          <w:szCs w:val="30"/>
        </w:rPr>
      </w:pPr>
    </w:p>
    <w:p w:rsidR="0061364E" w:rsidRDefault="0061364E" w:rsidP="003433CF">
      <w:pPr>
        <w:jc w:val="center"/>
        <w:rPr>
          <w:rFonts w:ascii="宋体" w:hAnsi="宋体"/>
          <w:sz w:val="28"/>
          <w:szCs w:val="30"/>
        </w:rPr>
      </w:pPr>
    </w:p>
    <w:p w:rsidR="00CF004A" w:rsidRDefault="00CF004A" w:rsidP="003433CF">
      <w:pPr>
        <w:jc w:val="center"/>
        <w:rPr>
          <w:rFonts w:ascii="宋体" w:hAnsi="宋体"/>
          <w:sz w:val="28"/>
          <w:szCs w:val="30"/>
        </w:rPr>
      </w:pPr>
    </w:p>
    <w:p w:rsidR="00CF004A" w:rsidRDefault="00CF004A" w:rsidP="003433CF">
      <w:pPr>
        <w:jc w:val="center"/>
        <w:rPr>
          <w:rFonts w:ascii="宋体" w:hAnsi="宋体"/>
          <w:sz w:val="28"/>
          <w:szCs w:val="30"/>
        </w:rPr>
      </w:pPr>
    </w:p>
    <w:p w:rsidR="00CF004A" w:rsidRDefault="00CF004A" w:rsidP="003433CF">
      <w:pPr>
        <w:jc w:val="center"/>
        <w:rPr>
          <w:rFonts w:ascii="宋体" w:hAnsi="宋体"/>
          <w:sz w:val="28"/>
          <w:szCs w:val="30"/>
        </w:rPr>
      </w:pPr>
    </w:p>
    <w:p w:rsidR="00CF004A" w:rsidRDefault="00CF004A" w:rsidP="003433CF">
      <w:pPr>
        <w:jc w:val="center"/>
        <w:rPr>
          <w:rFonts w:ascii="宋体" w:hAnsi="宋体"/>
          <w:sz w:val="28"/>
          <w:szCs w:val="30"/>
        </w:rPr>
      </w:pPr>
    </w:p>
    <w:p w:rsidR="003433CF" w:rsidRDefault="003433CF" w:rsidP="003433CF">
      <w:pPr>
        <w:jc w:val="center"/>
        <w:rPr>
          <w:rFonts w:ascii="宋体" w:hAnsi="宋体"/>
          <w:sz w:val="28"/>
          <w:szCs w:val="30"/>
        </w:rPr>
      </w:pPr>
    </w:p>
    <w:p w:rsidR="003433CF" w:rsidRDefault="003433CF" w:rsidP="003433CF">
      <w:pPr>
        <w:jc w:val="center"/>
        <w:rPr>
          <w:rFonts w:ascii="宋体" w:hAnsi="宋体"/>
          <w:sz w:val="28"/>
          <w:szCs w:val="30"/>
        </w:rPr>
      </w:pPr>
    </w:p>
    <w:p w:rsidR="00D17C56" w:rsidRDefault="00AE3F5B" w:rsidP="00D17C56">
      <w:pPr>
        <w:ind w:firstLineChars="600" w:firstLine="1687"/>
        <w:rPr>
          <w:rFonts w:ascii="宋体" w:hAnsi="宋体"/>
          <w:b/>
          <w:bCs/>
          <w:sz w:val="28"/>
          <w:szCs w:val="30"/>
        </w:rPr>
      </w:pPr>
      <w:r>
        <w:rPr>
          <w:rFonts w:ascii="宋体" w:hAnsi="宋体" w:hint="eastAsia"/>
          <w:b/>
          <w:bCs/>
          <w:sz w:val="28"/>
          <w:szCs w:val="30"/>
        </w:rPr>
        <w:t>基金管理人：</w:t>
      </w:r>
      <w:r w:rsidR="00576402">
        <w:rPr>
          <w:rFonts w:ascii="宋体" w:hAnsi="宋体" w:hint="eastAsia"/>
          <w:b/>
          <w:bCs/>
          <w:sz w:val="28"/>
          <w:szCs w:val="30"/>
        </w:rPr>
        <w:t>南方基金管理股份有限公司</w:t>
      </w:r>
      <w:r w:rsidR="00D17C56">
        <w:rPr>
          <w:rFonts w:ascii="宋体" w:hAnsi="宋体"/>
          <w:b/>
          <w:bCs/>
          <w:sz w:val="28"/>
          <w:szCs w:val="30"/>
        </w:rPr>
        <w:t xml:space="preserve"> </w:t>
      </w:r>
    </w:p>
    <w:p w:rsidR="00D17C56" w:rsidRDefault="00AE3F5B" w:rsidP="00D17C56">
      <w:pPr>
        <w:ind w:firstLineChars="600" w:firstLine="1687"/>
        <w:rPr>
          <w:rFonts w:ascii="宋体" w:hAnsi="宋体"/>
          <w:b/>
          <w:bCs/>
          <w:sz w:val="28"/>
          <w:szCs w:val="30"/>
        </w:rPr>
      </w:pPr>
      <w:r>
        <w:rPr>
          <w:rFonts w:ascii="宋体" w:hAnsi="宋体" w:hint="eastAsia"/>
          <w:b/>
          <w:bCs/>
          <w:sz w:val="28"/>
          <w:szCs w:val="30"/>
        </w:rPr>
        <w:t>基金托管人：</w:t>
      </w:r>
      <w:r w:rsidR="00576402">
        <w:rPr>
          <w:rFonts w:ascii="宋体" w:hAnsi="宋体" w:hint="eastAsia"/>
          <w:b/>
          <w:bCs/>
          <w:sz w:val="28"/>
          <w:szCs w:val="30"/>
        </w:rPr>
        <w:t>中国工商银行股份有限公司</w:t>
      </w:r>
      <w:r w:rsidR="00D17C56">
        <w:rPr>
          <w:rFonts w:ascii="宋体" w:hAnsi="宋体"/>
          <w:b/>
          <w:bCs/>
          <w:sz w:val="28"/>
          <w:szCs w:val="30"/>
        </w:rPr>
        <w:t xml:space="preserve"> </w:t>
      </w:r>
    </w:p>
    <w:p w:rsidR="00EF763C" w:rsidRDefault="00AE3F5B" w:rsidP="00A94D0E">
      <w:pPr>
        <w:ind w:firstLineChars="600" w:firstLine="1687"/>
        <w:rPr>
          <w:rFonts w:ascii="宋体" w:hAnsi="宋体"/>
          <w:b/>
          <w:bCs/>
          <w:sz w:val="28"/>
          <w:szCs w:val="30"/>
        </w:rPr>
      </w:pPr>
      <w:r w:rsidRPr="00425AEE">
        <w:rPr>
          <w:rFonts w:ascii="宋体" w:hAnsi="宋体" w:hint="eastAsia"/>
          <w:b/>
          <w:bCs/>
          <w:sz w:val="28"/>
          <w:szCs w:val="30"/>
        </w:rPr>
        <w:t>送出日期：</w:t>
      </w:r>
      <w:r w:rsidR="00576402">
        <w:rPr>
          <w:rFonts w:ascii="宋体" w:hAnsi="宋体"/>
          <w:b/>
          <w:bCs/>
          <w:sz w:val="28"/>
          <w:szCs w:val="30"/>
        </w:rPr>
        <w:t>2026年4月22日</w:t>
      </w:r>
      <w:r w:rsidR="00D17C56" w:rsidRPr="00425AEE">
        <w:rPr>
          <w:rFonts w:ascii="宋体" w:hAnsi="宋体"/>
          <w:b/>
          <w:bCs/>
          <w:sz w:val="28"/>
          <w:szCs w:val="30"/>
        </w:rPr>
        <w:t xml:space="preserve"> </w:t>
      </w:r>
    </w:p>
    <w:p w:rsidR="00D30948" w:rsidRPr="00A94D0E" w:rsidRDefault="00D30948" w:rsidP="00A94D0E">
      <w:pPr>
        <w:ind w:firstLineChars="600" w:firstLine="1687"/>
        <w:rPr>
          <w:rFonts w:ascii="宋体" w:hAnsi="宋体"/>
          <w:b/>
          <w:bCs/>
          <w:sz w:val="28"/>
          <w:szCs w:val="30"/>
        </w:rPr>
      </w:pPr>
    </w:p>
    <w:p w:rsidR="00F74FE9" w:rsidRDefault="005805A4" w:rsidP="004E571F">
      <w:pPr>
        <w:snapToGrid w:val="0"/>
        <w:spacing w:line="360" w:lineRule="auto"/>
        <w:jc w:val="left"/>
      </w:pPr>
      <w:r>
        <w:br w:type="page"/>
      </w:r>
    </w:p>
    <w:p w:rsidR="00576402" w:rsidRDefault="00576402" w:rsidP="00576402">
      <w:pPr>
        <w:pStyle w:val="-1"/>
        <w:ind w:left="281" w:hanging="281"/>
        <w:rPr>
          <w:rFonts w:hint="eastAsia"/>
        </w:rPr>
      </w:pPr>
      <w:r>
        <w:rPr>
          <w:rFonts w:hint="eastAsia"/>
        </w:rPr>
        <w:lastRenderedPageBreak/>
        <w:t>重要提示</w:t>
      </w:r>
    </w:p>
    <w:p w:rsidR="00576402" w:rsidRDefault="00576402" w:rsidP="00576402">
      <w:pPr>
        <w:pStyle w:val="-"/>
        <w:ind w:firstLine="420"/>
        <w:rPr>
          <w:rFonts w:hint="eastAsia"/>
        </w:rPr>
      </w:pPr>
      <w:r>
        <w:rPr>
          <w:rFonts w:hint="eastAsia"/>
        </w:rPr>
        <w:t>基金管理人的董事会及董事保证本报告所载资料不存在虚假记载、误导性陈述或重大遗漏，并对其内容的真实性、准确性和完整性承担个别及连带责任。</w:t>
      </w:r>
    </w:p>
    <w:p w:rsidR="00576402" w:rsidRDefault="00576402" w:rsidP="00576402">
      <w:pPr>
        <w:pStyle w:val="-"/>
        <w:ind w:firstLine="420"/>
        <w:rPr>
          <w:rFonts w:hint="eastAsia"/>
        </w:rPr>
      </w:pPr>
      <w:r>
        <w:rPr>
          <w:rFonts w:hint="eastAsia"/>
        </w:rPr>
        <w:t>基金托管人中国工商银行股份有限公司根据本基金合同规定，于2026年4月20日复核了本报告中的财务指标、净值表现和投资组合报告等内容，保证复核内容不存在虚假记载、误导性陈述或者重大遗漏。</w:t>
      </w:r>
    </w:p>
    <w:p w:rsidR="00576402" w:rsidRDefault="00576402" w:rsidP="00576402">
      <w:pPr>
        <w:pStyle w:val="-"/>
        <w:ind w:firstLine="420"/>
        <w:rPr>
          <w:rFonts w:hint="eastAsia"/>
        </w:rPr>
      </w:pPr>
      <w:r>
        <w:rPr>
          <w:rFonts w:hint="eastAsia"/>
        </w:rPr>
        <w:t>基金管理人承诺以诚实信用、勤勉尽责的原则管理和运用基金资产，但不保证基金一定盈利。</w:t>
      </w:r>
    </w:p>
    <w:p w:rsidR="00576402" w:rsidRDefault="00576402" w:rsidP="00576402">
      <w:pPr>
        <w:pStyle w:val="-"/>
        <w:ind w:firstLine="420"/>
        <w:rPr>
          <w:rFonts w:hint="eastAsia"/>
        </w:rPr>
      </w:pPr>
      <w:r>
        <w:rPr>
          <w:rFonts w:hint="eastAsia"/>
        </w:rPr>
        <w:t>基金的过往业绩并不代表其未来表现。投资有风险，投资者在作出投资决策前应仔细阅读本基金的招募说明书。</w:t>
      </w:r>
    </w:p>
    <w:p w:rsidR="00576402" w:rsidRDefault="00576402" w:rsidP="00576402">
      <w:pPr>
        <w:pStyle w:val="-"/>
        <w:ind w:firstLine="420"/>
        <w:rPr>
          <w:rFonts w:hint="eastAsia"/>
        </w:rPr>
      </w:pPr>
      <w:r>
        <w:rPr>
          <w:rFonts w:hint="eastAsia"/>
        </w:rPr>
        <w:t>本报告中财务资料未经审计。</w:t>
      </w:r>
    </w:p>
    <w:p w:rsidR="00576402" w:rsidRDefault="00576402" w:rsidP="00576402">
      <w:pPr>
        <w:pStyle w:val="-"/>
        <w:ind w:firstLine="420"/>
        <w:rPr>
          <w:rFonts w:hint="eastAsia"/>
        </w:rPr>
      </w:pPr>
      <w:r>
        <w:rPr>
          <w:rFonts w:hint="eastAsia"/>
        </w:rPr>
        <w:t>本报告期自2026年1月1日起至3月31日止。</w:t>
      </w:r>
    </w:p>
    <w:p w:rsidR="00576402" w:rsidRDefault="00576402" w:rsidP="00576402">
      <w:pPr>
        <w:pStyle w:val="-1"/>
        <w:ind w:left="281" w:hanging="281"/>
        <w:rPr>
          <w:rFonts w:hint="eastAsia"/>
        </w:rPr>
      </w:pPr>
      <w:r>
        <w:rPr>
          <w:rFonts w:hint="eastAsia"/>
        </w:rPr>
        <w:t>基金产品概况</w:t>
      </w:r>
    </w:p>
    <w:tbl>
      <w:tblPr>
        <w:tblStyle w:val="-noheader"/>
        <w:tblW w:w="8506" w:type="dxa"/>
        <w:tblLayout w:type="fixed"/>
        <w:tblLook w:val="04A0" w:firstRow="1" w:lastRow="0" w:firstColumn="1" w:lastColumn="0" w:noHBand="0" w:noVBand="1"/>
      </w:tblPr>
      <w:tblGrid>
        <w:gridCol w:w="2552"/>
        <w:gridCol w:w="5954"/>
      </w:tblGrid>
      <w:tr w:rsidR="00576402" w:rsidTr="00576402">
        <w:tc>
          <w:tcPr>
            <w:tcW w:w="2552" w:type="dxa"/>
          </w:tcPr>
          <w:p w:rsidR="00576402" w:rsidRDefault="00576402" w:rsidP="00576402">
            <w:pPr>
              <w:jc w:val="left"/>
            </w:pPr>
            <w:r>
              <w:rPr>
                <w:rFonts w:hint="eastAsia"/>
              </w:rPr>
              <w:t>基金简称</w:t>
            </w:r>
          </w:p>
        </w:tc>
        <w:tc>
          <w:tcPr>
            <w:tcW w:w="5954" w:type="dxa"/>
          </w:tcPr>
          <w:p w:rsidR="00576402" w:rsidRDefault="00576402" w:rsidP="00576402">
            <w:pPr>
              <w:jc w:val="left"/>
            </w:pPr>
            <w:r>
              <w:rPr>
                <w:rFonts w:hint="eastAsia"/>
              </w:rPr>
              <w:t>南方中证港股通</w:t>
            </w:r>
            <w:r>
              <w:rPr>
                <w:rFonts w:hint="eastAsia"/>
              </w:rPr>
              <w:t>50ETF</w:t>
            </w:r>
          </w:p>
        </w:tc>
      </w:tr>
      <w:tr w:rsidR="00576402" w:rsidTr="00576402">
        <w:tc>
          <w:tcPr>
            <w:tcW w:w="2552" w:type="dxa"/>
          </w:tcPr>
          <w:p w:rsidR="00576402" w:rsidRDefault="00576402" w:rsidP="00576402">
            <w:pPr>
              <w:jc w:val="left"/>
            </w:pPr>
            <w:r>
              <w:rPr>
                <w:rFonts w:hint="eastAsia"/>
              </w:rPr>
              <w:t>场内简称</w:t>
            </w:r>
          </w:p>
        </w:tc>
        <w:tc>
          <w:tcPr>
            <w:tcW w:w="5954" w:type="dxa"/>
          </w:tcPr>
          <w:p w:rsidR="00576402" w:rsidRDefault="00576402" w:rsidP="00576402">
            <w:pPr>
              <w:jc w:val="left"/>
            </w:pPr>
            <w:r>
              <w:rPr>
                <w:rFonts w:hint="eastAsia"/>
              </w:rPr>
              <w:t>港股通</w:t>
            </w:r>
            <w:r>
              <w:rPr>
                <w:rFonts w:hint="eastAsia"/>
              </w:rPr>
              <w:t>50ETF</w:t>
            </w:r>
            <w:r>
              <w:rPr>
                <w:rFonts w:hint="eastAsia"/>
              </w:rPr>
              <w:t>南方</w:t>
            </w:r>
          </w:p>
        </w:tc>
      </w:tr>
      <w:tr w:rsidR="00576402" w:rsidTr="00576402">
        <w:tc>
          <w:tcPr>
            <w:tcW w:w="2552" w:type="dxa"/>
          </w:tcPr>
          <w:p w:rsidR="00576402" w:rsidRDefault="00576402" w:rsidP="00576402">
            <w:pPr>
              <w:jc w:val="left"/>
            </w:pPr>
            <w:r>
              <w:rPr>
                <w:rFonts w:hint="eastAsia"/>
              </w:rPr>
              <w:t>基金主代码</w:t>
            </w:r>
          </w:p>
        </w:tc>
        <w:tc>
          <w:tcPr>
            <w:tcW w:w="5954" w:type="dxa"/>
          </w:tcPr>
          <w:p w:rsidR="00576402" w:rsidRDefault="00576402" w:rsidP="00576402">
            <w:pPr>
              <w:jc w:val="left"/>
            </w:pPr>
            <w:r>
              <w:t>159126</w:t>
            </w:r>
          </w:p>
        </w:tc>
      </w:tr>
      <w:tr w:rsidR="00576402" w:rsidTr="00576402">
        <w:tc>
          <w:tcPr>
            <w:tcW w:w="2552" w:type="dxa"/>
          </w:tcPr>
          <w:p w:rsidR="00576402" w:rsidRDefault="00576402" w:rsidP="00576402">
            <w:pPr>
              <w:jc w:val="left"/>
            </w:pPr>
            <w:r>
              <w:rPr>
                <w:rFonts w:hint="eastAsia"/>
              </w:rPr>
              <w:t>交易代码</w:t>
            </w:r>
          </w:p>
        </w:tc>
        <w:tc>
          <w:tcPr>
            <w:tcW w:w="5954" w:type="dxa"/>
          </w:tcPr>
          <w:p w:rsidR="00576402" w:rsidRDefault="00576402" w:rsidP="00576402">
            <w:pPr>
              <w:jc w:val="left"/>
            </w:pPr>
            <w:r>
              <w:t>159126</w:t>
            </w:r>
          </w:p>
        </w:tc>
      </w:tr>
      <w:tr w:rsidR="00576402" w:rsidTr="00576402">
        <w:tc>
          <w:tcPr>
            <w:tcW w:w="2552" w:type="dxa"/>
          </w:tcPr>
          <w:p w:rsidR="00576402" w:rsidRDefault="00576402" w:rsidP="00576402">
            <w:pPr>
              <w:jc w:val="left"/>
            </w:pPr>
            <w:r>
              <w:rPr>
                <w:rFonts w:hint="eastAsia"/>
              </w:rPr>
              <w:t>基金运作方式</w:t>
            </w:r>
          </w:p>
        </w:tc>
        <w:tc>
          <w:tcPr>
            <w:tcW w:w="5954" w:type="dxa"/>
          </w:tcPr>
          <w:p w:rsidR="00576402" w:rsidRDefault="00576402" w:rsidP="00576402">
            <w:pPr>
              <w:jc w:val="left"/>
            </w:pPr>
            <w:r>
              <w:rPr>
                <w:rFonts w:hint="eastAsia"/>
              </w:rPr>
              <w:t>交易型开放式</w:t>
            </w:r>
          </w:p>
        </w:tc>
      </w:tr>
      <w:tr w:rsidR="00576402" w:rsidTr="00576402">
        <w:tc>
          <w:tcPr>
            <w:tcW w:w="2552" w:type="dxa"/>
          </w:tcPr>
          <w:p w:rsidR="00576402" w:rsidRDefault="00576402" w:rsidP="00576402">
            <w:pPr>
              <w:jc w:val="left"/>
            </w:pPr>
            <w:r>
              <w:rPr>
                <w:rFonts w:hint="eastAsia"/>
              </w:rPr>
              <w:t>基金合同生效日</w:t>
            </w:r>
          </w:p>
        </w:tc>
        <w:tc>
          <w:tcPr>
            <w:tcW w:w="5954" w:type="dxa"/>
          </w:tcPr>
          <w:p w:rsidR="00576402" w:rsidRDefault="00576402" w:rsidP="00576402">
            <w:pPr>
              <w:jc w:val="left"/>
            </w:pPr>
            <w:r>
              <w:rPr>
                <w:rFonts w:hint="eastAsia"/>
              </w:rPr>
              <w:t>2025</w:t>
            </w:r>
            <w:r>
              <w:rPr>
                <w:rFonts w:hint="eastAsia"/>
              </w:rPr>
              <w:t>年</w:t>
            </w:r>
            <w:r>
              <w:rPr>
                <w:rFonts w:hint="eastAsia"/>
              </w:rPr>
              <w:t>10</w:t>
            </w:r>
            <w:r>
              <w:rPr>
                <w:rFonts w:hint="eastAsia"/>
              </w:rPr>
              <w:t>月</w:t>
            </w:r>
            <w:r>
              <w:rPr>
                <w:rFonts w:hint="eastAsia"/>
              </w:rPr>
              <w:t>22</w:t>
            </w:r>
            <w:r>
              <w:rPr>
                <w:rFonts w:hint="eastAsia"/>
              </w:rPr>
              <w:t>日</w:t>
            </w:r>
          </w:p>
        </w:tc>
      </w:tr>
      <w:tr w:rsidR="00576402" w:rsidTr="00576402">
        <w:tc>
          <w:tcPr>
            <w:tcW w:w="2552" w:type="dxa"/>
          </w:tcPr>
          <w:p w:rsidR="00576402" w:rsidRDefault="00576402" w:rsidP="00576402">
            <w:pPr>
              <w:jc w:val="left"/>
            </w:pPr>
            <w:r>
              <w:rPr>
                <w:rFonts w:hint="eastAsia"/>
              </w:rPr>
              <w:t>报告期末基金份额总额</w:t>
            </w:r>
          </w:p>
        </w:tc>
        <w:tc>
          <w:tcPr>
            <w:tcW w:w="5954" w:type="dxa"/>
          </w:tcPr>
          <w:p w:rsidR="00576402" w:rsidRDefault="00576402" w:rsidP="00576402">
            <w:pPr>
              <w:jc w:val="left"/>
            </w:pPr>
            <w:r>
              <w:rPr>
                <w:rFonts w:hint="eastAsia"/>
              </w:rPr>
              <w:t>168,616,546.00</w:t>
            </w:r>
            <w:r>
              <w:rPr>
                <w:rFonts w:hint="eastAsia"/>
              </w:rPr>
              <w:t>份</w:t>
            </w:r>
          </w:p>
        </w:tc>
      </w:tr>
      <w:tr w:rsidR="00576402" w:rsidTr="00576402">
        <w:tc>
          <w:tcPr>
            <w:tcW w:w="2552" w:type="dxa"/>
          </w:tcPr>
          <w:p w:rsidR="00576402" w:rsidRDefault="00576402" w:rsidP="00576402">
            <w:pPr>
              <w:jc w:val="left"/>
            </w:pPr>
            <w:r>
              <w:rPr>
                <w:rFonts w:hint="eastAsia"/>
              </w:rPr>
              <w:t>投资目标</w:t>
            </w:r>
          </w:p>
        </w:tc>
        <w:tc>
          <w:tcPr>
            <w:tcW w:w="5954" w:type="dxa"/>
          </w:tcPr>
          <w:p w:rsidR="00576402" w:rsidRDefault="00576402" w:rsidP="00576402">
            <w:pPr>
              <w:jc w:val="left"/>
            </w:pPr>
            <w:r>
              <w:rPr>
                <w:rFonts w:hint="eastAsia"/>
              </w:rPr>
              <w:t>紧密跟踪标的指数，追求跟踪偏离度和跟踪误差最小化。</w:t>
            </w:r>
          </w:p>
        </w:tc>
      </w:tr>
      <w:tr w:rsidR="00576402" w:rsidTr="00576402">
        <w:tc>
          <w:tcPr>
            <w:tcW w:w="2552" w:type="dxa"/>
          </w:tcPr>
          <w:p w:rsidR="00576402" w:rsidRDefault="00576402" w:rsidP="00576402">
            <w:pPr>
              <w:jc w:val="left"/>
            </w:pPr>
            <w:r>
              <w:rPr>
                <w:rFonts w:hint="eastAsia"/>
              </w:rPr>
              <w:t>投资策略</w:t>
            </w:r>
          </w:p>
        </w:tc>
        <w:tc>
          <w:tcPr>
            <w:tcW w:w="5954" w:type="dxa"/>
          </w:tcPr>
          <w:p w:rsidR="00576402" w:rsidRDefault="00576402" w:rsidP="00576402">
            <w:r>
              <w:rPr>
                <w:rFonts w:hint="eastAsia"/>
              </w:rPr>
              <w:t>本基金主要采用完全复制策略、替代策略及其他适当的策略以更好的跟踪标的指数，实现基金投资目标。本基金力争日均跟踪偏离度的绝对值不超过</w:t>
            </w:r>
            <w:r>
              <w:rPr>
                <w:rFonts w:hint="eastAsia"/>
              </w:rPr>
              <w:t>0.35%</w:t>
            </w:r>
            <w:r>
              <w:rPr>
                <w:rFonts w:hint="eastAsia"/>
              </w:rPr>
              <w:t>，年跟踪误差不超过</w:t>
            </w:r>
            <w:r>
              <w:rPr>
                <w:rFonts w:hint="eastAsia"/>
              </w:rPr>
              <w:t>4%</w:t>
            </w:r>
            <w:r>
              <w:rPr>
                <w:rFonts w:hint="eastAsia"/>
              </w:rPr>
              <w:t>。主要投资策略包括：完全复制策略、替代策略、金融衍生品投资策略、债券投资策略、可转换债券及可交换债券投资策略、资产支持证券投资策略、融资及转融通证券出借业务投资策略、存托凭证投资策略等。</w:t>
            </w:r>
          </w:p>
        </w:tc>
      </w:tr>
      <w:tr w:rsidR="00576402" w:rsidTr="00576402">
        <w:tc>
          <w:tcPr>
            <w:tcW w:w="2552" w:type="dxa"/>
          </w:tcPr>
          <w:p w:rsidR="00576402" w:rsidRDefault="00576402" w:rsidP="00576402">
            <w:pPr>
              <w:jc w:val="left"/>
            </w:pPr>
            <w:r>
              <w:rPr>
                <w:rFonts w:hint="eastAsia"/>
              </w:rPr>
              <w:t>业绩比较基准</w:t>
            </w:r>
          </w:p>
        </w:tc>
        <w:tc>
          <w:tcPr>
            <w:tcW w:w="5954" w:type="dxa"/>
          </w:tcPr>
          <w:p w:rsidR="00576402" w:rsidRDefault="00576402" w:rsidP="00576402">
            <w:pPr>
              <w:jc w:val="left"/>
            </w:pPr>
            <w:r>
              <w:rPr>
                <w:rFonts w:hint="eastAsia"/>
              </w:rPr>
              <w:t>本基金的业绩比较基准为中证港股通</w:t>
            </w:r>
            <w:r>
              <w:rPr>
                <w:rFonts w:hint="eastAsia"/>
              </w:rPr>
              <w:t>50</w:t>
            </w:r>
            <w:r>
              <w:rPr>
                <w:rFonts w:hint="eastAsia"/>
              </w:rPr>
              <w:t>指数（经估值汇率调整后）收益率。本基金标的指数为中证港股通</w:t>
            </w:r>
            <w:r>
              <w:rPr>
                <w:rFonts w:hint="eastAsia"/>
              </w:rPr>
              <w:t>50</w:t>
            </w:r>
            <w:r>
              <w:rPr>
                <w:rFonts w:hint="eastAsia"/>
              </w:rPr>
              <w:t>指数。</w:t>
            </w:r>
          </w:p>
        </w:tc>
      </w:tr>
      <w:tr w:rsidR="00576402" w:rsidTr="00576402">
        <w:tc>
          <w:tcPr>
            <w:tcW w:w="2552" w:type="dxa"/>
          </w:tcPr>
          <w:p w:rsidR="00576402" w:rsidRDefault="00576402" w:rsidP="00576402">
            <w:pPr>
              <w:jc w:val="left"/>
            </w:pPr>
            <w:r>
              <w:rPr>
                <w:rFonts w:hint="eastAsia"/>
              </w:rPr>
              <w:t>风险收益特征</w:t>
            </w:r>
          </w:p>
        </w:tc>
        <w:tc>
          <w:tcPr>
            <w:tcW w:w="5954" w:type="dxa"/>
          </w:tcPr>
          <w:p w:rsidR="00576402" w:rsidRDefault="00576402" w:rsidP="00576402">
            <w:pPr>
              <w:rPr>
                <w:rFonts w:hint="eastAsia"/>
              </w:rPr>
            </w:pPr>
            <w:r>
              <w:rPr>
                <w:rFonts w:hint="eastAsia"/>
              </w:rPr>
              <w:t>本基金属于股票型基金，一般而言，其长期平均风险和预期收益水平高于混合型基金、债券型基金与货币市场基金。本基金主要采用完全复制法跟踪标的指数的表现，具有与标的指数以及标的指数所代表的市场相似的风险收益特征。</w:t>
            </w:r>
          </w:p>
          <w:p w:rsidR="00576402" w:rsidRDefault="00576402" w:rsidP="00576402">
            <w:r>
              <w:rPr>
                <w:rFonts w:hint="eastAsia"/>
              </w:rPr>
              <w:t>本基金投资港股通股票，除了需要承担与境内证券投资基金类似的市场波动风险等一般投资风险之外，本基金还面临汇率风</w:t>
            </w:r>
            <w:r>
              <w:rPr>
                <w:rFonts w:hint="eastAsia"/>
              </w:rPr>
              <w:lastRenderedPageBreak/>
              <w:t>险和港股通机制下因投资环境、投资标的、市场制度以及交易规则等差异带来的特有风险。</w:t>
            </w:r>
          </w:p>
        </w:tc>
      </w:tr>
      <w:tr w:rsidR="00576402" w:rsidTr="00576402">
        <w:tc>
          <w:tcPr>
            <w:tcW w:w="2552" w:type="dxa"/>
          </w:tcPr>
          <w:p w:rsidR="00576402" w:rsidRDefault="00576402" w:rsidP="00576402">
            <w:pPr>
              <w:jc w:val="left"/>
            </w:pPr>
            <w:r>
              <w:rPr>
                <w:rFonts w:hint="eastAsia"/>
              </w:rPr>
              <w:lastRenderedPageBreak/>
              <w:t>基金管理人</w:t>
            </w:r>
          </w:p>
        </w:tc>
        <w:tc>
          <w:tcPr>
            <w:tcW w:w="5954" w:type="dxa"/>
          </w:tcPr>
          <w:p w:rsidR="00576402" w:rsidRDefault="00576402" w:rsidP="00576402">
            <w:pPr>
              <w:jc w:val="left"/>
            </w:pPr>
            <w:r>
              <w:rPr>
                <w:rFonts w:hint="eastAsia"/>
              </w:rPr>
              <w:t>南方基金管理股份有限公司</w:t>
            </w:r>
          </w:p>
        </w:tc>
      </w:tr>
      <w:tr w:rsidR="00576402" w:rsidTr="00576402">
        <w:tc>
          <w:tcPr>
            <w:tcW w:w="2552" w:type="dxa"/>
          </w:tcPr>
          <w:p w:rsidR="00576402" w:rsidRDefault="00576402" w:rsidP="00576402">
            <w:pPr>
              <w:jc w:val="left"/>
            </w:pPr>
            <w:r>
              <w:rPr>
                <w:rFonts w:hint="eastAsia"/>
              </w:rPr>
              <w:t>基金托管人</w:t>
            </w:r>
          </w:p>
        </w:tc>
        <w:tc>
          <w:tcPr>
            <w:tcW w:w="5954" w:type="dxa"/>
          </w:tcPr>
          <w:p w:rsidR="00576402" w:rsidRDefault="00576402" w:rsidP="00576402">
            <w:pPr>
              <w:jc w:val="left"/>
            </w:pPr>
            <w:r>
              <w:rPr>
                <w:rFonts w:hint="eastAsia"/>
              </w:rPr>
              <w:t>中国工商银行股份有限公司</w:t>
            </w:r>
          </w:p>
        </w:tc>
      </w:tr>
    </w:tbl>
    <w:p w:rsidR="00576402" w:rsidRDefault="00576402" w:rsidP="00576402">
      <w:pPr>
        <w:pStyle w:val="-1"/>
        <w:ind w:left="281" w:hanging="281"/>
        <w:rPr>
          <w:rFonts w:hint="eastAsia"/>
        </w:rPr>
      </w:pPr>
      <w:r>
        <w:rPr>
          <w:rFonts w:hint="eastAsia"/>
        </w:rPr>
        <w:t>主要财务指标和基金净值表现</w:t>
      </w:r>
    </w:p>
    <w:p w:rsidR="00576402" w:rsidRDefault="00576402" w:rsidP="00576402">
      <w:pPr>
        <w:pStyle w:val="-2"/>
        <w:spacing w:before="312"/>
        <w:rPr>
          <w:rFonts w:hint="eastAsia"/>
        </w:rPr>
      </w:pPr>
      <w:r>
        <w:rPr>
          <w:rFonts w:hint="eastAsia"/>
        </w:rPr>
        <w:t>主要财务指标</w:t>
      </w:r>
    </w:p>
    <w:p w:rsidR="00576402" w:rsidRDefault="00576402" w:rsidP="00576402">
      <w:pPr>
        <w:jc w:val="right"/>
        <w:rPr>
          <w:rFonts w:hint="eastAsia"/>
        </w:rPr>
      </w:pPr>
      <w:r>
        <w:rPr>
          <w:rFonts w:hint="eastAsia"/>
        </w:rPr>
        <w:t>单位：人民币元</w:t>
      </w:r>
    </w:p>
    <w:tbl>
      <w:tblPr>
        <w:tblStyle w:val="-0"/>
        <w:tblW w:w="8505" w:type="dxa"/>
        <w:tblLayout w:type="fixed"/>
        <w:tblLook w:val="04A0" w:firstRow="1" w:lastRow="0" w:firstColumn="1" w:lastColumn="0" w:noHBand="0" w:noVBand="1"/>
      </w:tblPr>
      <w:tblGrid>
        <w:gridCol w:w="3345"/>
        <w:gridCol w:w="5160"/>
      </w:tblGrid>
      <w:tr w:rsidR="00576402" w:rsidTr="00576402">
        <w:trPr>
          <w:cnfStyle w:val="100000000000" w:firstRow="1" w:lastRow="0" w:firstColumn="0" w:lastColumn="0" w:oddVBand="0" w:evenVBand="0" w:oddHBand="0" w:evenHBand="0" w:firstRowFirstColumn="0" w:firstRowLastColumn="0" w:lastRowFirstColumn="0" w:lastRowLastColumn="0"/>
        </w:trPr>
        <w:tc>
          <w:tcPr>
            <w:tcW w:w="3345" w:type="dxa"/>
          </w:tcPr>
          <w:p w:rsidR="00576402" w:rsidRPr="00576402" w:rsidRDefault="00576402" w:rsidP="00576402">
            <w:pPr>
              <w:jc w:val="center"/>
              <w:rPr>
                <w:b/>
              </w:rPr>
            </w:pPr>
            <w:r w:rsidRPr="00576402">
              <w:rPr>
                <w:rFonts w:hint="eastAsia"/>
                <w:b/>
              </w:rPr>
              <w:t>主要财务指标</w:t>
            </w:r>
          </w:p>
        </w:tc>
        <w:tc>
          <w:tcPr>
            <w:tcW w:w="5160" w:type="dxa"/>
          </w:tcPr>
          <w:p w:rsidR="00576402" w:rsidRPr="00576402" w:rsidRDefault="00576402" w:rsidP="00576402">
            <w:pPr>
              <w:jc w:val="center"/>
              <w:rPr>
                <w:b/>
              </w:rPr>
            </w:pPr>
            <w:r w:rsidRPr="00576402">
              <w:rPr>
                <w:rFonts w:hint="eastAsia"/>
                <w:b/>
              </w:rPr>
              <w:t>报告期（</w:t>
            </w:r>
            <w:r w:rsidRPr="00576402">
              <w:rPr>
                <w:rFonts w:hint="eastAsia"/>
                <w:b/>
              </w:rPr>
              <w:t>2026</w:t>
            </w:r>
            <w:r w:rsidRPr="00576402">
              <w:rPr>
                <w:rFonts w:hint="eastAsia"/>
                <w:b/>
              </w:rPr>
              <w:t>年</w:t>
            </w:r>
            <w:r w:rsidRPr="00576402">
              <w:rPr>
                <w:rFonts w:hint="eastAsia"/>
                <w:b/>
              </w:rPr>
              <w:t>1</w:t>
            </w:r>
            <w:r w:rsidRPr="00576402">
              <w:rPr>
                <w:rFonts w:hint="eastAsia"/>
                <w:b/>
              </w:rPr>
              <w:t>月</w:t>
            </w:r>
            <w:r w:rsidRPr="00576402">
              <w:rPr>
                <w:rFonts w:hint="eastAsia"/>
                <w:b/>
              </w:rPr>
              <w:t>1</w:t>
            </w:r>
            <w:r w:rsidRPr="00576402">
              <w:rPr>
                <w:rFonts w:hint="eastAsia"/>
                <w:b/>
              </w:rPr>
              <w:t>日－</w:t>
            </w:r>
            <w:r w:rsidRPr="00576402">
              <w:rPr>
                <w:rFonts w:hint="eastAsia"/>
                <w:b/>
              </w:rPr>
              <w:t>2026</w:t>
            </w:r>
            <w:r w:rsidRPr="00576402">
              <w:rPr>
                <w:rFonts w:hint="eastAsia"/>
                <w:b/>
              </w:rPr>
              <w:t>年</w:t>
            </w:r>
            <w:r w:rsidRPr="00576402">
              <w:rPr>
                <w:rFonts w:hint="eastAsia"/>
                <w:b/>
              </w:rPr>
              <w:t>3</w:t>
            </w:r>
            <w:r w:rsidRPr="00576402">
              <w:rPr>
                <w:rFonts w:hint="eastAsia"/>
                <w:b/>
              </w:rPr>
              <w:t>月</w:t>
            </w:r>
            <w:r w:rsidRPr="00576402">
              <w:rPr>
                <w:rFonts w:hint="eastAsia"/>
                <w:b/>
              </w:rPr>
              <w:t>31</w:t>
            </w:r>
            <w:r w:rsidRPr="00576402">
              <w:rPr>
                <w:rFonts w:hint="eastAsia"/>
                <w:b/>
              </w:rPr>
              <w:t>日）</w:t>
            </w:r>
          </w:p>
        </w:tc>
      </w:tr>
      <w:tr w:rsidR="00576402" w:rsidTr="00576402">
        <w:tc>
          <w:tcPr>
            <w:tcW w:w="3345" w:type="dxa"/>
          </w:tcPr>
          <w:p w:rsidR="00576402" w:rsidRDefault="00576402" w:rsidP="00576402">
            <w:pPr>
              <w:jc w:val="left"/>
            </w:pPr>
            <w:r>
              <w:rPr>
                <w:rFonts w:hint="eastAsia"/>
              </w:rPr>
              <w:t>1.</w:t>
            </w:r>
            <w:r>
              <w:rPr>
                <w:rFonts w:hint="eastAsia"/>
              </w:rPr>
              <w:t>本期已实现收益</w:t>
            </w:r>
          </w:p>
        </w:tc>
        <w:tc>
          <w:tcPr>
            <w:tcW w:w="5160" w:type="dxa"/>
          </w:tcPr>
          <w:p w:rsidR="00576402" w:rsidRDefault="00576402" w:rsidP="00576402">
            <w:pPr>
              <w:jc w:val="right"/>
            </w:pPr>
            <w:r>
              <w:t>16,725.03</w:t>
            </w:r>
          </w:p>
        </w:tc>
      </w:tr>
      <w:tr w:rsidR="00576402" w:rsidTr="00576402">
        <w:tc>
          <w:tcPr>
            <w:tcW w:w="3345" w:type="dxa"/>
          </w:tcPr>
          <w:p w:rsidR="00576402" w:rsidRDefault="00576402" w:rsidP="00576402">
            <w:pPr>
              <w:jc w:val="left"/>
            </w:pPr>
            <w:r>
              <w:rPr>
                <w:rFonts w:hint="eastAsia"/>
              </w:rPr>
              <w:t>2.</w:t>
            </w:r>
            <w:r>
              <w:rPr>
                <w:rFonts w:hint="eastAsia"/>
              </w:rPr>
              <w:t>本期利润</w:t>
            </w:r>
          </w:p>
        </w:tc>
        <w:tc>
          <w:tcPr>
            <w:tcW w:w="5160" w:type="dxa"/>
          </w:tcPr>
          <w:p w:rsidR="00576402" w:rsidRDefault="00576402" w:rsidP="00576402">
            <w:pPr>
              <w:jc w:val="right"/>
            </w:pPr>
            <w:r>
              <w:t>-3,778,410.51</w:t>
            </w:r>
          </w:p>
        </w:tc>
      </w:tr>
      <w:tr w:rsidR="00576402" w:rsidTr="00576402">
        <w:tc>
          <w:tcPr>
            <w:tcW w:w="3345" w:type="dxa"/>
          </w:tcPr>
          <w:p w:rsidR="00576402" w:rsidRDefault="00576402" w:rsidP="00576402">
            <w:pPr>
              <w:jc w:val="left"/>
            </w:pPr>
            <w:r>
              <w:rPr>
                <w:rFonts w:hint="eastAsia"/>
              </w:rPr>
              <w:t>3.</w:t>
            </w:r>
            <w:r>
              <w:rPr>
                <w:rFonts w:hint="eastAsia"/>
              </w:rPr>
              <w:t>加权平均基金份额本期利润</w:t>
            </w:r>
          </w:p>
        </w:tc>
        <w:tc>
          <w:tcPr>
            <w:tcW w:w="5160" w:type="dxa"/>
          </w:tcPr>
          <w:p w:rsidR="00576402" w:rsidRDefault="00576402" w:rsidP="00576402">
            <w:pPr>
              <w:jc w:val="right"/>
            </w:pPr>
            <w:r>
              <w:t>-0.0252</w:t>
            </w:r>
          </w:p>
        </w:tc>
      </w:tr>
      <w:tr w:rsidR="00576402" w:rsidTr="00576402">
        <w:tc>
          <w:tcPr>
            <w:tcW w:w="3345" w:type="dxa"/>
          </w:tcPr>
          <w:p w:rsidR="00576402" w:rsidRDefault="00576402" w:rsidP="00576402">
            <w:pPr>
              <w:jc w:val="left"/>
            </w:pPr>
            <w:r>
              <w:rPr>
                <w:rFonts w:hint="eastAsia"/>
              </w:rPr>
              <w:t>4.</w:t>
            </w:r>
            <w:r>
              <w:rPr>
                <w:rFonts w:hint="eastAsia"/>
              </w:rPr>
              <w:t>期末基金资产净值</w:t>
            </w:r>
          </w:p>
        </w:tc>
        <w:tc>
          <w:tcPr>
            <w:tcW w:w="5160" w:type="dxa"/>
          </w:tcPr>
          <w:p w:rsidR="00576402" w:rsidRDefault="00576402" w:rsidP="00576402">
            <w:pPr>
              <w:jc w:val="right"/>
            </w:pPr>
            <w:r>
              <w:t>154,798,556.20</w:t>
            </w:r>
          </w:p>
        </w:tc>
      </w:tr>
      <w:tr w:rsidR="00576402" w:rsidTr="00576402">
        <w:tc>
          <w:tcPr>
            <w:tcW w:w="3345" w:type="dxa"/>
          </w:tcPr>
          <w:p w:rsidR="00576402" w:rsidRDefault="00576402" w:rsidP="00576402">
            <w:pPr>
              <w:jc w:val="left"/>
            </w:pPr>
            <w:r>
              <w:rPr>
                <w:rFonts w:hint="eastAsia"/>
              </w:rPr>
              <w:t>5.</w:t>
            </w:r>
            <w:r>
              <w:rPr>
                <w:rFonts w:hint="eastAsia"/>
              </w:rPr>
              <w:t>期末基金份额净值</w:t>
            </w:r>
          </w:p>
        </w:tc>
        <w:tc>
          <w:tcPr>
            <w:tcW w:w="5160" w:type="dxa"/>
          </w:tcPr>
          <w:p w:rsidR="00576402" w:rsidRDefault="00576402" w:rsidP="00576402">
            <w:pPr>
              <w:jc w:val="right"/>
            </w:pPr>
            <w:r>
              <w:t>0.9181</w:t>
            </w:r>
          </w:p>
        </w:tc>
      </w:tr>
    </w:tbl>
    <w:p w:rsidR="00576402" w:rsidRDefault="00576402" w:rsidP="00576402">
      <w:pPr>
        <w:pStyle w:val="-8"/>
        <w:rPr>
          <w:rFonts w:hint="eastAsia"/>
        </w:rPr>
      </w:pPr>
      <w:r>
        <w:rPr>
          <w:rFonts w:hint="eastAsia"/>
        </w:rPr>
        <w:t>注：基金业绩指标不包括持有人认（申）购或交易基金的各项费用，计入费用后实际收益水平要低于所列数字；</w:t>
      </w:r>
    </w:p>
    <w:p w:rsidR="00576402" w:rsidRDefault="00576402" w:rsidP="00576402">
      <w:pPr>
        <w:pStyle w:val="-"/>
        <w:ind w:firstLine="420"/>
        <w:rPr>
          <w:rFonts w:hint="eastAsia"/>
        </w:rPr>
      </w:pPr>
      <w:r>
        <w:rPr>
          <w:rFonts w:hint="eastAsia"/>
        </w:rPr>
        <w:t>本期已实现收益指基金本期利息收入、投资收益、其他收入(不含公允价值变动收益)扣除相关费用和信用减值损失后的余额，本期利润为本期已实现收益加上本期公允价值变动收益。</w:t>
      </w:r>
    </w:p>
    <w:p w:rsidR="00576402" w:rsidRDefault="00576402" w:rsidP="00576402">
      <w:pPr>
        <w:pStyle w:val="-2"/>
        <w:spacing w:before="312"/>
        <w:rPr>
          <w:rFonts w:hint="eastAsia"/>
        </w:rPr>
      </w:pPr>
      <w:r>
        <w:rPr>
          <w:rFonts w:hint="eastAsia"/>
        </w:rPr>
        <w:t>基金净值表现</w:t>
      </w:r>
    </w:p>
    <w:p w:rsidR="00576402" w:rsidRDefault="00576402" w:rsidP="00576402">
      <w:pPr>
        <w:pStyle w:val="-3"/>
        <w:spacing w:before="156" w:after="156"/>
        <w:rPr>
          <w:rFonts w:hint="eastAsia"/>
        </w:rPr>
      </w:pPr>
      <w:r>
        <w:rPr>
          <w:rFonts w:hint="eastAsia"/>
        </w:rPr>
        <w:t>本报告期基金份额净值增长率及其与同期业绩比较基准收益率的比较</w:t>
      </w:r>
    </w:p>
    <w:tbl>
      <w:tblPr>
        <w:tblStyle w:val="-0"/>
        <w:tblW w:w="8503" w:type="dxa"/>
        <w:tblLayout w:type="fixed"/>
        <w:tblLook w:val="04A0" w:firstRow="1" w:lastRow="0" w:firstColumn="1" w:lastColumn="0" w:noHBand="0" w:noVBand="1"/>
      </w:tblPr>
      <w:tblGrid>
        <w:gridCol w:w="1429"/>
        <w:gridCol w:w="1315"/>
        <w:gridCol w:w="1315"/>
        <w:gridCol w:w="1315"/>
        <w:gridCol w:w="1315"/>
        <w:gridCol w:w="907"/>
        <w:gridCol w:w="907"/>
      </w:tblGrid>
      <w:tr w:rsidR="00576402" w:rsidTr="00576402">
        <w:trPr>
          <w:cnfStyle w:val="100000000000" w:firstRow="1" w:lastRow="0" w:firstColumn="0" w:lastColumn="0" w:oddVBand="0" w:evenVBand="0" w:oddHBand="0" w:evenHBand="0" w:firstRowFirstColumn="0" w:firstRowLastColumn="0" w:lastRowFirstColumn="0" w:lastRowLastColumn="0"/>
        </w:trPr>
        <w:tc>
          <w:tcPr>
            <w:tcW w:w="1429" w:type="dxa"/>
          </w:tcPr>
          <w:p w:rsidR="00576402" w:rsidRPr="00576402" w:rsidRDefault="00576402" w:rsidP="00576402">
            <w:pPr>
              <w:jc w:val="center"/>
              <w:rPr>
                <w:b/>
              </w:rPr>
            </w:pPr>
            <w:r w:rsidRPr="00576402">
              <w:rPr>
                <w:rFonts w:hint="eastAsia"/>
                <w:b/>
              </w:rPr>
              <w:t>阶段</w:t>
            </w:r>
          </w:p>
        </w:tc>
        <w:tc>
          <w:tcPr>
            <w:tcW w:w="1315" w:type="dxa"/>
          </w:tcPr>
          <w:p w:rsidR="00576402" w:rsidRPr="00576402" w:rsidRDefault="00576402" w:rsidP="00576402">
            <w:pPr>
              <w:jc w:val="center"/>
              <w:rPr>
                <w:b/>
              </w:rPr>
            </w:pPr>
            <w:r w:rsidRPr="00576402">
              <w:rPr>
                <w:rFonts w:hint="eastAsia"/>
                <w:b/>
              </w:rPr>
              <w:t>净值增长率①</w:t>
            </w:r>
          </w:p>
        </w:tc>
        <w:tc>
          <w:tcPr>
            <w:tcW w:w="1315" w:type="dxa"/>
          </w:tcPr>
          <w:p w:rsidR="00576402" w:rsidRPr="00576402" w:rsidRDefault="00576402" w:rsidP="00576402">
            <w:pPr>
              <w:jc w:val="center"/>
              <w:rPr>
                <w:b/>
              </w:rPr>
            </w:pPr>
            <w:r w:rsidRPr="00576402">
              <w:rPr>
                <w:rFonts w:hint="eastAsia"/>
                <w:b/>
              </w:rPr>
              <w:t>净值增长率标准差②</w:t>
            </w:r>
          </w:p>
        </w:tc>
        <w:tc>
          <w:tcPr>
            <w:tcW w:w="1315" w:type="dxa"/>
          </w:tcPr>
          <w:p w:rsidR="00576402" w:rsidRPr="00576402" w:rsidRDefault="00576402" w:rsidP="00576402">
            <w:pPr>
              <w:jc w:val="center"/>
              <w:rPr>
                <w:b/>
              </w:rPr>
            </w:pPr>
            <w:r w:rsidRPr="00576402">
              <w:rPr>
                <w:rFonts w:hint="eastAsia"/>
                <w:b/>
              </w:rPr>
              <w:t>业绩比较基准收益率③</w:t>
            </w:r>
          </w:p>
        </w:tc>
        <w:tc>
          <w:tcPr>
            <w:tcW w:w="1315" w:type="dxa"/>
          </w:tcPr>
          <w:p w:rsidR="00576402" w:rsidRPr="00576402" w:rsidRDefault="00576402" w:rsidP="00576402">
            <w:pPr>
              <w:jc w:val="center"/>
              <w:rPr>
                <w:b/>
              </w:rPr>
            </w:pPr>
            <w:r w:rsidRPr="00576402">
              <w:rPr>
                <w:rFonts w:hint="eastAsia"/>
                <w:b/>
              </w:rPr>
              <w:t>业绩比较基准收益率标准差④</w:t>
            </w:r>
          </w:p>
        </w:tc>
        <w:tc>
          <w:tcPr>
            <w:tcW w:w="907" w:type="dxa"/>
          </w:tcPr>
          <w:p w:rsidR="00576402" w:rsidRPr="00576402" w:rsidRDefault="00576402" w:rsidP="00576402">
            <w:pPr>
              <w:jc w:val="center"/>
              <w:rPr>
                <w:b/>
              </w:rPr>
            </w:pPr>
            <w:r w:rsidRPr="00576402">
              <w:rPr>
                <w:rFonts w:hint="eastAsia"/>
                <w:b/>
              </w:rPr>
              <w:t>①</w:t>
            </w:r>
            <w:r w:rsidRPr="00576402">
              <w:rPr>
                <w:rFonts w:hint="eastAsia"/>
                <w:b/>
              </w:rPr>
              <w:t>-</w:t>
            </w:r>
            <w:r w:rsidRPr="00576402">
              <w:rPr>
                <w:rFonts w:hint="eastAsia"/>
                <w:b/>
              </w:rPr>
              <w:t>③</w:t>
            </w:r>
          </w:p>
        </w:tc>
        <w:tc>
          <w:tcPr>
            <w:tcW w:w="907" w:type="dxa"/>
          </w:tcPr>
          <w:p w:rsidR="00576402" w:rsidRPr="00576402" w:rsidRDefault="00576402" w:rsidP="00576402">
            <w:pPr>
              <w:jc w:val="center"/>
              <w:rPr>
                <w:b/>
              </w:rPr>
            </w:pPr>
            <w:r w:rsidRPr="00576402">
              <w:rPr>
                <w:rFonts w:hint="eastAsia"/>
                <w:b/>
              </w:rPr>
              <w:t>②</w:t>
            </w:r>
            <w:r w:rsidRPr="00576402">
              <w:rPr>
                <w:rFonts w:hint="eastAsia"/>
                <w:b/>
              </w:rPr>
              <w:t>-</w:t>
            </w:r>
            <w:r w:rsidRPr="00576402">
              <w:rPr>
                <w:rFonts w:hint="eastAsia"/>
                <w:b/>
              </w:rPr>
              <w:t>④</w:t>
            </w:r>
          </w:p>
        </w:tc>
      </w:tr>
      <w:tr w:rsidR="00576402" w:rsidTr="00576402">
        <w:tc>
          <w:tcPr>
            <w:tcW w:w="1429" w:type="dxa"/>
          </w:tcPr>
          <w:p w:rsidR="00576402" w:rsidRDefault="00576402" w:rsidP="00576402">
            <w:pPr>
              <w:jc w:val="left"/>
            </w:pPr>
            <w:r>
              <w:rPr>
                <w:rFonts w:hint="eastAsia"/>
              </w:rPr>
              <w:t>过去三个月</w:t>
            </w:r>
          </w:p>
        </w:tc>
        <w:tc>
          <w:tcPr>
            <w:tcW w:w="1315" w:type="dxa"/>
          </w:tcPr>
          <w:p w:rsidR="00576402" w:rsidRDefault="00576402" w:rsidP="00576402">
            <w:pPr>
              <w:jc w:val="right"/>
            </w:pPr>
            <w:r>
              <w:t>-5.45%</w:t>
            </w:r>
          </w:p>
        </w:tc>
        <w:tc>
          <w:tcPr>
            <w:tcW w:w="1315" w:type="dxa"/>
          </w:tcPr>
          <w:p w:rsidR="00576402" w:rsidRDefault="00576402" w:rsidP="00576402">
            <w:pPr>
              <w:jc w:val="right"/>
            </w:pPr>
            <w:r>
              <w:t>1.31%</w:t>
            </w:r>
          </w:p>
        </w:tc>
        <w:tc>
          <w:tcPr>
            <w:tcW w:w="1315" w:type="dxa"/>
          </w:tcPr>
          <w:p w:rsidR="00576402" w:rsidRDefault="00576402" w:rsidP="00576402">
            <w:pPr>
              <w:jc w:val="right"/>
            </w:pPr>
            <w:r>
              <w:t>-5.85%</w:t>
            </w:r>
          </w:p>
        </w:tc>
        <w:tc>
          <w:tcPr>
            <w:tcW w:w="1315" w:type="dxa"/>
          </w:tcPr>
          <w:p w:rsidR="00576402" w:rsidRDefault="00576402" w:rsidP="00576402">
            <w:pPr>
              <w:jc w:val="right"/>
            </w:pPr>
            <w:r>
              <w:t>1.32%</w:t>
            </w:r>
          </w:p>
        </w:tc>
        <w:tc>
          <w:tcPr>
            <w:tcW w:w="907" w:type="dxa"/>
          </w:tcPr>
          <w:p w:rsidR="00576402" w:rsidRDefault="00576402" w:rsidP="00576402">
            <w:pPr>
              <w:jc w:val="right"/>
            </w:pPr>
            <w:r>
              <w:t>0.40%</w:t>
            </w:r>
          </w:p>
        </w:tc>
        <w:tc>
          <w:tcPr>
            <w:tcW w:w="907" w:type="dxa"/>
          </w:tcPr>
          <w:p w:rsidR="00576402" w:rsidRDefault="00576402" w:rsidP="00576402">
            <w:pPr>
              <w:jc w:val="right"/>
            </w:pPr>
            <w:r>
              <w:t>-0.01%</w:t>
            </w:r>
          </w:p>
        </w:tc>
      </w:tr>
      <w:tr w:rsidR="00576402" w:rsidTr="00576402">
        <w:tc>
          <w:tcPr>
            <w:tcW w:w="1429" w:type="dxa"/>
          </w:tcPr>
          <w:p w:rsidR="00576402" w:rsidRDefault="00576402" w:rsidP="00576402">
            <w:pPr>
              <w:jc w:val="left"/>
            </w:pPr>
            <w:r>
              <w:rPr>
                <w:rFonts w:hint="eastAsia"/>
              </w:rPr>
              <w:t>自基金合同生效起至今</w:t>
            </w:r>
          </w:p>
        </w:tc>
        <w:tc>
          <w:tcPr>
            <w:tcW w:w="1315" w:type="dxa"/>
          </w:tcPr>
          <w:p w:rsidR="00576402" w:rsidRDefault="00576402" w:rsidP="00576402">
            <w:pPr>
              <w:jc w:val="right"/>
            </w:pPr>
            <w:r>
              <w:t>-8.19%</w:t>
            </w:r>
          </w:p>
        </w:tc>
        <w:tc>
          <w:tcPr>
            <w:tcW w:w="1315" w:type="dxa"/>
          </w:tcPr>
          <w:p w:rsidR="00576402" w:rsidRDefault="00576402" w:rsidP="00576402">
            <w:pPr>
              <w:jc w:val="right"/>
            </w:pPr>
            <w:r>
              <w:t>1.14%</w:t>
            </w:r>
          </w:p>
        </w:tc>
        <w:tc>
          <w:tcPr>
            <w:tcW w:w="1315" w:type="dxa"/>
          </w:tcPr>
          <w:p w:rsidR="00576402" w:rsidRDefault="00576402" w:rsidP="00576402">
            <w:pPr>
              <w:jc w:val="right"/>
            </w:pPr>
            <w:r>
              <w:t>-6.96%</w:t>
            </w:r>
          </w:p>
        </w:tc>
        <w:tc>
          <w:tcPr>
            <w:tcW w:w="1315" w:type="dxa"/>
          </w:tcPr>
          <w:p w:rsidR="00576402" w:rsidRDefault="00576402" w:rsidP="00576402">
            <w:pPr>
              <w:jc w:val="right"/>
            </w:pPr>
            <w:r>
              <w:t>1.16%</w:t>
            </w:r>
          </w:p>
        </w:tc>
        <w:tc>
          <w:tcPr>
            <w:tcW w:w="907" w:type="dxa"/>
          </w:tcPr>
          <w:p w:rsidR="00576402" w:rsidRDefault="00576402" w:rsidP="00576402">
            <w:pPr>
              <w:jc w:val="right"/>
            </w:pPr>
            <w:r>
              <w:t>-1.23%</w:t>
            </w:r>
          </w:p>
        </w:tc>
        <w:tc>
          <w:tcPr>
            <w:tcW w:w="907" w:type="dxa"/>
          </w:tcPr>
          <w:p w:rsidR="00576402" w:rsidRDefault="00576402" w:rsidP="00576402">
            <w:pPr>
              <w:jc w:val="right"/>
            </w:pPr>
            <w:r>
              <w:t>-0.02%</w:t>
            </w:r>
          </w:p>
        </w:tc>
      </w:tr>
    </w:tbl>
    <w:p w:rsidR="00576402" w:rsidRDefault="00576402" w:rsidP="00576402">
      <w:pPr>
        <w:pStyle w:val="-3"/>
        <w:spacing w:before="156" w:after="156"/>
        <w:rPr>
          <w:rFonts w:hint="eastAsia"/>
        </w:rPr>
      </w:pPr>
      <w:r>
        <w:rPr>
          <w:rFonts w:hint="eastAsia"/>
        </w:rPr>
        <w:t>自基金合同生效以来基金份额累计净值增长率变动及其与同期业绩比较基准收益率变动的比较</w:t>
      </w:r>
    </w:p>
    <w:p w:rsidR="00576402" w:rsidRDefault="00576402" w:rsidP="00576402">
      <w:r>
        <w:rPr>
          <w:noProof/>
        </w:rPr>
        <w:lastRenderedPageBreak/>
        <w:drawing>
          <wp:inline distT="0" distB="0" distL="0" distR="0">
            <wp:extent cx="5274310" cy="3871595"/>
            <wp:effectExtent l="0" t="0" r="2540" b="0"/>
            <wp:docPr id="1" name="图片 1"/>
            <wp:cNvGraphicFramePr/>
            <a:graphic xmlns:a="http://schemas.openxmlformats.org/drawingml/2006/main">
              <a:graphicData uri="http://schemas.openxmlformats.org/drawingml/2006/picture">
                <pic:pic xmlns:pic="http://schemas.openxmlformats.org/drawingml/2006/picture">
                  <pic:nvPicPr>
                    <pic:cNvPr id="1" name=""/>
                    <pic:cNvPicPr/>
                  </pic:nvPicPr>
                  <pic:blipFill>
                    <a:blip r:embed="rId8">
                      <a:extLst>
                        <a:ext uri="{28A0092B-C50C-407E-A947-70E740481C1C}">
                          <a14:useLocalDpi xmlns:a14="http://schemas.microsoft.com/office/drawing/2010/main" val="0"/>
                        </a:ext>
                      </a:extLst>
                    </a:blip>
                    <a:stretch>
                      <a:fillRect/>
                    </a:stretch>
                  </pic:blipFill>
                  <pic:spPr>
                    <a:xfrm>
                      <a:off x="0" y="0"/>
                      <a:ext cx="5274310" cy="3871595"/>
                    </a:xfrm>
                    <a:prstGeom prst="rect">
                      <a:avLst/>
                    </a:prstGeom>
                  </pic:spPr>
                </pic:pic>
              </a:graphicData>
            </a:graphic>
          </wp:inline>
        </w:drawing>
      </w:r>
    </w:p>
    <w:p w:rsidR="00576402" w:rsidRDefault="00576402" w:rsidP="00576402">
      <w:pPr>
        <w:pStyle w:val="-8"/>
        <w:rPr>
          <w:rFonts w:hint="eastAsia"/>
        </w:rPr>
      </w:pPr>
      <w:r>
        <w:rPr>
          <w:rFonts w:hint="eastAsia"/>
        </w:rPr>
        <w:t>注：本基金合同于2025年10月22日生效，截至本报告期末基金成立未满一年；自基金成立日起6个月内为建仓期，截至报告期末建仓期尚未结束。</w:t>
      </w:r>
    </w:p>
    <w:p w:rsidR="00576402" w:rsidRDefault="00576402" w:rsidP="00576402">
      <w:pPr>
        <w:pStyle w:val="-1"/>
        <w:ind w:left="281" w:hanging="281"/>
        <w:rPr>
          <w:rFonts w:hint="eastAsia"/>
        </w:rPr>
      </w:pPr>
      <w:r>
        <w:rPr>
          <w:rFonts w:hint="eastAsia"/>
        </w:rPr>
        <w:t>管理人报告</w:t>
      </w:r>
    </w:p>
    <w:p w:rsidR="00576402" w:rsidRDefault="00576402" w:rsidP="00576402">
      <w:pPr>
        <w:pStyle w:val="-2"/>
        <w:spacing w:before="312"/>
        <w:rPr>
          <w:rFonts w:hint="eastAsia"/>
        </w:rPr>
      </w:pPr>
      <w:r>
        <w:rPr>
          <w:rFonts w:hint="eastAsia"/>
        </w:rPr>
        <w:t>基金经理（或基金经理小组）简介</w:t>
      </w:r>
    </w:p>
    <w:tbl>
      <w:tblPr>
        <w:tblStyle w:val="-0"/>
        <w:tblW w:w="8506" w:type="dxa"/>
        <w:tblLayout w:type="fixed"/>
        <w:tblLook w:val="04A0" w:firstRow="1" w:lastRow="0" w:firstColumn="1" w:lastColumn="0" w:noHBand="0" w:noVBand="1"/>
      </w:tblPr>
      <w:tblGrid>
        <w:gridCol w:w="862"/>
        <w:gridCol w:w="851"/>
        <w:gridCol w:w="1117"/>
        <w:gridCol w:w="1117"/>
        <w:gridCol w:w="703"/>
        <w:gridCol w:w="3856"/>
      </w:tblGrid>
      <w:tr w:rsidR="00576402" w:rsidTr="00DF3D4C">
        <w:trPr>
          <w:cnfStyle w:val="100000000000" w:firstRow="1" w:lastRow="0" w:firstColumn="0" w:lastColumn="0" w:oddVBand="0" w:evenVBand="0" w:oddHBand="0" w:evenHBand="0" w:firstRowFirstColumn="0" w:firstRowLastColumn="0" w:lastRowFirstColumn="0" w:lastRowLastColumn="0"/>
        </w:trPr>
        <w:tc>
          <w:tcPr>
            <w:tcW w:w="862" w:type="dxa"/>
            <w:vMerge w:val="restart"/>
          </w:tcPr>
          <w:p w:rsidR="00576402" w:rsidRPr="00576402" w:rsidRDefault="00576402" w:rsidP="00576402">
            <w:pPr>
              <w:jc w:val="center"/>
              <w:rPr>
                <w:b/>
              </w:rPr>
            </w:pPr>
            <w:r w:rsidRPr="00576402">
              <w:rPr>
                <w:rFonts w:hint="eastAsia"/>
                <w:b/>
              </w:rPr>
              <w:t>姓名</w:t>
            </w:r>
          </w:p>
        </w:tc>
        <w:tc>
          <w:tcPr>
            <w:tcW w:w="851" w:type="dxa"/>
            <w:vMerge w:val="restart"/>
          </w:tcPr>
          <w:p w:rsidR="00576402" w:rsidRPr="00576402" w:rsidRDefault="00576402" w:rsidP="00576402">
            <w:pPr>
              <w:jc w:val="center"/>
              <w:rPr>
                <w:b/>
              </w:rPr>
            </w:pPr>
            <w:r w:rsidRPr="00576402">
              <w:rPr>
                <w:rFonts w:hint="eastAsia"/>
                <w:b/>
              </w:rPr>
              <w:t>职务</w:t>
            </w:r>
          </w:p>
        </w:tc>
        <w:tc>
          <w:tcPr>
            <w:tcW w:w="2234" w:type="dxa"/>
            <w:gridSpan w:val="2"/>
            <w:tcBorders>
              <w:bottom w:val="single" w:sz="4" w:space="0" w:color="auto"/>
            </w:tcBorders>
          </w:tcPr>
          <w:p w:rsidR="00576402" w:rsidRPr="00576402" w:rsidRDefault="00576402" w:rsidP="00576402">
            <w:pPr>
              <w:jc w:val="center"/>
              <w:rPr>
                <w:b/>
              </w:rPr>
            </w:pPr>
            <w:r w:rsidRPr="00576402">
              <w:rPr>
                <w:rFonts w:hint="eastAsia"/>
                <w:b/>
              </w:rPr>
              <w:t>任本基金的基金经理期限</w:t>
            </w:r>
          </w:p>
        </w:tc>
        <w:tc>
          <w:tcPr>
            <w:tcW w:w="703" w:type="dxa"/>
            <w:vMerge w:val="restart"/>
          </w:tcPr>
          <w:p w:rsidR="00576402" w:rsidRPr="00576402" w:rsidRDefault="00576402" w:rsidP="00576402">
            <w:pPr>
              <w:jc w:val="center"/>
              <w:rPr>
                <w:b/>
              </w:rPr>
            </w:pPr>
            <w:r w:rsidRPr="00576402">
              <w:rPr>
                <w:rFonts w:hint="eastAsia"/>
                <w:b/>
              </w:rPr>
              <w:t>证券从业年限</w:t>
            </w:r>
          </w:p>
        </w:tc>
        <w:tc>
          <w:tcPr>
            <w:tcW w:w="3856" w:type="dxa"/>
            <w:vMerge w:val="restart"/>
          </w:tcPr>
          <w:p w:rsidR="00576402" w:rsidRPr="00576402" w:rsidRDefault="00576402" w:rsidP="00576402">
            <w:pPr>
              <w:jc w:val="center"/>
              <w:rPr>
                <w:b/>
              </w:rPr>
            </w:pPr>
            <w:r w:rsidRPr="00576402">
              <w:rPr>
                <w:rFonts w:hint="eastAsia"/>
                <w:b/>
              </w:rPr>
              <w:t>说明</w:t>
            </w:r>
          </w:p>
        </w:tc>
      </w:tr>
      <w:tr w:rsidR="00576402" w:rsidTr="00576402">
        <w:tc>
          <w:tcPr>
            <w:tcW w:w="862" w:type="dxa"/>
            <w:vMerge/>
          </w:tcPr>
          <w:p w:rsidR="00576402" w:rsidRDefault="00576402" w:rsidP="00576402">
            <w:pPr>
              <w:jc w:val="left"/>
            </w:pPr>
          </w:p>
        </w:tc>
        <w:tc>
          <w:tcPr>
            <w:tcW w:w="851" w:type="dxa"/>
            <w:vMerge/>
          </w:tcPr>
          <w:p w:rsidR="00576402" w:rsidRDefault="00576402" w:rsidP="00576402">
            <w:pPr>
              <w:jc w:val="left"/>
            </w:pPr>
          </w:p>
        </w:tc>
        <w:tc>
          <w:tcPr>
            <w:tcW w:w="1117" w:type="dxa"/>
            <w:shd w:val="clear" w:color="auto" w:fill="BFBFBF"/>
          </w:tcPr>
          <w:p w:rsidR="00576402" w:rsidRPr="00576402" w:rsidRDefault="00576402" w:rsidP="00576402">
            <w:pPr>
              <w:jc w:val="center"/>
              <w:rPr>
                <w:b/>
              </w:rPr>
            </w:pPr>
            <w:r w:rsidRPr="00576402">
              <w:rPr>
                <w:rFonts w:hint="eastAsia"/>
                <w:b/>
              </w:rPr>
              <w:t>任职日期</w:t>
            </w:r>
          </w:p>
        </w:tc>
        <w:tc>
          <w:tcPr>
            <w:tcW w:w="1117" w:type="dxa"/>
            <w:shd w:val="clear" w:color="auto" w:fill="BFBFBF"/>
          </w:tcPr>
          <w:p w:rsidR="00576402" w:rsidRPr="00576402" w:rsidRDefault="00576402" w:rsidP="00576402">
            <w:pPr>
              <w:jc w:val="center"/>
              <w:rPr>
                <w:b/>
              </w:rPr>
            </w:pPr>
            <w:r w:rsidRPr="00576402">
              <w:rPr>
                <w:rFonts w:hint="eastAsia"/>
                <w:b/>
              </w:rPr>
              <w:t>离任日期</w:t>
            </w:r>
          </w:p>
        </w:tc>
        <w:tc>
          <w:tcPr>
            <w:tcW w:w="703" w:type="dxa"/>
            <w:vMerge/>
          </w:tcPr>
          <w:p w:rsidR="00576402" w:rsidRDefault="00576402" w:rsidP="00576402">
            <w:pPr>
              <w:jc w:val="left"/>
            </w:pPr>
          </w:p>
        </w:tc>
        <w:tc>
          <w:tcPr>
            <w:tcW w:w="3856" w:type="dxa"/>
            <w:vMerge/>
          </w:tcPr>
          <w:p w:rsidR="00576402" w:rsidRDefault="00576402" w:rsidP="00576402">
            <w:pPr>
              <w:jc w:val="left"/>
            </w:pPr>
          </w:p>
        </w:tc>
      </w:tr>
      <w:tr w:rsidR="00576402" w:rsidTr="00576402">
        <w:tc>
          <w:tcPr>
            <w:tcW w:w="862" w:type="dxa"/>
          </w:tcPr>
          <w:p w:rsidR="00576402" w:rsidRDefault="00576402" w:rsidP="00576402">
            <w:pPr>
              <w:jc w:val="left"/>
            </w:pPr>
            <w:r>
              <w:rPr>
                <w:rFonts w:hint="eastAsia"/>
              </w:rPr>
              <w:t>张其思</w:t>
            </w:r>
          </w:p>
        </w:tc>
        <w:tc>
          <w:tcPr>
            <w:tcW w:w="851" w:type="dxa"/>
          </w:tcPr>
          <w:p w:rsidR="00576402" w:rsidRDefault="00576402" w:rsidP="00576402">
            <w:pPr>
              <w:jc w:val="left"/>
            </w:pPr>
            <w:r>
              <w:rPr>
                <w:rFonts w:hint="eastAsia"/>
              </w:rPr>
              <w:t>本基金基金经理</w:t>
            </w:r>
          </w:p>
        </w:tc>
        <w:tc>
          <w:tcPr>
            <w:tcW w:w="1117" w:type="dxa"/>
          </w:tcPr>
          <w:p w:rsidR="00576402" w:rsidRDefault="00576402" w:rsidP="00576402">
            <w:pPr>
              <w:jc w:val="left"/>
            </w:pPr>
            <w:r>
              <w:rPr>
                <w:rFonts w:hint="eastAsia"/>
              </w:rPr>
              <w:t>2025</w:t>
            </w:r>
            <w:r>
              <w:rPr>
                <w:rFonts w:hint="eastAsia"/>
              </w:rPr>
              <w:t>年</w:t>
            </w:r>
            <w:r>
              <w:rPr>
                <w:rFonts w:hint="eastAsia"/>
              </w:rPr>
              <w:t>10</w:t>
            </w:r>
            <w:r>
              <w:rPr>
                <w:rFonts w:hint="eastAsia"/>
              </w:rPr>
              <w:t>月</w:t>
            </w:r>
            <w:r>
              <w:rPr>
                <w:rFonts w:hint="eastAsia"/>
              </w:rPr>
              <w:t>22</w:t>
            </w:r>
            <w:r>
              <w:rPr>
                <w:rFonts w:hint="eastAsia"/>
              </w:rPr>
              <w:t>日</w:t>
            </w:r>
          </w:p>
        </w:tc>
        <w:tc>
          <w:tcPr>
            <w:tcW w:w="1117" w:type="dxa"/>
          </w:tcPr>
          <w:p w:rsidR="00576402" w:rsidRDefault="00576402" w:rsidP="00576402">
            <w:pPr>
              <w:jc w:val="right"/>
            </w:pPr>
            <w:r>
              <w:t>-</w:t>
            </w:r>
          </w:p>
        </w:tc>
        <w:tc>
          <w:tcPr>
            <w:tcW w:w="703" w:type="dxa"/>
          </w:tcPr>
          <w:p w:rsidR="00576402" w:rsidRDefault="00576402" w:rsidP="00576402">
            <w:pPr>
              <w:jc w:val="left"/>
            </w:pPr>
            <w:r>
              <w:rPr>
                <w:rFonts w:hint="eastAsia"/>
              </w:rPr>
              <w:t>12</w:t>
            </w:r>
            <w:r>
              <w:rPr>
                <w:rFonts w:hint="eastAsia"/>
              </w:rPr>
              <w:t>年</w:t>
            </w:r>
          </w:p>
        </w:tc>
        <w:tc>
          <w:tcPr>
            <w:tcW w:w="3856" w:type="dxa"/>
          </w:tcPr>
          <w:p w:rsidR="00576402" w:rsidRDefault="00576402" w:rsidP="00576402">
            <w:r>
              <w:rPr>
                <w:rFonts w:hint="eastAsia"/>
              </w:rPr>
              <w:t>中国国籍，波士顿大学数理金融硕士，特许金融分析师（</w:t>
            </w:r>
            <w:r>
              <w:rPr>
                <w:rFonts w:hint="eastAsia"/>
              </w:rPr>
              <w:t>CFA</w:t>
            </w:r>
            <w:r>
              <w:rPr>
                <w:rFonts w:hint="eastAsia"/>
              </w:rPr>
              <w:t>）、金融风险管理师（</w:t>
            </w:r>
            <w:r>
              <w:rPr>
                <w:rFonts w:hint="eastAsia"/>
              </w:rPr>
              <w:t>FRM</w:t>
            </w:r>
            <w:r>
              <w:rPr>
                <w:rFonts w:hint="eastAsia"/>
              </w:rPr>
              <w:t>），具有基金从业资格。曾就职于美国</w:t>
            </w:r>
            <w:r>
              <w:rPr>
                <w:rFonts w:hint="eastAsia"/>
              </w:rPr>
              <w:t>Charles River Development</w:t>
            </w:r>
            <w:r>
              <w:rPr>
                <w:rFonts w:hint="eastAsia"/>
              </w:rPr>
              <w:t>、</w:t>
            </w:r>
            <w:r>
              <w:rPr>
                <w:rFonts w:hint="eastAsia"/>
              </w:rPr>
              <w:t>Citizens Financial Group</w:t>
            </w:r>
            <w:r>
              <w:rPr>
                <w:rFonts w:hint="eastAsia"/>
              </w:rPr>
              <w:t>，历任固定收益部分析员、资本管理部量化分析师。</w:t>
            </w:r>
            <w:r>
              <w:rPr>
                <w:rFonts w:hint="eastAsia"/>
              </w:rPr>
              <w:t>2017</w:t>
            </w:r>
            <w:r>
              <w:rPr>
                <w:rFonts w:hint="eastAsia"/>
              </w:rPr>
              <w:t>年</w:t>
            </w:r>
            <w:r>
              <w:rPr>
                <w:rFonts w:hint="eastAsia"/>
              </w:rPr>
              <w:t>4</w:t>
            </w:r>
            <w:r>
              <w:rPr>
                <w:rFonts w:hint="eastAsia"/>
              </w:rPr>
              <w:t>月加入南方基金，历任数量化投资部研究员、指数投资部研究员、国际业务部研究员。</w:t>
            </w:r>
            <w:r>
              <w:rPr>
                <w:rFonts w:hint="eastAsia"/>
              </w:rPr>
              <w:t>2020</w:t>
            </w:r>
            <w:r>
              <w:rPr>
                <w:rFonts w:hint="eastAsia"/>
              </w:rPr>
              <w:t>年</w:t>
            </w:r>
            <w:r>
              <w:rPr>
                <w:rFonts w:hint="eastAsia"/>
              </w:rPr>
              <w:t>6</w:t>
            </w:r>
            <w:r>
              <w:rPr>
                <w:rFonts w:hint="eastAsia"/>
              </w:rPr>
              <w:t>月</w:t>
            </w:r>
            <w:r>
              <w:rPr>
                <w:rFonts w:hint="eastAsia"/>
              </w:rPr>
              <w:t>2</w:t>
            </w:r>
            <w:r>
              <w:rPr>
                <w:rFonts w:hint="eastAsia"/>
              </w:rPr>
              <w:t>日至</w:t>
            </w:r>
            <w:r>
              <w:rPr>
                <w:rFonts w:hint="eastAsia"/>
              </w:rPr>
              <w:t>2021</w:t>
            </w:r>
            <w:r>
              <w:rPr>
                <w:rFonts w:hint="eastAsia"/>
              </w:rPr>
              <w:t>年</w:t>
            </w:r>
            <w:r>
              <w:rPr>
                <w:rFonts w:hint="eastAsia"/>
              </w:rPr>
              <w:t>3</w:t>
            </w:r>
            <w:r>
              <w:rPr>
                <w:rFonts w:hint="eastAsia"/>
              </w:rPr>
              <w:t>月</w:t>
            </w:r>
            <w:r>
              <w:rPr>
                <w:rFonts w:hint="eastAsia"/>
              </w:rPr>
              <w:t>26</w:t>
            </w:r>
            <w:r>
              <w:rPr>
                <w:rFonts w:hint="eastAsia"/>
              </w:rPr>
              <w:t>日，任南方原油基金经理助理；</w:t>
            </w:r>
            <w:r>
              <w:rPr>
                <w:rFonts w:hint="eastAsia"/>
              </w:rPr>
              <w:t>2021</w:t>
            </w:r>
            <w:r>
              <w:rPr>
                <w:rFonts w:hint="eastAsia"/>
              </w:rPr>
              <w:t>年</w:t>
            </w:r>
            <w:r>
              <w:rPr>
                <w:rFonts w:hint="eastAsia"/>
              </w:rPr>
              <w:t>3</w:t>
            </w:r>
            <w:r>
              <w:rPr>
                <w:rFonts w:hint="eastAsia"/>
              </w:rPr>
              <w:t>月</w:t>
            </w:r>
            <w:r>
              <w:rPr>
                <w:rFonts w:hint="eastAsia"/>
              </w:rPr>
              <w:t>26</w:t>
            </w:r>
            <w:r>
              <w:rPr>
                <w:rFonts w:hint="eastAsia"/>
              </w:rPr>
              <w:t>日至今，任南方道琼斯美国精选</w:t>
            </w:r>
            <w:r>
              <w:rPr>
                <w:rFonts w:hint="eastAsia"/>
              </w:rPr>
              <w:t>REIT</w:t>
            </w:r>
            <w:r>
              <w:rPr>
                <w:rFonts w:hint="eastAsia"/>
              </w:rPr>
              <w:t>指数（</w:t>
            </w:r>
            <w:r>
              <w:rPr>
                <w:rFonts w:hint="eastAsia"/>
              </w:rPr>
              <w:t>QDII-LOF</w:t>
            </w:r>
            <w:r>
              <w:rPr>
                <w:rFonts w:hint="eastAsia"/>
              </w:rPr>
              <w:t>）、南方原油（</w:t>
            </w:r>
            <w:r>
              <w:rPr>
                <w:rFonts w:hint="eastAsia"/>
              </w:rPr>
              <w:t>QDII-FOF-LOF</w:t>
            </w:r>
            <w:r>
              <w:rPr>
                <w:rFonts w:hint="eastAsia"/>
              </w:rPr>
              <w:t>）基金经理；</w:t>
            </w:r>
            <w:r>
              <w:rPr>
                <w:rFonts w:hint="eastAsia"/>
              </w:rPr>
              <w:t>2022</w:t>
            </w:r>
            <w:r>
              <w:rPr>
                <w:rFonts w:hint="eastAsia"/>
              </w:rPr>
              <w:t>年</w:t>
            </w:r>
            <w:r>
              <w:rPr>
                <w:rFonts w:hint="eastAsia"/>
              </w:rPr>
              <w:t>11</w:t>
            </w:r>
            <w:r>
              <w:rPr>
                <w:rFonts w:hint="eastAsia"/>
              </w:rPr>
              <w:lastRenderedPageBreak/>
              <w:t>月</w:t>
            </w:r>
            <w:r>
              <w:rPr>
                <w:rFonts w:hint="eastAsia"/>
              </w:rPr>
              <w:t>29</w:t>
            </w:r>
            <w:r>
              <w:rPr>
                <w:rFonts w:hint="eastAsia"/>
              </w:rPr>
              <w:t>日至今，任南方纳斯达克</w:t>
            </w:r>
            <w:r>
              <w:rPr>
                <w:rFonts w:hint="eastAsia"/>
              </w:rPr>
              <w:t>100</w:t>
            </w:r>
            <w:r>
              <w:rPr>
                <w:rFonts w:hint="eastAsia"/>
              </w:rPr>
              <w:t>指数发起（</w:t>
            </w:r>
            <w:r>
              <w:rPr>
                <w:rFonts w:hint="eastAsia"/>
              </w:rPr>
              <w:t>QDII</w:t>
            </w:r>
            <w:r>
              <w:rPr>
                <w:rFonts w:hint="eastAsia"/>
              </w:rPr>
              <w:t>）基金经理；</w:t>
            </w:r>
            <w:r>
              <w:rPr>
                <w:rFonts w:hint="eastAsia"/>
              </w:rPr>
              <w:t>2024</w:t>
            </w:r>
            <w:r>
              <w:rPr>
                <w:rFonts w:hint="eastAsia"/>
              </w:rPr>
              <w:t>年</w:t>
            </w:r>
            <w:r>
              <w:rPr>
                <w:rFonts w:hint="eastAsia"/>
              </w:rPr>
              <w:t>5</w:t>
            </w:r>
            <w:r>
              <w:rPr>
                <w:rFonts w:hint="eastAsia"/>
              </w:rPr>
              <w:t>月</w:t>
            </w:r>
            <w:r>
              <w:rPr>
                <w:rFonts w:hint="eastAsia"/>
              </w:rPr>
              <w:t>21</w:t>
            </w:r>
            <w:r>
              <w:rPr>
                <w:rFonts w:hint="eastAsia"/>
              </w:rPr>
              <w:t>日至今，任南方恒生科技</w:t>
            </w:r>
            <w:r>
              <w:rPr>
                <w:rFonts w:hint="eastAsia"/>
              </w:rPr>
              <w:t>ETF</w:t>
            </w:r>
            <w:r>
              <w:rPr>
                <w:rFonts w:hint="eastAsia"/>
              </w:rPr>
              <w:t>发起联接（</w:t>
            </w:r>
            <w:r>
              <w:rPr>
                <w:rFonts w:hint="eastAsia"/>
              </w:rPr>
              <w:t>QDII</w:t>
            </w:r>
            <w:r>
              <w:rPr>
                <w:rFonts w:hint="eastAsia"/>
              </w:rPr>
              <w:t>）（原：南方恒生科技指数发起（</w:t>
            </w:r>
            <w:r>
              <w:rPr>
                <w:rFonts w:hint="eastAsia"/>
              </w:rPr>
              <w:t>QDII</w:t>
            </w:r>
            <w:r>
              <w:rPr>
                <w:rFonts w:hint="eastAsia"/>
              </w:rPr>
              <w:t>））基金经理；</w:t>
            </w:r>
            <w:r>
              <w:rPr>
                <w:rFonts w:hint="eastAsia"/>
              </w:rPr>
              <w:t>2025</w:t>
            </w:r>
            <w:r>
              <w:rPr>
                <w:rFonts w:hint="eastAsia"/>
              </w:rPr>
              <w:t>年</w:t>
            </w:r>
            <w:r>
              <w:rPr>
                <w:rFonts w:hint="eastAsia"/>
              </w:rPr>
              <w:t>3</w:t>
            </w:r>
            <w:r>
              <w:rPr>
                <w:rFonts w:hint="eastAsia"/>
              </w:rPr>
              <w:t>月</w:t>
            </w:r>
            <w:r>
              <w:rPr>
                <w:rFonts w:hint="eastAsia"/>
              </w:rPr>
              <w:t>7</w:t>
            </w:r>
            <w:r>
              <w:rPr>
                <w:rFonts w:hint="eastAsia"/>
              </w:rPr>
              <w:t>日至今，任南方标普</w:t>
            </w:r>
            <w:r>
              <w:rPr>
                <w:rFonts w:hint="eastAsia"/>
              </w:rPr>
              <w:t>500ETF</w:t>
            </w:r>
            <w:r>
              <w:rPr>
                <w:rFonts w:hint="eastAsia"/>
              </w:rPr>
              <w:t>（</w:t>
            </w:r>
            <w:r>
              <w:rPr>
                <w:rFonts w:hint="eastAsia"/>
              </w:rPr>
              <w:t>QDII</w:t>
            </w:r>
            <w:r>
              <w:rPr>
                <w:rFonts w:hint="eastAsia"/>
              </w:rPr>
              <w:t>）基金经理；</w:t>
            </w:r>
            <w:r>
              <w:rPr>
                <w:rFonts w:hint="eastAsia"/>
              </w:rPr>
              <w:t>2025</w:t>
            </w:r>
            <w:r>
              <w:rPr>
                <w:rFonts w:hint="eastAsia"/>
              </w:rPr>
              <w:t>年</w:t>
            </w:r>
            <w:r>
              <w:rPr>
                <w:rFonts w:hint="eastAsia"/>
              </w:rPr>
              <w:t>4</w:t>
            </w:r>
            <w:r>
              <w:rPr>
                <w:rFonts w:hint="eastAsia"/>
              </w:rPr>
              <w:t>月</w:t>
            </w:r>
            <w:r>
              <w:rPr>
                <w:rFonts w:hint="eastAsia"/>
              </w:rPr>
              <w:t>11</w:t>
            </w:r>
            <w:r>
              <w:rPr>
                <w:rFonts w:hint="eastAsia"/>
              </w:rPr>
              <w:t>日至今，任南方顶峰</w:t>
            </w:r>
            <w:r>
              <w:rPr>
                <w:rFonts w:hint="eastAsia"/>
              </w:rPr>
              <w:t>TOPIX ETF</w:t>
            </w:r>
            <w:r>
              <w:rPr>
                <w:rFonts w:hint="eastAsia"/>
              </w:rPr>
              <w:t>（</w:t>
            </w:r>
            <w:r>
              <w:rPr>
                <w:rFonts w:hint="eastAsia"/>
              </w:rPr>
              <w:t>QDII</w:t>
            </w:r>
            <w:r>
              <w:rPr>
                <w:rFonts w:hint="eastAsia"/>
              </w:rPr>
              <w:t>）、南方基金南方东英沙特阿拉伯</w:t>
            </w:r>
            <w:r>
              <w:rPr>
                <w:rFonts w:hint="eastAsia"/>
              </w:rPr>
              <w:t>ETF</w:t>
            </w:r>
            <w:r>
              <w:rPr>
                <w:rFonts w:hint="eastAsia"/>
              </w:rPr>
              <w:t>（</w:t>
            </w:r>
            <w:r>
              <w:rPr>
                <w:rFonts w:hint="eastAsia"/>
              </w:rPr>
              <w:t>QDII</w:t>
            </w:r>
            <w:r>
              <w:rPr>
                <w:rFonts w:hint="eastAsia"/>
              </w:rPr>
              <w:t>）、南方中证香港科技</w:t>
            </w:r>
            <w:r>
              <w:rPr>
                <w:rFonts w:hint="eastAsia"/>
              </w:rPr>
              <w:t>ETF</w:t>
            </w:r>
            <w:r>
              <w:rPr>
                <w:rFonts w:hint="eastAsia"/>
              </w:rPr>
              <w:t>（</w:t>
            </w:r>
            <w:r>
              <w:rPr>
                <w:rFonts w:hint="eastAsia"/>
              </w:rPr>
              <w:t>QDII</w:t>
            </w:r>
            <w:r>
              <w:rPr>
                <w:rFonts w:hint="eastAsia"/>
              </w:rPr>
              <w:t>）基金经理；</w:t>
            </w:r>
            <w:r>
              <w:rPr>
                <w:rFonts w:hint="eastAsia"/>
              </w:rPr>
              <w:t>2025</w:t>
            </w:r>
            <w:r>
              <w:rPr>
                <w:rFonts w:hint="eastAsia"/>
              </w:rPr>
              <w:t>年</w:t>
            </w:r>
            <w:r>
              <w:rPr>
                <w:rFonts w:hint="eastAsia"/>
              </w:rPr>
              <w:t>4</w:t>
            </w:r>
            <w:r>
              <w:rPr>
                <w:rFonts w:hint="eastAsia"/>
              </w:rPr>
              <w:t>月</w:t>
            </w:r>
            <w:r>
              <w:rPr>
                <w:rFonts w:hint="eastAsia"/>
              </w:rPr>
              <w:t>18</w:t>
            </w:r>
            <w:r>
              <w:rPr>
                <w:rFonts w:hint="eastAsia"/>
              </w:rPr>
              <w:t>日至今，任南方基金南方东英富时亚太低碳精选</w:t>
            </w:r>
            <w:r>
              <w:rPr>
                <w:rFonts w:hint="eastAsia"/>
              </w:rPr>
              <w:t>ETF</w:t>
            </w:r>
            <w:r>
              <w:rPr>
                <w:rFonts w:hint="eastAsia"/>
              </w:rPr>
              <w:t>（</w:t>
            </w:r>
            <w:r>
              <w:rPr>
                <w:rFonts w:hint="eastAsia"/>
              </w:rPr>
              <w:t>QDII</w:t>
            </w:r>
            <w:r>
              <w:rPr>
                <w:rFonts w:hint="eastAsia"/>
              </w:rPr>
              <w:t>）、南方亚太精选</w:t>
            </w:r>
            <w:r>
              <w:rPr>
                <w:rFonts w:hint="eastAsia"/>
              </w:rPr>
              <w:t>ETF</w:t>
            </w:r>
            <w:r>
              <w:rPr>
                <w:rFonts w:hint="eastAsia"/>
              </w:rPr>
              <w:t>联接（</w:t>
            </w:r>
            <w:r>
              <w:rPr>
                <w:rFonts w:hint="eastAsia"/>
              </w:rPr>
              <w:t>QDII</w:t>
            </w:r>
            <w:r>
              <w:rPr>
                <w:rFonts w:hint="eastAsia"/>
              </w:rPr>
              <w:t>）基金经理；</w:t>
            </w:r>
            <w:r>
              <w:rPr>
                <w:rFonts w:hint="eastAsia"/>
              </w:rPr>
              <w:t>2025</w:t>
            </w:r>
            <w:r>
              <w:rPr>
                <w:rFonts w:hint="eastAsia"/>
              </w:rPr>
              <w:t>年</w:t>
            </w:r>
            <w:r>
              <w:rPr>
                <w:rFonts w:hint="eastAsia"/>
              </w:rPr>
              <w:t>6</w:t>
            </w:r>
            <w:r>
              <w:rPr>
                <w:rFonts w:hint="eastAsia"/>
              </w:rPr>
              <w:t>月</w:t>
            </w:r>
            <w:r>
              <w:rPr>
                <w:rFonts w:hint="eastAsia"/>
              </w:rPr>
              <w:t>6</w:t>
            </w:r>
            <w:r>
              <w:rPr>
                <w:rFonts w:hint="eastAsia"/>
              </w:rPr>
              <w:t>日至今，任南方港股数字经济混合发起（</w:t>
            </w:r>
            <w:r>
              <w:rPr>
                <w:rFonts w:hint="eastAsia"/>
              </w:rPr>
              <w:t>QDII</w:t>
            </w:r>
            <w:r>
              <w:rPr>
                <w:rFonts w:hint="eastAsia"/>
              </w:rPr>
              <w:t>）基金经理；</w:t>
            </w:r>
            <w:r>
              <w:rPr>
                <w:rFonts w:hint="eastAsia"/>
              </w:rPr>
              <w:t>2025</w:t>
            </w:r>
            <w:r>
              <w:rPr>
                <w:rFonts w:hint="eastAsia"/>
              </w:rPr>
              <w:t>年</w:t>
            </w:r>
            <w:r>
              <w:rPr>
                <w:rFonts w:hint="eastAsia"/>
              </w:rPr>
              <w:t>9</w:t>
            </w:r>
            <w:r>
              <w:rPr>
                <w:rFonts w:hint="eastAsia"/>
              </w:rPr>
              <w:t>月</w:t>
            </w:r>
            <w:r>
              <w:rPr>
                <w:rFonts w:hint="eastAsia"/>
              </w:rPr>
              <w:t>12</w:t>
            </w:r>
            <w:r>
              <w:rPr>
                <w:rFonts w:hint="eastAsia"/>
              </w:rPr>
              <w:t>日至今，任南方国证港股通创新药</w:t>
            </w:r>
            <w:r>
              <w:rPr>
                <w:rFonts w:hint="eastAsia"/>
              </w:rPr>
              <w:t>ETF</w:t>
            </w:r>
            <w:r>
              <w:rPr>
                <w:rFonts w:hint="eastAsia"/>
              </w:rPr>
              <w:t>基金经理；</w:t>
            </w:r>
            <w:r>
              <w:rPr>
                <w:rFonts w:hint="eastAsia"/>
              </w:rPr>
              <w:t>2025</w:t>
            </w:r>
            <w:r>
              <w:rPr>
                <w:rFonts w:hint="eastAsia"/>
              </w:rPr>
              <w:t>年</w:t>
            </w:r>
            <w:r>
              <w:rPr>
                <w:rFonts w:hint="eastAsia"/>
              </w:rPr>
              <w:t>10</w:t>
            </w:r>
            <w:r>
              <w:rPr>
                <w:rFonts w:hint="eastAsia"/>
              </w:rPr>
              <w:t>月</w:t>
            </w:r>
            <w:r>
              <w:rPr>
                <w:rFonts w:hint="eastAsia"/>
              </w:rPr>
              <w:t>22</w:t>
            </w:r>
            <w:r>
              <w:rPr>
                <w:rFonts w:hint="eastAsia"/>
              </w:rPr>
              <w:t>日至今，任南方中证港股通</w:t>
            </w:r>
            <w:r>
              <w:rPr>
                <w:rFonts w:hint="eastAsia"/>
              </w:rPr>
              <w:t>50ETF</w:t>
            </w:r>
            <w:r>
              <w:rPr>
                <w:rFonts w:hint="eastAsia"/>
              </w:rPr>
              <w:t>基金经理；</w:t>
            </w:r>
            <w:r>
              <w:rPr>
                <w:rFonts w:hint="eastAsia"/>
              </w:rPr>
              <w:t>2025</w:t>
            </w:r>
            <w:r>
              <w:rPr>
                <w:rFonts w:hint="eastAsia"/>
              </w:rPr>
              <w:t>年</w:t>
            </w:r>
            <w:r>
              <w:rPr>
                <w:rFonts w:hint="eastAsia"/>
              </w:rPr>
              <w:t>10</w:t>
            </w:r>
            <w:r>
              <w:rPr>
                <w:rFonts w:hint="eastAsia"/>
              </w:rPr>
              <w:t>月</w:t>
            </w:r>
            <w:r>
              <w:rPr>
                <w:rFonts w:hint="eastAsia"/>
              </w:rPr>
              <w:t>29</w:t>
            </w:r>
            <w:r>
              <w:rPr>
                <w:rFonts w:hint="eastAsia"/>
              </w:rPr>
              <w:t>日至今，任南方中证港股通互联网</w:t>
            </w:r>
            <w:r>
              <w:rPr>
                <w:rFonts w:hint="eastAsia"/>
              </w:rPr>
              <w:t>ETF</w:t>
            </w:r>
            <w:r>
              <w:rPr>
                <w:rFonts w:hint="eastAsia"/>
              </w:rPr>
              <w:t>、南方恒生科技</w:t>
            </w:r>
            <w:r>
              <w:rPr>
                <w:rFonts w:hint="eastAsia"/>
              </w:rPr>
              <w:t>ETF</w:t>
            </w:r>
            <w:r>
              <w:rPr>
                <w:rFonts w:hint="eastAsia"/>
              </w:rPr>
              <w:t>（</w:t>
            </w:r>
            <w:r>
              <w:rPr>
                <w:rFonts w:hint="eastAsia"/>
              </w:rPr>
              <w:t>QDII</w:t>
            </w:r>
            <w:r>
              <w:rPr>
                <w:rFonts w:hint="eastAsia"/>
              </w:rPr>
              <w:t>）基金经理；</w:t>
            </w:r>
            <w:r>
              <w:rPr>
                <w:rFonts w:hint="eastAsia"/>
              </w:rPr>
              <w:t>2025</w:t>
            </w:r>
            <w:r>
              <w:rPr>
                <w:rFonts w:hint="eastAsia"/>
              </w:rPr>
              <w:t>年</w:t>
            </w:r>
            <w:r>
              <w:rPr>
                <w:rFonts w:hint="eastAsia"/>
              </w:rPr>
              <w:t>11</w:t>
            </w:r>
            <w:r>
              <w:rPr>
                <w:rFonts w:hint="eastAsia"/>
              </w:rPr>
              <w:t>月</w:t>
            </w:r>
            <w:r>
              <w:rPr>
                <w:rFonts w:hint="eastAsia"/>
              </w:rPr>
              <w:t>12</w:t>
            </w:r>
            <w:r>
              <w:rPr>
                <w:rFonts w:hint="eastAsia"/>
              </w:rPr>
              <w:t>日至今，任南方中证港股通高股息投资</w:t>
            </w:r>
            <w:r>
              <w:rPr>
                <w:rFonts w:hint="eastAsia"/>
              </w:rPr>
              <w:t>ETF</w:t>
            </w:r>
            <w:r>
              <w:rPr>
                <w:rFonts w:hint="eastAsia"/>
              </w:rPr>
              <w:t>基金经理；</w:t>
            </w:r>
            <w:r>
              <w:rPr>
                <w:rFonts w:hint="eastAsia"/>
              </w:rPr>
              <w:t>2026</w:t>
            </w:r>
            <w:r>
              <w:rPr>
                <w:rFonts w:hint="eastAsia"/>
              </w:rPr>
              <w:t>年</w:t>
            </w:r>
            <w:r>
              <w:rPr>
                <w:rFonts w:hint="eastAsia"/>
              </w:rPr>
              <w:t>3</w:t>
            </w:r>
            <w:r>
              <w:rPr>
                <w:rFonts w:hint="eastAsia"/>
              </w:rPr>
              <w:t>月</w:t>
            </w:r>
            <w:r>
              <w:rPr>
                <w:rFonts w:hint="eastAsia"/>
              </w:rPr>
              <w:t>24</w:t>
            </w:r>
            <w:r>
              <w:rPr>
                <w:rFonts w:hint="eastAsia"/>
              </w:rPr>
              <w:t>日至今，任南方中证港股通</w:t>
            </w:r>
            <w:r>
              <w:rPr>
                <w:rFonts w:hint="eastAsia"/>
              </w:rPr>
              <w:t>50ETF</w:t>
            </w:r>
            <w:r>
              <w:rPr>
                <w:rFonts w:hint="eastAsia"/>
              </w:rPr>
              <w:t>联接基金经理。</w:t>
            </w:r>
          </w:p>
        </w:tc>
      </w:tr>
      <w:tr w:rsidR="00576402" w:rsidTr="00576402">
        <w:tc>
          <w:tcPr>
            <w:tcW w:w="862" w:type="dxa"/>
          </w:tcPr>
          <w:p w:rsidR="00576402" w:rsidRDefault="00576402" w:rsidP="00576402">
            <w:pPr>
              <w:jc w:val="left"/>
            </w:pPr>
            <w:r>
              <w:rPr>
                <w:rFonts w:hint="eastAsia"/>
              </w:rPr>
              <w:lastRenderedPageBreak/>
              <w:t>王鑫</w:t>
            </w:r>
          </w:p>
        </w:tc>
        <w:tc>
          <w:tcPr>
            <w:tcW w:w="851" w:type="dxa"/>
          </w:tcPr>
          <w:p w:rsidR="00576402" w:rsidRDefault="00576402" w:rsidP="00576402">
            <w:pPr>
              <w:jc w:val="left"/>
            </w:pPr>
            <w:r>
              <w:rPr>
                <w:rFonts w:hint="eastAsia"/>
              </w:rPr>
              <w:t>本基金基金经理</w:t>
            </w:r>
          </w:p>
        </w:tc>
        <w:tc>
          <w:tcPr>
            <w:tcW w:w="1117" w:type="dxa"/>
          </w:tcPr>
          <w:p w:rsidR="00576402" w:rsidRDefault="00576402" w:rsidP="00576402">
            <w:pPr>
              <w:jc w:val="left"/>
            </w:pPr>
            <w:r>
              <w:rPr>
                <w:rFonts w:hint="eastAsia"/>
              </w:rPr>
              <w:t>2025</w:t>
            </w:r>
            <w:r>
              <w:rPr>
                <w:rFonts w:hint="eastAsia"/>
              </w:rPr>
              <w:t>年</w:t>
            </w:r>
            <w:r>
              <w:rPr>
                <w:rFonts w:hint="eastAsia"/>
              </w:rPr>
              <w:t>10</w:t>
            </w:r>
            <w:r>
              <w:rPr>
                <w:rFonts w:hint="eastAsia"/>
              </w:rPr>
              <w:t>月</w:t>
            </w:r>
            <w:r>
              <w:rPr>
                <w:rFonts w:hint="eastAsia"/>
              </w:rPr>
              <w:t>22</w:t>
            </w:r>
            <w:r>
              <w:rPr>
                <w:rFonts w:hint="eastAsia"/>
              </w:rPr>
              <w:t>日</w:t>
            </w:r>
          </w:p>
        </w:tc>
        <w:tc>
          <w:tcPr>
            <w:tcW w:w="1117" w:type="dxa"/>
          </w:tcPr>
          <w:p w:rsidR="00576402" w:rsidRDefault="00576402" w:rsidP="00576402">
            <w:pPr>
              <w:jc w:val="right"/>
            </w:pPr>
            <w:r>
              <w:t>-</w:t>
            </w:r>
          </w:p>
        </w:tc>
        <w:tc>
          <w:tcPr>
            <w:tcW w:w="703" w:type="dxa"/>
          </w:tcPr>
          <w:p w:rsidR="00576402" w:rsidRDefault="00576402" w:rsidP="00576402">
            <w:pPr>
              <w:jc w:val="left"/>
            </w:pPr>
            <w:r>
              <w:rPr>
                <w:rFonts w:hint="eastAsia"/>
              </w:rPr>
              <w:t>7</w:t>
            </w:r>
            <w:r>
              <w:rPr>
                <w:rFonts w:hint="eastAsia"/>
              </w:rPr>
              <w:t>年</w:t>
            </w:r>
          </w:p>
        </w:tc>
        <w:tc>
          <w:tcPr>
            <w:tcW w:w="3856" w:type="dxa"/>
          </w:tcPr>
          <w:p w:rsidR="00576402" w:rsidRDefault="00576402" w:rsidP="00576402">
            <w:r>
              <w:rPr>
                <w:rFonts w:hint="eastAsia"/>
              </w:rPr>
              <w:t>中国国籍，北京大学理学与经济学学士，美国约翰霍普金斯大学金融学硕士，特许金融分析师（</w:t>
            </w:r>
            <w:r>
              <w:rPr>
                <w:rFonts w:hint="eastAsia"/>
              </w:rPr>
              <w:t>CFA</w:t>
            </w:r>
            <w:r>
              <w:rPr>
                <w:rFonts w:hint="eastAsia"/>
              </w:rPr>
              <w:t>），具有基金从业资格。</w:t>
            </w:r>
            <w:r>
              <w:rPr>
                <w:rFonts w:hint="eastAsia"/>
              </w:rPr>
              <w:t>2018</w:t>
            </w:r>
            <w:r>
              <w:rPr>
                <w:rFonts w:hint="eastAsia"/>
              </w:rPr>
              <w:t>年</w:t>
            </w:r>
            <w:r>
              <w:rPr>
                <w:rFonts w:hint="eastAsia"/>
              </w:rPr>
              <w:t>5</w:t>
            </w:r>
            <w:r>
              <w:rPr>
                <w:rFonts w:hint="eastAsia"/>
              </w:rPr>
              <w:t>月加入南方基金，先后任职于战略与产品开发部、产品开发部；</w:t>
            </w:r>
            <w:r>
              <w:rPr>
                <w:rFonts w:hint="eastAsia"/>
              </w:rPr>
              <w:t>2022</w:t>
            </w:r>
            <w:r>
              <w:rPr>
                <w:rFonts w:hint="eastAsia"/>
              </w:rPr>
              <w:t>年</w:t>
            </w:r>
            <w:r>
              <w:rPr>
                <w:rFonts w:hint="eastAsia"/>
              </w:rPr>
              <w:t>6</w:t>
            </w:r>
            <w:r>
              <w:rPr>
                <w:rFonts w:hint="eastAsia"/>
              </w:rPr>
              <w:t>月加入国际业务部，任研究员；</w:t>
            </w:r>
            <w:r>
              <w:rPr>
                <w:rFonts w:hint="eastAsia"/>
              </w:rPr>
              <w:t>2024</w:t>
            </w:r>
            <w:r>
              <w:rPr>
                <w:rFonts w:hint="eastAsia"/>
              </w:rPr>
              <w:t>年</w:t>
            </w:r>
            <w:r>
              <w:rPr>
                <w:rFonts w:hint="eastAsia"/>
              </w:rPr>
              <w:t>5</w:t>
            </w:r>
            <w:r>
              <w:rPr>
                <w:rFonts w:hint="eastAsia"/>
              </w:rPr>
              <w:t>月</w:t>
            </w:r>
            <w:r>
              <w:rPr>
                <w:rFonts w:hint="eastAsia"/>
              </w:rPr>
              <w:t>31</w:t>
            </w:r>
            <w:r>
              <w:rPr>
                <w:rFonts w:hint="eastAsia"/>
              </w:rPr>
              <w:t>日至</w:t>
            </w:r>
            <w:r>
              <w:rPr>
                <w:rFonts w:hint="eastAsia"/>
              </w:rPr>
              <w:t>2025</w:t>
            </w:r>
            <w:r>
              <w:rPr>
                <w:rFonts w:hint="eastAsia"/>
              </w:rPr>
              <w:t>年</w:t>
            </w:r>
            <w:r>
              <w:rPr>
                <w:rFonts w:hint="eastAsia"/>
              </w:rPr>
              <w:t>4</w:t>
            </w:r>
            <w:r>
              <w:rPr>
                <w:rFonts w:hint="eastAsia"/>
              </w:rPr>
              <w:t>月</w:t>
            </w:r>
            <w:r>
              <w:rPr>
                <w:rFonts w:hint="eastAsia"/>
              </w:rPr>
              <w:t>11</w:t>
            </w:r>
            <w:r>
              <w:rPr>
                <w:rFonts w:hint="eastAsia"/>
              </w:rPr>
              <w:t>日，任南方亚洲美元收益债券（</w:t>
            </w:r>
            <w:r>
              <w:rPr>
                <w:rFonts w:hint="eastAsia"/>
              </w:rPr>
              <w:t>QDII</w:t>
            </w:r>
            <w:r>
              <w:rPr>
                <w:rFonts w:hint="eastAsia"/>
              </w:rPr>
              <w:t>）基金经理助理；</w:t>
            </w:r>
            <w:r>
              <w:rPr>
                <w:rFonts w:hint="eastAsia"/>
              </w:rPr>
              <w:t>2025</w:t>
            </w:r>
            <w:r>
              <w:rPr>
                <w:rFonts w:hint="eastAsia"/>
              </w:rPr>
              <w:t>年</w:t>
            </w:r>
            <w:r>
              <w:rPr>
                <w:rFonts w:hint="eastAsia"/>
              </w:rPr>
              <w:t>4</w:t>
            </w:r>
            <w:r>
              <w:rPr>
                <w:rFonts w:hint="eastAsia"/>
              </w:rPr>
              <w:t>月</w:t>
            </w:r>
            <w:r>
              <w:rPr>
                <w:rFonts w:hint="eastAsia"/>
              </w:rPr>
              <w:t>11</w:t>
            </w:r>
            <w:r>
              <w:rPr>
                <w:rFonts w:hint="eastAsia"/>
              </w:rPr>
              <w:t>日至今，任南方标普</w:t>
            </w:r>
            <w:r>
              <w:rPr>
                <w:rFonts w:hint="eastAsia"/>
              </w:rPr>
              <w:t>500ETF</w:t>
            </w:r>
            <w:r>
              <w:rPr>
                <w:rFonts w:hint="eastAsia"/>
              </w:rPr>
              <w:t>（</w:t>
            </w:r>
            <w:r>
              <w:rPr>
                <w:rFonts w:hint="eastAsia"/>
              </w:rPr>
              <w:t>QDII</w:t>
            </w:r>
            <w:r>
              <w:rPr>
                <w:rFonts w:hint="eastAsia"/>
              </w:rPr>
              <w:t>）、南方顶峰</w:t>
            </w:r>
            <w:r>
              <w:rPr>
                <w:rFonts w:hint="eastAsia"/>
              </w:rPr>
              <w:t>TOPIX ETF</w:t>
            </w:r>
            <w:r>
              <w:rPr>
                <w:rFonts w:hint="eastAsia"/>
              </w:rPr>
              <w:t>（</w:t>
            </w:r>
            <w:r>
              <w:rPr>
                <w:rFonts w:hint="eastAsia"/>
              </w:rPr>
              <w:t>QDII</w:t>
            </w:r>
            <w:r>
              <w:rPr>
                <w:rFonts w:hint="eastAsia"/>
              </w:rPr>
              <w:t>）、南方中证香港科技</w:t>
            </w:r>
            <w:r>
              <w:rPr>
                <w:rFonts w:hint="eastAsia"/>
              </w:rPr>
              <w:t>ETF</w:t>
            </w:r>
            <w:r>
              <w:rPr>
                <w:rFonts w:hint="eastAsia"/>
              </w:rPr>
              <w:t>（</w:t>
            </w:r>
            <w:r>
              <w:rPr>
                <w:rFonts w:hint="eastAsia"/>
              </w:rPr>
              <w:t>QDII</w:t>
            </w:r>
            <w:r>
              <w:rPr>
                <w:rFonts w:hint="eastAsia"/>
              </w:rPr>
              <w:t>）基金经理；</w:t>
            </w:r>
            <w:r>
              <w:rPr>
                <w:rFonts w:hint="eastAsia"/>
              </w:rPr>
              <w:t>2025</w:t>
            </w:r>
            <w:r>
              <w:rPr>
                <w:rFonts w:hint="eastAsia"/>
              </w:rPr>
              <w:t>年</w:t>
            </w:r>
            <w:r>
              <w:rPr>
                <w:rFonts w:hint="eastAsia"/>
              </w:rPr>
              <w:t>4</w:t>
            </w:r>
            <w:r>
              <w:rPr>
                <w:rFonts w:hint="eastAsia"/>
              </w:rPr>
              <w:t>月</w:t>
            </w:r>
            <w:r>
              <w:rPr>
                <w:rFonts w:hint="eastAsia"/>
              </w:rPr>
              <w:t>18</w:t>
            </w:r>
            <w:r>
              <w:rPr>
                <w:rFonts w:hint="eastAsia"/>
              </w:rPr>
              <w:t>日至今，任南方基金南方东英富时亚太低碳精选</w:t>
            </w:r>
            <w:r>
              <w:rPr>
                <w:rFonts w:hint="eastAsia"/>
              </w:rPr>
              <w:t>ETF</w:t>
            </w:r>
            <w:r>
              <w:rPr>
                <w:rFonts w:hint="eastAsia"/>
              </w:rPr>
              <w:t>（</w:t>
            </w:r>
            <w:r>
              <w:rPr>
                <w:rFonts w:hint="eastAsia"/>
              </w:rPr>
              <w:t>QDII</w:t>
            </w:r>
            <w:r>
              <w:rPr>
                <w:rFonts w:hint="eastAsia"/>
              </w:rPr>
              <w:t>）、南方亚太精选</w:t>
            </w:r>
            <w:r>
              <w:rPr>
                <w:rFonts w:hint="eastAsia"/>
              </w:rPr>
              <w:t>ETF</w:t>
            </w:r>
            <w:r>
              <w:rPr>
                <w:rFonts w:hint="eastAsia"/>
              </w:rPr>
              <w:t>联接（</w:t>
            </w:r>
            <w:r>
              <w:rPr>
                <w:rFonts w:hint="eastAsia"/>
              </w:rPr>
              <w:t>QDII</w:t>
            </w:r>
            <w:r>
              <w:rPr>
                <w:rFonts w:hint="eastAsia"/>
              </w:rPr>
              <w:t>）基金经理；</w:t>
            </w:r>
            <w:r>
              <w:rPr>
                <w:rFonts w:hint="eastAsia"/>
              </w:rPr>
              <w:t>2025</w:t>
            </w:r>
            <w:r>
              <w:rPr>
                <w:rFonts w:hint="eastAsia"/>
              </w:rPr>
              <w:t>年</w:t>
            </w:r>
            <w:r>
              <w:rPr>
                <w:rFonts w:hint="eastAsia"/>
              </w:rPr>
              <w:t>10</w:t>
            </w:r>
            <w:r>
              <w:rPr>
                <w:rFonts w:hint="eastAsia"/>
              </w:rPr>
              <w:t>月</w:t>
            </w:r>
            <w:r>
              <w:rPr>
                <w:rFonts w:hint="eastAsia"/>
              </w:rPr>
              <w:t>22</w:t>
            </w:r>
            <w:r>
              <w:rPr>
                <w:rFonts w:hint="eastAsia"/>
              </w:rPr>
              <w:t>日至今，任南方中证港股通</w:t>
            </w:r>
            <w:r>
              <w:rPr>
                <w:rFonts w:hint="eastAsia"/>
              </w:rPr>
              <w:t>50ETF</w:t>
            </w:r>
            <w:r>
              <w:rPr>
                <w:rFonts w:hint="eastAsia"/>
              </w:rPr>
              <w:t>基金经理；</w:t>
            </w:r>
            <w:r>
              <w:rPr>
                <w:rFonts w:hint="eastAsia"/>
              </w:rPr>
              <w:t>2025</w:t>
            </w:r>
            <w:r>
              <w:rPr>
                <w:rFonts w:hint="eastAsia"/>
              </w:rPr>
              <w:t>年</w:t>
            </w:r>
            <w:r>
              <w:rPr>
                <w:rFonts w:hint="eastAsia"/>
              </w:rPr>
              <w:t>10</w:t>
            </w:r>
            <w:r>
              <w:rPr>
                <w:rFonts w:hint="eastAsia"/>
              </w:rPr>
              <w:t>月</w:t>
            </w:r>
            <w:r>
              <w:rPr>
                <w:rFonts w:hint="eastAsia"/>
              </w:rPr>
              <w:t>29</w:t>
            </w:r>
            <w:r>
              <w:rPr>
                <w:rFonts w:hint="eastAsia"/>
              </w:rPr>
              <w:t>日至今，任南方中证港股通互联网</w:t>
            </w:r>
            <w:r>
              <w:rPr>
                <w:rFonts w:hint="eastAsia"/>
              </w:rPr>
              <w:t>ETF</w:t>
            </w:r>
            <w:r>
              <w:rPr>
                <w:rFonts w:hint="eastAsia"/>
              </w:rPr>
              <w:t>基金经理；</w:t>
            </w:r>
            <w:r>
              <w:rPr>
                <w:rFonts w:hint="eastAsia"/>
              </w:rPr>
              <w:t>2026</w:t>
            </w:r>
            <w:r>
              <w:rPr>
                <w:rFonts w:hint="eastAsia"/>
              </w:rPr>
              <w:t>年</w:t>
            </w:r>
            <w:r>
              <w:rPr>
                <w:rFonts w:hint="eastAsia"/>
              </w:rPr>
              <w:t>2</w:t>
            </w:r>
            <w:r>
              <w:rPr>
                <w:rFonts w:hint="eastAsia"/>
              </w:rPr>
              <w:t>月</w:t>
            </w:r>
            <w:r>
              <w:rPr>
                <w:rFonts w:hint="eastAsia"/>
              </w:rPr>
              <w:t>5</w:t>
            </w:r>
            <w:r>
              <w:rPr>
                <w:rFonts w:hint="eastAsia"/>
              </w:rPr>
              <w:t>日至今，任南方中证港股通互联网</w:t>
            </w:r>
            <w:r>
              <w:rPr>
                <w:rFonts w:hint="eastAsia"/>
              </w:rPr>
              <w:t>ETF</w:t>
            </w:r>
            <w:r>
              <w:rPr>
                <w:rFonts w:hint="eastAsia"/>
              </w:rPr>
              <w:t>发起联接基金经理。</w:t>
            </w:r>
          </w:p>
        </w:tc>
      </w:tr>
    </w:tbl>
    <w:p w:rsidR="00576402" w:rsidRDefault="00576402" w:rsidP="00576402">
      <w:pPr>
        <w:pStyle w:val="-8"/>
        <w:rPr>
          <w:rFonts w:hint="eastAsia"/>
        </w:rPr>
      </w:pPr>
      <w:r>
        <w:rPr>
          <w:rFonts w:hint="eastAsia"/>
        </w:rPr>
        <w:lastRenderedPageBreak/>
        <w:t>注：1、本基金首任基金经理的任职日期为本基金合同生效日，后任基金经理的任职日期以及历任基金经理的离任日期为公司相关会议作出决定的公告（生效）日期；</w:t>
      </w:r>
    </w:p>
    <w:p w:rsidR="00576402" w:rsidRDefault="00576402" w:rsidP="00576402">
      <w:pPr>
        <w:pStyle w:val="-"/>
        <w:ind w:firstLine="420"/>
        <w:rPr>
          <w:rFonts w:hint="eastAsia"/>
        </w:rPr>
      </w:pPr>
      <w:r>
        <w:rPr>
          <w:rFonts w:hint="eastAsia"/>
        </w:rPr>
        <w:t>2、证券从业年限计算标准遵从中国证监会《证券基金经营机构董事、监事、高级管理人员及从业人员监督管理办法》中关于证券基金从业人员范围的相关规定。</w:t>
      </w:r>
    </w:p>
    <w:p w:rsidR="00576402" w:rsidRDefault="00576402" w:rsidP="00576402">
      <w:pPr>
        <w:pStyle w:val="-2"/>
        <w:spacing w:before="312"/>
        <w:rPr>
          <w:rFonts w:hint="eastAsia"/>
        </w:rPr>
      </w:pPr>
      <w:r>
        <w:rPr>
          <w:rFonts w:hint="eastAsia"/>
        </w:rPr>
        <w:t>管理人对报告期内本基金运作遵规守信情况的说明</w:t>
      </w:r>
    </w:p>
    <w:p w:rsidR="00576402" w:rsidRDefault="00576402" w:rsidP="00576402">
      <w:pPr>
        <w:pStyle w:val="-"/>
        <w:ind w:firstLine="420"/>
        <w:rPr>
          <w:rFonts w:hint="eastAsia"/>
        </w:rPr>
      </w:pPr>
      <w:r>
        <w:rPr>
          <w:rFonts w:hint="eastAsia"/>
        </w:rPr>
        <w:t>本报告期内，本基金管理人严格遵守《中华人民共和国证券投资基金法》等有关法律法规、中国证监会和本基金基金合同的规定，本着诚实信用、勤勉尽责的原则管理和运用基金资产，在严格控制风险的基础上，为基金份额持有人谋求利益。本报告期内，本基金运作整体合法合规，没有损害基金份额持有人利益。基金的投资范围、投资比例及投资组合符合有关法律法规及基金合同的规定。</w:t>
      </w:r>
    </w:p>
    <w:p w:rsidR="00576402" w:rsidRDefault="00576402" w:rsidP="00576402">
      <w:pPr>
        <w:pStyle w:val="-2"/>
        <w:spacing w:before="312"/>
        <w:rPr>
          <w:rFonts w:hint="eastAsia"/>
        </w:rPr>
      </w:pPr>
      <w:r>
        <w:rPr>
          <w:rFonts w:hint="eastAsia"/>
        </w:rPr>
        <w:t>公平交易专项说明</w:t>
      </w:r>
    </w:p>
    <w:p w:rsidR="00576402" w:rsidRDefault="00576402" w:rsidP="00576402">
      <w:pPr>
        <w:pStyle w:val="-3"/>
        <w:spacing w:before="156" w:after="156"/>
        <w:rPr>
          <w:rFonts w:hint="eastAsia"/>
        </w:rPr>
      </w:pPr>
      <w:r>
        <w:rPr>
          <w:rFonts w:hint="eastAsia"/>
        </w:rPr>
        <w:t>公平交易制度的执行情况</w:t>
      </w:r>
    </w:p>
    <w:p w:rsidR="00576402" w:rsidRDefault="00576402" w:rsidP="00576402">
      <w:pPr>
        <w:pStyle w:val="-"/>
        <w:ind w:firstLine="420"/>
        <w:rPr>
          <w:rFonts w:hint="eastAsia"/>
        </w:rPr>
      </w:pPr>
      <w:r>
        <w:rPr>
          <w:rFonts w:hint="eastAsia"/>
        </w:rPr>
        <w:t>本报告期内，本基金管理人严格执行《证券投资基金管理公司公平交易制度指导意见》，完善相应制度及流程，通过系统和人工等各种方式在各业务环节严格控制交易公平执行，公平对待旗下管理的所有基金和投资组合。</w:t>
      </w:r>
    </w:p>
    <w:p w:rsidR="00576402" w:rsidRDefault="00576402" w:rsidP="00576402">
      <w:pPr>
        <w:pStyle w:val="-3"/>
        <w:spacing w:before="156" w:after="156"/>
        <w:rPr>
          <w:rFonts w:hint="eastAsia"/>
        </w:rPr>
      </w:pPr>
      <w:r>
        <w:rPr>
          <w:rFonts w:hint="eastAsia"/>
        </w:rPr>
        <w:t>异常交易行为的专项说明</w:t>
      </w:r>
    </w:p>
    <w:p w:rsidR="00576402" w:rsidRDefault="00576402" w:rsidP="00576402">
      <w:pPr>
        <w:pStyle w:val="-"/>
        <w:ind w:firstLine="420"/>
        <w:rPr>
          <w:rFonts w:hint="eastAsia"/>
        </w:rPr>
      </w:pPr>
      <w:r>
        <w:rPr>
          <w:rFonts w:hint="eastAsia"/>
        </w:rPr>
        <w:t>本基金于本报告期内不存在异常交易行为。本报告期内基金管理人管理的所有投资组合参与的交易所公开竞价同日反向交易成交较少的单边交易量超过该证券当日成交量的5%的交易次数为16次，是由于指数投资组合的投资策略导致。</w:t>
      </w:r>
    </w:p>
    <w:p w:rsidR="00576402" w:rsidRDefault="00576402" w:rsidP="00576402">
      <w:pPr>
        <w:pStyle w:val="-2"/>
        <w:spacing w:before="312"/>
        <w:rPr>
          <w:rFonts w:hint="eastAsia"/>
        </w:rPr>
      </w:pPr>
      <w:r>
        <w:rPr>
          <w:rFonts w:hint="eastAsia"/>
        </w:rPr>
        <w:t>报告期内基金投资策略和运作分析</w:t>
      </w:r>
    </w:p>
    <w:p w:rsidR="00576402" w:rsidRDefault="00576402" w:rsidP="00576402">
      <w:pPr>
        <w:pStyle w:val="-"/>
        <w:ind w:firstLine="420"/>
        <w:rPr>
          <w:rFonts w:hint="eastAsia"/>
        </w:rPr>
      </w:pPr>
      <w:r>
        <w:rPr>
          <w:rFonts w:hint="eastAsia"/>
        </w:rPr>
        <w:t>本产品跟踪中证港股通50指数，聚焦港股通范围内市值排名前50的龙头公司。2026 年一季度，在全球流动性收紧、地缘政治风险升温与内地经济温和复苏等多重因素交织下，港股市场整体呈现震荡走势，年初受益于美联储降息预期升温与内地春节后资金回流，市场稳步上行，但在3月以来随着美联储降息预期回调，叠加中东地缘冲突升级导致全球风险偏好骤降，港股出现剧烈回撤与调整。从资金面来看，一季度南向资金持续净流入，依然为港股市场提供了坚实的流动性支撑，估值角度来看港股市场也仍处于相对低位，具备较高安全边际与长期配置价值。展望后市，美联储货币政策转向节奏、内地经济复苏力度及地缘政治演变仍是核心变量，短期市场或维持震荡磨底态势，但长期看，低估值优势与稳健的基本面将为港股市场提供估值修复的充足空间。</w:t>
      </w:r>
    </w:p>
    <w:p w:rsidR="00576402" w:rsidRDefault="00576402" w:rsidP="00576402">
      <w:pPr>
        <w:pStyle w:val="-"/>
        <w:ind w:firstLine="420"/>
        <w:rPr>
          <w:rFonts w:hint="eastAsia"/>
        </w:rPr>
      </w:pPr>
      <w:r>
        <w:rPr>
          <w:rFonts w:hint="eastAsia"/>
        </w:rPr>
        <w:lastRenderedPageBreak/>
        <w:t>报告期间我们通过自建的“指数化交易系统”、“日内择时交易模型”、“跟踪误差归因分析系统”、“ETF 现金流精算系统”等，将本基金的跟踪误差指标控制在较好水平，并通过严格的风险管理流程，确保了本产品的平稳运作。我们对本基金报告期内跟踪误差归因分析如下：</w:t>
      </w:r>
    </w:p>
    <w:p w:rsidR="00576402" w:rsidRDefault="00576402" w:rsidP="00576402">
      <w:pPr>
        <w:pStyle w:val="-"/>
        <w:ind w:firstLine="420"/>
        <w:rPr>
          <w:rFonts w:hint="eastAsia"/>
        </w:rPr>
      </w:pPr>
      <w:r>
        <w:rPr>
          <w:rFonts w:hint="eastAsia"/>
        </w:rPr>
        <w:t>（1）报告期内我们完成了基金的建仓，事前我们制定了详细的建仓方案，在实施过程中引入多方校验机制防范风险发生，控制基金跟踪误差；</w:t>
      </w:r>
    </w:p>
    <w:p w:rsidR="00576402" w:rsidRDefault="00576402" w:rsidP="00576402">
      <w:pPr>
        <w:pStyle w:val="-"/>
        <w:ind w:firstLine="420"/>
        <w:rPr>
          <w:rFonts w:hint="eastAsia"/>
        </w:rPr>
      </w:pPr>
      <w:r>
        <w:rPr>
          <w:rFonts w:hint="eastAsia"/>
        </w:rPr>
        <w:t>（2）接受申购赎回所带来的仓位偏离，对此我们通过日内择时交易争取跟踪误差最小化。</w:t>
      </w:r>
    </w:p>
    <w:p w:rsidR="00576402" w:rsidRDefault="00576402" w:rsidP="00576402">
      <w:pPr>
        <w:pStyle w:val="-2"/>
        <w:spacing w:before="312"/>
        <w:rPr>
          <w:rFonts w:hint="eastAsia"/>
        </w:rPr>
      </w:pPr>
      <w:r>
        <w:rPr>
          <w:rFonts w:hint="eastAsia"/>
        </w:rPr>
        <w:t>报告期内基金的业绩表现</w:t>
      </w:r>
    </w:p>
    <w:p w:rsidR="00576402" w:rsidRDefault="00576402" w:rsidP="00576402">
      <w:pPr>
        <w:pStyle w:val="-"/>
        <w:ind w:firstLine="420"/>
        <w:rPr>
          <w:rFonts w:hint="eastAsia"/>
        </w:rPr>
      </w:pPr>
      <w:r>
        <w:rPr>
          <w:rFonts w:hint="eastAsia"/>
        </w:rPr>
        <w:t>截至报告期末，本基金份额净值为0.9181元，报告期内，份额净值增长率为-5.45%，同期业绩基准增长率为-5.85%。</w:t>
      </w:r>
    </w:p>
    <w:p w:rsidR="00576402" w:rsidRDefault="00576402" w:rsidP="00576402">
      <w:pPr>
        <w:pStyle w:val="-2"/>
        <w:spacing w:before="312"/>
        <w:rPr>
          <w:rFonts w:hint="eastAsia"/>
        </w:rPr>
      </w:pPr>
      <w:r>
        <w:rPr>
          <w:rFonts w:hint="eastAsia"/>
        </w:rPr>
        <w:t>报告期内基金持有人数或基金资产净值预警说明</w:t>
      </w:r>
    </w:p>
    <w:p w:rsidR="00576402" w:rsidRDefault="00576402" w:rsidP="00576402">
      <w:pPr>
        <w:pStyle w:val="-"/>
        <w:ind w:firstLine="420"/>
        <w:rPr>
          <w:rFonts w:hint="eastAsia"/>
        </w:rPr>
      </w:pPr>
      <w:r>
        <w:rPr>
          <w:rFonts w:hint="eastAsia"/>
        </w:rPr>
        <w:t>报告期内，本基金未出现连续二十个交易日基金份额持有人数量不满二百人或者基金资产净值低于五千万元的情形。</w:t>
      </w:r>
    </w:p>
    <w:p w:rsidR="00576402" w:rsidRDefault="00576402" w:rsidP="00576402">
      <w:pPr>
        <w:pStyle w:val="-1"/>
        <w:ind w:left="281" w:hanging="281"/>
        <w:rPr>
          <w:rFonts w:hint="eastAsia"/>
        </w:rPr>
      </w:pPr>
      <w:r>
        <w:rPr>
          <w:rFonts w:hint="eastAsia"/>
        </w:rPr>
        <w:t>投资组合报告</w:t>
      </w:r>
    </w:p>
    <w:p w:rsidR="00576402" w:rsidRDefault="00576402" w:rsidP="00576402">
      <w:pPr>
        <w:pStyle w:val="-2"/>
        <w:spacing w:before="312"/>
        <w:rPr>
          <w:rFonts w:hint="eastAsia"/>
        </w:rPr>
      </w:pPr>
      <w:r>
        <w:rPr>
          <w:rFonts w:hint="eastAsia"/>
        </w:rPr>
        <w:t>报告期末基金资产组合情况</w:t>
      </w:r>
    </w:p>
    <w:p w:rsidR="00576402" w:rsidRDefault="00576402" w:rsidP="00576402">
      <w:pPr>
        <w:jc w:val="right"/>
        <w:rPr>
          <w:rFonts w:hint="eastAsia"/>
        </w:rPr>
      </w:pPr>
      <w:r>
        <w:rPr>
          <w:rFonts w:hint="eastAsia"/>
        </w:rPr>
        <w:t>金额单位：人民币元</w:t>
      </w:r>
    </w:p>
    <w:tbl>
      <w:tblPr>
        <w:tblStyle w:val="-0"/>
        <w:tblW w:w="8504" w:type="dxa"/>
        <w:tblLayout w:type="fixed"/>
        <w:tblLook w:val="04A0" w:firstRow="1" w:lastRow="0" w:firstColumn="1" w:lastColumn="0" w:noHBand="0" w:noVBand="1"/>
      </w:tblPr>
      <w:tblGrid>
        <w:gridCol w:w="646"/>
        <w:gridCol w:w="2971"/>
        <w:gridCol w:w="2381"/>
        <w:gridCol w:w="2506"/>
      </w:tblGrid>
      <w:tr w:rsidR="00576402" w:rsidTr="00576402">
        <w:trPr>
          <w:cnfStyle w:val="100000000000" w:firstRow="1" w:lastRow="0" w:firstColumn="0" w:lastColumn="0" w:oddVBand="0" w:evenVBand="0" w:oddHBand="0" w:evenHBand="0" w:firstRowFirstColumn="0" w:firstRowLastColumn="0" w:lastRowFirstColumn="0" w:lastRowLastColumn="0"/>
        </w:trPr>
        <w:tc>
          <w:tcPr>
            <w:tcW w:w="646" w:type="dxa"/>
          </w:tcPr>
          <w:p w:rsidR="00576402" w:rsidRPr="00576402" w:rsidRDefault="00576402" w:rsidP="00576402">
            <w:pPr>
              <w:jc w:val="center"/>
              <w:rPr>
                <w:b/>
              </w:rPr>
            </w:pPr>
            <w:r w:rsidRPr="00576402">
              <w:rPr>
                <w:rFonts w:hint="eastAsia"/>
                <w:b/>
              </w:rPr>
              <w:t>序号</w:t>
            </w:r>
          </w:p>
        </w:tc>
        <w:tc>
          <w:tcPr>
            <w:tcW w:w="2971" w:type="dxa"/>
          </w:tcPr>
          <w:p w:rsidR="00576402" w:rsidRPr="00576402" w:rsidRDefault="00576402" w:rsidP="00576402">
            <w:pPr>
              <w:jc w:val="center"/>
              <w:rPr>
                <w:b/>
              </w:rPr>
            </w:pPr>
            <w:r w:rsidRPr="00576402">
              <w:rPr>
                <w:rFonts w:hint="eastAsia"/>
                <w:b/>
              </w:rPr>
              <w:t>项目</w:t>
            </w:r>
          </w:p>
        </w:tc>
        <w:tc>
          <w:tcPr>
            <w:tcW w:w="2381" w:type="dxa"/>
          </w:tcPr>
          <w:p w:rsidR="00576402" w:rsidRPr="00576402" w:rsidRDefault="00576402" w:rsidP="00576402">
            <w:pPr>
              <w:jc w:val="center"/>
              <w:rPr>
                <w:b/>
              </w:rPr>
            </w:pPr>
            <w:r w:rsidRPr="00576402">
              <w:rPr>
                <w:rFonts w:hint="eastAsia"/>
                <w:b/>
              </w:rPr>
              <w:t>金额（元）</w:t>
            </w:r>
          </w:p>
        </w:tc>
        <w:tc>
          <w:tcPr>
            <w:tcW w:w="2506" w:type="dxa"/>
          </w:tcPr>
          <w:p w:rsidR="00576402" w:rsidRPr="00576402" w:rsidRDefault="00576402" w:rsidP="00576402">
            <w:pPr>
              <w:jc w:val="center"/>
              <w:rPr>
                <w:b/>
              </w:rPr>
            </w:pPr>
            <w:r w:rsidRPr="00576402">
              <w:rPr>
                <w:rFonts w:hint="eastAsia"/>
                <w:b/>
              </w:rPr>
              <w:t>占基金总资产的比例（</w:t>
            </w:r>
            <w:r w:rsidRPr="00576402">
              <w:rPr>
                <w:rFonts w:hint="eastAsia"/>
                <w:b/>
              </w:rPr>
              <w:t>%</w:t>
            </w:r>
            <w:r w:rsidRPr="00576402">
              <w:rPr>
                <w:rFonts w:hint="eastAsia"/>
                <w:b/>
              </w:rPr>
              <w:t>）</w:t>
            </w:r>
          </w:p>
        </w:tc>
      </w:tr>
      <w:tr w:rsidR="00576402" w:rsidTr="00576402">
        <w:tc>
          <w:tcPr>
            <w:tcW w:w="646" w:type="dxa"/>
          </w:tcPr>
          <w:p w:rsidR="00576402" w:rsidRDefault="00576402" w:rsidP="00576402">
            <w:pPr>
              <w:jc w:val="center"/>
            </w:pPr>
            <w:r>
              <w:t>1</w:t>
            </w:r>
          </w:p>
        </w:tc>
        <w:tc>
          <w:tcPr>
            <w:tcW w:w="2971" w:type="dxa"/>
          </w:tcPr>
          <w:p w:rsidR="00576402" w:rsidRDefault="00576402" w:rsidP="00576402">
            <w:pPr>
              <w:jc w:val="left"/>
            </w:pPr>
            <w:r>
              <w:rPr>
                <w:rFonts w:hint="eastAsia"/>
              </w:rPr>
              <w:t>权益投资</w:t>
            </w:r>
          </w:p>
        </w:tc>
        <w:tc>
          <w:tcPr>
            <w:tcW w:w="2381" w:type="dxa"/>
          </w:tcPr>
          <w:p w:rsidR="00576402" w:rsidRDefault="00576402" w:rsidP="00576402">
            <w:pPr>
              <w:jc w:val="right"/>
            </w:pPr>
            <w:r>
              <w:t>154,033,555.38</w:t>
            </w:r>
          </w:p>
        </w:tc>
        <w:tc>
          <w:tcPr>
            <w:tcW w:w="2506" w:type="dxa"/>
          </w:tcPr>
          <w:p w:rsidR="00576402" w:rsidRDefault="00576402" w:rsidP="00576402">
            <w:pPr>
              <w:jc w:val="right"/>
            </w:pPr>
            <w:r>
              <w:t>87.50</w:t>
            </w:r>
          </w:p>
        </w:tc>
      </w:tr>
      <w:tr w:rsidR="00576402" w:rsidTr="00576402">
        <w:tc>
          <w:tcPr>
            <w:tcW w:w="646" w:type="dxa"/>
          </w:tcPr>
          <w:p w:rsidR="00576402" w:rsidRDefault="00576402" w:rsidP="00576402">
            <w:pPr>
              <w:jc w:val="center"/>
            </w:pPr>
          </w:p>
        </w:tc>
        <w:tc>
          <w:tcPr>
            <w:tcW w:w="2971" w:type="dxa"/>
          </w:tcPr>
          <w:p w:rsidR="00576402" w:rsidRDefault="00576402" w:rsidP="00576402">
            <w:pPr>
              <w:jc w:val="left"/>
            </w:pPr>
            <w:r>
              <w:rPr>
                <w:rFonts w:hint="eastAsia"/>
              </w:rPr>
              <w:t>其中：股票</w:t>
            </w:r>
          </w:p>
        </w:tc>
        <w:tc>
          <w:tcPr>
            <w:tcW w:w="2381" w:type="dxa"/>
          </w:tcPr>
          <w:p w:rsidR="00576402" w:rsidRDefault="00576402" w:rsidP="00576402">
            <w:pPr>
              <w:jc w:val="right"/>
            </w:pPr>
            <w:r>
              <w:t>154,033,555.38</w:t>
            </w:r>
          </w:p>
        </w:tc>
        <w:tc>
          <w:tcPr>
            <w:tcW w:w="2506" w:type="dxa"/>
          </w:tcPr>
          <w:p w:rsidR="00576402" w:rsidRDefault="00576402" w:rsidP="00576402">
            <w:pPr>
              <w:jc w:val="right"/>
            </w:pPr>
            <w:r>
              <w:t>87.50</w:t>
            </w:r>
          </w:p>
        </w:tc>
      </w:tr>
      <w:tr w:rsidR="00576402" w:rsidTr="00576402">
        <w:tc>
          <w:tcPr>
            <w:tcW w:w="646" w:type="dxa"/>
          </w:tcPr>
          <w:p w:rsidR="00576402" w:rsidRDefault="00576402" w:rsidP="00576402">
            <w:pPr>
              <w:jc w:val="center"/>
            </w:pPr>
            <w:r>
              <w:t>2</w:t>
            </w:r>
          </w:p>
        </w:tc>
        <w:tc>
          <w:tcPr>
            <w:tcW w:w="2971" w:type="dxa"/>
          </w:tcPr>
          <w:p w:rsidR="00576402" w:rsidRDefault="00576402" w:rsidP="00576402">
            <w:pPr>
              <w:jc w:val="left"/>
            </w:pPr>
            <w:r>
              <w:rPr>
                <w:rFonts w:hint="eastAsia"/>
              </w:rPr>
              <w:t>基金投资</w:t>
            </w:r>
          </w:p>
        </w:tc>
        <w:tc>
          <w:tcPr>
            <w:tcW w:w="2381" w:type="dxa"/>
          </w:tcPr>
          <w:p w:rsidR="00576402" w:rsidRDefault="00576402" w:rsidP="00576402">
            <w:pPr>
              <w:jc w:val="right"/>
            </w:pPr>
            <w:r>
              <w:t>-</w:t>
            </w:r>
          </w:p>
        </w:tc>
        <w:tc>
          <w:tcPr>
            <w:tcW w:w="2506" w:type="dxa"/>
          </w:tcPr>
          <w:p w:rsidR="00576402" w:rsidRDefault="00576402" w:rsidP="00576402">
            <w:pPr>
              <w:jc w:val="right"/>
            </w:pPr>
            <w:r>
              <w:t>-</w:t>
            </w:r>
          </w:p>
        </w:tc>
      </w:tr>
      <w:tr w:rsidR="00576402" w:rsidTr="00576402">
        <w:tc>
          <w:tcPr>
            <w:tcW w:w="646" w:type="dxa"/>
          </w:tcPr>
          <w:p w:rsidR="00576402" w:rsidRDefault="00576402" w:rsidP="00576402">
            <w:pPr>
              <w:jc w:val="center"/>
            </w:pPr>
            <w:r>
              <w:t>3</w:t>
            </w:r>
          </w:p>
        </w:tc>
        <w:tc>
          <w:tcPr>
            <w:tcW w:w="2971" w:type="dxa"/>
          </w:tcPr>
          <w:p w:rsidR="00576402" w:rsidRDefault="00576402" w:rsidP="00576402">
            <w:pPr>
              <w:jc w:val="left"/>
            </w:pPr>
            <w:r>
              <w:rPr>
                <w:rFonts w:hint="eastAsia"/>
              </w:rPr>
              <w:t>固定收益投资</w:t>
            </w:r>
          </w:p>
        </w:tc>
        <w:tc>
          <w:tcPr>
            <w:tcW w:w="2381" w:type="dxa"/>
          </w:tcPr>
          <w:p w:rsidR="00576402" w:rsidRDefault="00576402" w:rsidP="00576402">
            <w:pPr>
              <w:jc w:val="right"/>
            </w:pPr>
            <w:r>
              <w:t>-</w:t>
            </w:r>
          </w:p>
        </w:tc>
        <w:tc>
          <w:tcPr>
            <w:tcW w:w="2506" w:type="dxa"/>
          </w:tcPr>
          <w:p w:rsidR="00576402" w:rsidRDefault="00576402" w:rsidP="00576402">
            <w:pPr>
              <w:jc w:val="right"/>
            </w:pPr>
            <w:r>
              <w:t>-</w:t>
            </w:r>
          </w:p>
        </w:tc>
      </w:tr>
      <w:tr w:rsidR="00576402" w:rsidTr="00576402">
        <w:tc>
          <w:tcPr>
            <w:tcW w:w="646" w:type="dxa"/>
          </w:tcPr>
          <w:p w:rsidR="00576402" w:rsidRDefault="00576402" w:rsidP="00576402">
            <w:pPr>
              <w:jc w:val="center"/>
            </w:pPr>
          </w:p>
        </w:tc>
        <w:tc>
          <w:tcPr>
            <w:tcW w:w="2971" w:type="dxa"/>
          </w:tcPr>
          <w:p w:rsidR="00576402" w:rsidRDefault="00576402" w:rsidP="00576402">
            <w:pPr>
              <w:jc w:val="left"/>
            </w:pPr>
            <w:r>
              <w:rPr>
                <w:rFonts w:hint="eastAsia"/>
              </w:rPr>
              <w:t>其中：债券</w:t>
            </w:r>
          </w:p>
        </w:tc>
        <w:tc>
          <w:tcPr>
            <w:tcW w:w="2381" w:type="dxa"/>
          </w:tcPr>
          <w:p w:rsidR="00576402" w:rsidRDefault="00576402" w:rsidP="00576402">
            <w:pPr>
              <w:jc w:val="right"/>
            </w:pPr>
            <w:r>
              <w:t>-</w:t>
            </w:r>
          </w:p>
        </w:tc>
        <w:tc>
          <w:tcPr>
            <w:tcW w:w="2506" w:type="dxa"/>
          </w:tcPr>
          <w:p w:rsidR="00576402" w:rsidRDefault="00576402" w:rsidP="00576402">
            <w:pPr>
              <w:jc w:val="right"/>
            </w:pPr>
            <w:r>
              <w:t>-</w:t>
            </w:r>
          </w:p>
        </w:tc>
      </w:tr>
      <w:tr w:rsidR="00576402" w:rsidTr="00576402">
        <w:tc>
          <w:tcPr>
            <w:tcW w:w="646" w:type="dxa"/>
          </w:tcPr>
          <w:p w:rsidR="00576402" w:rsidRDefault="00576402" w:rsidP="00576402">
            <w:pPr>
              <w:jc w:val="center"/>
            </w:pPr>
          </w:p>
        </w:tc>
        <w:tc>
          <w:tcPr>
            <w:tcW w:w="2971" w:type="dxa"/>
          </w:tcPr>
          <w:p w:rsidR="00576402" w:rsidRDefault="00576402" w:rsidP="00576402">
            <w:pPr>
              <w:jc w:val="left"/>
            </w:pPr>
            <w:r>
              <w:rPr>
                <w:rFonts w:hint="eastAsia"/>
              </w:rPr>
              <w:t xml:space="preserve">      </w:t>
            </w:r>
            <w:r>
              <w:rPr>
                <w:rFonts w:hint="eastAsia"/>
              </w:rPr>
              <w:t>资产支持证券</w:t>
            </w:r>
          </w:p>
        </w:tc>
        <w:tc>
          <w:tcPr>
            <w:tcW w:w="2381" w:type="dxa"/>
          </w:tcPr>
          <w:p w:rsidR="00576402" w:rsidRDefault="00576402" w:rsidP="00576402">
            <w:pPr>
              <w:jc w:val="right"/>
            </w:pPr>
            <w:r>
              <w:t>-</w:t>
            </w:r>
          </w:p>
        </w:tc>
        <w:tc>
          <w:tcPr>
            <w:tcW w:w="2506" w:type="dxa"/>
          </w:tcPr>
          <w:p w:rsidR="00576402" w:rsidRDefault="00576402" w:rsidP="00576402">
            <w:pPr>
              <w:jc w:val="right"/>
            </w:pPr>
            <w:r>
              <w:t>-</w:t>
            </w:r>
          </w:p>
        </w:tc>
      </w:tr>
      <w:tr w:rsidR="00576402" w:rsidTr="00576402">
        <w:tc>
          <w:tcPr>
            <w:tcW w:w="646" w:type="dxa"/>
          </w:tcPr>
          <w:p w:rsidR="00576402" w:rsidRDefault="00576402" w:rsidP="00576402">
            <w:pPr>
              <w:jc w:val="center"/>
            </w:pPr>
            <w:r>
              <w:t>4</w:t>
            </w:r>
          </w:p>
        </w:tc>
        <w:tc>
          <w:tcPr>
            <w:tcW w:w="2971" w:type="dxa"/>
          </w:tcPr>
          <w:p w:rsidR="00576402" w:rsidRDefault="00576402" w:rsidP="00576402">
            <w:pPr>
              <w:jc w:val="left"/>
            </w:pPr>
            <w:r>
              <w:rPr>
                <w:rFonts w:hint="eastAsia"/>
              </w:rPr>
              <w:t>贵金属投资</w:t>
            </w:r>
          </w:p>
        </w:tc>
        <w:tc>
          <w:tcPr>
            <w:tcW w:w="2381" w:type="dxa"/>
          </w:tcPr>
          <w:p w:rsidR="00576402" w:rsidRDefault="00576402" w:rsidP="00576402">
            <w:pPr>
              <w:jc w:val="right"/>
            </w:pPr>
            <w:r>
              <w:t>-</w:t>
            </w:r>
          </w:p>
        </w:tc>
        <w:tc>
          <w:tcPr>
            <w:tcW w:w="2506" w:type="dxa"/>
          </w:tcPr>
          <w:p w:rsidR="00576402" w:rsidRDefault="00576402" w:rsidP="00576402">
            <w:pPr>
              <w:jc w:val="right"/>
            </w:pPr>
            <w:r>
              <w:t>-</w:t>
            </w:r>
          </w:p>
        </w:tc>
      </w:tr>
      <w:tr w:rsidR="00576402" w:rsidTr="00576402">
        <w:tc>
          <w:tcPr>
            <w:tcW w:w="646" w:type="dxa"/>
          </w:tcPr>
          <w:p w:rsidR="00576402" w:rsidRDefault="00576402" w:rsidP="00576402">
            <w:pPr>
              <w:jc w:val="center"/>
            </w:pPr>
            <w:r>
              <w:t>5</w:t>
            </w:r>
          </w:p>
        </w:tc>
        <w:tc>
          <w:tcPr>
            <w:tcW w:w="2971" w:type="dxa"/>
          </w:tcPr>
          <w:p w:rsidR="00576402" w:rsidRDefault="00576402" w:rsidP="00576402">
            <w:pPr>
              <w:jc w:val="left"/>
            </w:pPr>
            <w:r>
              <w:rPr>
                <w:rFonts w:hint="eastAsia"/>
              </w:rPr>
              <w:t>金融衍生品投资</w:t>
            </w:r>
          </w:p>
        </w:tc>
        <w:tc>
          <w:tcPr>
            <w:tcW w:w="2381" w:type="dxa"/>
          </w:tcPr>
          <w:p w:rsidR="00576402" w:rsidRDefault="00576402" w:rsidP="00576402">
            <w:pPr>
              <w:jc w:val="right"/>
            </w:pPr>
            <w:r>
              <w:t>-</w:t>
            </w:r>
          </w:p>
        </w:tc>
        <w:tc>
          <w:tcPr>
            <w:tcW w:w="2506" w:type="dxa"/>
          </w:tcPr>
          <w:p w:rsidR="00576402" w:rsidRDefault="00576402" w:rsidP="00576402">
            <w:pPr>
              <w:jc w:val="right"/>
            </w:pPr>
            <w:r>
              <w:t>-</w:t>
            </w:r>
          </w:p>
        </w:tc>
      </w:tr>
      <w:tr w:rsidR="00576402" w:rsidTr="00576402">
        <w:tc>
          <w:tcPr>
            <w:tcW w:w="646" w:type="dxa"/>
          </w:tcPr>
          <w:p w:rsidR="00576402" w:rsidRDefault="00576402" w:rsidP="00576402">
            <w:pPr>
              <w:jc w:val="center"/>
            </w:pPr>
            <w:r>
              <w:t>6</w:t>
            </w:r>
          </w:p>
        </w:tc>
        <w:tc>
          <w:tcPr>
            <w:tcW w:w="2971" w:type="dxa"/>
          </w:tcPr>
          <w:p w:rsidR="00576402" w:rsidRDefault="00576402" w:rsidP="00576402">
            <w:pPr>
              <w:jc w:val="left"/>
            </w:pPr>
            <w:r>
              <w:rPr>
                <w:rFonts w:hint="eastAsia"/>
              </w:rPr>
              <w:t>买入返售金融资产</w:t>
            </w:r>
          </w:p>
        </w:tc>
        <w:tc>
          <w:tcPr>
            <w:tcW w:w="2381" w:type="dxa"/>
          </w:tcPr>
          <w:p w:rsidR="00576402" w:rsidRDefault="00576402" w:rsidP="00576402">
            <w:pPr>
              <w:jc w:val="right"/>
            </w:pPr>
            <w:r>
              <w:t>-</w:t>
            </w:r>
          </w:p>
        </w:tc>
        <w:tc>
          <w:tcPr>
            <w:tcW w:w="2506" w:type="dxa"/>
          </w:tcPr>
          <w:p w:rsidR="00576402" w:rsidRDefault="00576402" w:rsidP="00576402">
            <w:pPr>
              <w:jc w:val="right"/>
            </w:pPr>
            <w:r>
              <w:t>-</w:t>
            </w:r>
          </w:p>
        </w:tc>
      </w:tr>
      <w:tr w:rsidR="00576402" w:rsidTr="00576402">
        <w:tc>
          <w:tcPr>
            <w:tcW w:w="646" w:type="dxa"/>
          </w:tcPr>
          <w:p w:rsidR="00576402" w:rsidRDefault="00576402" w:rsidP="00576402">
            <w:pPr>
              <w:jc w:val="center"/>
            </w:pPr>
          </w:p>
        </w:tc>
        <w:tc>
          <w:tcPr>
            <w:tcW w:w="2971" w:type="dxa"/>
          </w:tcPr>
          <w:p w:rsidR="00576402" w:rsidRDefault="00576402" w:rsidP="00576402">
            <w:pPr>
              <w:jc w:val="left"/>
            </w:pPr>
            <w:r>
              <w:rPr>
                <w:rFonts w:hint="eastAsia"/>
              </w:rPr>
              <w:t>其中：买断式回购的买入返售金融资产</w:t>
            </w:r>
          </w:p>
        </w:tc>
        <w:tc>
          <w:tcPr>
            <w:tcW w:w="2381" w:type="dxa"/>
          </w:tcPr>
          <w:p w:rsidR="00576402" w:rsidRDefault="00576402" w:rsidP="00576402">
            <w:pPr>
              <w:jc w:val="right"/>
            </w:pPr>
            <w:r>
              <w:t>-</w:t>
            </w:r>
          </w:p>
        </w:tc>
        <w:tc>
          <w:tcPr>
            <w:tcW w:w="2506" w:type="dxa"/>
          </w:tcPr>
          <w:p w:rsidR="00576402" w:rsidRDefault="00576402" w:rsidP="00576402">
            <w:pPr>
              <w:jc w:val="right"/>
            </w:pPr>
            <w:r>
              <w:t>-</w:t>
            </w:r>
          </w:p>
        </w:tc>
      </w:tr>
      <w:tr w:rsidR="00576402" w:rsidTr="00576402">
        <w:tc>
          <w:tcPr>
            <w:tcW w:w="646" w:type="dxa"/>
          </w:tcPr>
          <w:p w:rsidR="00576402" w:rsidRDefault="00576402" w:rsidP="00576402">
            <w:pPr>
              <w:jc w:val="center"/>
            </w:pPr>
            <w:r>
              <w:t>7</w:t>
            </w:r>
          </w:p>
        </w:tc>
        <w:tc>
          <w:tcPr>
            <w:tcW w:w="2971" w:type="dxa"/>
          </w:tcPr>
          <w:p w:rsidR="00576402" w:rsidRDefault="00576402" w:rsidP="00576402">
            <w:pPr>
              <w:jc w:val="left"/>
            </w:pPr>
            <w:r>
              <w:rPr>
                <w:rFonts w:hint="eastAsia"/>
              </w:rPr>
              <w:t>银行存款和结算备付金合计</w:t>
            </w:r>
          </w:p>
        </w:tc>
        <w:tc>
          <w:tcPr>
            <w:tcW w:w="2381" w:type="dxa"/>
          </w:tcPr>
          <w:p w:rsidR="00576402" w:rsidRDefault="00576402" w:rsidP="00576402">
            <w:pPr>
              <w:jc w:val="right"/>
            </w:pPr>
            <w:r>
              <w:t>21,597,040.50</w:t>
            </w:r>
          </w:p>
        </w:tc>
        <w:tc>
          <w:tcPr>
            <w:tcW w:w="2506" w:type="dxa"/>
          </w:tcPr>
          <w:p w:rsidR="00576402" w:rsidRDefault="00576402" w:rsidP="00576402">
            <w:pPr>
              <w:jc w:val="right"/>
            </w:pPr>
            <w:r>
              <w:t>12.27</w:t>
            </w:r>
          </w:p>
        </w:tc>
      </w:tr>
      <w:tr w:rsidR="00576402" w:rsidTr="00576402">
        <w:tc>
          <w:tcPr>
            <w:tcW w:w="646" w:type="dxa"/>
          </w:tcPr>
          <w:p w:rsidR="00576402" w:rsidRDefault="00576402" w:rsidP="00576402">
            <w:pPr>
              <w:jc w:val="center"/>
            </w:pPr>
            <w:r>
              <w:t>8</w:t>
            </w:r>
          </w:p>
        </w:tc>
        <w:tc>
          <w:tcPr>
            <w:tcW w:w="2971" w:type="dxa"/>
          </w:tcPr>
          <w:p w:rsidR="00576402" w:rsidRDefault="00576402" w:rsidP="00576402">
            <w:pPr>
              <w:jc w:val="left"/>
            </w:pPr>
            <w:r>
              <w:rPr>
                <w:rFonts w:hint="eastAsia"/>
              </w:rPr>
              <w:t>其他资产</w:t>
            </w:r>
          </w:p>
        </w:tc>
        <w:tc>
          <w:tcPr>
            <w:tcW w:w="2381" w:type="dxa"/>
          </w:tcPr>
          <w:p w:rsidR="00576402" w:rsidRDefault="00576402" w:rsidP="00576402">
            <w:pPr>
              <w:jc w:val="right"/>
            </w:pPr>
            <w:r>
              <w:t>408,838.67</w:t>
            </w:r>
          </w:p>
        </w:tc>
        <w:tc>
          <w:tcPr>
            <w:tcW w:w="2506" w:type="dxa"/>
          </w:tcPr>
          <w:p w:rsidR="00576402" w:rsidRDefault="00576402" w:rsidP="00576402">
            <w:pPr>
              <w:jc w:val="right"/>
            </w:pPr>
            <w:r>
              <w:t>0.23</w:t>
            </w:r>
          </w:p>
        </w:tc>
      </w:tr>
      <w:tr w:rsidR="00576402" w:rsidTr="00576402">
        <w:tc>
          <w:tcPr>
            <w:tcW w:w="646" w:type="dxa"/>
          </w:tcPr>
          <w:p w:rsidR="00576402" w:rsidRDefault="00576402" w:rsidP="00576402">
            <w:pPr>
              <w:jc w:val="center"/>
            </w:pPr>
            <w:r>
              <w:lastRenderedPageBreak/>
              <w:t>9</w:t>
            </w:r>
          </w:p>
        </w:tc>
        <w:tc>
          <w:tcPr>
            <w:tcW w:w="2971" w:type="dxa"/>
          </w:tcPr>
          <w:p w:rsidR="00576402" w:rsidRDefault="00576402" w:rsidP="00576402">
            <w:pPr>
              <w:jc w:val="left"/>
            </w:pPr>
            <w:r>
              <w:rPr>
                <w:rFonts w:hint="eastAsia"/>
              </w:rPr>
              <w:t>合计</w:t>
            </w:r>
          </w:p>
        </w:tc>
        <w:tc>
          <w:tcPr>
            <w:tcW w:w="2381" w:type="dxa"/>
          </w:tcPr>
          <w:p w:rsidR="00576402" w:rsidRDefault="00576402" w:rsidP="00576402">
            <w:pPr>
              <w:jc w:val="right"/>
            </w:pPr>
            <w:r>
              <w:t>176,039,434.55</w:t>
            </w:r>
          </w:p>
        </w:tc>
        <w:tc>
          <w:tcPr>
            <w:tcW w:w="2506" w:type="dxa"/>
          </w:tcPr>
          <w:p w:rsidR="00576402" w:rsidRDefault="00576402" w:rsidP="00576402">
            <w:pPr>
              <w:jc w:val="right"/>
            </w:pPr>
            <w:r>
              <w:t>100.00</w:t>
            </w:r>
          </w:p>
        </w:tc>
      </w:tr>
    </w:tbl>
    <w:p w:rsidR="00576402" w:rsidRDefault="00576402" w:rsidP="00576402">
      <w:pPr>
        <w:pStyle w:val="-8"/>
        <w:rPr>
          <w:rFonts w:hint="eastAsia"/>
        </w:rPr>
      </w:pPr>
      <w:r>
        <w:rPr>
          <w:rFonts w:hint="eastAsia"/>
        </w:rPr>
        <w:t>注：1、上表中的股票投资项含可退替代款估值增值，而行业分类的合计项中不含可退替代款估值增值；</w:t>
      </w:r>
    </w:p>
    <w:p w:rsidR="00576402" w:rsidRDefault="00576402" w:rsidP="00576402">
      <w:pPr>
        <w:pStyle w:val="-"/>
        <w:ind w:firstLine="420"/>
        <w:rPr>
          <w:rFonts w:hint="eastAsia"/>
        </w:rPr>
      </w:pPr>
      <w:r>
        <w:rPr>
          <w:rFonts w:hint="eastAsia"/>
        </w:rPr>
        <w:t>2、本基金本报告期末通过深港通交易机制投资的港股市值为人民币154,033,555.38元，占基金资产净值比例99.51%。</w:t>
      </w:r>
    </w:p>
    <w:p w:rsidR="00576402" w:rsidRDefault="00576402" w:rsidP="00576402">
      <w:pPr>
        <w:pStyle w:val="-2"/>
        <w:spacing w:before="312"/>
        <w:rPr>
          <w:rFonts w:hint="eastAsia"/>
        </w:rPr>
      </w:pPr>
      <w:r>
        <w:rPr>
          <w:rFonts w:hint="eastAsia"/>
        </w:rPr>
        <w:t>报告期末按行业分类的股票投资组合</w:t>
      </w:r>
    </w:p>
    <w:p w:rsidR="00576402" w:rsidRDefault="00576402" w:rsidP="00576402">
      <w:pPr>
        <w:pStyle w:val="-3"/>
        <w:spacing w:before="156" w:after="156"/>
        <w:rPr>
          <w:rFonts w:hint="eastAsia"/>
        </w:rPr>
      </w:pPr>
      <w:r>
        <w:rPr>
          <w:rFonts w:hint="eastAsia"/>
        </w:rPr>
        <w:t>报告期末指数投资按行业分类的境内股票投资组合</w:t>
      </w:r>
    </w:p>
    <w:p w:rsidR="00576402" w:rsidRDefault="00576402" w:rsidP="00576402">
      <w:pPr>
        <w:pStyle w:val="-"/>
        <w:ind w:firstLine="420"/>
        <w:rPr>
          <w:rFonts w:hint="eastAsia"/>
        </w:rPr>
      </w:pPr>
      <w:r>
        <w:rPr>
          <w:rFonts w:hint="eastAsia"/>
        </w:rPr>
        <w:t>无。</w:t>
      </w:r>
    </w:p>
    <w:p w:rsidR="00576402" w:rsidRDefault="00576402" w:rsidP="00576402">
      <w:pPr>
        <w:pStyle w:val="-3"/>
        <w:spacing w:before="156" w:after="156"/>
        <w:rPr>
          <w:rFonts w:hint="eastAsia"/>
        </w:rPr>
      </w:pPr>
      <w:r>
        <w:rPr>
          <w:rFonts w:hint="eastAsia"/>
        </w:rPr>
        <w:t>报告期末积极投资按行业分类的境内股票投资组合</w:t>
      </w:r>
    </w:p>
    <w:p w:rsidR="00576402" w:rsidRDefault="00576402" w:rsidP="00576402">
      <w:pPr>
        <w:pStyle w:val="-"/>
        <w:ind w:firstLine="420"/>
        <w:rPr>
          <w:rFonts w:hint="eastAsia"/>
        </w:rPr>
      </w:pPr>
      <w:r>
        <w:rPr>
          <w:rFonts w:hint="eastAsia"/>
        </w:rPr>
        <w:t>无。</w:t>
      </w:r>
    </w:p>
    <w:p w:rsidR="00576402" w:rsidRDefault="00576402" w:rsidP="00576402">
      <w:pPr>
        <w:pStyle w:val="-3"/>
        <w:spacing w:before="156" w:after="156"/>
        <w:rPr>
          <w:rFonts w:hint="eastAsia"/>
        </w:rPr>
      </w:pPr>
      <w:r>
        <w:rPr>
          <w:rFonts w:hint="eastAsia"/>
        </w:rPr>
        <w:t>报告期末按行业分类的港股通投资股票投资组合</w:t>
      </w:r>
    </w:p>
    <w:tbl>
      <w:tblPr>
        <w:tblStyle w:val="-0"/>
        <w:tblW w:w="0" w:type="auto"/>
        <w:tblLayout w:type="fixed"/>
        <w:tblLook w:val="04A0" w:firstRow="1" w:lastRow="0" w:firstColumn="1" w:lastColumn="0" w:noHBand="0" w:noVBand="1"/>
      </w:tblPr>
      <w:tblGrid>
        <w:gridCol w:w="2768"/>
        <w:gridCol w:w="2769"/>
        <w:gridCol w:w="2769"/>
      </w:tblGrid>
      <w:tr w:rsidR="00576402" w:rsidTr="00576402">
        <w:trPr>
          <w:cnfStyle w:val="100000000000" w:firstRow="1" w:lastRow="0" w:firstColumn="0" w:lastColumn="0" w:oddVBand="0" w:evenVBand="0" w:oddHBand="0" w:evenHBand="0" w:firstRowFirstColumn="0" w:firstRowLastColumn="0" w:lastRowFirstColumn="0" w:lastRowLastColumn="0"/>
        </w:trPr>
        <w:tc>
          <w:tcPr>
            <w:tcW w:w="2768" w:type="dxa"/>
          </w:tcPr>
          <w:p w:rsidR="00576402" w:rsidRPr="00576402" w:rsidRDefault="00576402" w:rsidP="00576402">
            <w:pPr>
              <w:jc w:val="center"/>
              <w:rPr>
                <w:b/>
              </w:rPr>
            </w:pPr>
            <w:r w:rsidRPr="00576402">
              <w:rPr>
                <w:rFonts w:hint="eastAsia"/>
                <w:b/>
              </w:rPr>
              <w:t>行业类别</w:t>
            </w:r>
          </w:p>
        </w:tc>
        <w:tc>
          <w:tcPr>
            <w:tcW w:w="2769" w:type="dxa"/>
          </w:tcPr>
          <w:p w:rsidR="00576402" w:rsidRPr="00576402" w:rsidRDefault="00576402" w:rsidP="00576402">
            <w:pPr>
              <w:jc w:val="center"/>
              <w:rPr>
                <w:b/>
              </w:rPr>
            </w:pPr>
            <w:r w:rsidRPr="00576402">
              <w:rPr>
                <w:rFonts w:hint="eastAsia"/>
                <w:b/>
              </w:rPr>
              <w:t>公允价值（人民币）</w:t>
            </w:r>
          </w:p>
        </w:tc>
        <w:tc>
          <w:tcPr>
            <w:tcW w:w="2769" w:type="dxa"/>
          </w:tcPr>
          <w:p w:rsidR="00576402" w:rsidRPr="00576402" w:rsidRDefault="00576402" w:rsidP="00576402">
            <w:pPr>
              <w:jc w:val="center"/>
              <w:rPr>
                <w:b/>
              </w:rPr>
            </w:pPr>
            <w:r w:rsidRPr="00576402">
              <w:rPr>
                <w:rFonts w:hint="eastAsia"/>
                <w:b/>
              </w:rPr>
              <w:t>占基金资产净值比例（</w:t>
            </w:r>
            <w:r w:rsidRPr="00576402">
              <w:rPr>
                <w:rFonts w:hint="eastAsia"/>
                <w:b/>
              </w:rPr>
              <w:t>%</w:t>
            </w:r>
            <w:r w:rsidRPr="00576402">
              <w:rPr>
                <w:rFonts w:hint="eastAsia"/>
                <w:b/>
              </w:rPr>
              <w:t>）</w:t>
            </w:r>
          </w:p>
        </w:tc>
      </w:tr>
      <w:tr w:rsidR="00576402" w:rsidTr="00576402">
        <w:tc>
          <w:tcPr>
            <w:tcW w:w="2768" w:type="dxa"/>
          </w:tcPr>
          <w:p w:rsidR="00576402" w:rsidRDefault="00576402" w:rsidP="00576402">
            <w:pPr>
              <w:jc w:val="left"/>
            </w:pPr>
            <w:r>
              <w:rPr>
                <w:rFonts w:hint="eastAsia"/>
              </w:rPr>
              <w:t>能源</w:t>
            </w:r>
          </w:p>
        </w:tc>
        <w:tc>
          <w:tcPr>
            <w:tcW w:w="2769" w:type="dxa"/>
          </w:tcPr>
          <w:p w:rsidR="00576402" w:rsidRDefault="00576402" w:rsidP="00576402">
            <w:pPr>
              <w:jc w:val="right"/>
            </w:pPr>
            <w:r>
              <w:t>7,452,539.48</w:t>
            </w:r>
          </w:p>
        </w:tc>
        <w:tc>
          <w:tcPr>
            <w:tcW w:w="2769" w:type="dxa"/>
          </w:tcPr>
          <w:p w:rsidR="00576402" w:rsidRDefault="00576402" w:rsidP="00576402">
            <w:pPr>
              <w:jc w:val="right"/>
            </w:pPr>
            <w:r>
              <w:t>4.81</w:t>
            </w:r>
          </w:p>
        </w:tc>
      </w:tr>
      <w:tr w:rsidR="00576402" w:rsidTr="00576402">
        <w:tc>
          <w:tcPr>
            <w:tcW w:w="2768" w:type="dxa"/>
          </w:tcPr>
          <w:p w:rsidR="00576402" w:rsidRDefault="00576402" w:rsidP="00576402">
            <w:pPr>
              <w:jc w:val="left"/>
            </w:pPr>
            <w:r>
              <w:rPr>
                <w:rFonts w:hint="eastAsia"/>
              </w:rPr>
              <w:t>材料</w:t>
            </w:r>
          </w:p>
        </w:tc>
        <w:tc>
          <w:tcPr>
            <w:tcW w:w="2769" w:type="dxa"/>
          </w:tcPr>
          <w:p w:rsidR="00576402" w:rsidRDefault="00576402" w:rsidP="00576402">
            <w:pPr>
              <w:jc w:val="right"/>
            </w:pPr>
            <w:r>
              <w:t>1,350,948.82</w:t>
            </w:r>
          </w:p>
        </w:tc>
        <w:tc>
          <w:tcPr>
            <w:tcW w:w="2769" w:type="dxa"/>
          </w:tcPr>
          <w:p w:rsidR="00576402" w:rsidRDefault="00576402" w:rsidP="00576402">
            <w:pPr>
              <w:jc w:val="right"/>
            </w:pPr>
            <w:r>
              <w:t>0.87</w:t>
            </w:r>
          </w:p>
        </w:tc>
      </w:tr>
      <w:tr w:rsidR="00576402" w:rsidTr="00576402">
        <w:tc>
          <w:tcPr>
            <w:tcW w:w="2768" w:type="dxa"/>
          </w:tcPr>
          <w:p w:rsidR="00576402" w:rsidRDefault="00576402" w:rsidP="00576402">
            <w:pPr>
              <w:jc w:val="left"/>
            </w:pPr>
            <w:r>
              <w:rPr>
                <w:rFonts w:hint="eastAsia"/>
              </w:rPr>
              <w:t>工业</w:t>
            </w:r>
          </w:p>
        </w:tc>
        <w:tc>
          <w:tcPr>
            <w:tcW w:w="2769" w:type="dxa"/>
          </w:tcPr>
          <w:p w:rsidR="00576402" w:rsidRDefault="00576402" w:rsidP="00576402">
            <w:pPr>
              <w:jc w:val="right"/>
            </w:pPr>
            <w:r>
              <w:t>3,888,405.84</w:t>
            </w:r>
          </w:p>
        </w:tc>
        <w:tc>
          <w:tcPr>
            <w:tcW w:w="2769" w:type="dxa"/>
          </w:tcPr>
          <w:p w:rsidR="00576402" w:rsidRDefault="00576402" w:rsidP="00576402">
            <w:pPr>
              <w:jc w:val="right"/>
            </w:pPr>
            <w:r>
              <w:t>2.51</w:t>
            </w:r>
          </w:p>
        </w:tc>
      </w:tr>
      <w:tr w:rsidR="00576402" w:rsidTr="00576402">
        <w:tc>
          <w:tcPr>
            <w:tcW w:w="2768" w:type="dxa"/>
          </w:tcPr>
          <w:p w:rsidR="00576402" w:rsidRDefault="00576402" w:rsidP="00576402">
            <w:pPr>
              <w:jc w:val="left"/>
            </w:pPr>
            <w:r>
              <w:rPr>
                <w:rFonts w:hint="eastAsia"/>
              </w:rPr>
              <w:t>非必需消费品</w:t>
            </w:r>
          </w:p>
        </w:tc>
        <w:tc>
          <w:tcPr>
            <w:tcW w:w="2769" w:type="dxa"/>
          </w:tcPr>
          <w:p w:rsidR="00576402" w:rsidRDefault="00576402" w:rsidP="00576402">
            <w:pPr>
              <w:jc w:val="right"/>
            </w:pPr>
            <w:r>
              <w:t>23,564,526.32</w:t>
            </w:r>
          </w:p>
        </w:tc>
        <w:tc>
          <w:tcPr>
            <w:tcW w:w="2769" w:type="dxa"/>
          </w:tcPr>
          <w:p w:rsidR="00576402" w:rsidRDefault="00576402" w:rsidP="00576402">
            <w:pPr>
              <w:jc w:val="right"/>
            </w:pPr>
            <w:r>
              <w:t>15.22</w:t>
            </w:r>
          </w:p>
        </w:tc>
      </w:tr>
      <w:tr w:rsidR="00576402" w:rsidTr="00576402">
        <w:tc>
          <w:tcPr>
            <w:tcW w:w="2768" w:type="dxa"/>
          </w:tcPr>
          <w:p w:rsidR="00576402" w:rsidRDefault="00576402" w:rsidP="00576402">
            <w:pPr>
              <w:jc w:val="left"/>
            </w:pPr>
            <w:r>
              <w:rPr>
                <w:rFonts w:hint="eastAsia"/>
              </w:rPr>
              <w:t>必需消费品</w:t>
            </w:r>
          </w:p>
        </w:tc>
        <w:tc>
          <w:tcPr>
            <w:tcW w:w="2769" w:type="dxa"/>
          </w:tcPr>
          <w:p w:rsidR="00576402" w:rsidRDefault="00576402" w:rsidP="00576402">
            <w:pPr>
              <w:jc w:val="right"/>
            </w:pPr>
            <w:r>
              <w:t>2,505,247.01</w:t>
            </w:r>
          </w:p>
        </w:tc>
        <w:tc>
          <w:tcPr>
            <w:tcW w:w="2769" w:type="dxa"/>
          </w:tcPr>
          <w:p w:rsidR="00576402" w:rsidRDefault="00576402" w:rsidP="00576402">
            <w:pPr>
              <w:jc w:val="right"/>
            </w:pPr>
            <w:r>
              <w:t>1.62</w:t>
            </w:r>
          </w:p>
        </w:tc>
      </w:tr>
      <w:tr w:rsidR="00576402" w:rsidTr="00576402">
        <w:tc>
          <w:tcPr>
            <w:tcW w:w="2768" w:type="dxa"/>
          </w:tcPr>
          <w:p w:rsidR="00576402" w:rsidRDefault="00576402" w:rsidP="00576402">
            <w:pPr>
              <w:jc w:val="left"/>
            </w:pPr>
            <w:r>
              <w:rPr>
                <w:rFonts w:hint="eastAsia"/>
              </w:rPr>
              <w:t>医疗保健</w:t>
            </w:r>
          </w:p>
        </w:tc>
        <w:tc>
          <w:tcPr>
            <w:tcW w:w="2769" w:type="dxa"/>
          </w:tcPr>
          <w:p w:rsidR="00576402" w:rsidRDefault="00576402" w:rsidP="00576402">
            <w:pPr>
              <w:jc w:val="right"/>
            </w:pPr>
            <w:r>
              <w:t>2,548,723.47</w:t>
            </w:r>
          </w:p>
        </w:tc>
        <w:tc>
          <w:tcPr>
            <w:tcW w:w="2769" w:type="dxa"/>
          </w:tcPr>
          <w:p w:rsidR="00576402" w:rsidRDefault="00576402" w:rsidP="00576402">
            <w:pPr>
              <w:jc w:val="right"/>
            </w:pPr>
            <w:r>
              <w:t>1.65</w:t>
            </w:r>
          </w:p>
        </w:tc>
      </w:tr>
      <w:tr w:rsidR="00576402" w:rsidTr="00576402">
        <w:tc>
          <w:tcPr>
            <w:tcW w:w="2768" w:type="dxa"/>
          </w:tcPr>
          <w:p w:rsidR="00576402" w:rsidRDefault="00576402" w:rsidP="00576402">
            <w:pPr>
              <w:jc w:val="left"/>
            </w:pPr>
            <w:r>
              <w:rPr>
                <w:rFonts w:hint="eastAsia"/>
              </w:rPr>
              <w:t>金融</w:t>
            </w:r>
          </w:p>
        </w:tc>
        <w:tc>
          <w:tcPr>
            <w:tcW w:w="2769" w:type="dxa"/>
          </w:tcPr>
          <w:p w:rsidR="00576402" w:rsidRDefault="00576402" w:rsidP="00576402">
            <w:pPr>
              <w:jc w:val="right"/>
            </w:pPr>
            <w:r>
              <w:t>72,271,457.38</w:t>
            </w:r>
          </w:p>
        </w:tc>
        <w:tc>
          <w:tcPr>
            <w:tcW w:w="2769" w:type="dxa"/>
          </w:tcPr>
          <w:p w:rsidR="00576402" w:rsidRDefault="00576402" w:rsidP="00576402">
            <w:pPr>
              <w:jc w:val="right"/>
            </w:pPr>
            <w:r>
              <w:t>46.69</w:t>
            </w:r>
          </w:p>
        </w:tc>
      </w:tr>
      <w:tr w:rsidR="00576402" w:rsidTr="00576402">
        <w:tc>
          <w:tcPr>
            <w:tcW w:w="2768" w:type="dxa"/>
          </w:tcPr>
          <w:p w:rsidR="00576402" w:rsidRDefault="00576402" w:rsidP="00576402">
            <w:pPr>
              <w:jc w:val="left"/>
            </w:pPr>
            <w:r>
              <w:rPr>
                <w:rFonts w:hint="eastAsia"/>
              </w:rPr>
              <w:t>科技</w:t>
            </w:r>
          </w:p>
        </w:tc>
        <w:tc>
          <w:tcPr>
            <w:tcW w:w="2769" w:type="dxa"/>
          </w:tcPr>
          <w:p w:rsidR="00576402" w:rsidRDefault="00576402" w:rsidP="00576402">
            <w:pPr>
              <w:jc w:val="right"/>
            </w:pPr>
            <w:r>
              <w:t>9,172,045.76</w:t>
            </w:r>
          </w:p>
        </w:tc>
        <w:tc>
          <w:tcPr>
            <w:tcW w:w="2769" w:type="dxa"/>
          </w:tcPr>
          <w:p w:rsidR="00576402" w:rsidRDefault="00576402" w:rsidP="00576402">
            <w:pPr>
              <w:jc w:val="right"/>
            </w:pPr>
            <w:r>
              <w:t>5.93</w:t>
            </w:r>
          </w:p>
        </w:tc>
      </w:tr>
      <w:tr w:rsidR="00576402" w:rsidTr="00576402">
        <w:tc>
          <w:tcPr>
            <w:tcW w:w="2768" w:type="dxa"/>
          </w:tcPr>
          <w:p w:rsidR="00576402" w:rsidRDefault="00576402" w:rsidP="00576402">
            <w:pPr>
              <w:jc w:val="left"/>
            </w:pPr>
            <w:r>
              <w:rPr>
                <w:rFonts w:hint="eastAsia"/>
              </w:rPr>
              <w:t>通讯</w:t>
            </w:r>
          </w:p>
        </w:tc>
        <w:tc>
          <w:tcPr>
            <w:tcW w:w="2769" w:type="dxa"/>
          </w:tcPr>
          <w:p w:rsidR="00576402" w:rsidRDefault="00576402" w:rsidP="00576402">
            <w:pPr>
              <w:jc w:val="right"/>
            </w:pPr>
            <w:r>
              <w:t>24,961,593.38</w:t>
            </w:r>
          </w:p>
        </w:tc>
        <w:tc>
          <w:tcPr>
            <w:tcW w:w="2769" w:type="dxa"/>
          </w:tcPr>
          <w:p w:rsidR="00576402" w:rsidRDefault="00576402" w:rsidP="00576402">
            <w:pPr>
              <w:jc w:val="right"/>
            </w:pPr>
            <w:r>
              <w:t>16.13</w:t>
            </w:r>
          </w:p>
        </w:tc>
      </w:tr>
      <w:tr w:rsidR="00576402" w:rsidTr="00576402">
        <w:tc>
          <w:tcPr>
            <w:tcW w:w="2768" w:type="dxa"/>
          </w:tcPr>
          <w:p w:rsidR="00576402" w:rsidRDefault="00576402" w:rsidP="00576402">
            <w:pPr>
              <w:jc w:val="left"/>
            </w:pPr>
            <w:r>
              <w:rPr>
                <w:rFonts w:hint="eastAsia"/>
              </w:rPr>
              <w:t>公用事业</w:t>
            </w:r>
          </w:p>
        </w:tc>
        <w:tc>
          <w:tcPr>
            <w:tcW w:w="2769" w:type="dxa"/>
          </w:tcPr>
          <w:p w:rsidR="00576402" w:rsidRDefault="00576402" w:rsidP="00576402">
            <w:pPr>
              <w:jc w:val="right"/>
            </w:pPr>
            <w:r>
              <w:t>2,100,361.46</w:t>
            </w:r>
          </w:p>
        </w:tc>
        <w:tc>
          <w:tcPr>
            <w:tcW w:w="2769" w:type="dxa"/>
          </w:tcPr>
          <w:p w:rsidR="00576402" w:rsidRDefault="00576402" w:rsidP="00576402">
            <w:pPr>
              <w:jc w:val="right"/>
            </w:pPr>
            <w:r>
              <w:t>1.36</w:t>
            </w:r>
          </w:p>
        </w:tc>
      </w:tr>
      <w:tr w:rsidR="00576402" w:rsidTr="00576402">
        <w:tc>
          <w:tcPr>
            <w:tcW w:w="2768" w:type="dxa"/>
          </w:tcPr>
          <w:p w:rsidR="00576402" w:rsidRDefault="00576402" w:rsidP="00576402">
            <w:pPr>
              <w:jc w:val="left"/>
            </w:pPr>
            <w:r>
              <w:rPr>
                <w:rFonts w:hint="eastAsia"/>
              </w:rPr>
              <w:t>房地产</w:t>
            </w:r>
          </w:p>
        </w:tc>
        <w:tc>
          <w:tcPr>
            <w:tcW w:w="2769" w:type="dxa"/>
          </w:tcPr>
          <w:p w:rsidR="00576402" w:rsidRDefault="00576402" w:rsidP="00576402">
            <w:pPr>
              <w:jc w:val="right"/>
            </w:pPr>
            <w:r>
              <w:t>4,217,706.46</w:t>
            </w:r>
          </w:p>
        </w:tc>
        <w:tc>
          <w:tcPr>
            <w:tcW w:w="2769" w:type="dxa"/>
          </w:tcPr>
          <w:p w:rsidR="00576402" w:rsidRDefault="00576402" w:rsidP="00576402">
            <w:pPr>
              <w:jc w:val="right"/>
            </w:pPr>
            <w:r>
              <w:t>2.72</w:t>
            </w:r>
          </w:p>
        </w:tc>
      </w:tr>
      <w:tr w:rsidR="00576402" w:rsidTr="00576402">
        <w:tc>
          <w:tcPr>
            <w:tcW w:w="2768" w:type="dxa"/>
          </w:tcPr>
          <w:p w:rsidR="00576402" w:rsidRDefault="00576402" w:rsidP="00576402">
            <w:pPr>
              <w:jc w:val="left"/>
            </w:pPr>
            <w:r>
              <w:rPr>
                <w:rFonts w:hint="eastAsia"/>
              </w:rPr>
              <w:t>政府</w:t>
            </w:r>
          </w:p>
        </w:tc>
        <w:tc>
          <w:tcPr>
            <w:tcW w:w="2769" w:type="dxa"/>
          </w:tcPr>
          <w:p w:rsidR="00576402" w:rsidRDefault="00576402" w:rsidP="00576402">
            <w:pPr>
              <w:jc w:val="right"/>
            </w:pPr>
            <w:r>
              <w:t>-</w:t>
            </w:r>
          </w:p>
        </w:tc>
        <w:tc>
          <w:tcPr>
            <w:tcW w:w="2769" w:type="dxa"/>
          </w:tcPr>
          <w:p w:rsidR="00576402" w:rsidRDefault="00576402" w:rsidP="00576402">
            <w:pPr>
              <w:jc w:val="right"/>
            </w:pPr>
            <w:r>
              <w:t>-</w:t>
            </w:r>
          </w:p>
        </w:tc>
      </w:tr>
      <w:tr w:rsidR="00576402" w:rsidTr="00576402">
        <w:tc>
          <w:tcPr>
            <w:tcW w:w="2768" w:type="dxa"/>
          </w:tcPr>
          <w:p w:rsidR="00576402" w:rsidRDefault="00576402" w:rsidP="00576402">
            <w:pPr>
              <w:jc w:val="left"/>
            </w:pPr>
            <w:r>
              <w:rPr>
                <w:rFonts w:hint="eastAsia"/>
              </w:rPr>
              <w:t>合计</w:t>
            </w:r>
          </w:p>
        </w:tc>
        <w:tc>
          <w:tcPr>
            <w:tcW w:w="2769" w:type="dxa"/>
          </w:tcPr>
          <w:p w:rsidR="00576402" w:rsidRDefault="00576402" w:rsidP="00576402">
            <w:pPr>
              <w:jc w:val="right"/>
            </w:pPr>
            <w:r>
              <w:t>154,033,555.38</w:t>
            </w:r>
          </w:p>
        </w:tc>
        <w:tc>
          <w:tcPr>
            <w:tcW w:w="2769" w:type="dxa"/>
          </w:tcPr>
          <w:p w:rsidR="00576402" w:rsidRDefault="00576402" w:rsidP="00576402">
            <w:pPr>
              <w:jc w:val="right"/>
            </w:pPr>
            <w:r>
              <w:t>99.51</w:t>
            </w:r>
          </w:p>
        </w:tc>
      </w:tr>
    </w:tbl>
    <w:p w:rsidR="00576402" w:rsidRDefault="00576402" w:rsidP="00576402">
      <w:pPr>
        <w:pStyle w:val="-8"/>
        <w:rPr>
          <w:rFonts w:hint="eastAsia"/>
        </w:rPr>
      </w:pPr>
      <w:r>
        <w:rPr>
          <w:rFonts w:hint="eastAsia"/>
        </w:rPr>
        <w:t>注：以上分类采用彭博行业分类标准（BICS）。</w:t>
      </w:r>
    </w:p>
    <w:p w:rsidR="00576402" w:rsidRDefault="00576402" w:rsidP="00576402">
      <w:pPr>
        <w:pStyle w:val="-2"/>
        <w:spacing w:before="312"/>
        <w:rPr>
          <w:rFonts w:hint="eastAsia"/>
        </w:rPr>
      </w:pPr>
      <w:r>
        <w:rPr>
          <w:rFonts w:hint="eastAsia"/>
        </w:rPr>
        <w:t>报告期末按公允价值占基金资产净值比例大小排序的前十名股票投资明细</w:t>
      </w:r>
    </w:p>
    <w:p w:rsidR="00576402" w:rsidRDefault="00576402" w:rsidP="00576402">
      <w:pPr>
        <w:pStyle w:val="-3"/>
        <w:spacing w:before="156" w:after="156"/>
        <w:rPr>
          <w:rFonts w:hint="eastAsia"/>
        </w:rPr>
      </w:pPr>
      <w:r>
        <w:rPr>
          <w:rFonts w:hint="eastAsia"/>
        </w:rPr>
        <w:t>报告期末指数投资按公允价值占基金资产净值比例大小排序的前十名股票投资明细</w:t>
      </w:r>
    </w:p>
    <w:tbl>
      <w:tblPr>
        <w:tblStyle w:val="-0"/>
        <w:tblW w:w="8504" w:type="dxa"/>
        <w:tblLayout w:type="fixed"/>
        <w:tblLook w:val="04A0" w:firstRow="1" w:lastRow="0" w:firstColumn="1" w:lastColumn="0" w:noHBand="0" w:noVBand="1"/>
      </w:tblPr>
      <w:tblGrid>
        <w:gridCol w:w="652"/>
        <w:gridCol w:w="1349"/>
        <w:gridCol w:w="1349"/>
        <w:gridCol w:w="1718"/>
        <w:gridCol w:w="1718"/>
        <w:gridCol w:w="1718"/>
      </w:tblGrid>
      <w:tr w:rsidR="00576402" w:rsidTr="00576402">
        <w:trPr>
          <w:cnfStyle w:val="100000000000" w:firstRow="1" w:lastRow="0" w:firstColumn="0" w:lastColumn="0" w:oddVBand="0" w:evenVBand="0" w:oddHBand="0" w:evenHBand="0" w:firstRowFirstColumn="0" w:firstRowLastColumn="0" w:lastRowFirstColumn="0" w:lastRowLastColumn="0"/>
        </w:trPr>
        <w:tc>
          <w:tcPr>
            <w:tcW w:w="652" w:type="dxa"/>
          </w:tcPr>
          <w:p w:rsidR="00576402" w:rsidRPr="00576402" w:rsidRDefault="00576402" w:rsidP="00576402">
            <w:pPr>
              <w:jc w:val="center"/>
              <w:rPr>
                <w:b/>
              </w:rPr>
            </w:pPr>
            <w:r w:rsidRPr="00576402">
              <w:rPr>
                <w:rFonts w:hint="eastAsia"/>
                <w:b/>
              </w:rPr>
              <w:t>序号</w:t>
            </w:r>
          </w:p>
        </w:tc>
        <w:tc>
          <w:tcPr>
            <w:tcW w:w="1349" w:type="dxa"/>
          </w:tcPr>
          <w:p w:rsidR="00576402" w:rsidRPr="00576402" w:rsidRDefault="00576402" w:rsidP="00576402">
            <w:pPr>
              <w:jc w:val="center"/>
              <w:rPr>
                <w:b/>
              </w:rPr>
            </w:pPr>
            <w:r w:rsidRPr="00576402">
              <w:rPr>
                <w:rFonts w:hint="eastAsia"/>
                <w:b/>
              </w:rPr>
              <w:t>股票代码</w:t>
            </w:r>
          </w:p>
        </w:tc>
        <w:tc>
          <w:tcPr>
            <w:tcW w:w="1349" w:type="dxa"/>
          </w:tcPr>
          <w:p w:rsidR="00576402" w:rsidRPr="00576402" w:rsidRDefault="00576402" w:rsidP="00576402">
            <w:pPr>
              <w:jc w:val="center"/>
              <w:rPr>
                <w:b/>
              </w:rPr>
            </w:pPr>
            <w:r w:rsidRPr="00576402">
              <w:rPr>
                <w:rFonts w:hint="eastAsia"/>
                <w:b/>
              </w:rPr>
              <w:t>股票名称</w:t>
            </w:r>
          </w:p>
        </w:tc>
        <w:tc>
          <w:tcPr>
            <w:tcW w:w="1718" w:type="dxa"/>
          </w:tcPr>
          <w:p w:rsidR="00576402" w:rsidRPr="00576402" w:rsidRDefault="00576402" w:rsidP="00576402">
            <w:pPr>
              <w:jc w:val="center"/>
              <w:rPr>
                <w:b/>
              </w:rPr>
            </w:pPr>
            <w:r w:rsidRPr="00576402">
              <w:rPr>
                <w:rFonts w:hint="eastAsia"/>
                <w:b/>
              </w:rPr>
              <w:t>数量（股）</w:t>
            </w:r>
          </w:p>
        </w:tc>
        <w:tc>
          <w:tcPr>
            <w:tcW w:w="1718" w:type="dxa"/>
          </w:tcPr>
          <w:p w:rsidR="00576402" w:rsidRPr="00576402" w:rsidRDefault="00576402" w:rsidP="00576402">
            <w:pPr>
              <w:jc w:val="center"/>
              <w:rPr>
                <w:b/>
              </w:rPr>
            </w:pPr>
            <w:r w:rsidRPr="00576402">
              <w:rPr>
                <w:rFonts w:hint="eastAsia"/>
                <w:b/>
              </w:rPr>
              <w:t>公允价值（元）</w:t>
            </w:r>
          </w:p>
        </w:tc>
        <w:tc>
          <w:tcPr>
            <w:tcW w:w="1718" w:type="dxa"/>
          </w:tcPr>
          <w:p w:rsidR="00576402" w:rsidRPr="00576402" w:rsidRDefault="00576402" w:rsidP="00576402">
            <w:pPr>
              <w:jc w:val="center"/>
              <w:rPr>
                <w:b/>
              </w:rPr>
            </w:pPr>
            <w:r w:rsidRPr="00576402">
              <w:rPr>
                <w:rFonts w:hint="eastAsia"/>
                <w:b/>
              </w:rPr>
              <w:t>占基金资产净值比例（％）</w:t>
            </w:r>
          </w:p>
        </w:tc>
      </w:tr>
      <w:tr w:rsidR="00576402" w:rsidTr="00576402">
        <w:tc>
          <w:tcPr>
            <w:tcW w:w="652" w:type="dxa"/>
          </w:tcPr>
          <w:p w:rsidR="00576402" w:rsidRDefault="00576402" w:rsidP="00576402">
            <w:pPr>
              <w:jc w:val="center"/>
            </w:pPr>
            <w:r>
              <w:t>1</w:t>
            </w:r>
          </w:p>
        </w:tc>
        <w:tc>
          <w:tcPr>
            <w:tcW w:w="1349" w:type="dxa"/>
          </w:tcPr>
          <w:p w:rsidR="00576402" w:rsidRDefault="00576402" w:rsidP="00576402">
            <w:pPr>
              <w:jc w:val="left"/>
            </w:pPr>
            <w:r>
              <w:t>00005</w:t>
            </w:r>
          </w:p>
        </w:tc>
        <w:tc>
          <w:tcPr>
            <w:tcW w:w="1349" w:type="dxa"/>
          </w:tcPr>
          <w:p w:rsidR="00576402" w:rsidRDefault="00576402" w:rsidP="00576402">
            <w:pPr>
              <w:jc w:val="left"/>
            </w:pPr>
            <w:r>
              <w:rPr>
                <w:rFonts w:hint="eastAsia"/>
              </w:rPr>
              <w:t>汇丰控股</w:t>
            </w:r>
          </w:p>
        </w:tc>
        <w:tc>
          <w:tcPr>
            <w:tcW w:w="1718" w:type="dxa"/>
          </w:tcPr>
          <w:p w:rsidR="00576402" w:rsidRDefault="00576402" w:rsidP="00576402">
            <w:pPr>
              <w:jc w:val="right"/>
            </w:pPr>
            <w:r>
              <w:t>167,600</w:t>
            </w:r>
          </w:p>
        </w:tc>
        <w:tc>
          <w:tcPr>
            <w:tcW w:w="1718" w:type="dxa"/>
          </w:tcPr>
          <w:p w:rsidR="00576402" w:rsidRDefault="00576402" w:rsidP="00576402">
            <w:pPr>
              <w:jc w:val="right"/>
            </w:pPr>
            <w:r>
              <w:t>18,616,188.44</w:t>
            </w:r>
          </w:p>
        </w:tc>
        <w:tc>
          <w:tcPr>
            <w:tcW w:w="1718" w:type="dxa"/>
          </w:tcPr>
          <w:p w:rsidR="00576402" w:rsidRDefault="00576402" w:rsidP="00576402">
            <w:pPr>
              <w:jc w:val="right"/>
            </w:pPr>
            <w:r>
              <w:t>12.03</w:t>
            </w:r>
          </w:p>
        </w:tc>
      </w:tr>
      <w:tr w:rsidR="00576402" w:rsidTr="00576402">
        <w:tc>
          <w:tcPr>
            <w:tcW w:w="652" w:type="dxa"/>
          </w:tcPr>
          <w:p w:rsidR="00576402" w:rsidRDefault="00576402" w:rsidP="00576402">
            <w:pPr>
              <w:jc w:val="center"/>
            </w:pPr>
            <w:r>
              <w:t>2</w:t>
            </w:r>
          </w:p>
        </w:tc>
        <w:tc>
          <w:tcPr>
            <w:tcW w:w="1349" w:type="dxa"/>
          </w:tcPr>
          <w:p w:rsidR="00576402" w:rsidRDefault="00576402" w:rsidP="00576402">
            <w:pPr>
              <w:jc w:val="left"/>
            </w:pPr>
            <w:r>
              <w:t>00700</w:t>
            </w:r>
          </w:p>
        </w:tc>
        <w:tc>
          <w:tcPr>
            <w:tcW w:w="1349" w:type="dxa"/>
          </w:tcPr>
          <w:p w:rsidR="00576402" w:rsidRDefault="00576402" w:rsidP="00576402">
            <w:pPr>
              <w:jc w:val="left"/>
            </w:pPr>
            <w:r>
              <w:rPr>
                <w:rFonts w:hint="eastAsia"/>
              </w:rPr>
              <w:t>腾讯控股</w:t>
            </w:r>
          </w:p>
        </w:tc>
        <w:tc>
          <w:tcPr>
            <w:tcW w:w="1718" w:type="dxa"/>
          </w:tcPr>
          <w:p w:rsidR="00576402" w:rsidRDefault="00576402" w:rsidP="00576402">
            <w:pPr>
              <w:jc w:val="right"/>
            </w:pPr>
            <w:r>
              <w:t>30,200</w:t>
            </w:r>
          </w:p>
        </w:tc>
        <w:tc>
          <w:tcPr>
            <w:tcW w:w="1718" w:type="dxa"/>
          </w:tcPr>
          <w:p w:rsidR="00576402" w:rsidRDefault="00576402" w:rsidP="00576402">
            <w:pPr>
              <w:jc w:val="right"/>
            </w:pPr>
            <w:r>
              <w:t>12,905,903.56</w:t>
            </w:r>
          </w:p>
        </w:tc>
        <w:tc>
          <w:tcPr>
            <w:tcW w:w="1718" w:type="dxa"/>
          </w:tcPr>
          <w:p w:rsidR="00576402" w:rsidRDefault="00576402" w:rsidP="00576402">
            <w:pPr>
              <w:jc w:val="right"/>
            </w:pPr>
            <w:r>
              <w:t>8.34</w:t>
            </w:r>
          </w:p>
        </w:tc>
      </w:tr>
      <w:tr w:rsidR="00576402" w:rsidTr="00576402">
        <w:tc>
          <w:tcPr>
            <w:tcW w:w="652" w:type="dxa"/>
          </w:tcPr>
          <w:p w:rsidR="00576402" w:rsidRDefault="00576402" w:rsidP="00576402">
            <w:pPr>
              <w:jc w:val="center"/>
            </w:pPr>
            <w:r>
              <w:t>3</w:t>
            </w:r>
          </w:p>
        </w:tc>
        <w:tc>
          <w:tcPr>
            <w:tcW w:w="1349" w:type="dxa"/>
          </w:tcPr>
          <w:p w:rsidR="00576402" w:rsidRDefault="00576402" w:rsidP="00576402">
            <w:pPr>
              <w:jc w:val="left"/>
            </w:pPr>
            <w:r>
              <w:t>09988</w:t>
            </w:r>
          </w:p>
        </w:tc>
        <w:tc>
          <w:tcPr>
            <w:tcW w:w="1349" w:type="dxa"/>
          </w:tcPr>
          <w:p w:rsidR="00576402" w:rsidRDefault="00576402" w:rsidP="00576402">
            <w:pPr>
              <w:jc w:val="left"/>
            </w:pPr>
            <w:r>
              <w:rPr>
                <w:rFonts w:hint="eastAsia"/>
              </w:rPr>
              <w:t>阿里巴巴</w:t>
            </w:r>
            <w:r>
              <w:rPr>
                <w:rFonts w:hint="eastAsia"/>
              </w:rPr>
              <w:t>-W</w:t>
            </w:r>
          </w:p>
        </w:tc>
        <w:tc>
          <w:tcPr>
            <w:tcW w:w="1718" w:type="dxa"/>
          </w:tcPr>
          <w:p w:rsidR="00576402" w:rsidRDefault="00576402" w:rsidP="00576402">
            <w:pPr>
              <w:jc w:val="right"/>
            </w:pPr>
            <w:r>
              <w:t>119,000</w:t>
            </w:r>
          </w:p>
        </w:tc>
        <w:tc>
          <w:tcPr>
            <w:tcW w:w="1718" w:type="dxa"/>
          </w:tcPr>
          <w:p w:rsidR="00576402" w:rsidRDefault="00576402" w:rsidP="00576402">
            <w:pPr>
              <w:jc w:val="right"/>
            </w:pPr>
            <w:r>
              <w:t>12,503,454.95</w:t>
            </w:r>
          </w:p>
        </w:tc>
        <w:tc>
          <w:tcPr>
            <w:tcW w:w="1718" w:type="dxa"/>
          </w:tcPr>
          <w:p w:rsidR="00576402" w:rsidRDefault="00576402" w:rsidP="00576402">
            <w:pPr>
              <w:jc w:val="right"/>
            </w:pPr>
            <w:r>
              <w:t>8.08</w:t>
            </w:r>
          </w:p>
        </w:tc>
      </w:tr>
      <w:tr w:rsidR="00576402" w:rsidTr="00576402">
        <w:tc>
          <w:tcPr>
            <w:tcW w:w="652" w:type="dxa"/>
          </w:tcPr>
          <w:p w:rsidR="00576402" w:rsidRDefault="00576402" w:rsidP="00576402">
            <w:pPr>
              <w:jc w:val="center"/>
            </w:pPr>
            <w:r>
              <w:t>4</w:t>
            </w:r>
          </w:p>
        </w:tc>
        <w:tc>
          <w:tcPr>
            <w:tcW w:w="1349" w:type="dxa"/>
          </w:tcPr>
          <w:p w:rsidR="00576402" w:rsidRDefault="00576402" w:rsidP="00576402">
            <w:pPr>
              <w:jc w:val="left"/>
            </w:pPr>
            <w:r>
              <w:t>00939</w:t>
            </w:r>
          </w:p>
        </w:tc>
        <w:tc>
          <w:tcPr>
            <w:tcW w:w="1349" w:type="dxa"/>
          </w:tcPr>
          <w:p w:rsidR="00576402" w:rsidRDefault="00576402" w:rsidP="00576402">
            <w:pPr>
              <w:jc w:val="left"/>
            </w:pPr>
            <w:r>
              <w:rPr>
                <w:rFonts w:hint="eastAsia"/>
              </w:rPr>
              <w:t>建设银行</w:t>
            </w:r>
          </w:p>
        </w:tc>
        <w:tc>
          <w:tcPr>
            <w:tcW w:w="1718" w:type="dxa"/>
          </w:tcPr>
          <w:p w:rsidR="00576402" w:rsidRDefault="00576402" w:rsidP="00576402">
            <w:pPr>
              <w:jc w:val="right"/>
            </w:pPr>
            <w:r>
              <w:t>1,388,000</w:t>
            </w:r>
          </w:p>
        </w:tc>
        <w:tc>
          <w:tcPr>
            <w:tcW w:w="1718" w:type="dxa"/>
          </w:tcPr>
          <w:p w:rsidR="00576402" w:rsidRDefault="00576402" w:rsidP="00576402">
            <w:pPr>
              <w:jc w:val="right"/>
            </w:pPr>
            <w:r>
              <w:t>10,282,235.29</w:t>
            </w:r>
          </w:p>
        </w:tc>
        <w:tc>
          <w:tcPr>
            <w:tcW w:w="1718" w:type="dxa"/>
          </w:tcPr>
          <w:p w:rsidR="00576402" w:rsidRDefault="00576402" w:rsidP="00576402">
            <w:pPr>
              <w:jc w:val="right"/>
            </w:pPr>
            <w:r>
              <w:t>6.64</w:t>
            </w:r>
          </w:p>
        </w:tc>
      </w:tr>
      <w:tr w:rsidR="00576402" w:rsidTr="00576402">
        <w:tc>
          <w:tcPr>
            <w:tcW w:w="652" w:type="dxa"/>
          </w:tcPr>
          <w:p w:rsidR="00576402" w:rsidRDefault="00576402" w:rsidP="00576402">
            <w:pPr>
              <w:jc w:val="center"/>
            </w:pPr>
            <w:r>
              <w:lastRenderedPageBreak/>
              <w:t>5</w:t>
            </w:r>
          </w:p>
        </w:tc>
        <w:tc>
          <w:tcPr>
            <w:tcW w:w="1349" w:type="dxa"/>
          </w:tcPr>
          <w:p w:rsidR="00576402" w:rsidRDefault="00576402" w:rsidP="00576402">
            <w:pPr>
              <w:jc w:val="left"/>
            </w:pPr>
            <w:r>
              <w:t>01299</w:t>
            </w:r>
          </w:p>
        </w:tc>
        <w:tc>
          <w:tcPr>
            <w:tcW w:w="1349" w:type="dxa"/>
          </w:tcPr>
          <w:p w:rsidR="00576402" w:rsidRDefault="00576402" w:rsidP="00576402">
            <w:pPr>
              <w:jc w:val="left"/>
            </w:pPr>
            <w:r>
              <w:rPr>
                <w:rFonts w:hint="eastAsia"/>
              </w:rPr>
              <w:t>友邦保险</w:t>
            </w:r>
          </w:p>
        </w:tc>
        <w:tc>
          <w:tcPr>
            <w:tcW w:w="1718" w:type="dxa"/>
          </w:tcPr>
          <w:p w:rsidR="00576402" w:rsidRDefault="00576402" w:rsidP="00576402">
            <w:pPr>
              <w:jc w:val="right"/>
            </w:pPr>
            <w:r>
              <w:t>121,400</w:t>
            </w:r>
          </w:p>
        </w:tc>
        <w:tc>
          <w:tcPr>
            <w:tcW w:w="1718" w:type="dxa"/>
          </w:tcPr>
          <w:p w:rsidR="00576402" w:rsidRDefault="00576402" w:rsidP="00576402">
            <w:pPr>
              <w:jc w:val="right"/>
            </w:pPr>
            <w:r>
              <w:t>9,095,082.53</w:t>
            </w:r>
          </w:p>
        </w:tc>
        <w:tc>
          <w:tcPr>
            <w:tcW w:w="1718" w:type="dxa"/>
          </w:tcPr>
          <w:p w:rsidR="00576402" w:rsidRDefault="00576402" w:rsidP="00576402">
            <w:pPr>
              <w:jc w:val="right"/>
            </w:pPr>
            <w:r>
              <w:t>5.88</w:t>
            </w:r>
          </w:p>
        </w:tc>
      </w:tr>
      <w:tr w:rsidR="00576402" w:rsidTr="00576402">
        <w:tc>
          <w:tcPr>
            <w:tcW w:w="652" w:type="dxa"/>
          </w:tcPr>
          <w:p w:rsidR="00576402" w:rsidRDefault="00576402" w:rsidP="00576402">
            <w:pPr>
              <w:jc w:val="center"/>
            </w:pPr>
            <w:r>
              <w:t>6</w:t>
            </w:r>
          </w:p>
        </w:tc>
        <w:tc>
          <w:tcPr>
            <w:tcW w:w="1349" w:type="dxa"/>
          </w:tcPr>
          <w:p w:rsidR="00576402" w:rsidRDefault="00576402" w:rsidP="00576402">
            <w:pPr>
              <w:jc w:val="left"/>
            </w:pPr>
            <w:r>
              <w:t>01398</w:t>
            </w:r>
          </w:p>
        </w:tc>
        <w:tc>
          <w:tcPr>
            <w:tcW w:w="1349" w:type="dxa"/>
          </w:tcPr>
          <w:p w:rsidR="00576402" w:rsidRDefault="00576402" w:rsidP="00576402">
            <w:pPr>
              <w:jc w:val="left"/>
            </w:pPr>
            <w:r>
              <w:rPr>
                <w:rFonts w:hint="eastAsia"/>
              </w:rPr>
              <w:t>工商银行</w:t>
            </w:r>
          </w:p>
        </w:tc>
        <w:tc>
          <w:tcPr>
            <w:tcW w:w="1718" w:type="dxa"/>
          </w:tcPr>
          <w:p w:rsidR="00576402" w:rsidRDefault="00576402" w:rsidP="00576402">
            <w:pPr>
              <w:jc w:val="right"/>
            </w:pPr>
            <w:r>
              <w:t>1,002,000</w:t>
            </w:r>
          </w:p>
        </w:tc>
        <w:tc>
          <w:tcPr>
            <w:tcW w:w="1718" w:type="dxa"/>
          </w:tcPr>
          <w:p w:rsidR="00576402" w:rsidRDefault="00576402" w:rsidP="00576402">
            <w:pPr>
              <w:jc w:val="right"/>
            </w:pPr>
            <w:r>
              <w:t>6,069,151.07</w:t>
            </w:r>
          </w:p>
        </w:tc>
        <w:tc>
          <w:tcPr>
            <w:tcW w:w="1718" w:type="dxa"/>
          </w:tcPr>
          <w:p w:rsidR="00576402" w:rsidRDefault="00576402" w:rsidP="00576402">
            <w:pPr>
              <w:jc w:val="right"/>
            </w:pPr>
            <w:r>
              <w:t>3.92</w:t>
            </w:r>
          </w:p>
        </w:tc>
      </w:tr>
      <w:tr w:rsidR="00576402" w:rsidTr="00576402">
        <w:tc>
          <w:tcPr>
            <w:tcW w:w="652" w:type="dxa"/>
          </w:tcPr>
          <w:p w:rsidR="00576402" w:rsidRDefault="00576402" w:rsidP="00576402">
            <w:pPr>
              <w:jc w:val="center"/>
            </w:pPr>
            <w:r>
              <w:t>7</w:t>
            </w:r>
          </w:p>
        </w:tc>
        <w:tc>
          <w:tcPr>
            <w:tcW w:w="1349" w:type="dxa"/>
          </w:tcPr>
          <w:p w:rsidR="00576402" w:rsidRDefault="00576402" w:rsidP="00576402">
            <w:pPr>
              <w:jc w:val="left"/>
            </w:pPr>
            <w:r>
              <w:t>01810</w:t>
            </w:r>
          </w:p>
        </w:tc>
        <w:tc>
          <w:tcPr>
            <w:tcW w:w="1349" w:type="dxa"/>
          </w:tcPr>
          <w:p w:rsidR="00576402" w:rsidRDefault="00576402" w:rsidP="00576402">
            <w:pPr>
              <w:jc w:val="left"/>
            </w:pPr>
            <w:r>
              <w:rPr>
                <w:rFonts w:hint="eastAsia"/>
              </w:rPr>
              <w:t>小米集团</w:t>
            </w:r>
            <w:r>
              <w:rPr>
                <w:rFonts w:hint="eastAsia"/>
              </w:rPr>
              <w:t>-W</w:t>
            </w:r>
          </w:p>
        </w:tc>
        <w:tc>
          <w:tcPr>
            <w:tcW w:w="1718" w:type="dxa"/>
          </w:tcPr>
          <w:p w:rsidR="00576402" w:rsidRDefault="00576402" w:rsidP="00576402">
            <w:pPr>
              <w:jc w:val="right"/>
            </w:pPr>
            <w:r>
              <w:t>210,600</w:t>
            </w:r>
          </w:p>
        </w:tc>
        <w:tc>
          <w:tcPr>
            <w:tcW w:w="1718" w:type="dxa"/>
          </w:tcPr>
          <w:p w:rsidR="00576402" w:rsidRDefault="00576402" w:rsidP="00576402">
            <w:pPr>
              <w:jc w:val="right"/>
            </w:pPr>
            <w:r>
              <w:t>5,905,748.82</w:t>
            </w:r>
          </w:p>
        </w:tc>
        <w:tc>
          <w:tcPr>
            <w:tcW w:w="1718" w:type="dxa"/>
          </w:tcPr>
          <w:p w:rsidR="00576402" w:rsidRDefault="00576402" w:rsidP="00576402">
            <w:pPr>
              <w:jc w:val="right"/>
            </w:pPr>
            <w:r>
              <w:t>3.82</w:t>
            </w:r>
          </w:p>
        </w:tc>
      </w:tr>
      <w:tr w:rsidR="00576402" w:rsidTr="00576402">
        <w:tc>
          <w:tcPr>
            <w:tcW w:w="652" w:type="dxa"/>
          </w:tcPr>
          <w:p w:rsidR="00576402" w:rsidRDefault="00576402" w:rsidP="00576402">
            <w:pPr>
              <w:jc w:val="center"/>
            </w:pPr>
            <w:r>
              <w:t>8</w:t>
            </w:r>
          </w:p>
        </w:tc>
        <w:tc>
          <w:tcPr>
            <w:tcW w:w="1349" w:type="dxa"/>
          </w:tcPr>
          <w:p w:rsidR="00576402" w:rsidRDefault="00576402" w:rsidP="00576402">
            <w:pPr>
              <w:jc w:val="left"/>
            </w:pPr>
            <w:r>
              <w:t>03690</w:t>
            </w:r>
          </w:p>
        </w:tc>
        <w:tc>
          <w:tcPr>
            <w:tcW w:w="1349" w:type="dxa"/>
          </w:tcPr>
          <w:p w:rsidR="00576402" w:rsidRDefault="00576402" w:rsidP="00576402">
            <w:pPr>
              <w:jc w:val="left"/>
            </w:pPr>
            <w:r>
              <w:rPr>
                <w:rFonts w:hint="eastAsia"/>
              </w:rPr>
              <w:t>美团</w:t>
            </w:r>
            <w:r>
              <w:rPr>
                <w:rFonts w:hint="eastAsia"/>
              </w:rPr>
              <w:t>-W</w:t>
            </w:r>
          </w:p>
        </w:tc>
        <w:tc>
          <w:tcPr>
            <w:tcW w:w="1718" w:type="dxa"/>
          </w:tcPr>
          <w:p w:rsidR="00576402" w:rsidRDefault="00576402" w:rsidP="00576402">
            <w:pPr>
              <w:jc w:val="right"/>
            </w:pPr>
            <w:r>
              <w:t>70,700</w:t>
            </w:r>
          </w:p>
        </w:tc>
        <w:tc>
          <w:tcPr>
            <w:tcW w:w="1718" w:type="dxa"/>
          </w:tcPr>
          <w:p w:rsidR="00576402" w:rsidRDefault="00576402" w:rsidP="00576402">
            <w:pPr>
              <w:jc w:val="right"/>
            </w:pPr>
            <w:r>
              <w:t>5,178,117.67</w:t>
            </w:r>
          </w:p>
        </w:tc>
        <w:tc>
          <w:tcPr>
            <w:tcW w:w="1718" w:type="dxa"/>
          </w:tcPr>
          <w:p w:rsidR="00576402" w:rsidRDefault="00576402" w:rsidP="00576402">
            <w:pPr>
              <w:jc w:val="right"/>
            </w:pPr>
            <w:r>
              <w:t>3.35</w:t>
            </w:r>
          </w:p>
        </w:tc>
      </w:tr>
      <w:tr w:rsidR="00576402" w:rsidTr="00576402">
        <w:tc>
          <w:tcPr>
            <w:tcW w:w="652" w:type="dxa"/>
          </w:tcPr>
          <w:p w:rsidR="00576402" w:rsidRDefault="00576402" w:rsidP="00576402">
            <w:pPr>
              <w:jc w:val="center"/>
            </w:pPr>
            <w:r>
              <w:t>9</w:t>
            </w:r>
          </w:p>
        </w:tc>
        <w:tc>
          <w:tcPr>
            <w:tcW w:w="1349" w:type="dxa"/>
          </w:tcPr>
          <w:p w:rsidR="00576402" w:rsidRDefault="00576402" w:rsidP="00576402">
            <w:pPr>
              <w:jc w:val="left"/>
            </w:pPr>
            <w:r>
              <w:t>00883</w:t>
            </w:r>
          </w:p>
        </w:tc>
        <w:tc>
          <w:tcPr>
            <w:tcW w:w="1349" w:type="dxa"/>
          </w:tcPr>
          <w:p w:rsidR="00576402" w:rsidRDefault="00576402" w:rsidP="00576402">
            <w:pPr>
              <w:jc w:val="left"/>
            </w:pPr>
            <w:r>
              <w:rPr>
                <w:rFonts w:hint="eastAsia"/>
              </w:rPr>
              <w:t>中国海洋石油</w:t>
            </w:r>
          </w:p>
        </w:tc>
        <w:tc>
          <w:tcPr>
            <w:tcW w:w="1718" w:type="dxa"/>
          </w:tcPr>
          <w:p w:rsidR="00576402" w:rsidRDefault="00576402" w:rsidP="00576402">
            <w:pPr>
              <w:jc w:val="right"/>
            </w:pPr>
            <w:r>
              <w:t>207,000</w:t>
            </w:r>
          </w:p>
        </w:tc>
        <w:tc>
          <w:tcPr>
            <w:tcW w:w="1718" w:type="dxa"/>
          </w:tcPr>
          <w:p w:rsidR="00576402" w:rsidRDefault="00576402" w:rsidP="00576402">
            <w:pPr>
              <w:jc w:val="right"/>
            </w:pPr>
            <w:r>
              <w:t>5,117,578.20</w:t>
            </w:r>
          </w:p>
        </w:tc>
        <w:tc>
          <w:tcPr>
            <w:tcW w:w="1718" w:type="dxa"/>
          </w:tcPr>
          <w:p w:rsidR="00576402" w:rsidRDefault="00576402" w:rsidP="00576402">
            <w:pPr>
              <w:jc w:val="right"/>
            </w:pPr>
            <w:r>
              <w:t>3.31</w:t>
            </w:r>
          </w:p>
        </w:tc>
      </w:tr>
      <w:tr w:rsidR="00576402" w:rsidTr="00576402">
        <w:tc>
          <w:tcPr>
            <w:tcW w:w="652" w:type="dxa"/>
          </w:tcPr>
          <w:p w:rsidR="00576402" w:rsidRDefault="00576402" w:rsidP="00576402">
            <w:pPr>
              <w:jc w:val="center"/>
            </w:pPr>
            <w:r>
              <w:t>10</w:t>
            </w:r>
          </w:p>
        </w:tc>
        <w:tc>
          <w:tcPr>
            <w:tcW w:w="1349" w:type="dxa"/>
          </w:tcPr>
          <w:p w:rsidR="00576402" w:rsidRDefault="00576402" w:rsidP="00576402">
            <w:pPr>
              <w:jc w:val="left"/>
            </w:pPr>
            <w:r>
              <w:t>00388</w:t>
            </w:r>
          </w:p>
        </w:tc>
        <w:tc>
          <w:tcPr>
            <w:tcW w:w="1349" w:type="dxa"/>
          </w:tcPr>
          <w:p w:rsidR="00576402" w:rsidRDefault="00576402" w:rsidP="00576402">
            <w:pPr>
              <w:jc w:val="left"/>
            </w:pPr>
            <w:r>
              <w:rPr>
                <w:rFonts w:hint="eastAsia"/>
              </w:rPr>
              <w:t>香港交易所</w:t>
            </w:r>
          </w:p>
        </w:tc>
        <w:tc>
          <w:tcPr>
            <w:tcW w:w="1718" w:type="dxa"/>
          </w:tcPr>
          <w:p w:rsidR="00576402" w:rsidRDefault="00576402" w:rsidP="00576402">
            <w:pPr>
              <w:jc w:val="right"/>
            </w:pPr>
            <w:r>
              <w:t>14,800</w:t>
            </w:r>
          </w:p>
        </w:tc>
        <w:tc>
          <w:tcPr>
            <w:tcW w:w="1718" w:type="dxa"/>
          </w:tcPr>
          <w:p w:rsidR="00576402" w:rsidRDefault="00576402" w:rsidP="00576402">
            <w:pPr>
              <w:jc w:val="right"/>
            </w:pPr>
            <w:r>
              <w:t>5,078,092.68</w:t>
            </w:r>
          </w:p>
        </w:tc>
        <w:tc>
          <w:tcPr>
            <w:tcW w:w="1718" w:type="dxa"/>
          </w:tcPr>
          <w:p w:rsidR="00576402" w:rsidRDefault="00576402" w:rsidP="00576402">
            <w:pPr>
              <w:jc w:val="right"/>
            </w:pPr>
            <w:r>
              <w:t>3.28</w:t>
            </w:r>
          </w:p>
        </w:tc>
      </w:tr>
    </w:tbl>
    <w:p w:rsidR="00576402" w:rsidRDefault="00576402" w:rsidP="00576402">
      <w:pPr>
        <w:pStyle w:val="-3"/>
        <w:spacing w:before="156" w:after="156"/>
        <w:rPr>
          <w:rFonts w:hint="eastAsia"/>
        </w:rPr>
      </w:pPr>
      <w:r>
        <w:rPr>
          <w:rFonts w:hint="eastAsia"/>
        </w:rPr>
        <w:t>报告期末积极投资按公允价值占基金资产净值比例大小排序的前五名股票投资明细</w:t>
      </w:r>
    </w:p>
    <w:p w:rsidR="00576402" w:rsidRDefault="00576402" w:rsidP="00576402">
      <w:pPr>
        <w:pStyle w:val="-"/>
        <w:ind w:firstLine="420"/>
        <w:rPr>
          <w:rFonts w:hint="eastAsia"/>
        </w:rPr>
      </w:pPr>
      <w:r>
        <w:rPr>
          <w:rFonts w:hint="eastAsia"/>
        </w:rPr>
        <w:t>无。</w:t>
      </w:r>
    </w:p>
    <w:p w:rsidR="00576402" w:rsidRDefault="00576402" w:rsidP="00576402">
      <w:pPr>
        <w:pStyle w:val="-2"/>
        <w:spacing w:before="312"/>
        <w:rPr>
          <w:rFonts w:hint="eastAsia"/>
        </w:rPr>
      </w:pPr>
      <w:r>
        <w:rPr>
          <w:rFonts w:hint="eastAsia"/>
        </w:rPr>
        <w:t>报告期末按债券品种分类的债券投资组合</w:t>
      </w:r>
    </w:p>
    <w:p w:rsidR="00576402" w:rsidRDefault="00576402" w:rsidP="00576402">
      <w:pPr>
        <w:pStyle w:val="-"/>
        <w:ind w:firstLine="420"/>
        <w:rPr>
          <w:rFonts w:hint="eastAsia"/>
        </w:rPr>
      </w:pPr>
      <w:r>
        <w:rPr>
          <w:rFonts w:hint="eastAsia"/>
        </w:rPr>
        <w:t>无。</w:t>
      </w:r>
    </w:p>
    <w:p w:rsidR="00576402" w:rsidRDefault="00576402" w:rsidP="00576402">
      <w:pPr>
        <w:pStyle w:val="-2"/>
        <w:spacing w:before="312"/>
        <w:rPr>
          <w:rFonts w:hint="eastAsia"/>
        </w:rPr>
      </w:pPr>
      <w:r>
        <w:rPr>
          <w:rFonts w:hint="eastAsia"/>
        </w:rPr>
        <w:t>报告期末按公允价值占基金资产净值比例大小排名的前五名债券投资明细</w:t>
      </w:r>
    </w:p>
    <w:p w:rsidR="00576402" w:rsidRDefault="00576402" w:rsidP="00576402">
      <w:pPr>
        <w:pStyle w:val="-"/>
        <w:ind w:firstLine="420"/>
        <w:rPr>
          <w:rFonts w:hint="eastAsia"/>
        </w:rPr>
      </w:pPr>
      <w:r>
        <w:rPr>
          <w:rFonts w:hint="eastAsia"/>
        </w:rPr>
        <w:t>无。</w:t>
      </w:r>
    </w:p>
    <w:p w:rsidR="00576402" w:rsidRDefault="00576402" w:rsidP="00576402">
      <w:pPr>
        <w:pStyle w:val="-2"/>
        <w:spacing w:before="312"/>
        <w:rPr>
          <w:rFonts w:hint="eastAsia"/>
        </w:rPr>
      </w:pPr>
      <w:r>
        <w:rPr>
          <w:rFonts w:hint="eastAsia"/>
        </w:rPr>
        <w:t>报告期末按公允价值占基金资产净值比例大小排名的前十名资产支持证券投资明细</w:t>
      </w:r>
    </w:p>
    <w:p w:rsidR="00576402" w:rsidRDefault="00576402" w:rsidP="00576402">
      <w:pPr>
        <w:pStyle w:val="-"/>
        <w:ind w:firstLine="420"/>
        <w:rPr>
          <w:rFonts w:hint="eastAsia"/>
        </w:rPr>
      </w:pPr>
      <w:r>
        <w:rPr>
          <w:rFonts w:hint="eastAsia"/>
        </w:rPr>
        <w:t>本基金本报告期末未持有资产支持证券。</w:t>
      </w:r>
    </w:p>
    <w:p w:rsidR="00576402" w:rsidRDefault="00576402" w:rsidP="00576402">
      <w:pPr>
        <w:pStyle w:val="-2"/>
        <w:spacing w:before="312"/>
        <w:rPr>
          <w:rFonts w:hint="eastAsia"/>
        </w:rPr>
      </w:pPr>
      <w:r>
        <w:rPr>
          <w:rFonts w:hint="eastAsia"/>
        </w:rPr>
        <w:t>报告期末按公允价值占基金资产净值比例大小排序的前五名贵金属投资明细</w:t>
      </w:r>
    </w:p>
    <w:p w:rsidR="00576402" w:rsidRDefault="00576402" w:rsidP="00576402">
      <w:pPr>
        <w:pStyle w:val="-"/>
        <w:ind w:firstLine="420"/>
        <w:rPr>
          <w:rFonts w:hint="eastAsia"/>
        </w:rPr>
      </w:pPr>
      <w:r>
        <w:rPr>
          <w:rFonts w:hint="eastAsia"/>
        </w:rPr>
        <w:t>无。</w:t>
      </w:r>
    </w:p>
    <w:p w:rsidR="00576402" w:rsidRDefault="00576402" w:rsidP="00576402">
      <w:pPr>
        <w:pStyle w:val="-2"/>
        <w:spacing w:before="312"/>
        <w:rPr>
          <w:rFonts w:hint="eastAsia"/>
        </w:rPr>
      </w:pPr>
      <w:r>
        <w:rPr>
          <w:rFonts w:hint="eastAsia"/>
        </w:rPr>
        <w:t>报告期末按公允价值占基金资产净值比例大小排名的前五名权证投资明细</w:t>
      </w:r>
    </w:p>
    <w:p w:rsidR="00576402" w:rsidRDefault="00576402" w:rsidP="00576402">
      <w:pPr>
        <w:pStyle w:val="-"/>
        <w:ind w:firstLine="420"/>
        <w:rPr>
          <w:rFonts w:hint="eastAsia"/>
        </w:rPr>
      </w:pPr>
      <w:r>
        <w:rPr>
          <w:rFonts w:hint="eastAsia"/>
        </w:rPr>
        <w:t>无。</w:t>
      </w:r>
    </w:p>
    <w:p w:rsidR="00576402" w:rsidRDefault="00576402" w:rsidP="00576402">
      <w:pPr>
        <w:pStyle w:val="-2"/>
        <w:spacing w:before="312"/>
        <w:rPr>
          <w:rFonts w:hint="eastAsia"/>
        </w:rPr>
      </w:pPr>
      <w:r>
        <w:rPr>
          <w:rFonts w:hint="eastAsia"/>
        </w:rPr>
        <w:t>报告期末本基金投资的股指期货交易情况说明</w:t>
      </w:r>
    </w:p>
    <w:p w:rsidR="00576402" w:rsidRDefault="00576402" w:rsidP="00576402">
      <w:pPr>
        <w:pStyle w:val="-3"/>
        <w:spacing w:before="156" w:after="156"/>
        <w:rPr>
          <w:rFonts w:hint="eastAsia"/>
        </w:rPr>
      </w:pPr>
      <w:r>
        <w:rPr>
          <w:rFonts w:hint="eastAsia"/>
        </w:rPr>
        <w:t>报告期末本基金投资的股指期货持仓和损益明细</w:t>
      </w:r>
    </w:p>
    <w:p w:rsidR="00576402" w:rsidRDefault="00576402" w:rsidP="00576402">
      <w:pPr>
        <w:pStyle w:val="-"/>
        <w:ind w:firstLine="420"/>
        <w:rPr>
          <w:rFonts w:hint="eastAsia"/>
        </w:rPr>
      </w:pPr>
      <w:r>
        <w:rPr>
          <w:rFonts w:hint="eastAsia"/>
        </w:rPr>
        <w:t>无。</w:t>
      </w:r>
    </w:p>
    <w:p w:rsidR="00576402" w:rsidRDefault="00576402" w:rsidP="00576402">
      <w:pPr>
        <w:pStyle w:val="-3"/>
        <w:spacing w:before="156" w:after="156"/>
        <w:rPr>
          <w:rFonts w:hint="eastAsia"/>
        </w:rPr>
      </w:pPr>
      <w:r>
        <w:rPr>
          <w:rFonts w:hint="eastAsia"/>
        </w:rPr>
        <w:t>本基金投资股指期货的投资政策</w:t>
      </w:r>
    </w:p>
    <w:p w:rsidR="00576402" w:rsidRDefault="00576402" w:rsidP="00576402">
      <w:pPr>
        <w:pStyle w:val="-"/>
        <w:ind w:firstLine="420"/>
        <w:rPr>
          <w:rFonts w:hint="eastAsia"/>
        </w:rPr>
      </w:pPr>
      <w:r>
        <w:rPr>
          <w:rFonts w:hint="eastAsia"/>
        </w:rPr>
        <w:lastRenderedPageBreak/>
        <w:t>本基金投资股指期货将根据风险管理的原则，以套期保值为目的，主要选择流动性好、交易活跃的股指期货合约。本基金力争利用股指期货，降低股票仓位频繁调整的交易成本和跟踪误差，达到有效跟踪标的指数的目的。</w:t>
      </w:r>
    </w:p>
    <w:p w:rsidR="00576402" w:rsidRDefault="00576402" w:rsidP="00576402">
      <w:pPr>
        <w:pStyle w:val="-2"/>
        <w:spacing w:before="312"/>
        <w:rPr>
          <w:rFonts w:hint="eastAsia"/>
        </w:rPr>
      </w:pPr>
      <w:r>
        <w:rPr>
          <w:rFonts w:hint="eastAsia"/>
        </w:rPr>
        <w:t>报告期末本基金投资的国债期货交易情况说明</w:t>
      </w:r>
    </w:p>
    <w:p w:rsidR="00576402" w:rsidRDefault="00576402" w:rsidP="00576402">
      <w:pPr>
        <w:pStyle w:val="-3"/>
        <w:spacing w:before="156" w:after="156"/>
        <w:rPr>
          <w:rFonts w:hint="eastAsia"/>
        </w:rPr>
      </w:pPr>
      <w:r>
        <w:rPr>
          <w:rFonts w:hint="eastAsia"/>
        </w:rPr>
        <w:t>本期国债期货投资政策</w:t>
      </w:r>
    </w:p>
    <w:p w:rsidR="00576402" w:rsidRDefault="00576402" w:rsidP="00576402">
      <w:pPr>
        <w:pStyle w:val="-"/>
        <w:ind w:firstLine="420"/>
        <w:rPr>
          <w:rFonts w:hint="eastAsia"/>
        </w:rPr>
      </w:pPr>
      <w:r>
        <w:rPr>
          <w:rFonts w:hint="eastAsia"/>
        </w:rPr>
        <w:t>无。</w:t>
      </w:r>
    </w:p>
    <w:p w:rsidR="00576402" w:rsidRDefault="00576402" w:rsidP="00576402">
      <w:pPr>
        <w:pStyle w:val="-3"/>
        <w:spacing w:before="156" w:after="156"/>
        <w:rPr>
          <w:rFonts w:hint="eastAsia"/>
        </w:rPr>
      </w:pPr>
      <w:r>
        <w:rPr>
          <w:rFonts w:hint="eastAsia"/>
        </w:rPr>
        <w:t>报告期末本基金投资的国债期货持仓和损益明细</w:t>
      </w:r>
    </w:p>
    <w:p w:rsidR="00576402" w:rsidRDefault="00576402" w:rsidP="00576402">
      <w:pPr>
        <w:pStyle w:val="-"/>
        <w:ind w:firstLine="420"/>
        <w:rPr>
          <w:rFonts w:hint="eastAsia"/>
        </w:rPr>
      </w:pPr>
      <w:r>
        <w:rPr>
          <w:rFonts w:hint="eastAsia"/>
        </w:rPr>
        <w:t>无。</w:t>
      </w:r>
    </w:p>
    <w:p w:rsidR="00576402" w:rsidRDefault="00576402" w:rsidP="00576402">
      <w:pPr>
        <w:pStyle w:val="-3"/>
        <w:spacing w:before="156" w:after="156"/>
        <w:rPr>
          <w:rFonts w:hint="eastAsia"/>
        </w:rPr>
      </w:pPr>
      <w:r>
        <w:rPr>
          <w:rFonts w:hint="eastAsia"/>
        </w:rPr>
        <w:t>本期国债期货投资评价</w:t>
      </w:r>
    </w:p>
    <w:p w:rsidR="00576402" w:rsidRDefault="00576402" w:rsidP="00576402">
      <w:pPr>
        <w:pStyle w:val="-"/>
        <w:ind w:firstLine="420"/>
        <w:rPr>
          <w:rFonts w:hint="eastAsia"/>
        </w:rPr>
      </w:pPr>
      <w:r>
        <w:rPr>
          <w:rFonts w:hint="eastAsia"/>
        </w:rPr>
        <w:t>无。</w:t>
      </w:r>
    </w:p>
    <w:p w:rsidR="00576402" w:rsidRDefault="00576402" w:rsidP="00576402">
      <w:pPr>
        <w:pStyle w:val="-2"/>
        <w:spacing w:before="312"/>
        <w:rPr>
          <w:rFonts w:hint="eastAsia"/>
        </w:rPr>
      </w:pPr>
      <w:r>
        <w:rPr>
          <w:rFonts w:hint="eastAsia"/>
        </w:rPr>
        <w:t>投资组合报告附注</w:t>
      </w:r>
    </w:p>
    <w:p w:rsidR="00576402" w:rsidRDefault="00576402" w:rsidP="00576402">
      <w:pPr>
        <w:pStyle w:val="-3"/>
        <w:spacing w:before="156" w:after="156"/>
        <w:rPr>
          <w:rFonts w:hint="eastAsia"/>
        </w:rPr>
      </w:pPr>
      <w:r>
        <w:rPr>
          <w:rFonts w:hint="eastAsia"/>
        </w:rPr>
        <w:t>声明本基金投资的前十名证券的发行主体本期是否出现被监管部门立案调查，或在报告编制日前一年内受到公开谴责、处罚的情形。如是，还应对相关证券的投资决策程序做出说明。</w:t>
      </w:r>
    </w:p>
    <w:p w:rsidR="00576402" w:rsidRDefault="00576402" w:rsidP="00576402">
      <w:pPr>
        <w:pStyle w:val="-"/>
        <w:ind w:firstLine="420"/>
        <w:rPr>
          <w:rFonts w:hint="eastAsia"/>
        </w:rPr>
      </w:pPr>
      <w:r>
        <w:rPr>
          <w:rFonts w:hint="eastAsia"/>
        </w:rPr>
        <w:t>本基金投资的前十名证券的发行主体中，中国工商银行股份有限公司在报告编制日前一年内曾受到中国人民银行的处罚；中国建设银行股份有限公司在报告编制日前一年内曾受到国家金融监督管理总局、中国人民银行的处罚。除上述证券的发行主体外，本基金投资的前十名证券的发行主体本期未有被监管部门立案调查，不存在报告编制日前一年内受到公开谴责、处罚的情形。</w:t>
      </w:r>
    </w:p>
    <w:p w:rsidR="00576402" w:rsidRDefault="00576402" w:rsidP="00576402">
      <w:pPr>
        <w:pStyle w:val="-"/>
        <w:ind w:firstLine="420"/>
        <w:rPr>
          <w:rFonts w:hint="eastAsia"/>
        </w:rPr>
      </w:pPr>
      <w:r>
        <w:rPr>
          <w:rFonts w:hint="eastAsia"/>
        </w:rPr>
        <w:t>对上述证券的投资决策程序的说明：本基金为指数型基金，因复制指数被动持有，上述证券的投资决策程序符合相关法律法规和公司制度的要求。</w:t>
      </w:r>
    </w:p>
    <w:p w:rsidR="00576402" w:rsidRDefault="00576402" w:rsidP="00576402">
      <w:pPr>
        <w:pStyle w:val="-3"/>
        <w:spacing w:before="156" w:after="156"/>
        <w:rPr>
          <w:rFonts w:hint="eastAsia"/>
        </w:rPr>
      </w:pPr>
      <w:r>
        <w:rPr>
          <w:rFonts w:hint="eastAsia"/>
        </w:rPr>
        <w:t>声明基金投资的前十名股票是否超出基金合同规定的备选股票库。如是，还应对相关股票的投资决策程序做出说明。</w:t>
      </w:r>
    </w:p>
    <w:p w:rsidR="00576402" w:rsidRDefault="00576402" w:rsidP="00576402">
      <w:pPr>
        <w:pStyle w:val="-"/>
        <w:ind w:firstLine="420"/>
        <w:rPr>
          <w:rFonts w:hint="eastAsia"/>
        </w:rPr>
      </w:pPr>
      <w:r>
        <w:rPr>
          <w:rFonts w:hint="eastAsia"/>
        </w:rPr>
        <w:t>本基金投资的前十名股票（如有）没有超出基金合同规定的备选股票库，本基金管理人从制度和流程上要求股票必须先入库再买入。</w:t>
      </w:r>
    </w:p>
    <w:p w:rsidR="00576402" w:rsidRDefault="00576402" w:rsidP="00576402">
      <w:pPr>
        <w:pStyle w:val="-3"/>
        <w:spacing w:before="156" w:after="156"/>
        <w:rPr>
          <w:rFonts w:hint="eastAsia"/>
        </w:rPr>
      </w:pPr>
      <w:r>
        <w:rPr>
          <w:rFonts w:hint="eastAsia"/>
        </w:rPr>
        <w:t>其他资产构成</w:t>
      </w:r>
    </w:p>
    <w:tbl>
      <w:tblPr>
        <w:tblStyle w:val="-0"/>
        <w:tblW w:w="8505" w:type="dxa"/>
        <w:tblLayout w:type="fixed"/>
        <w:tblLook w:val="04A0" w:firstRow="1" w:lastRow="0" w:firstColumn="1" w:lastColumn="0" w:noHBand="0" w:noVBand="1"/>
      </w:tblPr>
      <w:tblGrid>
        <w:gridCol w:w="743"/>
        <w:gridCol w:w="2977"/>
        <w:gridCol w:w="4785"/>
      </w:tblGrid>
      <w:tr w:rsidR="00576402" w:rsidTr="00576402">
        <w:trPr>
          <w:cnfStyle w:val="100000000000" w:firstRow="1" w:lastRow="0" w:firstColumn="0" w:lastColumn="0" w:oddVBand="0" w:evenVBand="0" w:oddHBand="0" w:evenHBand="0" w:firstRowFirstColumn="0" w:firstRowLastColumn="0" w:lastRowFirstColumn="0" w:lastRowLastColumn="0"/>
        </w:trPr>
        <w:tc>
          <w:tcPr>
            <w:tcW w:w="743" w:type="dxa"/>
          </w:tcPr>
          <w:p w:rsidR="00576402" w:rsidRPr="00576402" w:rsidRDefault="00576402" w:rsidP="00576402">
            <w:pPr>
              <w:jc w:val="center"/>
              <w:rPr>
                <w:b/>
              </w:rPr>
            </w:pPr>
            <w:r w:rsidRPr="00576402">
              <w:rPr>
                <w:rFonts w:hint="eastAsia"/>
                <w:b/>
              </w:rPr>
              <w:t>序号</w:t>
            </w:r>
          </w:p>
        </w:tc>
        <w:tc>
          <w:tcPr>
            <w:tcW w:w="2977" w:type="dxa"/>
          </w:tcPr>
          <w:p w:rsidR="00576402" w:rsidRPr="00576402" w:rsidRDefault="00576402" w:rsidP="00576402">
            <w:pPr>
              <w:jc w:val="center"/>
              <w:rPr>
                <w:b/>
              </w:rPr>
            </w:pPr>
            <w:r w:rsidRPr="00576402">
              <w:rPr>
                <w:rFonts w:hint="eastAsia"/>
                <w:b/>
              </w:rPr>
              <w:t>名称</w:t>
            </w:r>
          </w:p>
        </w:tc>
        <w:tc>
          <w:tcPr>
            <w:tcW w:w="4785" w:type="dxa"/>
          </w:tcPr>
          <w:p w:rsidR="00576402" w:rsidRPr="00576402" w:rsidRDefault="00576402" w:rsidP="00576402">
            <w:pPr>
              <w:jc w:val="center"/>
              <w:rPr>
                <w:b/>
              </w:rPr>
            </w:pPr>
            <w:r w:rsidRPr="00576402">
              <w:rPr>
                <w:rFonts w:hint="eastAsia"/>
                <w:b/>
              </w:rPr>
              <w:t>金额（元）</w:t>
            </w:r>
          </w:p>
        </w:tc>
      </w:tr>
      <w:tr w:rsidR="00576402" w:rsidTr="00576402">
        <w:tc>
          <w:tcPr>
            <w:tcW w:w="743" w:type="dxa"/>
          </w:tcPr>
          <w:p w:rsidR="00576402" w:rsidRDefault="00576402" w:rsidP="00576402">
            <w:pPr>
              <w:jc w:val="center"/>
            </w:pPr>
            <w:r>
              <w:t>1</w:t>
            </w:r>
          </w:p>
        </w:tc>
        <w:tc>
          <w:tcPr>
            <w:tcW w:w="2977" w:type="dxa"/>
          </w:tcPr>
          <w:p w:rsidR="00576402" w:rsidRDefault="00576402" w:rsidP="00576402">
            <w:pPr>
              <w:jc w:val="left"/>
            </w:pPr>
            <w:r>
              <w:rPr>
                <w:rFonts w:hint="eastAsia"/>
              </w:rPr>
              <w:t>存出保证金</w:t>
            </w:r>
          </w:p>
        </w:tc>
        <w:tc>
          <w:tcPr>
            <w:tcW w:w="4785" w:type="dxa"/>
          </w:tcPr>
          <w:p w:rsidR="00576402" w:rsidRDefault="00576402" w:rsidP="00576402">
            <w:pPr>
              <w:jc w:val="right"/>
            </w:pPr>
            <w:r>
              <w:t>-</w:t>
            </w:r>
          </w:p>
        </w:tc>
      </w:tr>
      <w:tr w:rsidR="00576402" w:rsidTr="00576402">
        <w:tc>
          <w:tcPr>
            <w:tcW w:w="743" w:type="dxa"/>
          </w:tcPr>
          <w:p w:rsidR="00576402" w:rsidRDefault="00576402" w:rsidP="00576402">
            <w:pPr>
              <w:jc w:val="center"/>
            </w:pPr>
            <w:r>
              <w:t>2</w:t>
            </w:r>
          </w:p>
        </w:tc>
        <w:tc>
          <w:tcPr>
            <w:tcW w:w="2977" w:type="dxa"/>
          </w:tcPr>
          <w:p w:rsidR="00576402" w:rsidRDefault="00576402" w:rsidP="00576402">
            <w:pPr>
              <w:jc w:val="left"/>
            </w:pPr>
            <w:r>
              <w:rPr>
                <w:rFonts w:hint="eastAsia"/>
              </w:rPr>
              <w:t>应收证券清算款</w:t>
            </w:r>
          </w:p>
        </w:tc>
        <w:tc>
          <w:tcPr>
            <w:tcW w:w="4785" w:type="dxa"/>
          </w:tcPr>
          <w:p w:rsidR="00576402" w:rsidRDefault="00576402" w:rsidP="00576402">
            <w:pPr>
              <w:jc w:val="right"/>
            </w:pPr>
            <w:r>
              <w:t>1,198.65</w:t>
            </w:r>
          </w:p>
        </w:tc>
      </w:tr>
      <w:tr w:rsidR="00576402" w:rsidTr="00576402">
        <w:tc>
          <w:tcPr>
            <w:tcW w:w="743" w:type="dxa"/>
          </w:tcPr>
          <w:p w:rsidR="00576402" w:rsidRDefault="00576402" w:rsidP="00576402">
            <w:pPr>
              <w:jc w:val="center"/>
            </w:pPr>
            <w:r>
              <w:t>3</w:t>
            </w:r>
          </w:p>
        </w:tc>
        <w:tc>
          <w:tcPr>
            <w:tcW w:w="2977" w:type="dxa"/>
          </w:tcPr>
          <w:p w:rsidR="00576402" w:rsidRDefault="00576402" w:rsidP="00576402">
            <w:pPr>
              <w:jc w:val="left"/>
            </w:pPr>
            <w:r>
              <w:rPr>
                <w:rFonts w:hint="eastAsia"/>
              </w:rPr>
              <w:t>应收股利</w:t>
            </w:r>
          </w:p>
        </w:tc>
        <w:tc>
          <w:tcPr>
            <w:tcW w:w="4785" w:type="dxa"/>
          </w:tcPr>
          <w:p w:rsidR="00576402" w:rsidRDefault="00576402" w:rsidP="00576402">
            <w:pPr>
              <w:jc w:val="right"/>
            </w:pPr>
            <w:r>
              <w:t>407,640.02</w:t>
            </w:r>
          </w:p>
        </w:tc>
      </w:tr>
      <w:tr w:rsidR="00576402" w:rsidTr="00576402">
        <w:tc>
          <w:tcPr>
            <w:tcW w:w="743" w:type="dxa"/>
          </w:tcPr>
          <w:p w:rsidR="00576402" w:rsidRDefault="00576402" w:rsidP="00576402">
            <w:pPr>
              <w:jc w:val="center"/>
            </w:pPr>
            <w:r>
              <w:t>4</w:t>
            </w:r>
          </w:p>
        </w:tc>
        <w:tc>
          <w:tcPr>
            <w:tcW w:w="2977" w:type="dxa"/>
          </w:tcPr>
          <w:p w:rsidR="00576402" w:rsidRDefault="00576402" w:rsidP="00576402">
            <w:pPr>
              <w:jc w:val="left"/>
            </w:pPr>
            <w:r>
              <w:rPr>
                <w:rFonts w:hint="eastAsia"/>
              </w:rPr>
              <w:t>应收利息</w:t>
            </w:r>
          </w:p>
        </w:tc>
        <w:tc>
          <w:tcPr>
            <w:tcW w:w="4785" w:type="dxa"/>
          </w:tcPr>
          <w:p w:rsidR="00576402" w:rsidRDefault="00576402" w:rsidP="00576402">
            <w:pPr>
              <w:jc w:val="right"/>
            </w:pPr>
            <w:r>
              <w:t>-</w:t>
            </w:r>
          </w:p>
        </w:tc>
      </w:tr>
      <w:tr w:rsidR="00576402" w:rsidTr="00576402">
        <w:tc>
          <w:tcPr>
            <w:tcW w:w="743" w:type="dxa"/>
          </w:tcPr>
          <w:p w:rsidR="00576402" w:rsidRDefault="00576402" w:rsidP="00576402">
            <w:pPr>
              <w:jc w:val="center"/>
            </w:pPr>
            <w:r>
              <w:lastRenderedPageBreak/>
              <w:t>5</w:t>
            </w:r>
          </w:p>
        </w:tc>
        <w:tc>
          <w:tcPr>
            <w:tcW w:w="2977" w:type="dxa"/>
          </w:tcPr>
          <w:p w:rsidR="00576402" w:rsidRDefault="00576402" w:rsidP="00576402">
            <w:pPr>
              <w:jc w:val="left"/>
            </w:pPr>
            <w:r>
              <w:rPr>
                <w:rFonts w:hint="eastAsia"/>
              </w:rPr>
              <w:t>应收申购款</w:t>
            </w:r>
          </w:p>
        </w:tc>
        <w:tc>
          <w:tcPr>
            <w:tcW w:w="4785" w:type="dxa"/>
          </w:tcPr>
          <w:p w:rsidR="00576402" w:rsidRDefault="00576402" w:rsidP="00576402">
            <w:pPr>
              <w:jc w:val="right"/>
            </w:pPr>
            <w:r>
              <w:t>-</w:t>
            </w:r>
          </w:p>
        </w:tc>
      </w:tr>
      <w:tr w:rsidR="00576402" w:rsidTr="00576402">
        <w:tc>
          <w:tcPr>
            <w:tcW w:w="743" w:type="dxa"/>
          </w:tcPr>
          <w:p w:rsidR="00576402" w:rsidRDefault="00576402" w:rsidP="00576402">
            <w:pPr>
              <w:jc w:val="center"/>
            </w:pPr>
            <w:r>
              <w:t>6</w:t>
            </w:r>
          </w:p>
        </w:tc>
        <w:tc>
          <w:tcPr>
            <w:tcW w:w="2977" w:type="dxa"/>
          </w:tcPr>
          <w:p w:rsidR="00576402" w:rsidRDefault="00576402" w:rsidP="00576402">
            <w:pPr>
              <w:jc w:val="left"/>
            </w:pPr>
            <w:r>
              <w:rPr>
                <w:rFonts w:hint="eastAsia"/>
              </w:rPr>
              <w:t>其他应收款</w:t>
            </w:r>
          </w:p>
        </w:tc>
        <w:tc>
          <w:tcPr>
            <w:tcW w:w="4785" w:type="dxa"/>
          </w:tcPr>
          <w:p w:rsidR="00576402" w:rsidRDefault="00576402" w:rsidP="00576402">
            <w:pPr>
              <w:jc w:val="right"/>
            </w:pPr>
            <w:r>
              <w:t>-</w:t>
            </w:r>
          </w:p>
        </w:tc>
      </w:tr>
      <w:tr w:rsidR="00576402" w:rsidTr="00576402">
        <w:tc>
          <w:tcPr>
            <w:tcW w:w="743" w:type="dxa"/>
          </w:tcPr>
          <w:p w:rsidR="00576402" w:rsidRDefault="00576402" w:rsidP="00576402">
            <w:pPr>
              <w:jc w:val="center"/>
            </w:pPr>
            <w:r>
              <w:t>7</w:t>
            </w:r>
          </w:p>
        </w:tc>
        <w:tc>
          <w:tcPr>
            <w:tcW w:w="2977" w:type="dxa"/>
          </w:tcPr>
          <w:p w:rsidR="00576402" w:rsidRDefault="00576402" w:rsidP="00576402">
            <w:pPr>
              <w:jc w:val="left"/>
            </w:pPr>
            <w:r>
              <w:rPr>
                <w:rFonts w:hint="eastAsia"/>
              </w:rPr>
              <w:t>待摊费用</w:t>
            </w:r>
          </w:p>
        </w:tc>
        <w:tc>
          <w:tcPr>
            <w:tcW w:w="4785" w:type="dxa"/>
          </w:tcPr>
          <w:p w:rsidR="00576402" w:rsidRDefault="00576402" w:rsidP="00576402">
            <w:pPr>
              <w:jc w:val="right"/>
            </w:pPr>
            <w:r>
              <w:t>-</w:t>
            </w:r>
          </w:p>
        </w:tc>
      </w:tr>
      <w:tr w:rsidR="00576402" w:rsidTr="00576402">
        <w:tc>
          <w:tcPr>
            <w:tcW w:w="743" w:type="dxa"/>
          </w:tcPr>
          <w:p w:rsidR="00576402" w:rsidRDefault="00576402" w:rsidP="00576402">
            <w:pPr>
              <w:jc w:val="center"/>
            </w:pPr>
            <w:r>
              <w:t>8</w:t>
            </w:r>
          </w:p>
        </w:tc>
        <w:tc>
          <w:tcPr>
            <w:tcW w:w="2977" w:type="dxa"/>
          </w:tcPr>
          <w:p w:rsidR="00576402" w:rsidRDefault="00576402" w:rsidP="00576402">
            <w:pPr>
              <w:jc w:val="left"/>
            </w:pPr>
            <w:r>
              <w:rPr>
                <w:rFonts w:hint="eastAsia"/>
              </w:rPr>
              <w:t>其他</w:t>
            </w:r>
          </w:p>
        </w:tc>
        <w:tc>
          <w:tcPr>
            <w:tcW w:w="4785" w:type="dxa"/>
          </w:tcPr>
          <w:p w:rsidR="00576402" w:rsidRDefault="00576402" w:rsidP="00576402">
            <w:pPr>
              <w:jc w:val="right"/>
            </w:pPr>
            <w:r>
              <w:t>-</w:t>
            </w:r>
          </w:p>
        </w:tc>
      </w:tr>
      <w:tr w:rsidR="00576402" w:rsidTr="00576402">
        <w:tc>
          <w:tcPr>
            <w:tcW w:w="743" w:type="dxa"/>
          </w:tcPr>
          <w:p w:rsidR="00576402" w:rsidRDefault="00576402" w:rsidP="00576402">
            <w:pPr>
              <w:jc w:val="center"/>
            </w:pPr>
            <w:r>
              <w:t>9</w:t>
            </w:r>
          </w:p>
        </w:tc>
        <w:tc>
          <w:tcPr>
            <w:tcW w:w="2977" w:type="dxa"/>
          </w:tcPr>
          <w:p w:rsidR="00576402" w:rsidRDefault="00576402" w:rsidP="00576402">
            <w:pPr>
              <w:jc w:val="left"/>
            </w:pPr>
            <w:r>
              <w:rPr>
                <w:rFonts w:hint="eastAsia"/>
              </w:rPr>
              <w:t>合计</w:t>
            </w:r>
          </w:p>
        </w:tc>
        <w:tc>
          <w:tcPr>
            <w:tcW w:w="4785" w:type="dxa"/>
          </w:tcPr>
          <w:p w:rsidR="00576402" w:rsidRDefault="00576402" w:rsidP="00576402">
            <w:pPr>
              <w:jc w:val="right"/>
            </w:pPr>
            <w:r>
              <w:t>408,838.67</w:t>
            </w:r>
          </w:p>
        </w:tc>
      </w:tr>
    </w:tbl>
    <w:p w:rsidR="00576402" w:rsidRDefault="00576402" w:rsidP="00576402">
      <w:pPr>
        <w:pStyle w:val="-3"/>
        <w:spacing w:before="156" w:after="156"/>
        <w:rPr>
          <w:rFonts w:hint="eastAsia"/>
        </w:rPr>
      </w:pPr>
      <w:r>
        <w:rPr>
          <w:rFonts w:hint="eastAsia"/>
        </w:rPr>
        <w:t>报告期末持有的处于转股期的可转换债券明细</w:t>
      </w:r>
    </w:p>
    <w:p w:rsidR="00576402" w:rsidRDefault="00576402" w:rsidP="00576402">
      <w:pPr>
        <w:pStyle w:val="-"/>
        <w:ind w:firstLine="420"/>
        <w:rPr>
          <w:rFonts w:hint="eastAsia"/>
        </w:rPr>
      </w:pPr>
      <w:r>
        <w:rPr>
          <w:rFonts w:hint="eastAsia"/>
        </w:rPr>
        <w:t>本基金本报告期末未持有处于转股期的可转换债券。</w:t>
      </w:r>
    </w:p>
    <w:p w:rsidR="00576402" w:rsidRDefault="00576402" w:rsidP="00576402">
      <w:pPr>
        <w:pStyle w:val="-3"/>
        <w:spacing w:before="156" w:after="156"/>
        <w:rPr>
          <w:rFonts w:hint="eastAsia"/>
        </w:rPr>
      </w:pPr>
      <w:r>
        <w:rPr>
          <w:rFonts w:hint="eastAsia"/>
        </w:rPr>
        <w:t>报告期末前十名股票中存在流通受限情况的说明</w:t>
      </w:r>
    </w:p>
    <w:p w:rsidR="00576402" w:rsidRDefault="00576402" w:rsidP="00576402">
      <w:pPr>
        <w:pStyle w:val="-4"/>
        <w:spacing w:before="156" w:after="156"/>
        <w:rPr>
          <w:rFonts w:hint="eastAsia"/>
        </w:rPr>
      </w:pPr>
      <w:r>
        <w:rPr>
          <w:rFonts w:hint="eastAsia"/>
        </w:rPr>
        <w:t>报告期末指数投资前十名股票中存在流通受限情况的说明</w:t>
      </w:r>
    </w:p>
    <w:p w:rsidR="00576402" w:rsidRDefault="00576402" w:rsidP="00576402">
      <w:pPr>
        <w:pStyle w:val="-"/>
        <w:ind w:firstLine="420"/>
        <w:rPr>
          <w:rFonts w:hint="eastAsia"/>
        </w:rPr>
      </w:pPr>
      <w:r>
        <w:rPr>
          <w:rFonts w:hint="eastAsia"/>
        </w:rPr>
        <w:t>无。</w:t>
      </w:r>
    </w:p>
    <w:p w:rsidR="00576402" w:rsidRDefault="00576402" w:rsidP="00576402">
      <w:pPr>
        <w:pStyle w:val="-4"/>
        <w:spacing w:before="156" w:after="156"/>
        <w:rPr>
          <w:rFonts w:hint="eastAsia"/>
        </w:rPr>
      </w:pPr>
      <w:r>
        <w:rPr>
          <w:rFonts w:hint="eastAsia"/>
        </w:rPr>
        <w:t>期末积极投资前五名股票中存在流通受限情况的说明</w:t>
      </w:r>
    </w:p>
    <w:p w:rsidR="00576402" w:rsidRDefault="00576402" w:rsidP="00576402">
      <w:pPr>
        <w:pStyle w:val="-"/>
        <w:ind w:firstLine="420"/>
        <w:rPr>
          <w:rFonts w:hint="eastAsia"/>
        </w:rPr>
      </w:pPr>
      <w:r>
        <w:rPr>
          <w:rFonts w:hint="eastAsia"/>
        </w:rPr>
        <w:t>无。</w:t>
      </w:r>
    </w:p>
    <w:p w:rsidR="00576402" w:rsidRDefault="00576402" w:rsidP="00576402">
      <w:pPr>
        <w:pStyle w:val="-1"/>
        <w:ind w:left="281" w:hanging="281"/>
        <w:rPr>
          <w:rFonts w:hint="eastAsia"/>
        </w:rPr>
      </w:pPr>
      <w:r>
        <w:rPr>
          <w:rFonts w:hint="eastAsia"/>
        </w:rPr>
        <w:t>开放式基金份额变动</w:t>
      </w:r>
    </w:p>
    <w:p w:rsidR="00576402" w:rsidRDefault="00576402" w:rsidP="00576402">
      <w:pPr>
        <w:jc w:val="right"/>
        <w:rPr>
          <w:rFonts w:hint="eastAsia"/>
        </w:rPr>
      </w:pPr>
      <w:r>
        <w:rPr>
          <w:rFonts w:hint="eastAsia"/>
        </w:rPr>
        <w:t>单位：份</w:t>
      </w:r>
    </w:p>
    <w:tbl>
      <w:tblPr>
        <w:tblStyle w:val="-noheader"/>
        <w:tblW w:w="8505" w:type="dxa"/>
        <w:tblLayout w:type="fixed"/>
        <w:tblLook w:val="04A0" w:firstRow="1" w:lastRow="0" w:firstColumn="1" w:lastColumn="0" w:noHBand="0" w:noVBand="1"/>
      </w:tblPr>
      <w:tblGrid>
        <w:gridCol w:w="5670"/>
        <w:gridCol w:w="2835"/>
      </w:tblGrid>
      <w:tr w:rsidR="00576402" w:rsidTr="00576402">
        <w:tc>
          <w:tcPr>
            <w:tcW w:w="5670" w:type="dxa"/>
          </w:tcPr>
          <w:p w:rsidR="00576402" w:rsidRDefault="00576402" w:rsidP="00576402">
            <w:pPr>
              <w:jc w:val="left"/>
            </w:pPr>
            <w:r>
              <w:rPr>
                <w:rFonts w:hint="eastAsia"/>
              </w:rPr>
              <w:t>报告期期初基金份额总额</w:t>
            </w:r>
          </w:p>
        </w:tc>
        <w:tc>
          <w:tcPr>
            <w:tcW w:w="2835" w:type="dxa"/>
          </w:tcPr>
          <w:p w:rsidR="00576402" w:rsidRDefault="00576402" w:rsidP="00576402">
            <w:pPr>
              <w:jc w:val="right"/>
            </w:pPr>
            <w:r>
              <w:t>206,616,546.00</w:t>
            </w:r>
          </w:p>
        </w:tc>
      </w:tr>
      <w:tr w:rsidR="00576402" w:rsidTr="00576402">
        <w:tc>
          <w:tcPr>
            <w:tcW w:w="5670" w:type="dxa"/>
          </w:tcPr>
          <w:p w:rsidR="00576402" w:rsidRDefault="00576402" w:rsidP="00576402">
            <w:pPr>
              <w:jc w:val="left"/>
            </w:pPr>
            <w:r>
              <w:rPr>
                <w:rFonts w:hint="eastAsia"/>
              </w:rPr>
              <w:t>报告期期间基金总申购份额</w:t>
            </w:r>
          </w:p>
        </w:tc>
        <w:tc>
          <w:tcPr>
            <w:tcW w:w="2835" w:type="dxa"/>
          </w:tcPr>
          <w:p w:rsidR="00576402" w:rsidRDefault="00576402" w:rsidP="00576402">
            <w:pPr>
              <w:jc w:val="right"/>
            </w:pPr>
            <w:r>
              <w:t>69,000,000.00</w:t>
            </w:r>
          </w:p>
        </w:tc>
      </w:tr>
      <w:tr w:rsidR="00576402" w:rsidTr="00576402">
        <w:tc>
          <w:tcPr>
            <w:tcW w:w="5670" w:type="dxa"/>
          </w:tcPr>
          <w:p w:rsidR="00576402" w:rsidRDefault="00576402" w:rsidP="00576402">
            <w:pPr>
              <w:jc w:val="left"/>
            </w:pPr>
            <w:r>
              <w:rPr>
                <w:rFonts w:hint="eastAsia"/>
              </w:rPr>
              <w:t>减：报告期期间基金总赎回份额</w:t>
            </w:r>
          </w:p>
        </w:tc>
        <w:tc>
          <w:tcPr>
            <w:tcW w:w="2835" w:type="dxa"/>
          </w:tcPr>
          <w:p w:rsidR="00576402" w:rsidRDefault="00576402" w:rsidP="00576402">
            <w:pPr>
              <w:jc w:val="right"/>
            </w:pPr>
            <w:r>
              <w:t>107,000,000.00</w:t>
            </w:r>
          </w:p>
        </w:tc>
      </w:tr>
      <w:tr w:rsidR="00576402" w:rsidTr="00576402">
        <w:tc>
          <w:tcPr>
            <w:tcW w:w="5670" w:type="dxa"/>
          </w:tcPr>
          <w:p w:rsidR="00576402" w:rsidRDefault="00576402" w:rsidP="00576402">
            <w:pPr>
              <w:jc w:val="left"/>
            </w:pPr>
            <w:r>
              <w:rPr>
                <w:rFonts w:hint="eastAsia"/>
              </w:rPr>
              <w:t>报告期期间基金拆分变动份额（份额减少以</w:t>
            </w:r>
            <w:r>
              <w:rPr>
                <w:rFonts w:hint="eastAsia"/>
              </w:rPr>
              <w:t>"-"</w:t>
            </w:r>
            <w:r>
              <w:rPr>
                <w:rFonts w:hint="eastAsia"/>
              </w:rPr>
              <w:t>填列）</w:t>
            </w:r>
          </w:p>
        </w:tc>
        <w:tc>
          <w:tcPr>
            <w:tcW w:w="2835" w:type="dxa"/>
          </w:tcPr>
          <w:p w:rsidR="00576402" w:rsidRDefault="00576402" w:rsidP="00576402">
            <w:pPr>
              <w:jc w:val="right"/>
            </w:pPr>
            <w:r>
              <w:t>-</w:t>
            </w:r>
          </w:p>
        </w:tc>
      </w:tr>
      <w:tr w:rsidR="00576402" w:rsidTr="00576402">
        <w:tc>
          <w:tcPr>
            <w:tcW w:w="5670" w:type="dxa"/>
          </w:tcPr>
          <w:p w:rsidR="00576402" w:rsidRDefault="00576402" w:rsidP="00576402">
            <w:pPr>
              <w:jc w:val="left"/>
            </w:pPr>
            <w:r>
              <w:rPr>
                <w:rFonts w:hint="eastAsia"/>
              </w:rPr>
              <w:t>报告期期末基金份额总额</w:t>
            </w:r>
          </w:p>
        </w:tc>
        <w:tc>
          <w:tcPr>
            <w:tcW w:w="2835" w:type="dxa"/>
          </w:tcPr>
          <w:p w:rsidR="00576402" w:rsidRDefault="00576402" w:rsidP="00576402">
            <w:pPr>
              <w:jc w:val="right"/>
            </w:pPr>
            <w:r>
              <w:t>168,616,546.00</w:t>
            </w:r>
          </w:p>
        </w:tc>
      </w:tr>
    </w:tbl>
    <w:p w:rsidR="00576402" w:rsidRDefault="00576402" w:rsidP="00576402">
      <w:pPr>
        <w:pStyle w:val="-1"/>
        <w:ind w:left="281" w:hanging="281"/>
        <w:rPr>
          <w:rFonts w:hint="eastAsia"/>
        </w:rPr>
      </w:pPr>
      <w:r>
        <w:rPr>
          <w:rFonts w:hint="eastAsia"/>
        </w:rPr>
        <w:t>基金管理人运用固有资金投资本基金情况</w:t>
      </w:r>
    </w:p>
    <w:p w:rsidR="00576402" w:rsidRDefault="00576402" w:rsidP="00576402">
      <w:pPr>
        <w:pStyle w:val="-2"/>
        <w:spacing w:before="312"/>
        <w:rPr>
          <w:rFonts w:hint="eastAsia"/>
        </w:rPr>
      </w:pPr>
      <w:r>
        <w:rPr>
          <w:rFonts w:hint="eastAsia"/>
        </w:rPr>
        <w:t>基金管理人持有本基金份额变动情况</w:t>
      </w:r>
    </w:p>
    <w:p w:rsidR="00576402" w:rsidRDefault="00576402" w:rsidP="00576402">
      <w:pPr>
        <w:pStyle w:val="-"/>
        <w:ind w:firstLine="420"/>
        <w:rPr>
          <w:rFonts w:hint="eastAsia"/>
        </w:rPr>
      </w:pPr>
      <w:r>
        <w:rPr>
          <w:rFonts w:hint="eastAsia"/>
        </w:rPr>
        <w:t>本报告期末，基金管理人未持有本基金份额。</w:t>
      </w:r>
    </w:p>
    <w:p w:rsidR="00576402" w:rsidRDefault="00576402" w:rsidP="00576402">
      <w:pPr>
        <w:pStyle w:val="-2"/>
        <w:spacing w:before="312"/>
        <w:rPr>
          <w:rFonts w:hint="eastAsia"/>
        </w:rPr>
      </w:pPr>
      <w:r>
        <w:rPr>
          <w:rFonts w:hint="eastAsia"/>
        </w:rPr>
        <w:t>基金管理人运用固有资金投资本基金交易明细</w:t>
      </w:r>
    </w:p>
    <w:p w:rsidR="00576402" w:rsidRDefault="00576402" w:rsidP="00576402">
      <w:pPr>
        <w:pStyle w:val="-"/>
        <w:ind w:firstLine="420"/>
        <w:rPr>
          <w:rFonts w:hint="eastAsia"/>
        </w:rPr>
      </w:pPr>
      <w:r>
        <w:rPr>
          <w:rFonts w:hint="eastAsia"/>
        </w:rPr>
        <w:t>本报告期内，基金管理人不存在申购、赎回或买卖本基金的情况。</w:t>
      </w:r>
    </w:p>
    <w:p w:rsidR="00576402" w:rsidRDefault="00576402" w:rsidP="00576402">
      <w:pPr>
        <w:pStyle w:val="-1"/>
        <w:ind w:left="281" w:hanging="281"/>
        <w:rPr>
          <w:rFonts w:hint="eastAsia"/>
        </w:rPr>
      </w:pPr>
      <w:r>
        <w:rPr>
          <w:rFonts w:hint="eastAsia"/>
        </w:rPr>
        <w:t>影响投资者决策的其他重要信息</w:t>
      </w:r>
    </w:p>
    <w:p w:rsidR="00576402" w:rsidRDefault="00576402" w:rsidP="00576402">
      <w:pPr>
        <w:pStyle w:val="-2"/>
        <w:spacing w:before="312"/>
        <w:rPr>
          <w:rFonts w:hint="eastAsia"/>
        </w:rPr>
      </w:pPr>
      <w:r>
        <w:rPr>
          <w:rFonts w:hint="eastAsia"/>
        </w:rPr>
        <w:t>报告期内单一投资者持有基金份额比例达到或超过20%的情况</w:t>
      </w:r>
    </w:p>
    <w:tbl>
      <w:tblPr>
        <w:tblStyle w:val="-noheader"/>
        <w:tblW w:w="11283" w:type="dxa"/>
        <w:tblLayout w:type="fixed"/>
        <w:tblLook w:val="04A0" w:firstRow="1" w:lastRow="0" w:firstColumn="1" w:lastColumn="0" w:noHBand="0" w:noVBand="1"/>
      </w:tblPr>
      <w:tblGrid>
        <w:gridCol w:w="1021"/>
        <w:gridCol w:w="680"/>
        <w:gridCol w:w="1191"/>
        <w:gridCol w:w="1871"/>
        <w:gridCol w:w="1871"/>
        <w:gridCol w:w="1871"/>
        <w:gridCol w:w="1871"/>
        <w:gridCol w:w="907"/>
      </w:tblGrid>
      <w:tr w:rsidR="00576402" w:rsidTr="00576402">
        <w:tc>
          <w:tcPr>
            <w:tcW w:w="11283" w:type="nil"/>
            <w:vMerge w:val="restart"/>
          </w:tcPr>
          <w:p w:rsidR="00576402" w:rsidRDefault="00576402" w:rsidP="00576402">
            <w:pPr>
              <w:jc w:val="left"/>
            </w:pPr>
            <w:r>
              <w:rPr>
                <w:rFonts w:hint="eastAsia"/>
              </w:rPr>
              <w:lastRenderedPageBreak/>
              <w:t>投资者类别</w:t>
            </w:r>
          </w:p>
        </w:tc>
        <w:tc>
          <w:tcPr>
            <w:tcW w:w="11283" w:type="nil"/>
            <w:gridSpan w:val="5"/>
          </w:tcPr>
          <w:p w:rsidR="00576402" w:rsidRDefault="00576402" w:rsidP="00576402">
            <w:pPr>
              <w:jc w:val="left"/>
            </w:pPr>
            <w:r>
              <w:rPr>
                <w:rFonts w:hint="eastAsia"/>
              </w:rPr>
              <w:t>报告期内持有基金份额变化情况</w:t>
            </w:r>
          </w:p>
        </w:tc>
        <w:tc>
          <w:tcPr>
            <w:tcW w:w="11283" w:type="nil"/>
            <w:gridSpan w:val="2"/>
          </w:tcPr>
          <w:p w:rsidR="00576402" w:rsidRDefault="00576402" w:rsidP="00576402">
            <w:pPr>
              <w:jc w:val="left"/>
            </w:pPr>
            <w:r>
              <w:rPr>
                <w:rFonts w:hint="eastAsia"/>
              </w:rPr>
              <w:t>报告期末持有基金情况</w:t>
            </w:r>
          </w:p>
        </w:tc>
      </w:tr>
      <w:tr w:rsidR="00576402" w:rsidTr="00576402">
        <w:tc>
          <w:tcPr>
            <w:tcW w:w="11283" w:type="nil"/>
            <w:vMerge/>
          </w:tcPr>
          <w:p w:rsidR="00576402" w:rsidRDefault="00576402" w:rsidP="00576402">
            <w:pPr>
              <w:jc w:val="left"/>
            </w:pPr>
          </w:p>
        </w:tc>
        <w:tc>
          <w:tcPr>
            <w:tcW w:w="11283" w:type="nil"/>
          </w:tcPr>
          <w:p w:rsidR="00576402" w:rsidRDefault="00576402" w:rsidP="00576402">
            <w:pPr>
              <w:jc w:val="left"/>
            </w:pPr>
            <w:r>
              <w:rPr>
                <w:rFonts w:hint="eastAsia"/>
              </w:rPr>
              <w:t>序号</w:t>
            </w:r>
          </w:p>
        </w:tc>
        <w:tc>
          <w:tcPr>
            <w:tcW w:w="11283" w:type="nil"/>
          </w:tcPr>
          <w:p w:rsidR="00576402" w:rsidRDefault="00576402" w:rsidP="00576402">
            <w:pPr>
              <w:jc w:val="left"/>
            </w:pPr>
            <w:r>
              <w:rPr>
                <w:rFonts w:hint="eastAsia"/>
              </w:rPr>
              <w:t>持有基金份额比例达到或者超过</w:t>
            </w:r>
            <w:r>
              <w:rPr>
                <w:rFonts w:hint="eastAsia"/>
              </w:rPr>
              <w:t>20%</w:t>
            </w:r>
            <w:r>
              <w:rPr>
                <w:rFonts w:hint="eastAsia"/>
              </w:rPr>
              <w:t>的时间区间</w:t>
            </w:r>
          </w:p>
        </w:tc>
        <w:tc>
          <w:tcPr>
            <w:tcW w:w="11283" w:type="nil"/>
          </w:tcPr>
          <w:p w:rsidR="00576402" w:rsidRDefault="00576402" w:rsidP="00576402">
            <w:pPr>
              <w:jc w:val="left"/>
            </w:pPr>
            <w:r>
              <w:rPr>
                <w:rFonts w:hint="eastAsia"/>
              </w:rPr>
              <w:t>期初份额</w:t>
            </w:r>
          </w:p>
        </w:tc>
        <w:tc>
          <w:tcPr>
            <w:tcW w:w="11283" w:type="nil"/>
          </w:tcPr>
          <w:p w:rsidR="00576402" w:rsidRDefault="00576402" w:rsidP="00576402">
            <w:pPr>
              <w:jc w:val="left"/>
            </w:pPr>
            <w:r>
              <w:rPr>
                <w:rFonts w:hint="eastAsia"/>
              </w:rPr>
              <w:t>申购份额</w:t>
            </w:r>
          </w:p>
        </w:tc>
        <w:tc>
          <w:tcPr>
            <w:tcW w:w="11283" w:type="nil"/>
          </w:tcPr>
          <w:p w:rsidR="00576402" w:rsidRDefault="00576402" w:rsidP="00576402">
            <w:pPr>
              <w:jc w:val="left"/>
            </w:pPr>
            <w:r>
              <w:rPr>
                <w:rFonts w:hint="eastAsia"/>
              </w:rPr>
              <w:t>赎回份额</w:t>
            </w:r>
          </w:p>
        </w:tc>
        <w:tc>
          <w:tcPr>
            <w:tcW w:w="11283" w:type="nil"/>
          </w:tcPr>
          <w:p w:rsidR="00576402" w:rsidRDefault="00576402" w:rsidP="00576402">
            <w:pPr>
              <w:jc w:val="left"/>
            </w:pPr>
            <w:r>
              <w:rPr>
                <w:rFonts w:hint="eastAsia"/>
              </w:rPr>
              <w:t>持有份额</w:t>
            </w:r>
          </w:p>
        </w:tc>
        <w:tc>
          <w:tcPr>
            <w:tcW w:w="11283" w:type="nil"/>
          </w:tcPr>
          <w:p w:rsidR="00576402" w:rsidRDefault="00576402" w:rsidP="00576402">
            <w:pPr>
              <w:jc w:val="left"/>
            </w:pPr>
            <w:r>
              <w:rPr>
                <w:rFonts w:hint="eastAsia"/>
              </w:rPr>
              <w:t>份额占比</w:t>
            </w:r>
          </w:p>
        </w:tc>
      </w:tr>
      <w:tr w:rsidR="00576402" w:rsidTr="00576402">
        <w:tc>
          <w:tcPr>
            <w:tcW w:w="11283" w:type="nil"/>
          </w:tcPr>
          <w:p w:rsidR="00576402" w:rsidRDefault="00576402" w:rsidP="00576402">
            <w:pPr>
              <w:jc w:val="left"/>
            </w:pPr>
            <w:r>
              <w:rPr>
                <w:rFonts w:hint="eastAsia"/>
              </w:rPr>
              <w:t>联接基金</w:t>
            </w:r>
          </w:p>
        </w:tc>
        <w:tc>
          <w:tcPr>
            <w:tcW w:w="11283" w:type="nil"/>
          </w:tcPr>
          <w:p w:rsidR="00576402" w:rsidRDefault="00576402" w:rsidP="00576402">
            <w:pPr>
              <w:jc w:val="right"/>
            </w:pPr>
            <w:r>
              <w:t>1</w:t>
            </w:r>
          </w:p>
        </w:tc>
        <w:tc>
          <w:tcPr>
            <w:tcW w:w="11283" w:type="nil"/>
          </w:tcPr>
          <w:p w:rsidR="00576402" w:rsidRDefault="00576402" w:rsidP="00576402">
            <w:pPr>
              <w:jc w:val="left"/>
            </w:pPr>
            <w:r>
              <w:t>20260327-20260331</w:t>
            </w:r>
          </w:p>
        </w:tc>
        <w:tc>
          <w:tcPr>
            <w:tcW w:w="11283" w:type="nil"/>
          </w:tcPr>
          <w:p w:rsidR="00576402" w:rsidRDefault="00576402" w:rsidP="00576402">
            <w:pPr>
              <w:jc w:val="right"/>
            </w:pPr>
            <w:r>
              <w:t>-</w:t>
            </w:r>
          </w:p>
        </w:tc>
        <w:tc>
          <w:tcPr>
            <w:tcW w:w="11283" w:type="nil"/>
          </w:tcPr>
          <w:p w:rsidR="00576402" w:rsidRDefault="00576402" w:rsidP="00576402">
            <w:pPr>
              <w:jc w:val="right"/>
            </w:pPr>
            <w:r>
              <w:t>55,524,926.00</w:t>
            </w:r>
          </w:p>
        </w:tc>
        <w:tc>
          <w:tcPr>
            <w:tcW w:w="11283" w:type="nil"/>
          </w:tcPr>
          <w:p w:rsidR="00576402" w:rsidRDefault="00576402" w:rsidP="00576402">
            <w:pPr>
              <w:jc w:val="right"/>
            </w:pPr>
            <w:r>
              <w:t>-</w:t>
            </w:r>
          </w:p>
        </w:tc>
        <w:tc>
          <w:tcPr>
            <w:tcW w:w="11283" w:type="nil"/>
          </w:tcPr>
          <w:p w:rsidR="00576402" w:rsidRDefault="00576402" w:rsidP="00576402">
            <w:pPr>
              <w:jc w:val="right"/>
            </w:pPr>
            <w:r>
              <w:t>55,524,926.00</w:t>
            </w:r>
          </w:p>
        </w:tc>
        <w:tc>
          <w:tcPr>
            <w:tcW w:w="11283" w:type="nil"/>
          </w:tcPr>
          <w:p w:rsidR="00576402" w:rsidRDefault="00576402" w:rsidP="00576402">
            <w:pPr>
              <w:jc w:val="right"/>
            </w:pPr>
            <w:r>
              <w:t>32.93%</w:t>
            </w:r>
          </w:p>
        </w:tc>
      </w:tr>
      <w:tr w:rsidR="00576402" w:rsidTr="00576402">
        <w:tc>
          <w:tcPr>
            <w:tcW w:w="11283" w:type="nil"/>
            <w:gridSpan w:val="8"/>
          </w:tcPr>
          <w:p w:rsidR="00576402" w:rsidRDefault="00576402" w:rsidP="00576402">
            <w:pPr>
              <w:jc w:val="left"/>
            </w:pPr>
            <w:r>
              <w:rPr>
                <w:rFonts w:hint="eastAsia"/>
              </w:rPr>
              <w:t>产品特有风险</w:t>
            </w:r>
          </w:p>
        </w:tc>
      </w:tr>
      <w:tr w:rsidR="00576402" w:rsidTr="00576402">
        <w:tc>
          <w:tcPr>
            <w:tcW w:w="11283" w:type="nil"/>
            <w:gridSpan w:val="8"/>
          </w:tcPr>
          <w:p w:rsidR="00576402" w:rsidRDefault="00576402" w:rsidP="00576402">
            <w:r>
              <w:rPr>
                <w:rFonts w:hint="eastAsia"/>
              </w:rPr>
              <w:t>本基金存在持有基金份额超过</w:t>
            </w:r>
            <w:r>
              <w:rPr>
                <w:rFonts w:hint="eastAsia"/>
              </w:rPr>
              <w:t>20%</w:t>
            </w:r>
            <w:r>
              <w:rPr>
                <w:rFonts w:hint="eastAsia"/>
              </w:rPr>
              <w:t>的基金份额持有人，在特定赎回比例及市场条件下，若基金管理人未能以合理价格及时变现基金资产，将会导致流动性风险和基金净值波动风险。</w:t>
            </w:r>
          </w:p>
        </w:tc>
      </w:tr>
    </w:tbl>
    <w:p w:rsidR="00576402" w:rsidRDefault="00576402" w:rsidP="00576402">
      <w:pPr>
        <w:pStyle w:val="-2"/>
        <w:spacing w:before="312"/>
        <w:rPr>
          <w:rFonts w:hint="eastAsia"/>
        </w:rPr>
      </w:pPr>
      <w:r>
        <w:rPr>
          <w:rFonts w:hint="eastAsia"/>
        </w:rPr>
        <w:t>影响投资者决策的其他重要信息</w:t>
      </w:r>
    </w:p>
    <w:p w:rsidR="00576402" w:rsidRDefault="00576402" w:rsidP="00576402">
      <w:pPr>
        <w:pStyle w:val="-"/>
        <w:ind w:firstLine="420"/>
        <w:rPr>
          <w:rFonts w:hint="eastAsia"/>
        </w:rPr>
      </w:pPr>
      <w:r>
        <w:rPr>
          <w:rFonts w:hint="eastAsia"/>
        </w:rPr>
        <w:t>无。</w:t>
      </w:r>
    </w:p>
    <w:p w:rsidR="00576402" w:rsidRDefault="00576402" w:rsidP="00576402">
      <w:pPr>
        <w:pStyle w:val="-1"/>
        <w:ind w:left="281" w:hanging="281"/>
        <w:rPr>
          <w:rFonts w:hint="eastAsia"/>
        </w:rPr>
      </w:pPr>
      <w:r>
        <w:rPr>
          <w:rFonts w:hint="eastAsia"/>
        </w:rPr>
        <w:t>备查文件目录</w:t>
      </w:r>
    </w:p>
    <w:p w:rsidR="00576402" w:rsidRDefault="00576402" w:rsidP="00576402">
      <w:pPr>
        <w:pStyle w:val="-2"/>
        <w:spacing w:before="312"/>
        <w:rPr>
          <w:rFonts w:hint="eastAsia"/>
        </w:rPr>
      </w:pPr>
      <w:r>
        <w:rPr>
          <w:rFonts w:hint="eastAsia"/>
        </w:rPr>
        <w:t>备查文件目录</w:t>
      </w:r>
    </w:p>
    <w:p w:rsidR="00576402" w:rsidRDefault="00576402" w:rsidP="00576402">
      <w:pPr>
        <w:pStyle w:val="-"/>
        <w:ind w:firstLine="420"/>
        <w:rPr>
          <w:rFonts w:hint="eastAsia"/>
        </w:rPr>
      </w:pPr>
      <w:r>
        <w:rPr>
          <w:rFonts w:hint="eastAsia"/>
        </w:rPr>
        <w:t>1、《南方中证港股通50交易型开放式指数证券投资基金基金合同》；</w:t>
      </w:r>
    </w:p>
    <w:p w:rsidR="00576402" w:rsidRDefault="00576402" w:rsidP="00576402">
      <w:pPr>
        <w:pStyle w:val="-"/>
        <w:ind w:firstLine="420"/>
        <w:rPr>
          <w:rFonts w:hint="eastAsia"/>
        </w:rPr>
      </w:pPr>
      <w:r>
        <w:rPr>
          <w:rFonts w:hint="eastAsia"/>
        </w:rPr>
        <w:t>2、《南方中证港股通50交易型开放式指数证券投资基金托管协议》；</w:t>
      </w:r>
    </w:p>
    <w:p w:rsidR="00576402" w:rsidRDefault="00576402" w:rsidP="00576402">
      <w:pPr>
        <w:pStyle w:val="-"/>
        <w:ind w:firstLine="420"/>
        <w:rPr>
          <w:rFonts w:hint="eastAsia"/>
        </w:rPr>
      </w:pPr>
      <w:r>
        <w:rPr>
          <w:rFonts w:hint="eastAsia"/>
        </w:rPr>
        <w:t>3、南方中证港股通50交易型开放式指数证券投资基金2026年1季度报告原文。</w:t>
      </w:r>
    </w:p>
    <w:p w:rsidR="00576402" w:rsidRDefault="00576402" w:rsidP="00576402">
      <w:pPr>
        <w:pStyle w:val="-2"/>
        <w:spacing w:before="312"/>
        <w:rPr>
          <w:rFonts w:hint="eastAsia"/>
        </w:rPr>
      </w:pPr>
      <w:r>
        <w:rPr>
          <w:rFonts w:hint="eastAsia"/>
        </w:rPr>
        <w:t>存放地点</w:t>
      </w:r>
    </w:p>
    <w:p w:rsidR="00576402" w:rsidRDefault="00576402" w:rsidP="00576402">
      <w:pPr>
        <w:pStyle w:val="-"/>
        <w:ind w:firstLine="420"/>
        <w:rPr>
          <w:rFonts w:hint="eastAsia"/>
        </w:rPr>
      </w:pPr>
      <w:r>
        <w:rPr>
          <w:rFonts w:hint="eastAsia"/>
        </w:rPr>
        <w:t>深圳市福田区莲花街道益田路5999号基金大厦32-42楼。</w:t>
      </w:r>
    </w:p>
    <w:p w:rsidR="00576402" w:rsidRDefault="00576402" w:rsidP="00576402">
      <w:pPr>
        <w:pStyle w:val="-2"/>
        <w:spacing w:before="312"/>
        <w:rPr>
          <w:rFonts w:hint="eastAsia"/>
        </w:rPr>
      </w:pPr>
      <w:r>
        <w:rPr>
          <w:rFonts w:hint="eastAsia"/>
        </w:rPr>
        <w:t>查阅方式</w:t>
      </w:r>
    </w:p>
    <w:p w:rsidR="00576402" w:rsidRDefault="00576402" w:rsidP="00576402">
      <w:pPr>
        <w:pStyle w:val="-"/>
        <w:ind w:firstLine="420"/>
        <w:rPr>
          <w:rFonts w:hint="eastAsia"/>
        </w:rPr>
      </w:pPr>
      <w:r>
        <w:rPr>
          <w:rFonts w:hint="eastAsia"/>
        </w:rPr>
        <w:t>网站：http://www.nffund.com</w:t>
      </w:r>
    </w:p>
    <w:p w:rsidR="003C7DC3" w:rsidRDefault="00576402" w:rsidP="00576402">
      <w:bookmarkStart w:id="2" w:name="_GoBack"/>
      <w:bookmarkEnd w:id="2"/>
      <w:r>
        <w:t xml:space="preserve"> </w:t>
      </w:r>
    </w:p>
    <w:sectPr w:rsidR="003C7DC3" w:rsidSect="00225D75">
      <w:headerReference w:type="even" r:id="rId9"/>
      <w:headerReference w:type="default" r:id="rId10"/>
      <w:footerReference w:type="even" r:id="rId11"/>
      <w:footerReference w:type="default" r:id="rId12"/>
      <w:headerReference w:type="first" r:id="rId13"/>
      <w:footerReference w:type="first" r:id="rId14"/>
      <w:pgSz w:w="11906" w:h="16838"/>
      <w:pgMar w:top="1440" w:right="1800" w:bottom="1440" w:left="1800" w:header="851" w:footer="992" w:gutter="0"/>
      <w:pgNumType w:start="0"/>
      <w:cols w:space="425"/>
      <w:titlePg/>
      <w:docGrid w:type="lines" w:linePitch="312"/>
    </w:sectPr>
  </w:body>
</w:document>
</file>

<file path=word/endnotes.xml><?xml version="1.0" encoding="utf-8"?>
<w:endnotes xmlns:wpc="http://schemas.microsoft.com/office/word/2010/wordprocessingCanvas" xmlns:cx="http://schemas.microsoft.com/office/drawing/2014/chartex" xmlns:mc="http://schemas.openxmlformats.org/markup-compatibility/2006"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16se="http://schemas.microsoft.com/office/word/2015/wordml/symex" xmlns:wpg="http://schemas.microsoft.com/office/word/2010/wordprocessingGroup" xmlns:wpi="http://schemas.microsoft.com/office/word/2010/wordprocessingInk" xmlns:wne="http://schemas.microsoft.com/office/word/2006/wordml" xmlns:wps="http://schemas.microsoft.com/office/word/2010/wordprocessingShape" mc:Ignorable="w14 w15 w16se wp14">
  <w:endnote w:type="separator" w:id="-1">
    <w:p w:rsidR="00576402" w:rsidRDefault="00576402" w:rsidP="00D17C56">
      <w:r>
        <w:separator/>
      </w:r>
    </w:p>
  </w:endnote>
  <w:endnote w:type="continuationSeparator" w:id="0">
    <w:p w:rsidR="00576402" w:rsidRDefault="00576402" w:rsidP="00D17C56">
      <w:r>
        <w:continuationSeparator/>
      </w:r>
    </w:p>
  </w:endnote>
</w:endnotes>
</file>

<file path=word/fontTable.xml><?xml version="1.0" encoding="utf-8"?>
<w:fonts xmlns:mc="http://schemas.openxmlformats.org/markup-compatibility/2006" xmlns:r="http://schemas.openxmlformats.org/officeDocument/2006/relationships" xmlns:w="http://schemas.openxmlformats.org/wordprocessingml/2006/main" xmlns:w14="http://schemas.microsoft.com/office/word/2010/wordml" xmlns:w15="http://schemas.microsoft.com/office/word/2012/wordml" xmlns:w16se="http://schemas.microsoft.com/office/word/2015/wordml/symex" mc:Ignorable="w14 w15 w16se">
  <w:font w:name="Times New Roman">
    <w:panose1 w:val="02020603050405020304"/>
    <w:charset w:val="00"/>
    <w:family w:val="roman"/>
    <w:pitch w:val="variable"/>
    <w:sig w:usb0="E0002EFF" w:usb1="C0007843" w:usb2="00000009" w:usb3="00000000" w:csb0="000001FF" w:csb1="00000000"/>
  </w:font>
  <w:font w:name="宋体">
    <w:altName w:val="SimSun"/>
    <w:panose1 w:val="02010600030101010101"/>
    <w:charset w:val="86"/>
    <w:family w:val="auto"/>
    <w:pitch w:val="variable"/>
    <w:sig w:usb0="00000003" w:usb1="288F0000" w:usb2="00000016" w:usb3="00000000" w:csb0="00040001" w:csb1="00000000"/>
  </w:font>
  <w:font w:name="Calibri Light">
    <w:panose1 w:val="020F0302020204030204"/>
    <w:charset w:val="00"/>
    <w:family w:val="swiss"/>
    <w:pitch w:val="variable"/>
    <w:sig w:usb0="A00002EF" w:usb1="4000207B" w:usb2="00000000" w:usb3="00000000" w:csb0="0000019F" w:csb1="00000000"/>
  </w:font>
  <w:font w:name="Cambria">
    <w:panose1 w:val="02040503050406030204"/>
    <w:charset w:val="00"/>
    <w:family w:val="roman"/>
    <w:pitch w:val="variable"/>
    <w:sig w:usb0="E00006FF" w:usb1="420024FF" w:usb2="02000000" w:usb3="00000000" w:csb0="0000019F" w:csb1="00000000"/>
  </w:font>
  <w:font w:name="Calibri">
    <w:panose1 w:val="020F0502020204030204"/>
    <w:charset w:val="00"/>
    <w:family w:val="swiss"/>
    <w:pitch w:val="variable"/>
    <w:sig w:usb0="E00002FF" w:usb1="4000ACFF" w:usb2="00000001" w:usb3="00000000" w:csb0="0000019F" w:csb1="00000000"/>
  </w:font>
</w:fonts>
</file>

<file path=word/footer1.xml><?xml version="1.0" encoding="utf-8"?>
<w:ftr xmlns:wpc="http://schemas.microsoft.com/office/word/2010/wordprocessingCanvas" xmlns:cx="http://schemas.microsoft.com/office/drawing/2014/chartex" xmlns:mc="http://schemas.openxmlformats.org/markup-compatibility/2006"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16se="http://schemas.microsoft.com/office/word/2015/wordml/symex" xmlns:wpg="http://schemas.microsoft.com/office/word/2010/wordprocessingGroup" xmlns:wpi="http://schemas.microsoft.com/office/word/2010/wordprocessingInk" xmlns:wne="http://schemas.microsoft.com/office/word/2006/wordml" xmlns:wps="http://schemas.microsoft.com/office/word/2010/wordprocessingShape" mc:Ignorable="w14 w15 w16se wp14">
  <w:p w:rsidR="00576402" w:rsidRDefault="00576402">
    <w:pPr>
      <w:pStyle w:val="a9"/>
    </w:pPr>
  </w:p>
</w:ftr>
</file>

<file path=word/footer2.xml><?xml version="1.0" encoding="utf-8"?>
<w:ftr xmlns:wpc="http://schemas.microsoft.com/office/word/2010/wordprocessingCanvas" xmlns:cx="http://schemas.microsoft.com/office/drawing/2014/chartex" xmlns:mc="http://schemas.openxmlformats.org/markup-compatibility/2006"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16se="http://schemas.microsoft.com/office/word/2015/wordml/symex" xmlns:wpg="http://schemas.microsoft.com/office/word/2010/wordprocessingGroup" xmlns:wpi="http://schemas.microsoft.com/office/word/2010/wordprocessingInk" xmlns:wne="http://schemas.microsoft.com/office/word/2006/wordml" xmlns:wps="http://schemas.microsoft.com/office/word/2010/wordprocessingShape" mc:Ignorable="w14 w15 w16se wp14">
  <w:p w:rsidR="001B0F0F" w:rsidRPr="00C8294A" w:rsidRDefault="00AE3F5B" w:rsidP="00C8294A">
    <w:pPr>
      <w:pStyle w:val="a9"/>
      <w:jc w:val="center"/>
      <w:rPr>
        <w:rFonts w:ascii="宋体" w:hAnsi="宋体"/>
      </w:rPr>
    </w:pPr>
    <w:r w:rsidRPr="00C8294A">
      <w:rPr>
        <w:rFonts w:ascii="宋体" w:hAnsi="宋体" w:hint="eastAsia"/>
        <w:bCs/>
      </w:rPr>
      <w:t>第</w:t>
    </w:r>
    <w:r w:rsidRPr="00C8294A">
      <w:rPr>
        <w:rFonts w:ascii="宋体" w:hAnsi="宋体"/>
        <w:bCs/>
      </w:rPr>
      <w:t xml:space="preserve"> </w:t>
    </w:r>
    <w:r w:rsidR="00C8294A" w:rsidRPr="00C8294A">
      <w:rPr>
        <w:rFonts w:ascii="宋体" w:hAnsi="宋体"/>
        <w:bCs/>
      </w:rPr>
      <w:fldChar w:fldCharType="begin"/>
    </w:r>
    <w:r w:rsidR="00C8294A" w:rsidRPr="00C8294A">
      <w:rPr>
        <w:rFonts w:ascii="宋体" w:hAnsi="宋体"/>
        <w:bCs/>
      </w:rPr>
      <w:instrText>PAGE  \* Arabic  \* MERGEFORMAT</w:instrText>
    </w:r>
    <w:r w:rsidR="00C8294A" w:rsidRPr="00C8294A">
      <w:rPr>
        <w:rFonts w:ascii="宋体" w:hAnsi="宋体"/>
        <w:bCs/>
      </w:rPr>
      <w:fldChar w:fldCharType="separate"/>
    </w:r>
    <w:r w:rsidR="00576402" w:rsidRPr="00576402">
      <w:rPr>
        <w:rFonts w:ascii="宋体" w:hAnsi="宋体"/>
        <w:bCs/>
        <w:noProof/>
        <w:lang w:val="zh-CN"/>
      </w:rPr>
      <w:t>11</w:t>
    </w:r>
    <w:r w:rsidR="00C8294A" w:rsidRPr="00C8294A">
      <w:rPr>
        <w:rFonts w:ascii="宋体" w:hAnsi="宋体"/>
        <w:bCs/>
      </w:rPr>
      <w:fldChar w:fldCharType="end"/>
    </w:r>
    <w:r w:rsidRPr="00C8294A">
      <w:rPr>
        <w:rFonts w:ascii="宋体" w:hAnsi="宋体"/>
        <w:bCs/>
      </w:rPr>
      <w:t xml:space="preserve"> </w:t>
    </w:r>
    <w:r w:rsidRPr="00C8294A">
      <w:rPr>
        <w:rFonts w:ascii="宋体" w:hAnsi="宋体" w:hint="eastAsia"/>
        <w:bCs/>
      </w:rPr>
      <w:t>页</w:t>
    </w:r>
    <w:r w:rsidRPr="00C8294A">
      <w:rPr>
        <w:rFonts w:ascii="宋体" w:hAnsi="宋体"/>
        <w:lang w:val="zh-CN"/>
      </w:rPr>
      <w:t xml:space="preserve"> </w:t>
    </w:r>
    <w:r w:rsidRPr="00C8294A">
      <w:rPr>
        <w:rFonts w:ascii="宋体" w:hAnsi="宋体" w:hint="eastAsia"/>
        <w:lang w:val="zh-CN"/>
      </w:rPr>
      <w:t>共</w:t>
    </w:r>
    <w:r w:rsidR="003959FD">
      <w:rPr>
        <w:rFonts w:ascii="宋体" w:hAnsi="宋体" w:hint="eastAsia"/>
        <w:lang w:val="zh-CN"/>
      </w:rPr>
      <w:t xml:space="preserve"> </w:t>
    </w:r>
    <w:r w:rsidR="00C8294A" w:rsidRPr="00FB6D5E">
      <w:rPr>
        <w:rFonts w:ascii="宋体" w:hAnsi="宋体"/>
        <w:bCs/>
      </w:rPr>
      <w:fldChar w:fldCharType="begin"/>
    </w:r>
    <w:r w:rsidR="00FB6D5E" w:rsidRPr="00FB6D5E">
      <w:rPr>
        <w:rFonts w:ascii="宋体" w:hAnsi="宋体" w:hint="eastAsia"/>
        <w:bCs/>
      </w:rPr>
      <w:instrText>=</w:instrText>
    </w:r>
    <w:r w:rsidR="00FB6D5E" w:rsidRPr="00FB6D5E">
      <w:rPr>
        <w:rFonts w:ascii="宋体" w:hAnsi="宋体"/>
        <w:bCs/>
      </w:rPr>
      <w:fldChar w:fldCharType="begin"/>
    </w:r>
    <w:r w:rsidR="00FB6D5E" w:rsidRPr="00FB6D5E">
      <w:rPr>
        <w:rFonts w:ascii="宋体" w:hAnsi="宋体"/>
        <w:bCs/>
      </w:rPr>
      <w:instrText xml:space="preserve"> NUMPAGES </w:instrText>
    </w:r>
    <w:r w:rsidR="00FB6D5E" w:rsidRPr="00FB6D5E">
      <w:rPr>
        <w:rFonts w:ascii="宋体" w:hAnsi="宋体"/>
        <w:bCs/>
      </w:rPr>
      <w:fldChar w:fldCharType="separate"/>
    </w:r>
    <w:r w:rsidR="00576402">
      <w:rPr>
        <w:rFonts w:ascii="宋体" w:hAnsi="宋体"/>
        <w:bCs/>
        <w:noProof/>
      </w:rPr>
      <w:instrText>12</w:instrText>
    </w:r>
    <w:r w:rsidR="00FB6D5E" w:rsidRPr="00FB6D5E">
      <w:rPr>
        <w:rFonts w:ascii="宋体" w:hAnsi="宋体"/>
        <w:bCs/>
      </w:rPr>
      <w:fldChar w:fldCharType="end"/>
    </w:r>
    <w:r w:rsidR="00FB6D5E" w:rsidRPr="00FB6D5E">
      <w:rPr>
        <w:rFonts w:ascii="宋体" w:hAnsi="宋体" w:hint="eastAsia"/>
        <w:bCs/>
      </w:rPr>
      <w:instrText>-1</w:instrText>
    </w:r>
    <w:r w:rsidR="00C8294A" w:rsidRPr="00FB6D5E">
      <w:rPr>
        <w:rFonts w:ascii="宋体" w:hAnsi="宋体"/>
        <w:bCs/>
      </w:rPr>
      <w:instrText xml:space="preserve">  \* Arabic  \* MERGEFORMAT</w:instrText>
    </w:r>
    <w:r w:rsidR="00C8294A" w:rsidRPr="00FB6D5E">
      <w:rPr>
        <w:rFonts w:ascii="宋体" w:hAnsi="宋体"/>
        <w:bCs/>
      </w:rPr>
      <w:fldChar w:fldCharType="separate"/>
    </w:r>
    <w:r w:rsidR="00576402">
      <w:rPr>
        <w:rFonts w:ascii="宋体" w:hAnsi="宋体"/>
        <w:bCs/>
        <w:noProof/>
      </w:rPr>
      <w:t>11</w:t>
    </w:r>
    <w:r w:rsidR="00C8294A" w:rsidRPr="00FB6D5E">
      <w:rPr>
        <w:rFonts w:ascii="宋体" w:hAnsi="宋体"/>
        <w:bCs/>
      </w:rPr>
      <w:fldChar w:fldCharType="end"/>
    </w:r>
    <w:r w:rsidR="003959FD">
      <w:rPr>
        <w:rFonts w:ascii="宋体" w:hAnsi="宋体"/>
        <w:bCs/>
      </w:rPr>
      <w:t xml:space="preserve"> </w:t>
    </w:r>
    <w:r w:rsidRPr="00C8294A">
      <w:rPr>
        <w:rFonts w:ascii="宋体" w:hAnsi="宋体" w:hint="eastAsia"/>
        <w:bCs/>
      </w:rPr>
      <w:t>页</w:t>
    </w:r>
  </w:p>
</w:ftr>
</file>

<file path=word/footer3.xml><?xml version="1.0" encoding="utf-8"?>
<w:ftr xmlns:wpc="http://schemas.microsoft.com/office/word/2010/wordprocessingCanvas" xmlns:cx="http://schemas.microsoft.com/office/drawing/2014/chartex" xmlns:mc="http://schemas.openxmlformats.org/markup-compatibility/2006"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16se="http://schemas.microsoft.com/office/word/2015/wordml/symex" xmlns:wpg="http://schemas.microsoft.com/office/word/2010/wordprocessingGroup" xmlns:wpi="http://schemas.microsoft.com/office/word/2010/wordprocessingInk" xmlns:wne="http://schemas.microsoft.com/office/word/2006/wordml" xmlns:wps="http://schemas.microsoft.com/office/word/2010/wordprocessingShape" mc:Ignorable="w14 w15 w16se wp14">
  <w:p w:rsidR="00576402" w:rsidRDefault="00576402">
    <w:pPr>
      <w:pStyle w:val="a9"/>
    </w:pPr>
  </w:p>
</w:ftr>
</file>

<file path=word/footnotes.xml><?xml version="1.0" encoding="utf-8"?>
<w:footnotes xmlns:wpc="http://schemas.microsoft.com/office/word/2010/wordprocessingCanvas" xmlns:cx="http://schemas.microsoft.com/office/drawing/2014/chartex" xmlns:mc="http://schemas.openxmlformats.org/markup-compatibility/2006"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16se="http://schemas.microsoft.com/office/word/2015/wordml/symex" xmlns:wpg="http://schemas.microsoft.com/office/word/2010/wordprocessingGroup" xmlns:wpi="http://schemas.microsoft.com/office/word/2010/wordprocessingInk" xmlns:wne="http://schemas.microsoft.com/office/word/2006/wordml" xmlns:wps="http://schemas.microsoft.com/office/word/2010/wordprocessingShape" mc:Ignorable="w14 w15 w16se wp14">
  <w:footnote w:type="separator" w:id="-1">
    <w:p w:rsidR="00576402" w:rsidRDefault="00576402" w:rsidP="00D17C56">
      <w:r>
        <w:separator/>
      </w:r>
    </w:p>
  </w:footnote>
  <w:footnote w:type="continuationSeparator" w:id="0">
    <w:p w:rsidR="00576402" w:rsidRDefault="00576402" w:rsidP="00D17C56">
      <w:r>
        <w:continuationSeparator/>
      </w:r>
    </w:p>
  </w:footnote>
</w:footnotes>
</file>

<file path=word/header1.xml><?xml version="1.0" encoding="utf-8"?>
<w:hdr xmlns:wpc="http://schemas.microsoft.com/office/word/2010/wordprocessingCanvas" xmlns:cx="http://schemas.microsoft.com/office/drawing/2014/chartex" xmlns:mc="http://schemas.openxmlformats.org/markup-compatibility/2006"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16se="http://schemas.microsoft.com/office/word/2015/wordml/symex" xmlns:wpg="http://schemas.microsoft.com/office/word/2010/wordprocessingGroup" xmlns:wpi="http://schemas.microsoft.com/office/word/2010/wordprocessingInk" xmlns:wne="http://schemas.microsoft.com/office/word/2006/wordml" xmlns:wps="http://schemas.microsoft.com/office/word/2010/wordprocessingShape" mc:Ignorable="w14 w15 w16se wp14">
  <w:p w:rsidR="00576402" w:rsidRDefault="00576402">
    <w:pPr>
      <w:pStyle w:val="a7"/>
    </w:pPr>
  </w:p>
</w:hdr>
</file>

<file path=word/header2.xml><?xml version="1.0" encoding="utf-8"?>
<w:hdr xmlns:wpc="http://schemas.microsoft.com/office/word/2010/wordprocessingCanvas" xmlns:cx="http://schemas.microsoft.com/office/drawing/2014/chartex" xmlns:mc="http://schemas.openxmlformats.org/markup-compatibility/2006"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16se="http://schemas.microsoft.com/office/word/2015/wordml/symex" xmlns:wpg="http://schemas.microsoft.com/office/word/2010/wordprocessingGroup" xmlns:wpi="http://schemas.microsoft.com/office/word/2010/wordprocessingInk" xmlns:wne="http://schemas.microsoft.com/office/word/2006/wordml" xmlns:wps="http://schemas.microsoft.com/office/word/2010/wordprocessingShape" mc:Ignorable="w14 w15 w16se wp14">
  <w:p w:rsidR="00750C9A" w:rsidRDefault="00576402" w:rsidP="00AE3F5B">
    <w:pPr>
      <w:pStyle w:val="a7"/>
      <w:pBdr>
        <w:bottom w:val="single" w:sz="4" w:space="1" w:color="auto"/>
      </w:pBdr>
      <w:jc w:val="right"/>
    </w:pPr>
    <w:r>
      <w:rPr>
        <w:rFonts w:hint="eastAsia"/>
      </w:rPr>
      <w:t>南方中证港股通</w:t>
    </w:r>
    <w:r>
      <w:rPr>
        <w:rFonts w:hint="eastAsia"/>
      </w:rPr>
      <w:t>50</w:t>
    </w:r>
    <w:r>
      <w:rPr>
        <w:rFonts w:hint="eastAsia"/>
      </w:rPr>
      <w:t>交易型开放式指数证券投资基金</w:t>
    </w:r>
    <w:r>
      <w:rPr>
        <w:rFonts w:hint="eastAsia"/>
      </w:rPr>
      <w:t>2026</w:t>
    </w:r>
    <w:r>
      <w:rPr>
        <w:rFonts w:hint="eastAsia"/>
      </w:rPr>
      <w:t>年第</w:t>
    </w:r>
    <w:r>
      <w:rPr>
        <w:rFonts w:hint="eastAsia"/>
      </w:rPr>
      <w:t>1</w:t>
    </w:r>
    <w:r>
      <w:rPr>
        <w:rFonts w:hint="eastAsia"/>
      </w:rPr>
      <w:t>季度报告</w:t>
    </w:r>
  </w:p>
</w:hdr>
</file>

<file path=word/header3.xml><?xml version="1.0" encoding="utf-8"?>
<w:hdr xmlns:wpc="http://schemas.microsoft.com/office/word/2010/wordprocessingCanvas" xmlns:cx="http://schemas.microsoft.com/office/drawing/2014/chartex" xmlns:mc="http://schemas.openxmlformats.org/markup-compatibility/2006"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16se="http://schemas.microsoft.com/office/word/2015/wordml/symex" xmlns:wpg="http://schemas.microsoft.com/office/word/2010/wordprocessingGroup" xmlns:wpi="http://schemas.microsoft.com/office/word/2010/wordprocessingInk" xmlns:wne="http://schemas.microsoft.com/office/word/2006/wordml" xmlns:wps="http://schemas.microsoft.com/office/word/2010/wordprocessingShape" mc:Ignorable="w14 w15 w16se wp14">
  <w:p w:rsidR="00986A5F" w:rsidRDefault="00986A5F" w:rsidP="00986A5F">
    <w:pPr>
      <w:pStyle w:val="a7"/>
      <w:pBdr>
        <w:bottom w:val="none" w:sz="0" w:space="0" w:color="auto"/>
      </w:pBdr>
    </w:pPr>
  </w:p>
</w:hdr>
</file>

<file path=word/numbering.xml><?xml version="1.0" encoding="utf-8"?>
<w:numbering xmlns:wpc="http://schemas.microsoft.com/office/word/2010/wordprocessingCanvas" xmlns:cx="http://schemas.microsoft.com/office/drawing/2014/chartex" xmlns:mc="http://schemas.openxmlformats.org/markup-compatibility/2006"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16se="http://schemas.microsoft.com/office/word/2015/wordml/symex" xmlns:wpg="http://schemas.microsoft.com/office/word/2010/wordprocessingGroup" xmlns:wpi="http://schemas.microsoft.com/office/word/2010/wordprocessingInk" xmlns:wne="http://schemas.microsoft.com/office/word/2006/wordml" xmlns:wps="http://schemas.microsoft.com/office/word/2010/wordprocessingShape" mc:Ignorable="w14 w15 w16se wp14">
  <w:abstractNum w:abstractNumId="0" w15:restartNumberingAfterBreak="0">
    <w:nsid w:val="13E9778E"/>
    <w:multiLevelType w:val="multilevel"/>
    <w:tmpl w:val="81260924"/>
    <w:lvl w:ilvl="0">
      <w:start w:val="1"/>
      <w:numFmt w:val="decimal"/>
      <w:pStyle w:val="-1"/>
      <w:suff w:val="space"/>
      <w:lvlText w:val="§%1"/>
      <w:lvlJc w:val="center"/>
      <w:pPr>
        <w:ind w:left="425" w:hanging="425"/>
      </w:pPr>
      <w:rPr>
        <w:rFonts w:hint="eastAsia"/>
      </w:rPr>
    </w:lvl>
    <w:lvl w:ilvl="1">
      <w:start w:val="1"/>
      <w:numFmt w:val="decimal"/>
      <w:pStyle w:val="-2"/>
      <w:suff w:val="space"/>
      <w:lvlText w:val="%1.%2"/>
      <w:lvlJc w:val="left"/>
      <w:pPr>
        <w:ind w:left="992" w:hanging="992"/>
      </w:pPr>
      <w:rPr>
        <w:rFonts w:hint="eastAsia"/>
      </w:rPr>
    </w:lvl>
    <w:lvl w:ilvl="2">
      <w:start w:val="1"/>
      <w:numFmt w:val="decimal"/>
      <w:pStyle w:val="-3"/>
      <w:suff w:val="space"/>
      <w:lvlText w:val="%1.%2.%3"/>
      <w:lvlJc w:val="left"/>
      <w:pPr>
        <w:ind w:left="1418" w:hanging="1418"/>
      </w:pPr>
      <w:rPr>
        <w:rFonts w:hint="eastAsia"/>
      </w:rPr>
    </w:lvl>
    <w:lvl w:ilvl="3">
      <w:start w:val="1"/>
      <w:numFmt w:val="decimal"/>
      <w:pStyle w:val="-4"/>
      <w:suff w:val="space"/>
      <w:lvlText w:val="%1.%2.%3.%4"/>
      <w:lvlJc w:val="left"/>
      <w:pPr>
        <w:ind w:left="1984" w:hanging="1984"/>
      </w:pPr>
      <w:rPr>
        <w:rFonts w:hint="eastAsia"/>
      </w:rPr>
    </w:lvl>
    <w:lvl w:ilvl="4">
      <w:start w:val="1"/>
      <w:numFmt w:val="decimal"/>
      <w:pStyle w:val="-5"/>
      <w:suff w:val="space"/>
      <w:lvlText w:val="%1.%2.%3.%4.%5"/>
      <w:lvlJc w:val="left"/>
      <w:pPr>
        <w:ind w:left="2551" w:hanging="2551"/>
      </w:pPr>
      <w:rPr>
        <w:rFonts w:hint="eastAsia"/>
      </w:rPr>
    </w:lvl>
    <w:lvl w:ilvl="5">
      <w:start w:val="1"/>
      <w:numFmt w:val="decimal"/>
      <w:pStyle w:val="-6"/>
      <w:suff w:val="space"/>
      <w:lvlText w:val="%1.%2.%3.%4.%5.%6"/>
      <w:lvlJc w:val="left"/>
      <w:pPr>
        <w:ind w:left="3260" w:hanging="3260"/>
      </w:pPr>
      <w:rPr>
        <w:rFonts w:hint="eastAsia"/>
      </w:rPr>
    </w:lvl>
    <w:lvl w:ilvl="6">
      <w:start w:val="1"/>
      <w:numFmt w:val="decimal"/>
      <w:suff w:val="space"/>
      <w:lvlText w:val="%1.%2.%3.%4.%5.%6.%7"/>
      <w:lvlJc w:val="left"/>
      <w:pPr>
        <w:ind w:left="3827" w:hanging="3827"/>
      </w:pPr>
      <w:rPr>
        <w:rFonts w:hint="eastAsia"/>
      </w:rPr>
    </w:lvl>
    <w:lvl w:ilvl="7">
      <w:start w:val="1"/>
      <w:numFmt w:val="decimal"/>
      <w:suff w:val="space"/>
      <w:lvlText w:val="%1.%2.%3.%4.%5.%6.%7.%8"/>
      <w:lvlJc w:val="left"/>
      <w:pPr>
        <w:ind w:left="4394" w:hanging="4394"/>
      </w:pPr>
      <w:rPr>
        <w:rFonts w:hint="eastAsia"/>
      </w:rPr>
    </w:lvl>
    <w:lvl w:ilvl="8">
      <w:start w:val="1"/>
      <w:numFmt w:val="decimal"/>
      <w:suff w:val="space"/>
      <w:lvlText w:val="%1.%2.%3.%4.%5.%6.%7.%8.%9"/>
      <w:lvlJc w:val="left"/>
      <w:pPr>
        <w:ind w:left="5102" w:hanging="5102"/>
      </w:pPr>
      <w:rPr>
        <w:rFonts w:hint="eastAsia"/>
      </w:rPr>
    </w:lvl>
  </w:abstractNum>
  <w:abstractNum w:abstractNumId="1" w15:restartNumberingAfterBreak="0">
    <w:nsid w:val="7B7A4927"/>
    <w:multiLevelType w:val="hybridMultilevel"/>
    <w:tmpl w:val="60CAB9A4"/>
    <w:lvl w:ilvl="0" w:tplc="3B8861CA">
      <w:start w:val="1"/>
      <w:numFmt w:val="decimal"/>
      <w:lvlText w:val="%1、"/>
      <w:lvlJc w:val="left"/>
      <w:pPr>
        <w:ind w:left="870" w:hanging="420"/>
      </w:pPr>
      <w:rPr>
        <w:rFonts w:hint="eastAsia"/>
      </w:rPr>
    </w:lvl>
    <w:lvl w:ilvl="1" w:tplc="04090019" w:tentative="1">
      <w:start w:val="1"/>
      <w:numFmt w:val="lowerLetter"/>
      <w:lvlText w:val="%2)"/>
      <w:lvlJc w:val="left"/>
      <w:pPr>
        <w:ind w:left="1290" w:hanging="420"/>
      </w:pPr>
    </w:lvl>
    <w:lvl w:ilvl="2" w:tplc="0409001B" w:tentative="1">
      <w:start w:val="1"/>
      <w:numFmt w:val="lowerRoman"/>
      <w:lvlText w:val="%3."/>
      <w:lvlJc w:val="right"/>
      <w:pPr>
        <w:ind w:left="1710" w:hanging="420"/>
      </w:pPr>
    </w:lvl>
    <w:lvl w:ilvl="3" w:tplc="0409000F" w:tentative="1">
      <w:start w:val="1"/>
      <w:numFmt w:val="decimal"/>
      <w:lvlText w:val="%4."/>
      <w:lvlJc w:val="left"/>
      <w:pPr>
        <w:ind w:left="2130" w:hanging="420"/>
      </w:pPr>
    </w:lvl>
    <w:lvl w:ilvl="4" w:tplc="04090019" w:tentative="1">
      <w:start w:val="1"/>
      <w:numFmt w:val="lowerLetter"/>
      <w:lvlText w:val="%5)"/>
      <w:lvlJc w:val="left"/>
      <w:pPr>
        <w:ind w:left="2550" w:hanging="420"/>
      </w:pPr>
    </w:lvl>
    <w:lvl w:ilvl="5" w:tplc="0409001B" w:tentative="1">
      <w:start w:val="1"/>
      <w:numFmt w:val="lowerRoman"/>
      <w:lvlText w:val="%6."/>
      <w:lvlJc w:val="right"/>
      <w:pPr>
        <w:ind w:left="2970" w:hanging="420"/>
      </w:pPr>
    </w:lvl>
    <w:lvl w:ilvl="6" w:tplc="0409000F" w:tentative="1">
      <w:start w:val="1"/>
      <w:numFmt w:val="decimal"/>
      <w:lvlText w:val="%7."/>
      <w:lvlJc w:val="left"/>
      <w:pPr>
        <w:ind w:left="3390" w:hanging="420"/>
      </w:pPr>
    </w:lvl>
    <w:lvl w:ilvl="7" w:tplc="04090019" w:tentative="1">
      <w:start w:val="1"/>
      <w:numFmt w:val="lowerLetter"/>
      <w:lvlText w:val="%8)"/>
      <w:lvlJc w:val="left"/>
      <w:pPr>
        <w:ind w:left="3810" w:hanging="420"/>
      </w:pPr>
    </w:lvl>
    <w:lvl w:ilvl="8" w:tplc="0409001B" w:tentative="1">
      <w:start w:val="1"/>
      <w:numFmt w:val="lowerRoman"/>
      <w:lvlText w:val="%9."/>
      <w:lvlJc w:val="right"/>
      <w:pPr>
        <w:ind w:left="4230" w:hanging="420"/>
      </w:pPr>
    </w:lvl>
  </w:abstractNum>
  <w:num w:numId="1">
    <w:abstractNumId w:val="1"/>
  </w:num>
  <w:num w:numId="2">
    <w:abstractNumId w:val="0"/>
  </w:num>
</w:numbering>
</file>

<file path=word/settings.xml><?xml version="1.0" encoding="utf-8"?>
<w:settings xmlns:mc="http://schemas.openxmlformats.org/markup-compatibility/2006" xmlns:o="urn:schemas-microsoft-com:office:office" xmlns:r="http://schemas.openxmlformats.org/officeDocument/2006/relationships" xmlns:m="http://schemas.openxmlformats.org/officeDocument/2006/math" xmlns:v="urn:schemas-microsoft-com:vml" xmlns:w10="urn:schemas-microsoft-com:office:word" xmlns:w="http://schemas.openxmlformats.org/wordprocessingml/2006/main" xmlns:w14="http://schemas.microsoft.com/office/word/2010/wordml" xmlns:w15="http://schemas.microsoft.com/office/word/2012/wordml" xmlns:w16se="http://schemas.microsoft.com/office/word/2015/wordml/symex" xmlns:sl="http://schemas.openxmlformats.org/schemaLibrary/2006/main" mc:Ignorable="w14 w15 w16se">
  <w:zoom w:percent="100"/>
  <w:embedSystemFonts/>
  <w:bordersDoNotSurroundHeader/>
  <w:bordersDoNotSurroundFooter/>
  <w:stylePaneFormatFilter w:val="3F01" w:allStyles="1" w:customStyles="0" w:latentStyles="0" w:stylesInUse="0" w:headingStyles="0" w:numberingStyles="0" w:tableStyles="0" w:directFormattingOnRuns="1" w:directFormattingOnParagraphs="1" w:directFormattingOnNumbering="1" w:directFormattingOnTables="1" w:clearFormatting="1" w:top3HeadingStyles="1" w:visibleStyles="0" w:alternateStyleNames="0"/>
  <w:defaultTabStop w:val="420"/>
  <w:drawingGridHorizontalSpacing w:val="105"/>
  <w:drawingGridVerticalSpacing w:val="156"/>
  <w:displayHorizontalDrawingGridEvery w:val="0"/>
  <w:displayVerticalDrawingGridEvery w:val="2"/>
  <w:characterSpacingControl w:val="compressPunctuation"/>
  <w:hdrShapeDefaults>
    <o:shapedefaults v:ext="edit" spidmax="2049"/>
  </w:hdrShapeDefaults>
  <w:footnotePr>
    <w:footnote w:id="-1"/>
    <w:footnote w:id="0"/>
  </w:footnotePr>
  <w:endnotePr>
    <w:endnote w:id="-1"/>
    <w:endnote w:id="0"/>
  </w:endnotePr>
  <w:compat>
    <w:spaceForUL/>
    <w:balanceSingleByteDoubleByteWidth/>
    <w:doNotLeaveBackslashAlone/>
    <w:ulTrailSpace/>
    <w:doNotExpandShiftReturn/>
    <w:adjustLineHeightInTable/>
    <w:useFELayout/>
    <w:compatSetting w:name="compatibilityMode" w:uri="http://schemas.microsoft.com/office/word" w:val="15"/>
    <w:compatSetting w:name="overrideTableStyleFontSizeAndJustification" w:uri="http://schemas.microsoft.com/office/word" w:val="1"/>
    <w:compatSetting w:name="enableOpenTypeFeatures" w:uri="http://schemas.microsoft.com/office/word" w:val="1"/>
    <w:compatSetting w:name="doNotFlipMirrorIndents" w:uri="http://schemas.microsoft.com/office/word" w:val="1"/>
    <w:compatSetting w:name="differentiateMultirowTableHeaders" w:uri="http://schemas.microsoft.com/office/word" w:val="1"/>
  </w:compat>
  <w:rsids>
    <w:rsidRoot w:val="00E46AD4"/>
    <w:rsid w:val="00003EE6"/>
    <w:rsid w:val="000275E7"/>
    <w:rsid w:val="00031120"/>
    <w:rsid w:val="0004021A"/>
    <w:rsid w:val="00076D02"/>
    <w:rsid w:val="0008658E"/>
    <w:rsid w:val="000911A2"/>
    <w:rsid w:val="000956A4"/>
    <w:rsid w:val="000A6534"/>
    <w:rsid w:val="000C44B2"/>
    <w:rsid w:val="000D7A58"/>
    <w:rsid w:val="000E2872"/>
    <w:rsid w:val="000E7952"/>
    <w:rsid w:val="000E795D"/>
    <w:rsid w:val="00101D33"/>
    <w:rsid w:val="001201F8"/>
    <w:rsid w:val="00125BAB"/>
    <w:rsid w:val="001426F0"/>
    <w:rsid w:val="0017625F"/>
    <w:rsid w:val="00187B2C"/>
    <w:rsid w:val="001A65EF"/>
    <w:rsid w:val="001B0F0F"/>
    <w:rsid w:val="001B6F12"/>
    <w:rsid w:val="001E2FCE"/>
    <w:rsid w:val="001E67D0"/>
    <w:rsid w:val="00224F3E"/>
    <w:rsid w:val="00225D75"/>
    <w:rsid w:val="00241CEB"/>
    <w:rsid w:val="00265D8F"/>
    <w:rsid w:val="002905F2"/>
    <w:rsid w:val="00292F1C"/>
    <w:rsid w:val="002930DE"/>
    <w:rsid w:val="002972F4"/>
    <w:rsid w:val="002B191A"/>
    <w:rsid w:val="002C0575"/>
    <w:rsid w:val="00300A78"/>
    <w:rsid w:val="00321580"/>
    <w:rsid w:val="003433CF"/>
    <w:rsid w:val="00347B5C"/>
    <w:rsid w:val="00377AC4"/>
    <w:rsid w:val="003959FD"/>
    <w:rsid w:val="003B2C62"/>
    <w:rsid w:val="003C0F9E"/>
    <w:rsid w:val="003C7DC3"/>
    <w:rsid w:val="00425AEE"/>
    <w:rsid w:val="00434355"/>
    <w:rsid w:val="0044118E"/>
    <w:rsid w:val="0044723E"/>
    <w:rsid w:val="00480238"/>
    <w:rsid w:val="00491C2B"/>
    <w:rsid w:val="004A3B54"/>
    <w:rsid w:val="004A57DB"/>
    <w:rsid w:val="004B29EB"/>
    <w:rsid w:val="004B41FD"/>
    <w:rsid w:val="004B6CA1"/>
    <w:rsid w:val="004B6DE6"/>
    <w:rsid w:val="004B7673"/>
    <w:rsid w:val="004E571F"/>
    <w:rsid w:val="004E6689"/>
    <w:rsid w:val="00532A63"/>
    <w:rsid w:val="00544CE0"/>
    <w:rsid w:val="00576402"/>
    <w:rsid w:val="005805A4"/>
    <w:rsid w:val="005A028D"/>
    <w:rsid w:val="005B22CA"/>
    <w:rsid w:val="005C29BB"/>
    <w:rsid w:val="005C314A"/>
    <w:rsid w:val="005C6D52"/>
    <w:rsid w:val="006132B7"/>
    <w:rsid w:val="0061364E"/>
    <w:rsid w:val="00622588"/>
    <w:rsid w:val="0063383B"/>
    <w:rsid w:val="00650113"/>
    <w:rsid w:val="0066091F"/>
    <w:rsid w:val="00666AF5"/>
    <w:rsid w:val="006760FB"/>
    <w:rsid w:val="00685A42"/>
    <w:rsid w:val="006A2E19"/>
    <w:rsid w:val="006C1E63"/>
    <w:rsid w:val="006E1115"/>
    <w:rsid w:val="007108F0"/>
    <w:rsid w:val="00747FAD"/>
    <w:rsid w:val="00750C9A"/>
    <w:rsid w:val="0078485C"/>
    <w:rsid w:val="00791182"/>
    <w:rsid w:val="00797EC6"/>
    <w:rsid w:val="007C0BF3"/>
    <w:rsid w:val="007D4AC7"/>
    <w:rsid w:val="007F6905"/>
    <w:rsid w:val="00800FA0"/>
    <w:rsid w:val="00815329"/>
    <w:rsid w:val="00823E12"/>
    <w:rsid w:val="00887CEB"/>
    <w:rsid w:val="008A77BC"/>
    <w:rsid w:val="008B3EBC"/>
    <w:rsid w:val="008C2BFC"/>
    <w:rsid w:val="00904545"/>
    <w:rsid w:val="009112E0"/>
    <w:rsid w:val="009161C4"/>
    <w:rsid w:val="00922090"/>
    <w:rsid w:val="00967A2F"/>
    <w:rsid w:val="00981362"/>
    <w:rsid w:val="00986A5F"/>
    <w:rsid w:val="009A0DF7"/>
    <w:rsid w:val="009A4AD8"/>
    <w:rsid w:val="009C6592"/>
    <w:rsid w:val="009D02C8"/>
    <w:rsid w:val="009D4E13"/>
    <w:rsid w:val="009E27F7"/>
    <w:rsid w:val="009F16FC"/>
    <w:rsid w:val="00A11620"/>
    <w:rsid w:val="00A13A20"/>
    <w:rsid w:val="00A2003F"/>
    <w:rsid w:val="00A51EC3"/>
    <w:rsid w:val="00A5309E"/>
    <w:rsid w:val="00A623D2"/>
    <w:rsid w:val="00A94D0E"/>
    <w:rsid w:val="00AC2797"/>
    <w:rsid w:val="00AC3470"/>
    <w:rsid w:val="00AE1D3F"/>
    <w:rsid w:val="00AE3F5B"/>
    <w:rsid w:val="00AF399D"/>
    <w:rsid w:val="00AF3CA2"/>
    <w:rsid w:val="00AF6ABA"/>
    <w:rsid w:val="00B073CA"/>
    <w:rsid w:val="00B2044A"/>
    <w:rsid w:val="00B25090"/>
    <w:rsid w:val="00B2731A"/>
    <w:rsid w:val="00B41CCE"/>
    <w:rsid w:val="00B47C1C"/>
    <w:rsid w:val="00B54672"/>
    <w:rsid w:val="00B85D10"/>
    <w:rsid w:val="00B9302D"/>
    <w:rsid w:val="00B9582B"/>
    <w:rsid w:val="00BA48F2"/>
    <w:rsid w:val="00BB3B3B"/>
    <w:rsid w:val="00BD3DD3"/>
    <w:rsid w:val="00BE1439"/>
    <w:rsid w:val="00BF0086"/>
    <w:rsid w:val="00BF31E2"/>
    <w:rsid w:val="00BF49EB"/>
    <w:rsid w:val="00C23B75"/>
    <w:rsid w:val="00C24CE9"/>
    <w:rsid w:val="00C27E02"/>
    <w:rsid w:val="00C30704"/>
    <w:rsid w:val="00C40EF3"/>
    <w:rsid w:val="00C54775"/>
    <w:rsid w:val="00C663DE"/>
    <w:rsid w:val="00C7329B"/>
    <w:rsid w:val="00C80C8D"/>
    <w:rsid w:val="00C8294A"/>
    <w:rsid w:val="00C975C3"/>
    <w:rsid w:val="00CA298C"/>
    <w:rsid w:val="00CA7768"/>
    <w:rsid w:val="00CA79F6"/>
    <w:rsid w:val="00CC0885"/>
    <w:rsid w:val="00CE4460"/>
    <w:rsid w:val="00CF004A"/>
    <w:rsid w:val="00CF294B"/>
    <w:rsid w:val="00CF3E7D"/>
    <w:rsid w:val="00D01AC0"/>
    <w:rsid w:val="00D04BB4"/>
    <w:rsid w:val="00D07422"/>
    <w:rsid w:val="00D12FF6"/>
    <w:rsid w:val="00D17C56"/>
    <w:rsid w:val="00D30948"/>
    <w:rsid w:val="00D45147"/>
    <w:rsid w:val="00D67E6D"/>
    <w:rsid w:val="00D86D2A"/>
    <w:rsid w:val="00D91699"/>
    <w:rsid w:val="00DB379D"/>
    <w:rsid w:val="00DD5CC6"/>
    <w:rsid w:val="00DE3895"/>
    <w:rsid w:val="00E063EF"/>
    <w:rsid w:val="00E10FA2"/>
    <w:rsid w:val="00E15633"/>
    <w:rsid w:val="00E46AD4"/>
    <w:rsid w:val="00E65F29"/>
    <w:rsid w:val="00E90D4A"/>
    <w:rsid w:val="00EA328F"/>
    <w:rsid w:val="00EC6F86"/>
    <w:rsid w:val="00EE12CF"/>
    <w:rsid w:val="00EF763C"/>
    <w:rsid w:val="00F00FCB"/>
    <w:rsid w:val="00F03A80"/>
    <w:rsid w:val="00F27CBE"/>
    <w:rsid w:val="00F448CB"/>
    <w:rsid w:val="00F45ADF"/>
    <w:rsid w:val="00F47050"/>
    <w:rsid w:val="00F513F8"/>
    <w:rsid w:val="00F74FE9"/>
    <w:rsid w:val="00F8552E"/>
    <w:rsid w:val="00FB358D"/>
    <w:rsid w:val="00FB6D5E"/>
  </w:rsids>
  <m:mathPr>
    <m:mathFont m:val="Cambria Math"/>
    <m:brkBin m:val="before"/>
    <m:brkBinSub m:val="--"/>
    <m:smallFrac m:val="0"/>
    <m:dispDef/>
    <m:lMargin m:val="0"/>
    <m:rMargin m:val="0"/>
    <m:defJc m:val="centerGroup"/>
    <m:wrapIndent m:val="1440"/>
    <m:intLim m:val="subSup"/>
    <m:naryLim m:val="undOvr"/>
  </m:mathPr>
  <w:themeFontLang w:val="en-US" w:eastAsia="zh-CN"/>
  <w:clrSchemeMapping w:bg1="light1" w:t1="dark1" w:bg2="light2" w:t2="dark2" w:accent1="accent1" w:accent2="accent2" w:accent3="accent3" w:accent4="accent4" w:accent5="accent5" w:accent6="accent6" w:hyperlink="hyperlink" w:followedHyperlink="followedHyperlink"/>
  <w:doNotIncludeSubdocsInStats/>
  <w:shapeDefaults>
    <o:shapedefaults v:ext="edit" spidmax="2049"/>
    <o:shapelayout v:ext="edit">
      <o:idmap v:ext="edit" data="1"/>
    </o:shapelayout>
  </w:shapeDefaults>
  <w:decimalSymbol w:val="."/>
  <w:listSeparator w:val=","/>
  <w14:docId w14:val="72D34E32"/>
  <w15:docId w15:val="{CAD64473-19F0-4FA3-B9CE-848FD5B5D66A}"/>
</w:settings>
</file>

<file path=word/styles.xml><?xml version="1.0" encoding="utf-8"?>
<w:styles xmlns:mc="http://schemas.openxmlformats.org/markup-compatibility/2006" xmlns:r="http://schemas.openxmlformats.org/officeDocument/2006/relationships" xmlns:w="http://schemas.openxmlformats.org/wordprocessingml/2006/main" xmlns:w14="http://schemas.microsoft.com/office/word/2010/wordml" xmlns:w15="http://schemas.microsoft.com/office/word/2012/wordml" xmlns:w16se="http://schemas.microsoft.com/office/word/2015/wordml/symex" mc:Ignorable="w14 w15 w16se">
  <w:docDefaults>
    <w:rPrDefault>
      <w:rPr>
        <w:rFonts w:ascii="Times New Roman" w:eastAsia="宋体" w:hAnsi="Times New Roman" w:cs="Times New Roman"/>
        <w:lang w:val="en-US" w:eastAsia="zh-CN" w:bidi="ar-SA"/>
      </w:rPr>
    </w:rPrDefault>
    <w:pPrDefault/>
  </w:docDefaults>
  <w:latentStyles w:defLockedState="0" w:defUIPriority="0" w:defSemiHidden="0" w:defUnhideWhenUsed="0" w:defQFormat="0" w:count="371">
    <w:lsdException w:name="Normal" w:qFormat="1"/>
    <w:lsdException w:name="heading 1" w:uiPriority="9" w:qFormat="1"/>
    <w:lsdException w:name="heading 2" w:semiHidden="1" w:uiPriority="9" w:unhideWhenUsed="1" w:qFormat="1"/>
    <w:lsdException w:name="heading 3" w:semiHidden="1" w:unhideWhenUsed="1" w:qFormat="1"/>
    <w:lsdException w:name="heading 4" w:semiHidden="1" w:unhideWhenUsed="1" w:qFormat="1"/>
    <w:lsdException w:name="heading 5" w:semiHidden="1" w:unhideWhenUsed="1" w:qFormat="1"/>
    <w:lsdException w:name="heading 6" w:semiHidden="1" w:unhideWhenUsed="1" w:qFormat="1"/>
    <w:lsdException w:name="heading 7" w:semiHidden="1" w:unhideWhenUsed="1" w:qFormat="1"/>
    <w:lsdException w:name="heading 8" w:semiHidden="1" w:unhideWhenUsed="1" w:qFormat="1"/>
    <w:lsdException w:name="heading 9" w:semiHidden="1" w:unhideWhenUsed="1" w:qFormat="1"/>
    <w:lsdException w:name="index 1" w:semiHidden="1" w:unhideWhenUsed="1"/>
    <w:lsdException w:name="index 2" w:semiHidden="1" w:unhideWhenUsed="1"/>
    <w:lsdException w:name="index 3" w:semiHidden="1" w:unhideWhenUsed="1"/>
    <w:lsdException w:name="index 4" w:semiHidden="1" w:unhideWhenUsed="1"/>
    <w:lsdException w:name="index 5" w:semiHidden="1" w:unhideWhenUsed="1"/>
    <w:lsdException w:name="index 6" w:semiHidden="1" w:unhideWhenUsed="1"/>
    <w:lsdException w:name="index 7" w:semiHidden="1" w:unhideWhenUsed="1"/>
    <w:lsdException w:name="index 8" w:semiHidden="1" w:unhideWhenUsed="1"/>
    <w:lsdException w:name="index 9" w:semiHidden="1" w:unhideWhenUsed="1"/>
    <w:lsdException w:name="toc 1" w:semiHidden="1" w:uiPriority="39" w:unhideWhenUsed="1"/>
    <w:lsdException w:name="toc 2" w:semiHidden="1" w:uiPriority="39" w:unhideWhenUsed="1"/>
    <w:lsdException w:name="toc 3" w:semiHidden="1" w:unhideWhenUsed="1"/>
    <w:lsdException w:name="toc 4" w:semiHidden="1" w:unhideWhenUsed="1"/>
    <w:lsdException w:name="toc 5" w:semiHidden="1" w:unhideWhenUsed="1"/>
    <w:lsdException w:name="toc 6" w:semiHidden="1" w:unhideWhenUsed="1"/>
    <w:lsdException w:name="toc 7" w:semiHidden="1" w:unhideWhenUsed="1"/>
    <w:lsdException w:name="toc 8" w:semiHidden="1" w:unhideWhenUsed="1"/>
    <w:lsdException w:name="toc 9" w:semiHidden="1" w:unhideWhenUsed="1"/>
    <w:lsdException w:name="Normal Indent" w:semiHidden="1" w:unhideWhenUsed="1"/>
    <w:lsdException w:name="footnote text" w:semiHidden="1" w:unhideWhenUsed="1"/>
    <w:lsdException w:name="annotation text" w:semiHidden="1" w:unhideWhenUsed="1"/>
    <w:lsdException w:name="header" w:semiHidden="1" w:unhideWhenUsed="1"/>
    <w:lsdException w:name="footer" w:semiHidden="1" w:uiPriority="99" w:unhideWhenUsed="1"/>
    <w:lsdException w:name="index heading" w:semiHidden="1" w:unhideWhenUsed="1"/>
    <w:lsdException w:name="caption" w:semiHidden="1" w:unhideWhenUsed="1" w:qFormat="1"/>
    <w:lsdException w:name="table of figures" w:semiHidden="1" w:unhideWhenUsed="1"/>
    <w:lsdException w:name="envelope address" w:semiHidden="1" w:unhideWhenUsed="1"/>
    <w:lsdException w:name="envelope return" w:semiHidden="1" w:unhideWhenUsed="1"/>
    <w:lsdException w:name="footnote reference" w:semiHidden="1" w:unhideWhenUsed="1"/>
    <w:lsdException w:name="annotation reference" w:semiHidden="1" w:unhideWhenUsed="1"/>
    <w:lsdException w:name="line number" w:semiHidden="1" w:unhideWhenUsed="1"/>
    <w:lsdException w:name="page number" w:semiHidden="1" w:unhideWhenUsed="1"/>
    <w:lsdException w:name="endnote reference" w:semiHidden="1" w:unhideWhenUsed="1"/>
    <w:lsdException w:name="endnote text" w:semiHidden="1" w:unhideWhenUsed="1"/>
    <w:lsdException w:name="table of authorities" w:semiHidden="1" w:unhideWhenUsed="1"/>
    <w:lsdException w:name="macro" w:semiHidden="1" w:unhideWhenUsed="1"/>
    <w:lsdException w:name="toa heading" w:semiHidden="1" w:unhideWhenUsed="1"/>
    <w:lsdException w:name="List" w:semiHidden="1" w:unhideWhenUsed="1"/>
    <w:lsdException w:name="List Bullet" w:semiHidden="1" w:unhideWhenUsed="1"/>
    <w:lsdException w:name="List 2" w:semiHidden="1" w:unhideWhenUsed="1"/>
    <w:lsdException w:name="List 3" w:semiHidden="1" w:unhideWhenUsed="1"/>
    <w:lsdException w:name="List Bullet 2" w:semiHidden="1" w:unhideWhenUsed="1"/>
    <w:lsdException w:name="List Bullet 3" w:semiHidden="1" w:unhideWhenUsed="1"/>
    <w:lsdException w:name="List Bullet 4" w:semiHidden="1" w:unhideWhenUsed="1"/>
    <w:lsdException w:name="List Bullet 5" w:semiHidden="1" w:unhideWhenUsed="1"/>
    <w:lsdException w:name="List Number 2" w:semiHidden="1" w:unhideWhenUsed="1"/>
    <w:lsdException w:name="List Number 3" w:semiHidden="1" w:unhideWhenUsed="1"/>
    <w:lsdException w:name="List Number 4" w:semiHidden="1" w:unhideWhenUsed="1"/>
    <w:lsdException w:name="List Number 5" w:semiHidden="1" w:unhideWhenUsed="1"/>
    <w:lsdException w:name="Title" w:qFormat="1"/>
    <w:lsdException w:name="Closing" w:semiHidden="1" w:unhideWhenUsed="1"/>
    <w:lsdException w:name="Signature" w:semiHidden="1" w:unhideWhenUsed="1"/>
    <w:lsdException w:name="Default Paragraph Font" w:semiHidden="1" w:unhideWhenUsed="1"/>
    <w:lsdException w:name="Body Text" w:semiHidden="1" w:unhideWhenUsed="1"/>
    <w:lsdException w:name="Body Text Indent" w:semiHidden="1" w:unhideWhenUsed="1"/>
    <w:lsdException w:name="List Continue" w:semiHidden="1" w:unhideWhenUsed="1"/>
    <w:lsdException w:name="List Continue 2" w:semiHidden="1" w:unhideWhenUsed="1"/>
    <w:lsdException w:name="List Continue 3" w:semiHidden="1" w:unhideWhenUsed="1"/>
    <w:lsdException w:name="List Continue 4" w:semiHidden="1" w:unhideWhenUsed="1"/>
    <w:lsdException w:name="List Continue 5" w:semiHidden="1" w:unhideWhenUsed="1"/>
    <w:lsdException w:name="Message Header" w:semiHidden="1" w:unhideWhenUsed="1"/>
    <w:lsdException w:name="Subtitle" w:qFormat="1"/>
    <w:lsdException w:name="Body Text First Indent 2" w:semiHidden="1" w:unhideWhenUsed="1"/>
    <w:lsdException w:name="Note Heading" w:semiHidden="1" w:unhideWhenUsed="1"/>
    <w:lsdException w:name="Body Text 2" w:semiHidden="1" w:unhideWhenUsed="1"/>
    <w:lsdException w:name="Body Text 3" w:semiHidden="1" w:unhideWhenUsed="1"/>
    <w:lsdException w:name="Body Text Indent 2" w:semiHidden="1" w:unhideWhenUsed="1"/>
    <w:lsdException w:name="Body Text Indent 3" w:semiHidden="1" w:unhideWhenUsed="1"/>
    <w:lsdException w:name="Block Text" w:semiHidden="1" w:unhideWhenUsed="1"/>
    <w:lsdException w:name="Hyperlink" w:semiHidden="1" w:uiPriority="99" w:unhideWhenUsed="1"/>
    <w:lsdException w:name="FollowedHyperlink" w:semiHidden="1" w:unhideWhenUsed="1"/>
    <w:lsdException w:name="Strong" w:qFormat="1"/>
    <w:lsdException w:name="Emphasis" w:qFormat="1"/>
    <w:lsdException w:name="Document Map" w:semiHidden="1" w:unhideWhenUsed="1"/>
    <w:lsdException w:name="Plain Text" w:semiHidden="1" w:unhideWhenUsed="1"/>
    <w:lsdException w:name="E-mail Signature" w:semiHidden="1" w:unhideWhenUsed="1"/>
    <w:lsdException w:name="HTML Top of Form" w:semiHidden="1" w:unhideWhenUsed="1"/>
    <w:lsdException w:name="HTML Bottom of Form" w:semiHidden="1" w:unhideWhenUsed="1"/>
    <w:lsdException w:name="Normal (Web)" w:semiHidden="1" w:uiPriority="99" w:unhideWhenUsed="1"/>
    <w:lsdException w:name="HTML Acronym" w:semiHidden="1" w:unhideWhenUsed="1"/>
    <w:lsdException w:name="HTML Address" w:semiHidden="1" w:unhideWhenUsed="1"/>
    <w:lsdException w:name="HTML Cite" w:semiHidden="1" w:unhideWhenUsed="1"/>
    <w:lsdException w:name="HTML Code" w:semiHidden="1" w:unhideWhenUsed="1"/>
    <w:lsdException w:name="HTML Definition" w:semiHidden="1" w:unhideWhenUsed="1"/>
    <w:lsdException w:name="HTML Keyboard" w:semiHidden="1" w:unhideWhenUsed="1"/>
    <w:lsdException w:name="HTML Preformatted" w:semiHidden="1" w:unhideWhenUsed="1"/>
    <w:lsdException w:name="HTML Sample" w:semiHidden="1" w:unhideWhenUsed="1"/>
    <w:lsdException w:name="HTML Typewriter" w:semiHidden="1" w:unhideWhenUsed="1"/>
    <w:lsdException w:name="HTML Variable" w:semiHidden="1" w:unhideWhenUsed="1"/>
    <w:lsdException w:name="Normal Table" w:semiHidden="1" w:unhideWhenUsed="1"/>
    <w:lsdException w:name="annotation subject" w:semiHidden="1" w:unhideWhenUsed="1"/>
    <w:lsdException w:name="No List" w:semiHidden="1" w:unhideWhenUsed="1"/>
    <w:lsdException w:name="Outline List 1" w:semiHidden="1" w:unhideWhenUsed="1"/>
    <w:lsdException w:name="Outline List 2" w:semiHidden="1" w:unhideWhenUsed="1"/>
    <w:lsdException w:name="Outline List 3" w:semiHidden="1" w:unhideWhenUsed="1"/>
    <w:lsdException w:name="Table Simple 1" w:semiHidden="1" w:unhideWhenUsed="1"/>
    <w:lsdException w:name="Table Simple 2" w:semiHidden="1" w:unhideWhenUsed="1"/>
    <w:lsdException w:name="Table Simple 3" w:semiHidden="1" w:unhideWhenUsed="1"/>
    <w:lsdException w:name="Table Classic 1" w:semiHidden="1" w:unhideWhenUsed="1"/>
    <w:lsdException w:name="Table Classic 2" w:semiHidden="1" w:unhideWhenUsed="1"/>
    <w:lsdException w:name="Table Classic 3" w:semiHidden="1" w:unhideWhenUsed="1"/>
    <w:lsdException w:name="Table Classic 4" w:semiHidden="1" w:unhideWhenUsed="1"/>
    <w:lsdException w:name="Table Colorful 1" w:semiHidden="1" w:unhideWhenUsed="1"/>
    <w:lsdException w:name="Table Colorful 2" w:semiHidden="1" w:unhideWhenUsed="1"/>
    <w:lsdException w:name="Table Colorful 3" w:semiHidden="1" w:unhideWhenUsed="1"/>
    <w:lsdException w:name="Table Columns 1" w:semiHidden="1" w:unhideWhenUsed="1"/>
    <w:lsdException w:name="Table Columns 2" w:semiHidden="1" w:unhideWhenUsed="1"/>
    <w:lsdException w:name="Table Columns 3" w:semiHidden="1" w:unhideWhenUsed="1"/>
    <w:lsdException w:name="Table Columns 4" w:semiHidden="1" w:unhideWhenUsed="1"/>
    <w:lsdException w:name="Table Columns 5" w:semiHidden="1" w:unhideWhenUsed="1"/>
    <w:lsdException w:name="Table Grid 1" w:semiHidden="1" w:unhideWhenUsed="1"/>
    <w:lsdException w:name="Table Grid 2" w:semiHidden="1" w:unhideWhenUsed="1"/>
    <w:lsdException w:name="Table Grid 3" w:semiHidden="1" w:unhideWhenUsed="1"/>
    <w:lsdException w:name="Table Grid 4" w:semiHidden="1" w:unhideWhenUsed="1"/>
    <w:lsdException w:name="Table Grid 5" w:semiHidden="1" w:unhideWhenUsed="1"/>
    <w:lsdException w:name="Table Grid 6" w:semiHidden="1" w:unhideWhenUsed="1"/>
    <w:lsdException w:name="Table Grid 7" w:semiHidden="1" w:unhideWhenUsed="1"/>
    <w:lsdException w:name="Table Grid 8" w:semiHidden="1" w:unhideWhenUsed="1"/>
    <w:lsdException w:name="Table List 1" w:semiHidden="1" w:unhideWhenUsed="1"/>
    <w:lsdException w:name="Table List 2" w:semiHidden="1" w:unhideWhenUsed="1"/>
    <w:lsdException w:name="Table List 3" w:semiHidden="1" w:unhideWhenUsed="1"/>
    <w:lsdException w:name="Table List 4" w:semiHidden="1" w:unhideWhenUsed="1"/>
    <w:lsdException w:name="Table List 5" w:semiHidden="1" w:unhideWhenUsed="1"/>
    <w:lsdException w:name="Table List 6" w:semiHidden="1" w:unhideWhenUsed="1"/>
    <w:lsdException w:name="Table List 7" w:semiHidden="1" w:unhideWhenUsed="1"/>
    <w:lsdException w:name="Table List 8" w:semiHidden="1" w:unhideWhenUsed="1"/>
    <w:lsdException w:name="Table 3D effects 1" w:semiHidden="1" w:unhideWhenUsed="1"/>
    <w:lsdException w:name="Table 3D effects 2" w:semiHidden="1" w:unhideWhenUsed="1"/>
    <w:lsdException w:name="Table 3D effects 3" w:semiHidden="1" w:unhideWhenUsed="1"/>
    <w:lsdException w:name="Table Contemporary" w:semiHidden="1" w:unhideWhenUsed="1"/>
    <w:lsdException w:name="Table Elegant" w:semiHidden="1" w:unhideWhenUsed="1"/>
    <w:lsdException w:name="Table Professional" w:semiHidden="1" w:unhideWhenUsed="1"/>
    <w:lsdException w:name="Table Subtle 1" w:semiHidden="1" w:unhideWhenUsed="1"/>
    <w:lsdException w:name="Table Subtle 2" w:semiHidden="1" w:unhideWhenUsed="1"/>
    <w:lsdException w:name="Table Web 1" w:semiHidden="1" w:unhideWhenUsed="1"/>
    <w:lsdException w:name="Table Web 2" w:semiHidden="1" w:unhideWhenUsed="1"/>
    <w:lsdException w:name="Table Web 3" w:semiHidden="1" w:unhideWhenUsed="1"/>
    <w:lsdException w:name="Balloon Text" w:semiHidden="1" w:unhideWhenUsed="1"/>
    <w:lsdException w:name="Table Theme" w:semiHidden="1" w:unhideWhenUsed="1"/>
    <w:lsdException w:name="Placeholder Text" w:semiHidden="1" w:uiPriority="99"/>
    <w:lsdException w:name="No Spacing" w:uiPriority="1" w:qFormat="1"/>
    <w:lsdException w:name="Light Shading" w:uiPriority="60"/>
    <w:lsdException w:name="Light List" w:uiPriority="61"/>
    <w:lsdException w:name="Light Grid" w:uiPriority="62"/>
    <w:lsdException w:name="Medium Shading 1" w:uiPriority="63"/>
    <w:lsdException w:name="Medium Shading 2" w:uiPriority="64"/>
    <w:lsdException w:name="Medium List 1" w:uiPriority="65"/>
    <w:lsdException w:name="Medium List 2" w:uiPriority="66"/>
    <w:lsdException w:name="Medium Grid 1" w:uiPriority="67"/>
    <w:lsdException w:name="Medium Grid 2" w:uiPriority="68"/>
    <w:lsdException w:name="Medium Grid 3" w:uiPriority="69"/>
    <w:lsdException w:name="Dark List" w:uiPriority="70"/>
    <w:lsdException w:name="Colorful Shading" w:uiPriority="71"/>
    <w:lsdException w:name="Colorful List" w:uiPriority="72"/>
    <w:lsdException w:name="Colorful Grid" w:uiPriority="73"/>
    <w:lsdException w:name="Light Shading Accent 1" w:uiPriority="60"/>
    <w:lsdException w:name="Light List Accent 1" w:uiPriority="61"/>
    <w:lsdException w:name="Light Grid Accent 1" w:uiPriority="62"/>
    <w:lsdException w:name="Medium Shading 1 Accent 1" w:uiPriority="63"/>
    <w:lsdException w:name="Medium Shading 2 Accent 1" w:uiPriority="64"/>
    <w:lsdException w:name="Medium List 1 Accent 1" w:uiPriority="65"/>
    <w:lsdException w:name="Revision" w:semiHidden="1" w:uiPriority="99"/>
    <w:lsdException w:name="List Paragraph" w:uiPriority="34" w:qFormat="1"/>
    <w:lsdException w:name="Quote" w:uiPriority="29" w:qFormat="1"/>
    <w:lsdException w:name="Intense Quote" w:uiPriority="30" w:qFormat="1"/>
    <w:lsdException w:name="Medium List 2 Accent 1" w:uiPriority="66"/>
    <w:lsdException w:name="Medium Grid 1 Accent 1" w:uiPriority="67"/>
    <w:lsdException w:name="Medium Grid 2 Accent 1" w:uiPriority="68"/>
    <w:lsdException w:name="Medium Grid 3 Accent 1" w:uiPriority="69"/>
    <w:lsdException w:name="Dark List Accent 1" w:uiPriority="70"/>
    <w:lsdException w:name="Colorful Shading Accent 1" w:uiPriority="71"/>
    <w:lsdException w:name="Colorful List Accent 1" w:uiPriority="72"/>
    <w:lsdException w:name="Colorful Grid Accent 1" w:uiPriority="73"/>
    <w:lsdException w:name="Light Shading Accent 2" w:uiPriority="60"/>
    <w:lsdException w:name="Light List Accent 2" w:uiPriority="61"/>
    <w:lsdException w:name="Light Grid Accent 2" w:uiPriority="62"/>
    <w:lsdException w:name="Medium Shading 1 Accent 2" w:uiPriority="63"/>
    <w:lsdException w:name="Medium Shading 2 Accent 2" w:uiPriority="64"/>
    <w:lsdException w:name="Medium List 1 Accent 2" w:uiPriority="65"/>
    <w:lsdException w:name="Medium List 2 Accent 2" w:uiPriority="66"/>
    <w:lsdException w:name="Medium Grid 1 Accent 2" w:uiPriority="67"/>
    <w:lsdException w:name="Medium Grid 2 Accent 2" w:uiPriority="68"/>
    <w:lsdException w:name="Medium Grid 3 Accent 2" w:uiPriority="69"/>
    <w:lsdException w:name="Dark List Accent 2" w:uiPriority="70"/>
    <w:lsdException w:name="Colorful Shading Accent 2" w:uiPriority="71"/>
    <w:lsdException w:name="Colorful List Accent 2" w:uiPriority="72"/>
    <w:lsdException w:name="Colorful Grid Accent 2" w:uiPriority="73"/>
    <w:lsdException w:name="Light Shading Accent 3" w:uiPriority="60"/>
    <w:lsdException w:name="Light List Accent 3" w:uiPriority="61"/>
    <w:lsdException w:name="Light Grid Accent 3" w:uiPriority="62"/>
    <w:lsdException w:name="Medium Shading 1 Accent 3" w:uiPriority="63"/>
    <w:lsdException w:name="Medium Shading 2 Accent 3" w:uiPriority="64"/>
    <w:lsdException w:name="Medium List 1 Accent 3" w:uiPriority="65"/>
    <w:lsdException w:name="Medium List 2 Accent 3" w:uiPriority="66"/>
    <w:lsdException w:name="Medium Grid 1 Accent 3" w:uiPriority="67"/>
    <w:lsdException w:name="Medium Grid 2 Accent 3" w:uiPriority="68"/>
    <w:lsdException w:name="Medium Grid 3 Accent 3" w:uiPriority="69"/>
    <w:lsdException w:name="Dark List Accent 3" w:uiPriority="70"/>
    <w:lsdException w:name="Colorful Shading Accent 3" w:uiPriority="71"/>
    <w:lsdException w:name="Colorful List Accent 3" w:uiPriority="72"/>
    <w:lsdException w:name="Colorful Grid Accent 3" w:uiPriority="73"/>
    <w:lsdException w:name="Light Shading Accent 4" w:uiPriority="60"/>
    <w:lsdException w:name="Light List Accent 4" w:uiPriority="61"/>
    <w:lsdException w:name="Light Grid Accent 4" w:uiPriority="62"/>
    <w:lsdException w:name="Medium Shading 1 Accent 4" w:uiPriority="63"/>
    <w:lsdException w:name="Medium Shading 2 Accent 4" w:uiPriority="64"/>
    <w:lsdException w:name="Medium List 1 Accent 4" w:uiPriority="65"/>
    <w:lsdException w:name="Medium List 2 Accent 4" w:uiPriority="66"/>
    <w:lsdException w:name="Medium Grid 1 Accent 4" w:uiPriority="67"/>
    <w:lsdException w:name="Medium Grid 2 Accent 4" w:uiPriority="68"/>
    <w:lsdException w:name="Medium Grid 3 Accent 4" w:uiPriority="69"/>
    <w:lsdException w:name="Dark List Accent 4" w:uiPriority="70"/>
    <w:lsdException w:name="Colorful Shading Accent 4" w:uiPriority="71"/>
    <w:lsdException w:name="Colorful List Accent 4" w:uiPriority="72"/>
    <w:lsdException w:name="Colorful Grid Accent 4" w:uiPriority="73"/>
    <w:lsdException w:name="Light Shading Accent 5" w:uiPriority="60"/>
    <w:lsdException w:name="Light List Accent 5" w:uiPriority="61"/>
    <w:lsdException w:name="Light Grid Accent 5" w:uiPriority="62"/>
    <w:lsdException w:name="Medium Shading 1 Accent 5" w:uiPriority="63"/>
    <w:lsdException w:name="Medium Shading 2 Accent 5" w:uiPriority="64"/>
    <w:lsdException w:name="Medium List 1 Accent 5" w:uiPriority="65"/>
    <w:lsdException w:name="Medium List 2 Accent 5" w:uiPriority="66"/>
    <w:lsdException w:name="Medium Grid 1 Accent 5" w:uiPriority="67"/>
    <w:lsdException w:name="Medium Grid 2 Accent 5" w:uiPriority="68"/>
    <w:lsdException w:name="Medium Grid 3 Accent 5" w:uiPriority="69"/>
    <w:lsdException w:name="Dark List Accent 5" w:uiPriority="70"/>
    <w:lsdException w:name="Colorful Shading Accent 5" w:uiPriority="71"/>
    <w:lsdException w:name="Colorful List Accent 5" w:uiPriority="72"/>
    <w:lsdException w:name="Colorful Grid Accent 5" w:uiPriority="73"/>
    <w:lsdException w:name="Light Shading Accent 6" w:uiPriority="60"/>
    <w:lsdException w:name="Light List Accent 6" w:uiPriority="61"/>
    <w:lsdException w:name="Light Grid Accent 6" w:uiPriority="62"/>
    <w:lsdException w:name="Medium Shading 1 Accent 6" w:uiPriority="63"/>
    <w:lsdException w:name="Medium Shading 2 Accent 6" w:uiPriority="64"/>
    <w:lsdException w:name="Medium List 1 Accent 6" w:uiPriority="65"/>
    <w:lsdException w:name="Medium List 2 Accent 6" w:uiPriority="66"/>
    <w:lsdException w:name="Medium Grid 1 Accent 6" w:uiPriority="67"/>
    <w:lsdException w:name="Medium Grid 2 Accent 6" w:uiPriority="68"/>
    <w:lsdException w:name="Medium Grid 3 Accent 6" w:uiPriority="69"/>
    <w:lsdException w:name="Dark List Accent 6" w:uiPriority="70"/>
    <w:lsdException w:name="Colorful Shading Accent 6" w:uiPriority="71"/>
    <w:lsdException w:name="Colorful List Accent 6" w:uiPriority="72"/>
    <w:lsdException w:name="Colorful Grid Accent 6" w:uiPriority="73"/>
    <w:lsdException w:name="Subtle Emphasis" w:uiPriority="19" w:qFormat="1"/>
    <w:lsdException w:name="Intense Emphasis" w:uiPriority="21" w:qFormat="1"/>
    <w:lsdException w:name="Subtle Reference" w:uiPriority="31" w:qFormat="1"/>
    <w:lsdException w:name="Intense Reference" w:uiPriority="32" w:qFormat="1"/>
    <w:lsdException w:name="Book Title" w:uiPriority="33" w:qFormat="1"/>
    <w:lsdException w:name="Bibliography" w:semiHidden="1" w:uiPriority="37" w:unhideWhenUsed="1"/>
    <w:lsdException w:name="TOC Heading" w:semiHidden="1" w:uiPriority="39" w:unhideWhenUsed="1" w:qFormat="1"/>
    <w:lsdException w:name="Plain Table 1" w:uiPriority="41"/>
    <w:lsdException w:name="Plain Table 2" w:uiPriority="42"/>
    <w:lsdException w:name="Plain Table 3" w:uiPriority="43"/>
    <w:lsdException w:name="Plain Table 4" w:uiPriority="44"/>
    <w:lsdException w:name="Plain Table 5" w:uiPriority="45"/>
    <w:lsdException w:name="Grid Table Light" w:uiPriority="40"/>
    <w:lsdException w:name="Grid Table 1 Light" w:uiPriority="46"/>
    <w:lsdException w:name="Grid Table 2" w:uiPriority="47"/>
    <w:lsdException w:name="Grid Table 3" w:uiPriority="48"/>
    <w:lsdException w:name="Grid Table 4" w:uiPriority="49"/>
    <w:lsdException w:name="Grid Table 5 Dark" w:uiPriority="50"/>
    <w:lsdException w:name="Grid Table 6 Colorful" w:uiPriority="51"/>
    <w:lsdException w:name="Grid Table 7 Colorful" w:uiPriority="52"/>
    <w:lsdException w:name="Grid Table 1 Light Accent 1" w:uiPriority="46"/>
    <w:lsdException w:name="Grid Table 2 Accent 1" w:uiPriority="47"/>
    <w:lsdException w:name="Grid Table 3 Accent 1" w:uiPriority="48"/>
    <w:lsdException w:name="Grid Table 4 Accent 1" w:uiPriority="49"/>
    <w:lsdException w:name="Grid Table 5 Dark Accent 1" w:uiPriority="50"/>
    <w:lsdException w:name="Grid Table 6 Colorful Accent 1" w:uiPriority="51"/>
    <w:lsdException w:name="Grid Table 7 Colorful Accent 1" w:uiPriority="52"/>
    <w:lsdException w:name="Grid Table 1 Light Accent 2" w:uiPriority="46"/>
    <w:lsdException w:name="Grid Table 2 Accent 2" w:uiPriority="47"/>
    <w:lsdException w:name="Grid Table 3 Accent 2" w:uiPriority="48"/>
    <w:lsdException w:name="Grid Table 4 Accent 2" w:uiPriority="49"/>
    <w:lsdException w:name="Grid Table 5 Dark Accent 2" w:uiPriority="50"/>
    <w:lsdException w:name="Grid Table 6 Colorful Accent 2" w:uiPriority="51"/>
    <w:lsdException w:name="Grid Table 7 Colorful Accent 2" w:uiPriority="52"/>
    <w:lsdException w:name="Grid Table 1 Light Accent 3" w:uiPriority="46"/>
    <w:lsdException w:name="Grid Table 2 Accent 3" w:uiPriority="47"/>
    <w:lsdException w:name="Grid Table 3 Accent 3" w:uiPriority="48"/>
    <w:lsdException w:name="Grid Table 4 Accent 3" w:uiPriority="49"/>
    <w:lsdException w:name="Grid Table 5 Dark Accent 3" w:uiPriority="50"/>
    <w:lsdException w:name="Grid Table 6 Colorful Accent 3" w:uiPriority="51"/>
    <w:lsdException w:name="Grid Table 7 Colorful Accent 3" w:uiPriority="52"/>
    <w:lsdException w:name="Grid Table 1 Light Accent 4" w:uiPriority="46"/>
    <w:lsdException w:name="Grid Table 2 Accent 4" w:uiPriority="47"/>
    <w:lsdException w:name="Grid Table 3 Accent 4" w:uiPriority="48"/>
    <w:lsdException w:name="Grid Table 4 Accent 4" w:uiPriority="49"/>
    <w:lsdException w:name="Grid Table 5 Dark Accent 4" w:uiPriority="50"/>
    <w:lsdException w:name="Grid Table 6 Colorful Accent 4" w:uiPriority="51"/>
    <w:lsdException w:name="Grid Table 7 Colorful Accent 4" w:uiPriority="52"/>
    <w:lsdException w:name="Grid Table 1 Light Accent 5" w:uiPriority="46"/>
    <w:lsdException w:name="Grid Table 2 Accent 5" w:uiPriority="47"/>
    <w:lsdException w:name="Grid Table 3 Accent 5" w:uiPriority="48"/>
    <w:lsdException w:name="Grid Table 4 Accent 5" w:uiPriority="49"/>
    <w:lsdException w:name="Grid Table 5 Dark Accent 5" w:uiPriority="50"/>
    <w:lsdException w:name="Grid Table 6 Colorful Accent 5" w:uiPriority="51"/>
    <w:lsdException w:name="Grid Table 7 Colorful Accent 5" w:uiPriority="52"/>
    <w:lsdException w:name="Grid Table 1 Light Accent 6" w:uiPriority="46"/>
    <w:lsdException w:name="Grid Table 2 Accent 6" w:uiPriority="47"/>
    <w:lsdException w:name="Grid Table 3 Accent 6" w:uiPriority="48"/>
    <w:lsdException w:name="Grid Table 4 Accent 6" w:uiPriority="49"/>
    <w:lsdException w:name="Grid Table 5 Dark Accent 6" w:uiPriority="50"/>
    <w:lsdException w:name="Grid Table 6 Colorful Accent 6" w:uiPriority="51"/>
    <w:lsdException w:name="Grid Table 7 Colorful Accent 6" w:uiPriority="52"/>
    <w:lsdException w:name="List Table 1 Light" w:uiPriority="46"/>
    <w:lsdException w:name="List Table 2" w:uiPriority="47"/>
    <w:lsdException w:name="List Table 3" w:uiPriority="48"/>
    <w:lsdException w:name="List Table 4" w:uiPriority="49"/>
    <w:lsdException w:name="List Table 5 Dark" w:uiPriority="50"/>
    <w:lsdException w:name="List Table 6 Colorful" w:uiPriority="51"/>
    <w:lsdException w:name="List Table 7 Colorful" w:uiPriority="52"/>
    <w:lsdException w:name="List Table 1 Light Accent 1" w:uiPriority="46"/>
    <w:lsdException w:name="List Table 2 Accent 1" w:uiPriority="47"/>
    <w:lsdException w:name="List Table 3 Accent 1" w:uiPriority="48"/>
    <w:lsdException w:name="List Table 4 Accent 1" w:uiPriority="49"/>
    <w:lsdException w:name="List Table 5 Dark Accent 1" w:uiPriority="50"/>
    <w:lsdException w:name="List Table 6 Colorful Accent 1" w:uiPriority="51"/>
    <w:lsdException w:name="List Table 7 Colorful Accent 1" w:uiPriority="52"/>
    <w:lsdException w:name="List Table 1 Light Accent 2" w:uiPriority="46"/>
    <w:lsdException w:name="List Table 2 Accent 2" w:uiPriority="47"/>
    <w:lsdException w:name="List Table 3 Accent 2" w:uiPriority="48"/>
    <w:lsdException w:name="List Table 4 Accent 2" w:uiPriority="49"/>
    <w:lsdException w:name="List Table 5 Dark Accent 2" w:uiPriority="50"/>
    <w:lsdException w:name="List Table 6 Colorful Accent 2" w:uiPriority="51"/>
    <w:lsdException w:name="List Table 7 Colorful Accent 2" w:uiPriority="52"/>
    <w:lsdException w:name="List Table 1 Light Accent 3" w:uiPriority="46"/>
    <w:lsdException w:name="List Table 2 Accent 3" w:uiPriority="47"/>
    <w:lsdException w:name="List Table 3 Accent 3" w:uiPriority="48"/>
    <w:lsdException w:name="List Table 4 Accent 3" w:uiPriority="49"/>
    <w:lsdException w:name="List Table 5 Dark Accent 3" w:uiPriority="50"/>
    <w:lsdException w:name="List Table 6 Colorful Accent 3" w:uiPriority="51"/>
    <w:lsdException w:name="List Table 7 Colorful Accent 3" w:uiPriority="52"/>
    <w:lsdException w:name="List Table 1 Light Accent 4" w:uiPriority="46"/>
    <w:lsdException w:name="List Table 2 Accent 4" w:uiPriority="47"/>
    <w:lsdException w:name="List Table 3 Accent 4" w:uiPriority="48"/>
    <w:lsdException w:name="List Table 4 Accent 4" w:uiPriority="49"/>
    <w:lsdException w:name="List Table 5 Dark Accent 4" w:uiPriority="50"/>
    <w:lsdException w:name="List Table 6 Colorful Accent 4" w:uiPriority="51"/>
    <w:lsdException w:name="List Table 7 Colorful Accent 4" w:uiPriority="52"/>
    <w:lsdException w:name="List Table 1 Light Accent 5" w:uiPriority="46"/>
    <w:lsdException w:name="List Table 2 Accent 5" w:uiPriority="47"/>
    <w:lsdException w:name="List Table 3 Accent 5" w:uiPriority="48"/>
    <w:lsdException w:name="List Table 4 Accent 5" w:uiPriority="49"/>
    <w:lsdException w:name="List Table 5 Dark Accent 5" w:uiPriority="50"/>
    <w:lsdException w:name="List Table 6 Colorful Accent 5" w:uiPriority="51"/>
    <w:lsdException w:name="List Table 7 Colorful Accent 5" w:uiPriority="52"/>
    <w:lsdException w:name="List Table 1 Light Accent 6" w:uiPriority="46"/>
    <w:lsdException w:name="List Table 2 Accent 6" w:uiPriority="47"/>
    <w:lsdException w:name="List Table 3 Accent 6" w:uiPriority="48"/>
    <w:lsdException w:name="List Table 4 Accent 6" w:uiPriority="49"/>
    <w:lsdException w:name="List Table 5 Dark Accent 6" w:uiPriority="50"/>
    <w:lsdException w:name="List Table 6 Colorful Accent 6" w:uiPriority="51"/>
    <w:lsdException w:name="List Table 7 Colorful Accent 6" w:uiPriority="52"/>
  </w:latentStyles>
  <w:style w:type="paragraph" w:default="1" w:styleId="a">
    <w:name w:val="Normal"/>
    <w:qFormat/>
    <w:rsid w:val="0061364E"/>
    <w:pPr>
      <w:widowControl w:val="0"/>
      <w:jc w:val="both"/>
    </w:pPr>
    <w:rPr>
      <w:kern w:val="2"/>
      <w:sz w:val="21"/>
      <w:szCs w:val="24"/>
    </w:rPr>
  </w:style>
  <w:style w:type="paragraph" w:styleId="1">
    <w:name w:val="heading 1"/>
    <w:basedOn w:val="a"/>
    <w:next w:val="a"/>
    <w:link w:val="10"/>
    <w:uiPriority w:val="9"/>
    <w:qFormat/>
    <w:rsid w:val="00E063EF"/>
    <w:pPr>
      <w:keepNext/>
      <w:keepLines/>
      <w:spacing w:before="340" w:after="330" w:line="578" w:lineRule="auto"/>
      <w:outlineLvl w:val="0"/>
    </w:pPr>
    <w:rPr>
      <w:b/>
      <w:bCs/>
      <w:kern w:val="44"/>
      <w:sz w:val="44"/>
      <w:szCs w:val="44"/>
      <w:lang w:val="x-none" w:eastAsia="x-none"/>
    </w:rPr>
  </w:style>
  <w:style w:type="paragraph" w:styleId="2">
    <w:name w:val="heading 2"/>
    <w:basedOn w:val="a"/>
    <w:link w:val="20"/>
    <w:uiPriority w:val="9"/>
    <w:qFormat/>
    <w:rsid w:val="00E063EF"/>
    <w:pPr>
      <w:widowControl/>
      <w:spacing w:before="100" w:beforeAutospacing="1" w:after="100" w:afterAutospacing="1"/>
      <w:jc w:val="left"/>
      <w:outlineLvl w:val="1"/>
    </w:pPr>
    <w:rPr>
      <w:rFonts w:ascii="宋体" w:hAnsi="宋体"/>
      <w:b/>
      <w:bCs/>
      <w:kern w:val="0"/>
      <w:sz w:val="18"/>
      <w:szCs w:val="18"/>
      <w:lang w:val="x-none" w:eastAsia="x-none"/>
    </w:rPr>
  </w:style>
  <w:style w:type="paragraph" w:styleId="4">
    <w:name w:val="heading 4"/>
    <w:basedOn w:val="a"/>
    <w:next w:val="a"/>
    <w:link w:val="40"/>
    <w:semiHidden/>
    <w:unhideWhenUsed/>
    <w:qFormat/>
    <w:rsid w:val="006E1115"/>
    <w:pPr>
      <w:keepNext/>
      <w:keepLines/>
      <w:spacing w:before="280" w:after="290" w:line="376" w:lineRule="auto"/>
      <w:outlineLvl w:val="3"/>
    </w:pPr>
    <w:rPr>
      <w:rFonts w:ascii="Calibri Light" w:hAnsi="Calibri Light"/>
      <w:b/>
      <w:bCs/>
      <w:sz w:val="28"/>
      <w:szCs w:val="28"/>
    </w:rPr>
  </w:style>
  <w:style w:type="character" w:default="1" w:styleId="a0">
    <w:name w:val="Default Paragraph Font"/>
    <w:uiPriority w:val="1"/>
    <w:semiHidden/>
    <w:unhideWhenUsed/>
  </w:style>
  <w:style w:type="table" w:default="1" w:styleId="a1">
    <w:name w:val="Normal Table"/>
    <w:uiPriority w:val="99"/>
    <w:semiHidden/>
    <w:unhideWhenUsed/>
    <w:tblPr>
      <w:tblInd w:w="0" w:type="dxa"/>
      <w:tblCellMar>
        <w:top w:w="0" w:type="dxa"/>
        <w:left w:w="108" w:type="dxa"/>
        <w:bottom w:w="0" w:type="dxa"/>
        <w:right w:w="108" w:type="dxa"/>
      </w:tblCellMar>
    </w:tblPr>
  </w:style>
  <w:style w:type="numbering" w:default="1" w:styleId="a2">
    <w:name w:val="No List"/>
    <w:uiPriority w:val="99"/>
    <w:semiHidden/>
    <w:unhideWhenUsed/>
  </w:style>
  <w:style w:type="paragraph" w:styleId="a3">
    <w:name w:val="Normal (Web)"/>
    <w:basedOn w:val="a"/>
    <w:link w:val="a4"/>
    <w:uiPriority w:val="99"/>
    <w:unhideWhenUsed/>
    <w:rsid w:val="00800FA0"/>
    <w:pPr>
      <w:widowControl/>
      <w:spacing w:before="100" w:beforeAutospacing="1" w:after="100" w:afterAutospacing="1"/>
      <w:jc w:val="left"/>
    </w:pPr>
    <w:rPr>
      <w:rFonts w:ascii="宋体" w:hAnsi="宋体"/>
      <w:kern w:val="0"/>
      <w:sz w:val="24"/>
      <w:lang w:val="x-none" w:eastAsia="x-none"/>
    </w:rPr>
  </w:style>
  <w:style w:type="paragraph" w:customStyle="1" w:styleId="-">
    <w:name w:val="模板-正文"/>
    <w:basedOn w:val="a3"/>
    <w:link w:val="-Char"/>
    <w:qFormat/>
    <w:rsid w:val="00F27CBE"/>
    <w:pPr>
      <w:snapToGrid w:val="0"/>
      <w:spacing w:before="0" w:beforeAutospacing="0" w:after="0" w:afterAutospacing="0" w:line="360" w:lineRule="auto"/>
      <w:ind w:firstLineChars="200" w:firstLine="200"/>
      <w:jc w:val="both"/>
    </w:pPr>
    <w:rPr>
      <w:color w:val="222222"/>
      <w:sz w:val="21"/>
      <w:szCs w:val="21"/>
    </w:rPr>
  </w:style>
  <w:style w:type="character" w:customStyle="1" w:styleId="20">
    <w:name w:val="标题 2 字符"/>
    <w:link w:val="2"/>
    <w:uiPriority w:val="9"/>
    <w:rsid w:val="00E063EF"/>
    <w:rPr>
      <w:rFonts w:ascii="宋体" w:hAnsi="宋体" w:cs="宋体"/>
      <w:b/>
      <w:bCs/>
      <w:sz w:val="18"/>
      <w:szCs w:val="18"/>
    </w:rPr>
  </w:style>
  <w:style w:type="character" w:customStyle="1" w:styleId="a4">
    <w:name w:val="普通(网站) 字符"/>
    <w:link w:val="a3"/>
    <w:uiPriority w:val="99"/>
    <w:rsid w:val="00800FA0"/>
    <w:rPr>
      <w:rFonts w:ascii="宋体" w:hAnsi="宋体" w:cs="宋体"/>
      <w:sz w:val="24"/>
      <w:szCs w:val="24"/>
    </w:rPr>
  </w:style>
  <w:style w:type="character" w:customStyle="1" w:styleId="-Char">
    <w:name w:val="模板-正文 Char"/>
    <w:link w:val="-"/>
    <w:rsid w:val="00F27CBE"/>
    <w:rPr>
      <w:rFonts w:ascii="宋体" w:hAnsi="宋体"/>
      <w:color w:val="222222"/>
      <w:sz w:val="21"/>
      <w:szCs w:val="21"/>
      <w:lang w:val="x-none" w:eastAsia="x-none"/>
    </w:rPr>
  </w:style>
  <w:style w:type="character" w:customStyle="1" w:styleId="docorderno">
    <w:name w:val="doc_order_no"/>
    <w:rsid w:val="00E063EF"/>
  </w:style>
  <w:style w:type="paragraph" w:customStyle="1" w:styleId="-2">
    <w:name w:val="模板-标题 2"/>
    <w:basedOn w:val="2"/>
    <w:link w:val="-2Char"/>
    <w:qFormat/>
    <w:rsid w:val="00D30948"/>
    <w:pPr>
      <w:numPr>
        <w:ilvl w:val="1"/>
        <w:numId w:val="2"/>
      </w:numPr>
      <w:spacing w:beforeLines="100" w:beforeAutospacing="0"/>
      <w:ind w:left="0" w:firstLine="0"/>
      <w:jc w:val="both"/>
    </w:pPr>
    <w:rPr>
      <w:color w:val="222222"/>
      <w:sz w:val="24"/>
    </w:rPr>
  </w:style>
  <w:style w:type="paragraph" w:styleId="21">
    <w:name w:val="toc 2"/>
    <w:basedOn w:val="a"/>
    <w:next w:val="a"/>
    <w:autoRedefine/>
    <w:uiPriority w:val="39"/>
    <w:rsid w:val="00E063EF"/>
    <w:pPr>
      <w:ind w:leftChars="200" w:left="420"/>
    </w:pPr>
  </w:style>
  <w:style w:type="character" w:customStyle="1" w:styleId="-2Char">
    <w:name w:val="模板-标题 2 Char"/>
    <w:link w:val="-2"/>
    <w:rsid w:val="00D30948"/>
    <w:rPr>
      <w:rFonts w:ascii="宋体" w:hAnsi="宋体"/>
      <w:b/>
      <w:bCs/>
      <w:color w:val="222222"/>
      <w:sz w:val="24"/>
      <w:szCs w:val="18"/>
      <w:lang w:val="x-none" w:eastAsia="x-none"/>
    </w:rPr>
  </w:style>
  <w:style w:type="character" w:styleId="a5">
    <w:name w:val="Hyperlink"/>
    <w:uiPriority w:val="99"/>
    <w:unhideWhenUsed/>
    <w:rsid w:val="00E063EF"/>
    <w:rPr>
      <w:color w:val="0000FF"/>
      <w:u w:val="single"/>
    </w:rPr>
  </w:style>
  <w:style w:type="character" w:customStyle="1" w:styleId="10">
    <w:name w:val="标题 1 字符"/>
    <w:link w:val="1"/>
    <w:uiPriority w:val="9"/>
    <w:rsid w:val="00E063EF"/>
    <w:rPr>
      <w:b/>
      <w:bCs/>
      <w:kern w:val="44"/>
      <w:sz w:val="44"/>
      <w:szCs w:val="44"/>
    </w:rPr>
  </w:style>
  <w:style w:type="paragraph" w:customStyle="1" w:styleId="-1">
    <w:name w:val="模板-标题 1"/>
    <w:basedOn w:val="1"/>
    <w:link w:val="-1Char"/>
    <w:qFormat/>
    <w:rsid w:val="00EF763C"/>
    <w:pPr>
      <w:keepNext w:val="0"/>
      <w:keepLines w:val="0"/>
      <w:widowControl/>
      <w:numPr>
        <w:numId w:val="2"/>
      </w:numPr>
      <w:adjustRightInd w:val="0"/>
      <w:spacing w:before="100" w:beforeAutospacing="1" w:after="100" w:afterAutospacing="1" w:line="240" w:lineRule="auto"/>
      <w:ind w:left="100" w:hangingChars="100" w:hanging="100"/>
      <w:jc w:val="center"/>
    </w:pPr>
    <w:rPr>
      <w:rFonts w:ascii="宋体" w:hAnsi="宋体"/>
      <w:color w:val="222222"/>
      <w:kern w:val="36"/>
      <w:sz w:val="28"/>
      <w:szCs w:val="24"/>
    </w:rPr>
  </w:style>
  <w:style w:type="paragraph" w:styleId="11">
    <w:name w:val="toc 1"/>
    <w:basedOn w:val="a"/>
    <w:next w:val="a"/>
    <w:autoRedefine/>
    <w:uiPriority w:val="39"/>
    <w:rsid w:val="00E063EF"/>
  </w:style>
  <w:style w:type="character" w:customStyle="1" w:styleId="-1Char">
    <w:name w:val="模板-标题 1 Char"/>
    <w:link w:val="-1"/>
    <w:rsid w:val="00EF763C"/>
    <w:rPr>
      <w:rFonts w:ascii="宋体" w:hAnsi="宋体"/>
      <w:b/>
      <w:bCs/>
      <w:color w:val="222222"/>
      <w:kern w:val="36"/>
      <w:sz w:val="28"/>
      <w:szCs w:val="24"/>
      <w:lang w:val="x-none" w:eastAsia="x-none"/>
    </w:rPr>
  </w:style>
  <w:style w:type="paragraph" w:customStyle="1" w:styleId="-3">
    <w:name w:val="模板-标题 3"/>
    <w:basedOn w:val="a"/>
    <w:link w:val="-3Char"/>
    <w:qFormat/>
    <w:rsid w:val="00347B5C"/>
    <w:pPr>
      <w:numPr>
        <w:ilvl w:val="2"/>
        <w:numId w:val="2"/>
      </w:numPr>
      <w:spacing w:beforeLines="50" w:before="50" w:afterLines="50" w:after="50"/>
      <w:ind w:left="0" w:firstLine="0"/>
      <w:outlineLvl w:val="2"/>
    </w:pPr>
    <w:rPr>
      <w:b/>
      <w:color w:val="222222"/>
      <w:sz w:val="24"/>
      <w:szCs w:val="18"/>
      <w:lang w:val="x-none" w:eastAsia="x-none"/>
    </w:rPr>
  </w:style>
  <w:style w:type="table" w:styleId="a6">
    <w:name w:val="Table Grid"/>
    <w:basedOn w:val="a1"/>
    <w:rsid w:val="00C975C3"/>
    <w:tblPr>
      <w:tblBorders>
        <w:top w:val="single" w:sz="4" w:space="0" w:color="auto"/>
        <w:left w:val="single" w:sz="4" w:space="0" w:color="auto"/>
        <w:bottom w:val="single" w:sz="4" w:space="0" w:color="auto"/>
        <w:right w:val="single" w:sz="4" w:space="0" w:color="auto"/>
        <w:insideH w:val="single" w:sz="4" w:space="0" w:color="auto"/>
        <w:insideV w:val="single" w:sz="4" w:space="0" w:color="auto"/>
      </w:tblBorders>
    </w:tblPr>
  </w:style>
  <w:style w:type="character" w:customStyle="1" w:styleId="-3Char">
    <w:name w:val="模板-标题 3 Char"/>
    <w:link w:val="-3"/>
    <w:rsid w:val="00347B5C"/>
    <w:rPr>
      <w:b/>
      <w:color w:val="222222"/>
      <w:kern w:val="2"/>
      <w:sz w:val="24"/>
      <w:szCs w:val="18"/>
      <w:lang w:val="x-none" w:eastAsia="x-none"/>
    </w:rPr>
  </w:style>
  <w:style w:type="table" w:customStyle="1" w:styleId="-0">
    <w:name w:val="模板-表格"/>
    <w:basedOn w:val="a1"/>
    <w:rsid w:val="0066091F"/>
    <w:tblPr>
      <w:jc w:val="center"/>
      <w:tblBorders>
        <w:top w:val="single" w:sz="4" w:space="0" w:color="auto"/>
        <w:left w:val="single" w:sz="4" w:space="0" w:color="auto"/>
        <w:bottom w:val="single" w:sz="4" w:space="0" w:color="auto"/>
        <w:right w:val="single" w:sz="4" w:space="0" w:color="auto"/>
        <w:insideH w:val="single" w:sz="4" w:space="0" w:color="auto"/>
        <w:insideV w:val="single" w:sz="4" w:space="0" w:color="auto"/>
      </w:tblBorders>
    </w:tblPr>
    <w:trPr>
      <w:jc w:val="center"/>
    </w:trPr>
    <w:tcPr>
      <w:vAlign w:val="center"/>
    </w:tcPr>
    <w:tblStylePr w:type="firstRow">
      <w:pPr>
        <w:jc w:val="center"/>
      </w:pPr>
      <w:tblPr/>
      <w:trPr>
        <w:cantSplit w:val="0"/>
      </w:trPr>
      <w:tcPr>
        <w:shd w:val="clear" w:color="auto" w:fill="BFBFBF"/>
      </w:tcPr>
    </w:tblStylePr>
  </w:style>
  <w:style w:type="paragraph" w:styleId="a7">
    <w:name w:val="header"/>
    <w:basedOn w:val="a"/>
    <w:link w:val="a8"/>
    <w:rsid w:val="00D17C56"/>
    <w:pPr>
      <w:pBdr>
        <w:bottom w:val="single" w:sz="6" w:space="1" w:color="auto"/>
      </w:pBdr>
      <w:tabs>
        <w:tab w:val="center" w:pos="4153"/>
        <w:tab w:val="right" w:pos="8306"/>
      </w:tabs>
      <w:snapToGrid w:val="0"/>
      <w:jc w:val="center"/>
    </w:pPr>
    <w:rPr>
      <w:sz w:val="18"/>
      <w:szCs w:val="18"/>
    </w:rPr>
  </w:style>
  <w:style w:type="character" w:customStyle="1" w:styleId="a8">
    <w:name w:val="页眉 字符"/>
    <w:link w:val="a7"/>
    <w:rsid w:val="00D17C56"/>
    <w:rPr>
      <w:kern w:val="2"/>
      <w:sz w:val="18"/>
      <w:szCs w:val="18"/>
    </w:rPr>
  </w:style>
  <w:style w:type="paragraph" w:styleId="a9">
    <w:name w:val="footer"/>
    <w:basedOn w:val="a"/>
    <w:link w:val="aa"/>
    <w:uiPriority w:val="99"/>
    <w:rsid w:val="00D17C56"/>
    <w:pPr>
      <w:tabs>
        <w:tab w:val="center" w:pos="4153"/>
        <w:tab w:val="right" w:pos="8306"/>
      </w:tabs>
      <w:snapToGrid w:val="0"/>
      <w:jc w:val="left"/>
    </w:pPr>
    <w:rPr>
      <w:sz w:val="18"/>
      <w:szCs w:val="18"/>
    </w:rPr>
  </w:style>
  <w:style w:type="character" w:customStyle="1" w:styleId="aa">
    <w:name w:val="页脚 字符"/>
    <w:link w:val="a9"/>
    <w:uiPriority w:val="99"/>
    <w:rsid w:val="00D17C56"/>
    <w:rPr>
      <w:kern w:val="2"/>
      <w:sz w:val="18"/>
      <w:szCs w:val="18"/>
    </w:rPr>
  </w:style>
  <w:style w:type="paragraph" w:styleId="ab">
    <w:name w:val="Title"/>
    <w:basedOn w:val="a"/>
    <w:next w:val="a"/>
    <w:link w:val="ac"/>
    <w:qFormat/>
    <w:rsid w:val="00BA48F2"/>
    <w:pPr>
      <w:spacing w:before="240" w:after="60"/>
      <w:jc w:val="center"/>
      <w:outlineLvl w:val="0"/>
    </w:pPr>
    <w:rPr>
      <w:rFonts w:ascii="Cambria" w:hAnsi="Cambria"/>
      <w:b/>
      <w:bCs/>
      <w:sz w:val="32"/>
      <w:szCs w:val="32"/>
    </w:rPr>
  </w:style>
  <w:style w:type="character" w:customStyle="1" w:styleId="ac">
    <w:name w:val="标题 字符"/>
    <w:link w:val="ab"/>
    <w:rsid w:val="00BA48F2"/>
    <w:rPr>
      <w:rFonts w:ascii="Cambria" w:hAnsi="Cambria" w:cs="Times New Roman"/>
      <w:b/>
      <w:bCs/>
      <w:kern w:val="2"/>
      <w:sz w:val="32"/>
      <w:szCs w:val="32"/>
    </w:rPr>
  </w:style>
  <w:style w:type="paragraph" w:customStyle="1" w:styleId="-7">
    <w:name w:val="模板-标题"/>
    <w:basedOn w:val="ab"/>
    <w:qFormat/>
    <w:rsid w:val="00BA48F2"/>
    <w:pPr>
      <w:outlineLvl w:val="9"/>
    </w:pPr>
  </w:style>
  <w:style w:type="paragraph" w:customStyle="1" w:styleId="-4">
    <w:name w:val="模板-标题 4"/>
    <w:basedOn w:val="a"/>
    <w:qFormat/>
    <w:rsid w:val="00D30948"/>
    <w:pPr>
      <w:numPr>
        <w:ilvl w:val="3"/>
        <w:numId w:val="2"/>
      </w:numPr>
      <w:spacing w:beforeLines="50" w:before="50" w:afterLines="50" w:after="50"/>
      <w:ind w:left="0" w:firstLine="0"/>
    </w:pPr>
    <w:rPr>
      <w:b/>
      <w:sz w:val="24"/>
    </w:rPr>
  </w:style>
  <w:style w:type="paragraph" w:customStyle="1" w:styleId="-5">
    <w:name w:val="模板-标题 5"/>
    <w:basedOn w:val="-4"/>
    <w:qFormat/>
    <w:rsid w:val="00D30948"/>
    <w:pPr>
      <w:numPr>
        <w:ilvl w:val="4"/>
      </w:numPr>
      <w:ind w:left="0" w:firstLine="0"/>
    </w:pPr>
  </w:style>
  <w:style w:type="paragraph" w:customStyle="1" w:styleId="-6">
    <w:name w:val="模板-标题 6"/>
    <w:basedOn w:val="-5"/>
    <w:qFormat/>
    <w:rsid w:val="00D30948"/>
    <w:pPr>
      <w:numPr>
        <w:ilvl w:val="5"/>
      </w:numPr>
      <w:ind w:left="0" w:firstLine="0"/>
    </w:pPr>
  </w:style>
  <w:style w:type="table" w:customStyle="1" w:styleId="-noheader">
    <w:name w:val="模板-表格_noheader"/>
    <w:basedOn w:val="a1"/>
    <w:rsid w:val="0066091F"/>
    <w:tblPr>
      <w:jc w:val="center"/>
      <w:tblBorders>
        <w:top w:val="single" w:sz="4" w:space="0" w:color="auto"/>
        <w:left w:val="single" w:sz="4" w:space="0" w:color="auto"/>
        <w:bottom w:val="single" w:sz="4" w:space="0" w:color="auto"/>
        <w:right w:val="single" w:sz="4" w:space="0" w:color="auto"/>
        <w:insideH w:val="single" w:sz="4" w:space="0" w:color="auto"/>
        <w:insideV w:val="single" w:sz="4" w:space="0" w:color="auto"/>
      </w:tblBorders>
    </w:tblPr>
    <w:trPr>
      <w:jc w:val="center"/>
    </w:trPr>
    <w:tcPr>
      <w:vAlign w:val="center"/>
    </w:tcPr>
  </w:style>
  <w:style w:type="table" w:styleId="22">
    <w:name w:val="Table Colorful 2"/>
    <w:basedOn w:val="a1"/>
    <w:rsid w:val="0063383B"/>
    <w:pPr>
      <w:widowControl w:val="0"/>
      <w:jc w:val="both"/>
    </w:pPr>
    <w:tblPr>
      <w:tblBorders>
        <w:bottom w:val="single" w:sz="12" w:space="0" w:color="000000"/>
      </w:tblBorders>
    </w:tblPr>
    <w:tcPr>
      <w:shd w:val="pct20" w:color="FFFF00" w:fill="FFFFFF"/>
    </w:tcPr>
    <w:tblStylePr w:type="firstRow">
      <w:rPr>
        <w:b/>
        <w:bCs/>
        <w:i/>
        <w:iCs/>
        <w:color w:val="FFFFFF"/>
      </w:rPr>
      <w:tblPr/>
      <w:tcPr>
        <w:tcBorders>
          <w:bottom w:val="single" w:sz="12" w:space="0" w:color="000000"/>
          <w:tl2br w:val="none" w:sz="0" w:space="0" w:color="auto"/>
          <w:tr2bl w:val="none" w:sz="0" w:space="0" w:color="auto"/>
        </w:tcBorders>
        <w:shd w:val="solid" w:color="800000" w:fill="FFFFFF"/>
      </w:tcPr>
    </w:tblStylePr>
    <w:tblStylePr w:type="firstCol">
      <w:rPr>
        <w:b/>
        <w:bCs/>
        <w:i/>
        <w:iCs/>
      </w:rPr>
      <w:tblPr/>
      <w:tcPr>
        <w:tcBorders>
          <w:tl2br w:val="none" w:sz="0" w:space="0" w:color="auto"/>
          <w:tr2bl w:val="none" w:sz="0" w:space="0" w:color="auto"/>
        </w:tcBorders>
      </w:tcPr>
    </w:tblStylePr>
    <w:tblStylePr w:type="lastCol">
      <w:tblPr/>
      <w:tcPr>
        <w:tcBorders>
          <w:tl2br w:val="none" w:sz="0" w:space="0" w:color="auto"/>
          <w:tr2bl w:val="none" w:sz="0" w:space="0" w:color="auto"/>
        </w:tcBorders>
        <w:shd w:val="solid" w:color="C0C0C0" w:fill="FFFFFF"/>
      </w:tcPr>
    </w:tblStylePr>
    <w:tblStylePr w:type="swCell">
      <w:rPr>
        <w:b/>
        <w:bCs/>
        <w:i w:val="0"/>
        <w:iCs w:val="0"/>
      </w:rPr>
      <w:tblPr/>
      <w:tcPr>
        <w:tcBorders>
          <w:tl2br w:val="none" w:sz="0" w:space="0" w:color="auto"/>
          <w:tr2bl w:val="none" w:sz="0" w:space="0" w:color="auto"/>
        </w:tcBorders>
      </w:tcPr>
    </w:tblStylePr>
  </w:style>
  <w:style w:type="paragraph" w:customStyle="1" w:styleId="XBRLTitle1">
    <w:name w:val="XBRLTitle1"/>
    <w:basedOn w:val="1"/>
    <w:next w:val="2"/>
    <w:qFormat/>
    <w:rsid w:val="006E1115"/>
    <w:pPr>
      <w:spacing w:before="0" w:after="0" w:line="360" w:lineRule="auto"/>
      <w:ind w:left="425" w:hanging="425"/>
      <w:jc w:val="center"/>
    </w:pPr>
    <w:rPr>
      <w:sz w:val="28"/>
    </w:rPr>
  </w:style>
  <w:style w:type="paragraph" w:customStyle="1" w:styleId="XBRLTitle2">
    <w:name w:val="XBRLTitle2"/>
    <w:basedOn w:val="ad"/>
    <w:next w:val="4"/>
    <w:qFormat/>
    <w:rsid w:val="006E1115"/>
    <w:pPr>
      <w:spacing w:before="0" w:after="0" w:line="360" w:lineRule="auto"/>
      <w:jc w:val="left"/>
    </w:pPr>
    <w:rPr>
      <w:sz w:val="24"/>
    </w:rPr>
  </w:style>
  <w:style w:type="paragraph" w:customStyle="1" w:styleId="XBRLTitle3">
    <w:name w:val="XBRLTitle3"/>
    <w:basedOn w:val="ad"/>
    <w:next w:val="4"/>
    <w:qFormat/>
    <w:rsid w:val="006E1115"/>
    <w:pPr>
      <w:spacing w:before="0" w:after="0" w:line="360" w:lineRule="auto"/>
      <w:ind w:left="624" w:hanging="624"/>
      <w:jc w:val="left"/>
      <w:outlineLvl w:val="9"/>
    </w:pPr>
    <w:rPr>
      <w:sz w:val="24"/>
    </w:rPr>
  </w:style>
  <w:style w:type="paragraph" w:styleId="ad">
    <w:name w:val="Subtitle"/>
    <w:basedOn w:val="a"/>
    <w:next w:val="a"/>
    <w:link w:val="ae"/>
    <w:qFormat/>
    <w:rsid w:val="006E1115"/>
    <w:pPr>
      <w:spacing w:before="240" w:after="60" w:line="312" w:lineRule="auto"/>
      <w:jc w:val="center"/>
      <w:outlineLvl w:val="1"/>
    </w:pPr>
    <w:rPr>
      <w:rFonts w:ascii="Calibri Light" w:hAnsi="Calibri Light"/>
      <w:b/>
      <w:bCs/>
      <w:kern w:val="28"/>
      <w:sz w:val="32"/>
      <w:szCs w:val="32"/>
    </w:rPr>
  </w:style>
  <w:style w:type="character" w:customStyle="1" w:styleId="ae">
    <w:name w:val="副标题 字符"/>
    <w:link w:val="ad"/>
    <w:rsid w:val="006E1115"/>
    <w:rPr>
      <w:rFonts w:ascii="Calibri Light" w:hAnsi="Calibri Light" w:cs="Times New Roman"/>
      <w:b/>
      <w:bCs/>
      <w:kern w:val="28"/>
      <w:sz w:val="32"/>
      <w:szCs w:val="32"/>
    </w:rPr>
  </w:style>
  <w:style w:type="character" w:customStyle="1" w:styleId="40">
    <w:name w:val="标题 4 字符"/>
    <w:link w:val="4"/>
    <w:semiHidden/>
    <w:rsid w:val="006E1115"/>
    <w:rPr>
      <w:rFonts w:ascii="Calibri Light" w:eastAsia="宋体" w:hAnsi="Calibri Light" w:cs="Times New Roman"/>
      <w:b/>
      <w:bCs/>
      <w:kern w:val="2"/>
      <w:sz w:val="28"/>
      <w:szCs w:val="28"/>
    </w:rPr>
  </w:style>
  <w:style w:type="paragraph" w:customStyle="1" w:styleId="XBRLTitle4">
    <w:name w:val="XBRLTitle4"/>
    <w:basedOn w:val="ad"/>
    <w:next w:val="4"/>
    <w:qFormat/>
    <w:rsid w:val="006E1115"/>
    <w:pPr>
      <w:spacing w:beforeLines="50" w:before="50" w:afterLines="50" w:after="50" w:line="240" w:lineRule="auto"/>
      <w:ind w:left="794" w:hanging="794"/>
      <w:jc w:val="left"/>
      <w:outlineLvl w:val="9"/>
    </w:pPr>
    <w:rPr>
      <w:sz w:val="24"/>
    </w:rPr>
  </w:style>
  <w:style w:type="paragraph" w:customStyle="1" w:styleId="XBRLTitle5">
    <w:name w:val="XBRLTitle5"/>
    <w:basedOn w:val="ad"/>
    <w:next w:val="4"/>
    <w:qFormat/>
    <w:rsid w:val="006E1115"/>
    <w:pPr>
      <w:spacing w:beforeLines="50" w:before="50" w:afterLines="50" w:after="50" w:line="240" w:lineRule="auto"/>
      <w:ind w:left="1021" w:hanging="1021"/>
      <w:jc w:val="left"/>
      <w:outlineLvl w:val="9"/>
    </w:pPr>
  </w:style>
  <w:style w:type="paragraph" w:customStyle="1" w:styleId="XBRLTitle6">
    <w:name w:val="XBRLTitle6"/>
    <w:basedOn w:val="ad"/>
    <w:next w:val="4"/>
    <w:qFormat/>
    <w:rsid w:val="006E1115"/>
    <w:pPr>
      <w:spacing w:beforeLines="50" w:before="50" w:afterLines="50" w:after="50" w:line="240" w:lineRule="auto"/>
      <w:ind w:left="1021" w:hanging="1021"/>
      <w:jc w:val="left"/>
      <w:outlineLvl w:val="9"/>
    </w:pPr>
    <w:rPr>
      <w:sz w:val="24"/>
    </w:rPr>
  </w:style>
  <w:style w:type="paragraph" w:customStyle="1" w:styleId="-8">
    <w:name w:val="模板-正文无缩进"/>
    <w:basedOn w:val="-"/>
    <w:link w:val="-Char0"/>
    <w:qFormat/>
    <w:rsid w:val="00C7329B"/>
    <w:pPr>
      <w:ind w:firstLineChars="0" w:firstLine="0"/>
    </w:pPr>
    <w:rPr>
      <w:bCs/>
      <w:szCs w:val="30"/>
    </w:rPr>
  </w:style>
  <w:style w:type="character" w:customStyle="1" w:styleId="-Char0">
    <w:name w:val="模板-正文无缩进 Char"/>
    <w:link w:val="-8"/>
    <w:rsid w:val="00C7329B"/>
    <w:rPr>
      <w:rFonts w:ascii="宋体" w:hAnsi="宋体"/>
      <w:bCs/>
      <w:color w:val="222222"/>
      <w:sz w:val="21"/>
      <w:szCs w:val="30"/>
      <w:lang w:val="x-none" w:eastAsia="x-none"/>
    </w:rPr>
  </w:style>
  <w:style w:type="paragraph" w:customStyle="1" w:styleId="-9">
    <w:name w:val="模板-目录"/>
    <w:basedOn w:val="3"/>
    <w:link w:val="-Char1"/>
    <w:autoRedefine/>
    <w:qFormat/>
    <w:rsid w:val="00B47C1C"/>
    <w:pPr>
      <w:snapToGrid w:val="0"/>
      <w:jc w:val="right"/>
    </w:pPr>
  </w:style>
  <w:style w:type="paragraph" w:styleId="3">
    <w:name w:val="toc 3"/>
    <w:basedOn w:val="a"/>
    <w:next w:val="a"/>
    <w:link w:val="30"/>
    <w:autoRedefine/>
    <w:semiHidden/>
    <w:unhideWhenUsed/>
    <w:rsid w:val="00B47C1C"/>
    <w:pPr>
      <w:ind w:leftChars="400" w:left="840"/>
    </w:pPr>
  </w:style>
  <w:style w:type="character" w:customStyle="1" w:styleId="30">
    <w:name w:val="目录 3 字符"/>
    <w:basedOn w:val="a0"/>
    <w:link w:val="3"/>
    <w:semiHidden/>
    <w:rsid w:val="00B47C1C"/>
    <w:rPr>
      <w:kern w:val="2"/>
      <w:sz w:val="21"/>
      <w:szCs w:val="24"/>
    </w:rPr>
  </w:style>
  <w:style w:type="character" w:customStyle="1" w:styleId="-Char1">
    <w:name w:val="模板-目录 Char"/>
    <w:basedOn w:val="30"/>
    <w:link w:val="-9"/>
    <w:rsid w:val="00B47C1C"/>
    <w:rPr>
      <w:kern w:val="2"/>
      <w:sz w:val="21"/>
      <w:szCs w:val="24"/>
    </w:rPr>
  </w:style>
</w:styles>
</file>

<file path=word/webSettings.xml><?xml version="1.0" encoding="utf-8"?>
<w:webSettings xmlns:mc="http://schemas.openxmlformats.org/markup-compatibility/2006" xmlns:r="http://schemas.openxmlformats.org/officeDocument/2006/relationships" xmlns:w="http://schemas.openxmlformats.org/wordprocessingml/2006/main" xmlns:w14="http://schemas.microsoft.com/office/word/2010/wordml" xmlns:w15="http://schemas.microsoft.com/office/word/2012/wordml" xmlns:w16se="http://schemas.microsoft.com/office/word/2015/wordml/symex" mc:Ignorable="w14 w15 w16se">
  <w:divs>
    <w:div w:id="303782233">
      <w:bodyDiv w:val="1"/>
      <w:marLeft w:val="0"/>
      <w:marRight w:val="0"/>
      <w:marTop w:val="0"/>
      <w:marBottom w:val="0"/>
      <w:divBdr>
        <w:top w:val="none" w:sz="0" w:space="0" w:color="auto"/>
        <w:left w:val="none" w:sz="0" w:space="0" w:color="auto"/>
        <w:bottom w:val="none" w:sz="0" w:space="0" w:color="auto"/>
        <w:right w:val="none" w:sz="0" w:space="0" w:color="auto"/>
      </w:divBdr>
    </w:div>
  </w:divs>
  <w:optimizeForBrowser/>
  <w:allowPNG/>
</w:webSettings>
</file>

<file path=word/_rels/document.xml.rels><?xml version="1.0" encoding="UTF-8" standalone="yes"?>
<Relationships xmlns="http://schemas.openxmlformats.org/package/2006/relationships"><Relationship Id="rId8" Type="http://schemas.openxmlformats.org/officeDocument/2006/relationships/image" Target="media/image1.jpg"/><Relationship Id="rId13" Type="http://schemas.openxmlformats.org/officeDocument/2006/relationships/header" Target="header3.xml"/><Relationship Id="rId3" Type="http://schemas.openxmlformats.org/officeDocument/2006/relationships/styles" Target="styles.xml"/><Relationship Id="rId7" Type="http://schemas.openxmlformats.org/officeDocument/2006/relationships/endnotes" Target="endnotes.xml"/><Relationship Id="rId12" Type="http://schemas.openxmlformats.org/officeDocument/2006/relationships/footer" Target="footer2.xml"/><Relationship Id="rId2" Type="http://schemas.openxmlformats.org/officeDocument/2006/relationships/numbering" Target="numbering.xml"/><Relationship Id="rId16" Type="http://schemas.openxmlformats.org/officeDocument/2006/relationships/theme" Target="theme/theme1.xml"/><Relationship Id="rId1" Type="http://schemas.openxmlformats.org/officeDocument/2006/relationships/customXml" Target="../customXml/item1.xml"/><Relationship Id="rId6" Type="http://schemas.openxmlformats.org/officeDocument/2006/relationships/footnotes" Target="footnotes.xml"/><Relationship Id="rId11" Type="http://schemas.openxmlformats.org/officeDocument/2006/relationships/footer" Target="footer1.xml"/><Relationship Id="rId5" Type="http://schemas.openxmlformats.org/officeDocument/2006/relationships/webSettings" Target="webSettings.xml"/><Relationship Id="rId15" Type="http://schemas.openxmlformats.org/officeDocument/2006/relationships/fontTable" Target="fontTable.xml"/><Relationship Id="rId10" Type="http://schemas.openxmlformats.org/officeDocument/2006/relationships/header" Target="header2.xml"/><Relationship Id="rId4" Type="http://schemas.openxmlformats.org/officeDocument/2006/relationships/settings" Target="settings.xml"/><Relationship Id="rId9" Type="http://schemas.openxmlformats.org/officeDocument/2006/relationships/header" Target="header1.xml"/><Relationship Id="rId14" Type="http://schemas.openxmlformats.org/officeDocument/2006/relationships/footer" Target="footer3.xml"/></Relationships>
</file>

<file path=word/theme/theme1.xml><?xml version="1.0" encoding="utf-8"?>
<a:theme xmlns:a="http://schemas.openxmlformats.org/drawingml/2006/main" name="Office 主题">
  <a:themeElements>
    <a:clrScheme name="Office">
      <a:dk1>
        <a:sysClr val="windowText" lastClr="000000"/>
      </a:dk1>
      <a:lt1>
        <a:sysClr val="window" lastClr="FFFFFF"/>
      </a:lt1>
      <a:dk2>
        <a:srgbClr val="44546A"/>
      </a:dk2>
      <a:lt2>
        <a:srgbClr val="E7E6E6"/>
      </a:lt2>
      <a:accent1>
        <a:srgbClr val="5B9BD5"/>
      </a:accent1>
      <a:accent2>
        <a:srgbClr val="ED7D31"/>
      </a:accent2>
      <a:accent3>
        <a:srgbClr val="A5A5A5"/>
      </a:accent3>
      <a:accent4>
        <a:srgbClr val="FFC000"/>
      </a:accent4>
      <a:accent5>
        <a:srgbClr val="4472C4"/>
      </a:accent5>
      <a:accent6>
        <a:srgbClr val="70AD47"/>
      </a:accent6>
      <a:hlink>
        <a:srgbClr val="0563C1"/>
      </a:hlink>
      <a:folHlink>
        <a:srgbClr val="954F72"/>
      </a:folHlink>
    </a:clrScheme>
    <a:fontScheme name="Office">
      <a:majorFont>
        <a:latin typeface="Calibri Light"/>
        <a:ea typeface=""/>
        <a:cs typeface=""/>
        <a:font script="Jpan" typeface="ＭＳ ゴシック"/>
        <a:font script="Hang" typeface="맑은 고딕"/>
        <a:font script="Hans" typeface="宋体"/>
        <a:font script="Hant" typeface="新細明體"/>
        <a:font script="Arab" typeface="Times New Roman"/>
        <a:font script="Hebr" typeface="Times New Roman"/>
        <a:font script="Thai" typeface="Angsana New"/>
        <a:font script="Ethi" typeface="Nyala"/>
        <a:font script="Beng" typeface="Vrinda"/>
        <a:font script="Gujr" typeface="Shruti"/>
        <a:font script="Khmr" typeface="MoolBoran"/>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Times New Roman"/>
        <a:font script="Uigh" typeface="Microsoft Uighur"/>
        <a:font script="Geor" typeface="Sylfaen"/>
      </a:majorFont>
      <a:minorFont>
        <a:latin typeface="Calibri"/>
        <a:ea typeface=""/>
        <a:cs typeface=""/>
        <a:font script="Jpan" typeface="ＭＳ 明朝"/>
        <a:font script="Hang" typeface="맑은 고딕"/>
        <a:font script="Hans" typeface="宋体"/>
        <a:font script="Hant" typeface="新細明體"/>
        <a:font script="Arab" typeface="Arial"/>
        <a:font script="Hebr" typeface="Arial"/>
        <a:font script="Thai" typeface="Cordia New"/>
        <a:font script="Ethi" typeface="Nyala"/>
        <a:font script="Beng" typeface="Vrinda"/>
        <a:font script="Gujr" typeface="Shruti"/>
        <a:font script="Khmr" typeface="DaunPenh"/>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Arial"/>
        <a:font script="Uigh" typeface="Microsoft Uighur"/>
        <a:font script="Geor" typeface="Sylfaen"/>
      </a:minorFont>
    </a:fontScheme>
    <a:fmtScheme name="Office">
      <a:fillStyleLst>
        <a:solidFill>
          <a:schemeClr val="phClr"/>
        </a:solidFill>
        <a:gradFill rotWithShape="1">
          <a:gsLst>
            <a:gs pos="0">
              <a:schemeClr val="phClr">
                <a:lumMod val="110000"/>
                <a:satMod val="105000"/>
                <a:tint val="67000"/>
              </a:schemeClr>
            </a:gs>
            <a:gs pos="50000">
              <a:schemeClr val="phClr">
                <a:lumMod val="105000"/>
                <a:satMod val="103000"/>
                <a:tint val="73000"/>
              </a:schemeClr>
            </a:gs>
            <a:gs pos="100000">
              <a:schemeClr val="phClr">
                <a:lumMod val="105000"/>
                <a:satMod val="109000"/>
                <a:tint val="81000"/>
              </a:schemeClr>
            </a:gs>
          </a:gsLst>
          <a:lin ang="5400000" scaled="0"/>
        </a:gradFill>
        <a:gradFill rotWithShape="1">
          <a:gsLst>
            <a:gs pos="0">
              <a:schemeClr val="phClr">
                <a:satMod val="103000"/>
                <a:lumMod val="102000"/>
                <a:tint val="94000"/>
              </a:schemeClr>
            </a:gs>
            <a:gs pos="50000">
              <a:schemeClr val="phClr">
                <a:satMod val="110000"/>
                <a:lumMod val="100000"/>
                <a:shade val="100000"/>
              </a:schemeClr>
            </a:gs>
            <a:gs pos="100000">
              <a:schemeClr val="phClr">
                <a:lumMod val="99000"/>
                <a:satMod val="120000"/>
                <a:shade val="78000"/>
              </a:schemeClr>
            </a:gs>
          </a:gsLst>
          <a:lin ang="5400000" scaled="0"/>
        </a:gradFill>
      </a:fillStyleLst>
      <a:lnStyleLst>
        <a:ln w="6350" cap="flat" cmpd="sng" algn="ctr">
          <a:solidFill>
            <a:schemeClr val="phClr"/>
          </a:solidFill>
          <a:prstDash val="solid"/>
          <a:miter lim="800000"/>
        </a:ln>
        <a:ln w="12700" cap="flat" cmpd="sng" algn="ctr">
          <a:solidFill>
            <a:schemeClr val="phClr"/>
          </a:solidFill>
          <a:prstDash val="solid"/>
          <a:miter lim="800000"/>
        </a:ln>
        <a:ln w="19050" cap="flat" cmpd="sng" algn="ctr">
          <a:solidFill>
            <a:schemeClr val="phClr"/>
          </a:solidFill>
          <a:prstDash val="solid"/>
          <a:miter lim="800000"/>
        </a:ln>
      </a:lnStyleLst>
      <a:effectStyleLst>
        <a:effectStyle>
          <a:effectLst/>
        </a:effectStyle>
        <a:effectStyle>
          <a:effectLst/>
        </a:effectStyle>
        <a:effectStyle>
          <a:effectLst>
            <a:outerShdw blurRad="57150" dist="19050" dir="5400000" algn="ctr" rotWithShape="0">
              <a:srgbClr val="000000">
                <a:alpha val="63000"/>
              </a:srgbClr>
            </a:outerShdw>
          </a:effectLst>
        </a:effectStyle>
      </a:effectStyleLst>
      <a:bgFillStyleLst>
        <a:solidFill>
          <a:schemeClr val="phClr"/>
        </a:solidFill>
        <a:solidFill>
          <a:schemeClr val="phClr">
            <a:tint val="95000"/>
            <a:satMod val="170000"/>
          </a:schemeClr>
        </a:solidFill>
        <a:gradFill rotWithShape="1">
          <a:gsLst>
            <a:gs pos="0">
              <a:schemeClr val="phClr">
                <a:tint val="93000"/>
                <a:satMod val="150000"/>
                <a:shade val="98000"/>
                <a:lumMod val="102000"/>
              </a:schemeClr>
            </a:gs>
            <a:gs pos="50000">
              <a:schemeClr val="phClr">
                <a:tint val="98000"/>
                <a:satMod val="130000"/>
                <a:shade val="90000"/>
                <a:lumMod val="103000"/>
              </a:schemeClr>
            </a:gs>
            <a:gs pos="100000">
              <a:schemeClr val="phClr">
                <a:shade val="63000"/>
                <a:satMod val="120000"/>
              </a:schemeClr>
            </a:gs>
          </a:gsLst>
          <a:lin ang="5400000" scaled="0"/>
        </a:gradFill>
      </a:bgFillStyleLst>
    </a:fmtScheme>
  </a:themeElements>
  <a:objectDefaults/>
  <a:extraClrSchemeLst/>
  <a:extLst>
    <a:ext uri="{05A4C25C-085E-4340-85A3-A5531E510DB2}">
      <thm15:themeFamily xmlns:thm15="http://schemas.microsoft.com/office/thememl/2012/main" name="Office Theme" id="{62F939B6-93AF-4DB8-9C6B-D6C7DFDC589F}" vid="{4A3C46E8-61CC-4603-A589-7422A47A8E4A}"/>
    </a:ext>
  </a:extLst>
</a:theme>
</file>

<file path=customXml/_rels/item1.xml.rels><?xml version="1.0" encoding="UTF-8" standalone="yes"?>
<Relationships xmlns="http://schemas.openxmlformats.org/package/2006/relationships"><Relationship Id="rId1" Type="http://schemas.openxmlformats.org/officeDocument/2006/relationships/customXmlProps" Target="itemProps1.xml"/></Relationships>
</file>

<file path=customXml/item1.xml><?xml version="1.0" encoding="utf-8"?>
<b:Sources xmlns:b="http://schemas.openxmlformats.org/officeDocument/2006/bibliography" xmlns="http://schemas.openxmlformats.org/officeDocument/2006/bibliography" SelectedStyle="\APA.XSL" StyleName="APA"/>
</file>

<file path=customXml/itemProps1.xml><?xml version="1.0" encoding="utf-8"?>
<ds:datastoreItem xmlns:ds="http://schemas.openxmlformats.org/officeDocument/2006/customXml" ds:itemID="{316626B2-6F82-4EAC-80FB-B213BE02C5EB}">
  <ds:schemaRefs>
    <ds:schemaRef ds:uri="http://schemas.openxmlformats.org/officeDocument/2006/bibliography"/>
  </ds:schemaRefs>
</ds:datastoreItem>
</file>

<file path=docProps/app.xml><?xml version="1.0" encoding="utf-8"?>
<Properties xmlns="http://schemas.openxmlformats.org/officeDocument/2006/extended-properties" xmlns:vt="http://schemas.openxmlformats.org/officeDocument/2006/docPropsVTypes">
  <Template>Normal.dotm</Template>
  <TotalTime>0</TotalTime>
  <Pages>12</Pages>
  <Words>1131</Words>
  <Characters>6451</Characters>
  <Application>Microsoft Office Word</Application>
  <DocSecurity>0</DocSecurity>
  <Lines>53</Lines>
  <Paragraphs>15</Paragraphs>
  <ScaleCrop>false</ScaleCrop>
  <Company>MC SYSTEM</Company>
  <LinksUpToDate>false</LinksUpToDate>
  <CharactersWithSpaces>7567</CharactersWithSpaces>
  <SharedDoc>false</SharedDoc>
  <HyperlinksChanged>false</HyperlinksChanged>
  <AppVersion>16.0000</AppVersion>
</Properties>
</file>

<file path=docProps/core.xml><?xml version="1.0" encoding="utf-8"?>
<cp:coreProperties xmlns:cp="http://schemas.openxmlformats.org/package/2006/metadata/core-properties" xmlns:dc="http://purl.org/dc/elements/1.1/" xmlns:dcterms="http://purl.org/dc/terms/" xmlns:dcmitype="http://purl.org/dc/dcmitype/" xmlns:xsi="http://www.w3.org/2001/XMLSchema-instance">
  <dc:creator>MC SYSTEM</dc:creator>
  <cp:lastModifiedBy>MC SYSTEM</cp:lastModifiedBy>
  <cp:revision>1</cp:revision>
  <dcterms:created xsi:type="dcterms:W3CDTF">2026-04-21T01:29:00Z</dcterms:created>
  <dcterms:modified xsi:type="dcterms:W3CDTF">2026-04-21T01:29:00Z</dcterms:modified>
</cp:coreProperties>
</file>