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56EC0">
        <w:rPr>
          <w:rFonts w:ascii="宋体" w:hAnsi="宋体" w:hint="eastAsia"/>
          <w:b/>
          <w:bCs/>
          <w:sz w:val="48"/>
          <w:szCs w:val="30"/>
        </w:rPr>
        <w:t>南方全球精选配置证券投资基金</w:t>
      </w:r>
      <w:r w:rsidR="00F56EC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56EC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56EC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56EC0">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56EC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56EC0" w:rsidRDefault="00F56EC0" w:rsidP="00F56EC0">
      <w:pPr>
        <w:pStyle w:val="-1"/>
        <w:ind w:left="281" w:hanging="281"/>
      </w:pPr>
      <w:bookmarkStart w:id="2" w:name="_GoBack"/>
      <w:bookmarkEnd w:id="2"/>
      <w:r>
        <w:rPr>
          <w:rFonts w:hint="eastAsia"/>
        </w:rPr>
        <w:lastRenderedPageBreak/>
        <w:t>重要提示</w:t>
      </w:r>
    </w:p>
    <w:p w:rsidR="00F56EC0" w:rsidRDefault="00F56EC0" w:rsidP="00F56EC0">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F56EC0" w:rsidRDefault="00F56EC0" w:rsidP="00F56EC0">
      <w:pPr>
        <w:pStyle w:val="-"/>
        <w:ind w:firstLine="420"/>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F56EC0" w:rsidRDefault="00F56EC0" w:rsidP="00F56EC0">
      <w:pPr>
        <w:pStyle w:val="-"/>
        <w:ind w:firstLine="420"/>
      </w:pPr>
      <w:r>
        <w:rPr>
          <w:rFonts w:hint="eastAsia"/>
        </w:rPr>
        <w:t>基金管理人承诺以诚实信用、勤勉尽责的原则管理和运用基金资产，但不保证基金一定盈利。</w:t>
      </w:r>
    </w:p>
    <w:p w:rsidR="00F56EC0" w:rsidRDefault="00F56EC0" w:rsidP="00F56EC0">
      <w:pPr>
        <w:pStyle w:val="-"/>
        <w:ind w:firstLine="420"/>
      </w:pPr>
      <w:r>
        <w:rPr>
          <w:rFonts w:hint="eastAsia"/>
        </w:rPr>
        <w:t>基金的过往业绩并不代表其未来表现。投资有风险，投资者在作出投资决策前应仔细阅读本基金的招募说明书。</w:t>
      </w:r>
    </w:p>
    <w:p w:rsidR="00F56EC0" w:rsidRDefault="00F56EC0" w:rsidP="00F56EC0">
      <w:pPr>
        <w:pStyle w:val="-"/>
        <w:ind w:firstLine="420"/>
      </w:pPr>
      <w:r>
        <w:rPr>
          <w:rFonts w:hint="eastAsia"/>
        </w:rPr>
        <w:t>本报告中财务资料未经审计。</w:t>
      </w:r>
    </w:p>
    <w:p w:rsidR="00F56EC0" w:rsidRDefault="00F56EC0" w:rsidP="00F56EC0">
      <w:pPr>
        <w:pStyle w:val="-"/>
        <w:ind w:firstLine="420"/>
      </w:pPr>
      <w:r>
        <w:rPr>
          <w:rFonts w:hint="eastAsia"/>
        </w:rPr>
        <w:t>本报告期自2025年10月1日起至12月31日止。</w:t>
      </w:r>
    </w:p>
    <w:p w:rsidR="00F56EC0" w:rsidRDefault="00F56EC0" w:rsidP="00F56EC0">
      <w:pPr>
        <w:pStyle w:val="-1"/>
        <w:ind w:left="281" w:hanging="281"/>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56EC0" w:rsidTr="00A43C48">
        <w:tc>
          <w:tcPr>
            <w:tcW w:w="2768" w:type="dxa"/>
          </w:tcPr>
          <w:p w:rsidR="00F56EC0" w:rsidRDefault="00F56EC0" w:rsidP="00F56EC0">
            <w:pPr>
              <w:jc w:val="left"/>
            </w:pPr>
            <w:r>
              <w:rPr>
                <w:rFonts w:hint="eastAsia"/>
              </w:rPr>
              <w:t>基金简称</w:t>
            </w:r>
          </w:p>
        </w:tc>
        <w:tc>
          <w:tcPr>
            <w:tcW w:w="5538" w:type="dxa"/>
            <w:gridSpan w:val="2"/>
          </w:tcPr>
          <w:p w:rsidR="00F56EC0" w:rsidRDefault="00F56EC0" w:rsidP="00F56EC0">
            <w:pPr>
              <w:jc w:val="left"/>
            </w:pPr>
            <w:r>
              <w:rPr>
                <w:rFonts w:hint="eastAsia"/>
              </w:rPr>
              <w:t>南方全球精选配置股票（</w:t>
            </w:r>
            <w:r>
              <w:rPr>
                <w:rFonts w:hint="eastAsia"/>
              </w:rPr>
              <w:t>QDII-FOF</w:t>
            </w:r>
            <w:r>
              <w:rPr>
                <w:rFonts w:hint="eastAsia"/>
              </w:rPr>
              <w:t>）</w:t>
            </w:r>
          </w:p>
        </w:tc>
      </w:tr>
      <w:tr w:rsidR="00F56EC0" w:rsidTr="00382C61">
        <w:tc>
          <w:tcPr>
            <w:tcW w:w="2768" w:type="dxa"/>
          </w:tcPr>
          <w:p w:rsidR="00F56EC0" w:rsidRDefault="00F56EC0" w:rsidP="00F56EC0">
            <w:pPr>
              <w:jc w:val="left"/>
            </w:pPr>
            <w:r>
              <w:rPr>
                <w:rFonts w:hint="eastAsia"/>
              </w:rPr>
              <w:t>基金主代码</w:t>
            </w:r>
          </w:p>
        </w:tc>
        <w:tc>
          <w:tcPr>
            <w:tcW w:w="5538" w:type="dxa"/>
            <w:gridSpan w:val="2"/>
          </w:tcPr>
          <w:p w:rsidR="00F56EC0" w:rsidRDefault="00F56EC0" w:rsidP="00F56EC0">
            <w:pPr>
              <w:jc w:val="left"/>
            </w:pPr>
            <w:r>
              <w:t>202801</w:t>
            </w:r>
          </w:p>
        </w:tc>
      </w:tr>
      <w:tr w:rsidR="00F56EC0" w:rsidTr="00871AF7">
        <w:tc>
          <w:tcPr>
            <w:tcW w:w="2768" w:type="dxa"/>
          </w:tcPr>
          <w:p w:rsidR="00F56EC0" w:rsidRDefault="00F56EC0" w:rsidP="00F56EC0">
            <w:pPr>
              <w:jc w:val="left"/>
            </w:pPr>
            <w:r>
              <w:rPr>
                <w:rFonts w:hint="eastAsia"/>
              </w:rPr>
              <w:t>交易代码</w:t>
            </w:r>
          </w:p>
        </w:tc>
        <w:tc>
          <w:tcPr>
            <w:tcW w:w="5538" w:type="dxa"/>
            <w:gridSpan w:val="2"/>
          </w:tcPr>
          <w:p w:rsidR="00F56EC0" w:rsidRDefault="00F56EC0" w:rsidP="00F56EC0">
            <w:pPr>
              <w:jc w:val="left"/>
            </w:pPr>
            <w:r>
              <w:t>202801</w:t>
            </w:r>
          </w:p>
        </w:tc>
      </w:tr>
      <w:tr w:rsidR="00F56EC0" w:rsidTr="006440F3">
        <w:tc>
          <w:tcPr>
            <w:tcW w:w="2768" w:type="dxa"/>
          </w:tcPr>
          <w:p w:rsidR="00F56EC0" w:rsidRDefault="00F56EC0" w:rsidP="00F56EC0">
            <w:pPr>
              <w:jc w:val="left"/>
            </w:pPr>
            <w:r>
              <w:rPr>
                <w:rFonts w:hint="eastAsia"/>
              </w:rPr>
              <w:t>基金运作方式</w:t>
            </w:r>
          </w:p>
        </w:tc>
        <w:tc>
          <w:tcPr>
            <w:tcW w:w="5538" w:type="dxa"/>
            <w:gridSpan w:val="2"/>
          </w:tcPr>
          <w:p w:rsidR="00F56EC0" w:rsidRDefault="00F56EC0" w:rsidP="00F56EC0">
            <w:pPr>
              <w:jc w:val="left"/>
            </w:pPr>
            <w:r>
              <w:rPr>
                <w:rFonts w:hint="eastAsia"/>
              </w:rPr>
              <w:t>契约型开放式</w:t>
            </w:r>
          </w:p>
        </w:tc>
      </w:tr>
      <w:tr w:rsidR="00F56EC0" w:rsidTr="00686262">
        <w:tc>
          <w:tcPr>
            <w:tcW w:w="2768" w:type="dxa"/>
          </w:tcPr>
          <w:p w:rsidR="00F56EC0" w:rsidRDefault="00F56EC0" w:rsidP="00F56EC0">
            <w:pPr>
              <w:jc w:val="left"/>
            </w:pPr>
            <w:r>
              <w:rPr>
                <w:rFonts w:hint="eastAsia"/>
              </w:rPr>
              <w:t>基金合同生效日</w:t>
            </w:r>
          </w:p>
        </w:tc>
        <w:tc>
          <w:tcPr>
            <w:tcW w:w="5538" w:type="dxa"/>
            <w:gridSpan w:val="2"/>
          </w:tcPr>
          <w:p w:rsidR="00F56EC0" w:rsidRDefault="00F56EC0" w:rsidP="00F56EC0">
            <w:pPr>
              <w:jc w:val="left"/>
            </w:pPr>
            <w:r>
              <w:rPr>
                <w:rFonts w:hint="eastAsia"/>
              </w:rPr>
              <w:t>2007</w:t>
            </w:r>
            <w:r>
              <w:rPr>
                <w:rFonts w:hint="eastAsia"/>
              </w:rPr>
              <w:t>年</w:t>
            </w:r>
            <w:r>
              <w:rPr>
                <w:rFonts w:hint="eastAsia"/>
              </w:rPr>
              <w:t>9</w:t>
            </w:r>
            <w:r>
              <w:rPr>
                <w:rFonts w:hint="eastAsia"/>
              </w:rPr>
              <w:t>月</w:t>
            </w:r>
            <w:r>
              <w:rPr>
                <w:rFonts w:hint="eastAsia"/>
              </w:rPr>
              <w:t>19</w:t>
            </w:r>
            <w:r>
              <w:rPr>
                <w:rFonts w:hint="eastAsia"/>
              </w:rPr>
              <w:t>日</w:t>
            </w:r>
          </w:p>
        </w:tc>
      </w:tr>
      <w:tr w:rsidR="00F56EC0" w:rsidTr="00332FFD">
        <w:tc>
          <w:tcPr>
            <w:tcW w:w="2768" w:type="dxa"/>
          </w:tcPr>
          <w:p w:rsidR="00F56EC0" w:rsidRDefault="00F56EC0" w:rsidP="00F56EC0">
            <w:pPr>
              <w:jc w:val="left"/>
            </w:pPr>
            <w:r>
              <w:rPr>
                <w:rFonts w:hint="eastAsia"/>
              </w:rPr>
              <w:t>报告期末基金份额总额</w:t>
            </w:r>
          </w:p>
        </w:tc>
        <w:tc>
          <w:tcPr>
            <w:tcW w:w="5538" w:type="dxa"/>
            <w:gridSpan w:val="2"/>
          </w:tcPr>
          <w:p w:rsidR="00F56EC0" w:rsidRDefault="00F56EC0" w:rsidP="00F56EC0">
            <w:pPr>
              <w:jc w:val="left"/>
            </w:pPr>
            <w:r>
              <w:rPr>
                <w:rFonts w:hint="eastAsia"/>
              </w:rPr>
              <w:t>1,856,770,077.62</w:t>
            </w:r>
            <w:r>
              <w:rPr>
                <w:rFonts w:hint="eastAsia"/>
              </w:rPr>
              <w:t>份</w:t>
            </w:r>
          </w:p>
        </w:tc>
      </w:tr>
      <w:tr w:rsidR="00F56EC0" w:rsidTr="007251D9">
        <w:tc>
          <w:tcPr>
            <w:tcW w:w="2768" w:type="dxa"/>
          </w:tcPr>
          <w:p w:rsidR="00F56EC0" w:rsidRDefault="00F56EC0" w:rsidP="00F56EC0">
            <w:pPr>
              <w:jc w:val="left"/>
            </w:pPr>
            <w:r>
              <w:rPr>
                <w:rFonts w:hint="eastAsia"/>
              </w:rPr>
              <w:t>投资目标</w:t>
            </w:r>
          </w:p>
        </w:tc>
        <w:tc>
          <w:tcPr>
            <w:tcW w:w="5538" w:type="dxa"/>
            <w:gridSpan w:val="2"/>
          </w:tcPr>
          <w:p w:rsidR="00F56EC0" w:rsidRDefault="00F56EC0" w:rsidP="00F56EC0">
            <w:pPr>
              <w:jc w:val="left"/>
            </w:pPr>
            <w:r>
              <w:rPr>
                <w:rFonts w:hint="eastAsia"/>
              </w:rPr>
              <w:t>通过基金全球化的资产配置和组合管理，实现组合资产的分散化投资，在降低组合波动性的同时，实现基金资产的最大增值。</w:t>
            </w:r>
          </w:p>
        </w:tc>
      </w:tr>
      <w:tr w:rsidR="00F56EC0" w:rsidTr="006A294A">
        <w:tc>
          <w:tcPr>
            <w:tcW w:w="2768" w:type="dxa"/>
          </w:tcPr>
          <w:p w:rsidR="00F56EC0" w:rsidRDefault="00F56EC0" w:rsidP="00F56EC0">
            <w:pPr>
              <w:jc w:val="left"/>
            </w:pPr>
            <w:r>
              <w:rPr>
                <w:rFonts w:hint="eastAsia"/>
              </w:rPr>
              <w:t>投资策略</w:t>
            </w:r>
          </w:p>
        </w:tc>
        <w:tc>
          <w:tcPr>
            <w:tcW w:w="5538" w:type="dxa"/>
            <w:gridSpan w:val="2"/>
          </w:tcPr>
          <w:p w:rsidR="00F56EC0" w:rsidRDefault="00F56EC0" w:rsidP="00F56EC0">
            <w:r>
              <w:rPr>
                <w:rFonts w:hint="eastAsia"/>
              </w:rPr>
              <w:t>本基金在基金资产的配置上采取战略性资产配置和战术性资产配置相结合的配置策略，在有效分散风险的基础上，提高基金资产的收益。</w:t>
            </w:r>
            <w:r>
              <w:rPr>
                <w:rFonts w:hint="eastAsia"/>
              </w:rPr>
              <w:t xml:space="preserve"> 1</w:t>
            </w:r>
            <w:r>
              <w:rPr>
                <w:rFonts w:hint="eastAsia"/>
              </w:rPr>
              <w:t>、战略性资产配置策略（</w:t>
            </w:r>
            <w:r>
              <w:rPr>
                <w:rFonts w:hint="eastAsia"/>
              </w:rPr>
              <w:t>Strategic Asset Allocation</w:t>
            </w:r>
            <w:r>
              <w:rPr>
                <w:rFonts w:hint="eastAsia"/>
              </w:rPr>
              <w:t>）</w:t>
            </w:r>
            <w:r>
              <w:rPr>
                <w:rFonts w:hint="eastAsia"/>
              </w:rPr>
              <w:t xml:space="preserve"> </w:t>
            </w:r>
            <w:r>
              <w:rPr>
                <w:rFonts w:hint="eastAsia"/>
              </w:rPr>
              <w:t>在宏观经济与地区经济分析、掌握全球经济趋势的基础上，通过量化分析，确定资产种类</w:t>
            </w:r>
            <w:r>
              <w:rPr>
                <w:rFonts w:hint="eastAsia"/>
              </w:rPr>
              <w:t>(Asset Class)</w:t>
            </w:r>
            <w:r>
              <w:rPr>
                <w:rFonts w:hint="eastAsia"/>
              </w:rPr>
              <w:t>与权重，并定期进行回顾和动态调整。</w:t>
            </w:r>
            <w:r>
              <w:rPr>
                <w:rFonts w:hint="eastAsia"/>
              </w:rPr>
              <w:t xml:space="preserve"> 2</w:t>
            </w:r>
            <w:r>
              <w:rPr>
                <w:rFonts w:hint="eastAsia"/>
              </w:rPr>
              <w:t>、战术性资产配置策略（</w:t>
            </w:r>
            <w:r>
              <w:rPr>
                <w:rFonts w:hint="eastAsia"/>
              </w:rPr>
              <w:t>Tactical Asset Allocation</w:t>
            </w:r>
            <w:r>
              <w:rPr>
                <w:rFonts w:hint="eastAsia"/>
              </w:rPr>
              <w:t>）</w:t>
            </w:r>
            <w:r>
              <w:rPr>
                <w:rFonts w:hint="eastAsia"/>
              </w:rPr>
              <w:t xml:space="preserve"> </w:t>
            </w:r>
            <w:r>
              <w:rPr>
                <w:rFonts w:hint="eastAsia"/>
              </w:rPr>
              <w:t>在成熟市场和新兴市场中根据不同国家和地区经济发展及证券市场的发展变化对资产进行国家及区域配置，在不同国家的配置比例上采用“全球资产配置量化”模型进行配置和调整。由于短期市场会受到一些非理性或者非基本面因素的影响而产生波动，基金经理将根据对不同因素的研究与判断，对基金投资组合进行调整，以降低投资组合的投资风险。本基金的大部分资产将投资于</w:t>
            </w:r>
            <w:r>
              <w:rPr>
                <w:rFonts w:hint="eastAsia"/>
              </w:rPr>
              <w:t>ETF</w:t>
            </w:r>
            <w:r>
              <w:rPr>
                <w:rFonts w:hint="eastAsia"/>
              </w:rPr>
              <w:t>基金、股票型基金和在香港市场投资</w:t>
            </w:r>
            <w:r>
              <w:rPr>
                <w:rFonts w:hint="eastAsia"/>
              </w:rPr>
              <w:lastRenderedPageBreak/>
              <w:t>于公开发行、上市的股票。利用定量和定性的方式筛选基金，在香港市场的选股策略的主要标准：</w:t>
            </w:r>
            <w:r>
              <w:rPr>
                <w:rFonts w:hint="eastAsia"/>
              </w:rPr>
              <w:t xml:space="preserve"> </w:t>
            </w:r>
            <w:r>
              <w:rPr>
                <w:rFonts w:hint="eastAsia"/>
              </w:rPr>
              <w:t>市场及行业地位（</w:t>
            </w:r>
            <w:r>
              <w:rPr>
                <w:rFonts w:hint="eastAsia"/>
              </w:rPr>
              <w:t>market position</w:t>
            </w:r>
            <w:r>
              <w:rPr>
                <w:rFonts w:hint="eastAsia"/>
              </w:rPr>
              <w:t>）、估值（</w:t>
            </w:r>
            <w:r>
              <w:rPr>
                <w:rFonts w:hint="eastAsia"/>
              </w:rPr>
              <w:t>intrinsic value</w:t>
            </w:r>
            <w:r>
              <w:rPr>
                <w:rFonts w:hint="eastAsia"/>
              </w:rPr>
              <w:t>）、盈利预期（</w:t>
            </w:r>
            <w:r>
              <w:rPr>
                <w:rFonts w:hint="eastAsia"/>
              </w:rPr>
              <w:t>earning surprise</w:t>
            </w:r>
            <w:r>
              <w:rPr>
                <w:rFonts w:hint="eastAsia"/>
              </w:rPr>
              <w:t>）、和良好的趋势（</w:t>
            </w:r>
            <w:r>
              <w:rPr>
                <w:rFonts w:hint="eastAsia"/>
              </w:rPr>
              <w:t>investment trend</w:t>
            </w:r>
            <w:r>
              <w:rPr>
                <w:rFonts w:hint="eastAsia"/>
              </w:rPr>
              <w:t>）。</w:t>
            </w:r>
          </w:p>
        </w:tc>
      </w:tr>
      <w:tr w:rsidR="00F56EC0" w:rsidTr="00532877">
        <w:tc>
          <w:tcPr>
            <w:tcW w:w="2768" w:type="dxa"/>
          </w:tcPr>
          <w:p w:rsidR="00F56EC0" w:rsidRDefault="00F56EC0" w:rsidP="00F56EC0">
            <w:pPr>
              <w:jc w:val="left"/>
            </w:pPr>
            <w:r>
              <w:rPr>
                <w:rFonts w:hint="eastAsia"/>
              </w:rPr>
              <w:lastRenderedPageBreak/>
              <w:t>业绩比较基准</w:t>
            </w:r>
          </w:p>
        </w:tc>
        <w:tc>
          <w:tcPr>
            <w:tcW w:w="5538" w:type="dxa"/>
            <w:gridSpan w:val="2"/>
          </w:tcPr>
          <w:p w:rsidR="00F56EC0" w:rsidRDefault="00F56EC0" w:rsidP="00F56EC0">
            <w:r>
              <w:rPr>
                <w:rFonts w:hint="eastAsia"/>
              </w:rPr>
              <w:t>60%</w:t>
            </w:r>
            <w:r>
              <w:rPr>
                <w:rFonts w:hint="eastAsia"/>
              </w:rPr>
              <w:t>×</w:t>
            </w:r>
            <w:r>
              <w:rPr>
                <w:rFonts w:hint="eastAsia"/>
              </w:rPr>
              <w:t>MSCI</w:t>
            </w:r>
            <w:r>
              <w:rPr>
                <w:rFonts w:hint="eastAsia"/>
              </w:rPr>
              <w:t>世界指数（</w:t>
            </w:r>
            <w:r>
              <w:rPr>
                <w:rFonts w:hint="eastAsia"/>
              </w:rPr>
              <w:t>MSCI World Index</w:t>
            </w:r>
            <w:r>
              <w:rPr>
                <w:rFonts w:hint="eastAsia"/>
              </w:rPr>
              <w:t>）</w:t>
            </w:r>
            <w:r>
              <w:rPr>
                <w:rFonts w:hint="eastAsia"/>
              </w:rPr>
              <w:t>+40%</w:t>
            </w:r>
            <w:r>
              <w:rPr>
                <w:rFonts w:hint="eastAsia"/>
              </w:rPr>
              <w:t>×</w:t>
            </w:r>
            <w:r>
              <w:rPr>
                <w:rFonts w:hint="eastAsia"/>
              </w:rPr>
              <w:t>MSCI</w:t>
            </w:r>
            <w:r>
              <w:rPr>
                <w:rFonts w:hint="eastAsia"/>
              </w:rPr>
              <w:t>新兴市场指数（</w:t>
            </w:r>
            <w:r>
              <w:rPr>
                <w:rFonts w:hint="eastAsia"/>
              </w:rPr>
              <w:t>MSCI Emerging Markets Index</w:t>
            </w:r>
            <w:r>
              <w:rPr>
                <w:rFonts w:hint="eastAsia"/>
              </w:rPr>
              <w:t>）。</w:t>
            </w:r>
          </w:p>
        </w:tc>
      </w:tr>
      <w:tr w:rsidR="00F56EC0" w:rsidTr="00563B5F">
        <w:tc>
          <w:tcPr>
            <w:tcW w:w="2768" w:type="dxa"/>
          </w:tcPr>
          <w:p w:rsidR="00F56EC0" w:rsidRDefault="00F56EC0" w:rsidP="00F56EC0">
            <w:pPr>
              <w:jc w:val="left"/>
            </w:pPr>
            <w:r>
              <w:rPr>
                <w:rFonts w:hint="eastAsia"/>
              </w:rPr>
              <w:t>风险收益特征</w:t>
            </w:r>
          </w:p>
        </w:tc>
        <w:tc>
          <w:tcPr>
            <w:tcW w:w="5538" w:type="dxa"/>
            <w:gridSpan w:val="2"/>
          </w:tcPr>
          <w:p w:rsidR="00F56EC0" w:rsidRDefault="00F56EC0" w:rsidP="00F56EC0">
            <w:r>
              <w:rPr>
                <w:rFonts w:hint="eastAsia"/>
              </w:rPr>
              <w:t>本基金为基金中基金，属于中等偏高预期风险和预期收益的证券投资基金品种，其预期风险和收益水平低于全球股票型基金、高于债券基金及货币市场基金。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r w:rsidR="00F56EC0" w:rsidTr="00432A93">
        <w:tc>
          <w:tcPr>
            <w:tcW w:w="2768" w:type="dxa"/>
          </w:tcPr>
          <w:p w:rsidR="00F56EC0" w:rsidRDefault="00F56EC0" w:rsidP="00F56EC0">
            <w:pPr>
              <w:jc w:val="left"/>
            </w:pPr>
            <w:r>
              <w:rPr>
                <w:rFonts w:hint="eastAsia"/>
              </w:rPr>
              <w:t>基金管理人</w:t>
            </w:r>
          </w:p>
        </w:tc>
        <w:tc>
          <w:tcPr>
            <w:tcW w:w="5538" w:type="dxa"/>
            <w:gridSpan w:val="2"/>
          </w:tcPr>
          <w:p w:rsidR="00F56EC0" w:rsidRDefault="00F56EC0" w:rsidP="00F56EC0">
            <w:pPr>
              <w:jc w:val="left"/>
            </w:pPr>
            <w:r>
              <w:rPr>
                <w:rFonts w:hint="eastAsia"/>
              </w:rPr>
              <w:t>南方基金管理股份有限公司</w:t>
            </w:r>
          </w:p>
        </w:tc>
      </w:tr>
      <w:tr w:rsidR="00F56EC0" w:rsidTr="00394188">
        <w:tc>
          <w:tcPr>
            <w:tcW w:w="2768" w:type="dxa"/>
          </w:tcPr>
          <w:p w:rsidR="00F56EC0" w:rsidRDefault="00F56EC0" w:rsidP="00F56EC0">
            <w:pPr>
              <w:jc w:val="left"/>
            </w:pPr>
            <w:r>
              <w:rPr>
                <w:rFonts w:hint="eastAsia"/>
              </w:rPr>
              <w:t>基金托管人</w:t>
            </w:r>
          </w:p>
        </w:tc>
        <w:tc>
          <w:tcPr>
            <w:tcW w:w="5538" w:type="dxa"/>
            <w:gridSpan w:val="2"/>
          </w:tcPr>
          <w:p w:rsidR="00F56EC0" w:rsidRDefault="00F56EC0" w:rsidP="00F56EC0">
            <w:pPr>
              <w:jc w:val="left"/>
            </w:pPr>
            <w:r>
              <w:rPr>
                <w:rFonts w:hint="eastAsia"/>
              </w:rPr>
              <w:t>中国工商银行股份有限公司</w:t>
            </w:r>
          </w:p>
        </w:tc>
      </w:tr>
      <w:tr w:rsidR="00F56EC0" w:rsidTr="00F56EC0">
        <w:tc>
          <w:tcPr>
            <w:tcW w:w="2768" w:type="dxa"/>
          </w:tcPr>
          <w:p w:rsidR="00F56EC0" w:rsidRDefault="00F56EC0" w:rsidP="00F56EC0">
            <w:pPr>
              <w:jc w:val="left"/>
            </w:pPr>
            <w:r>
              <w:rPr>
                <w:rFonts w:hint="eastAsia"/>
              </w:rPr>
              <w:t>下属分级基金的基金简称</w:t>
            </w:r>
          </w:p>
        </w:tc>
        <w:tc>
          <w:tcPr>
            <w:tcW w:w="2769" w:type="dxa"/>
          </w:tcPr>
          <w:p w:rsidR="00F56EC0" w:rsidRDefault="00F56EC0" w:rsidP="00F56EC0">
            <w:pPr>
              <w:jc w:val="left"/>
            </w:pPr>
            <w:r>
              <w:rPr>
                <w:rFonts w:hint="eastAsia"/>
              </w:rPr>
              <w:t>南方全球精选配置股票（</w:t>
            </w:r>
            <w:r>
              <w:rPr>
                <w:rFonts w:hint="eastAsia"/>
              </w:rPr>
              <w:t>QDII-FOF</w:t>
            </w:r>
            <w:r>
              <w:rPr>
                <w:rFonts w:hint="eastAsia"/>
              </w:rPr>
              <w:t>）</w:t>
            </w:r>
            <w:r>
              <w:rPr>
                <w:rFonts w:hint="eastAsia"/>
              </w:rPr>
              <w:t>A</w:t>
            </w:r>
          </w:p>
        </w:tc>
        <w:tc>
          <w:tcPr>
            <w:tcW w:w="2769" w:type="dxa"/>
          </w:tcPr>
          <w:p w:rsidR="00F56EC0" w:rsidRDefault="00F56EC0" w:rsidP="00F56EC0">
            <w:pPr>
              <w:jc w:val="left"/>
            </w:pPr>
            <w:r>
              <w:rPr>
                <w:rFonts w:hint="eastAsia"/>
              </w:rPr>
              <w:t>南方全球精选配置股票（</w:t>
            </w:r>
            <w:r>
              <w:rPr>
                <w:rFonts w:hint="eastAsia"/>
              </w:rPr>
              <w:t>QDII-FOF</w:t>
            </w:r>
            <w:r>
              <w:rPr>
                <w:rFonts w:hint="eastAsia"/>
              </w:rPr>
              <w:t>）</w:t>
            </w:r>
            <w:r>
              <w:rPr>
                <w:rFonts w:hint="eastAsia"/>
              </w:rPr>
              <w:t>C</w:t>
            </w:r>
          </w:p>
        </w:tc>
      </w:tr>
      <w:tr w:rsidR="00F56EC0" w:rsidTr="00F56EC0">
        <w:tc>
          <w:tcPr>
            <w:tcW w:w="2768" w:type="dxa"/>
          </w:tcPr>
          <w:p w:rsidR="00F56EC0" w:rsidRDefault="00F56EC0" w:rsidP="00F56EC0">
            <w:pPr>
              <w:jc w:val="left"/>
            </w:pPr>
            <w:r>
              <w:rPr>
                <w:rFonts w:hint="eastAsia"/>
              </w:rPr>
              <w:t>下属分级基金的交易代码</w:t>
            </w:r>
          </w:p>
        </w:tc>
        <w:tc>
          <w:tcPr>
            <w:tcW w:w="2769" w:type="dxa"/>
          </w:tcPr>
          <w:p w:rsidR="00F56EC0" w:rsidRDefault="00F56EC0" w:rsidP="00F56EC0">
            <w:pPr>
              <w:jc w:val="left"/>
            </w:pPr>
            <w:r>
              <w:t>202801</w:t>
            </w:r>
          </w:p>
        </w:tc>
        <w:tc>
          <w:tcPr>
            <w:tcW w:w="2769" w:type="dxa"/>
          </w:tcPr>
          <w:p w:rsidR="00F56EC0" w:rsidRDefault="00F56EC0" w:rsidP="00F56EC0">
            <w:pPr>
              <w:jc w:val="left"/>
            </w:pPr>
            <w:r>
              <w:t>023591</w:t>
            </w:r>
          </w:p>
        </w:tc>
      </w:tr>
      <w:tr w:rsidR="00F56EC0" w:rsidTr="00F56EC0">
        <w:tc>
          <w:tcPr>
            <w:tcW w:w="2768" w:type="dxa"/>
          </w:tcPr>
          <w:p w:rsidR="00F56EC0" w:rsidRDefault="00F56EC0" w:rsidP="00F56EC0">
            <w:pPr>
              <w:jc w:val="left"/>
            </w:pPr>
            <w:r>
              <w:rPr>
                <w:rFonts w:hint="eastAsia"/>
              </w:rPr>
              <w:t>报告期末下属分级基金的份额总额</w:t>
            </w:r>
          </w:p>
        </w:tc>
        <w:tc>
          <w:tcPr>
            <w:tcW w:w="2769" w:type="dxa"/>
          </w:tcPr>
          <w:p w:rsidR="00F56EC0" w:rsidRDefault="00F56EC0" w:rsidP="00F56EC0">
            <w:pPr>
              <w:jc w:val="left"/>
            </w:pPr>
            <w:r>
              <w:rPr>
                <w:rFonts w:hint="eastAsia"/>
              </w:rPr>
              <w:t>1,752,669,798.67</w:t>
            </w:r>
            <w:r>
              <w:rPr>
                <w:rFonts w:hint="eastAsia"/>
              </w:rPr>
              <w:t>份</w:t>
            </w:r>
          </w:p>
        </w:tc>
        <w:tc>
          <w:tcPr>
            <w:tcW w:w="2769" w:type="dxa"/>
          </w:tcPr>
          <w:p w:rsidR="00F56EC0" w:rsidRDefault="00F56EC0" w:rsidP="00F56EC0">
            <w:pPr>
              <w:jc w:val="left"/>
            </w:pPr>
            <w:r>
              <w:rPr>
                <w:rFonts w:hint="eastAsia"/>
              </w:rPr>
              <w:t>104,100,278.95</w:t>
            </w:r>
            <w:r>
              <w:rPr>
                <w:rFonts w:hint="eastAsia"/>
              </w:rPr>
              <w:t>份</w:t>
            </w:r>
          </w:p>
        </w:tc>
      </w:tr>
      <w:tr w:rsidR="00F56EC0" w:rsidTr="0017200B">
        <w:tc>
          <w:tcPr>
            <w:tcW w:w="2768" w:type="dxa"/>
            <w:vMerge w:val="restart"/>
          </w:tcPr>
          <w:p w:rsidR="00F56EC0" w:rsidRDefault="00F56EC0" w:rsidP="00F56EC0">
            <w:pPr>
              <w:jc w:val="left"/>
            </w:pPr>
            <w:r>
              <w:rPr>
                <w:rFonts w:hint="eastAsia"/>
              </w:rPr>
              <w:t>境外资产托管人</w:t>
            </w:r>
          </w:p>
        </w:tc>
        <w:tc>
          <w:tcPr>
            <w:tcW w:w="5538" w:type="dxa"/>
            <w:gridSpan w:val="2"/>
          </w:tcPr>
          <w:p w:rsidR="00F56EC0" w:rsidRDefault="00F56EC0" w:rsidP="00F56EC0">
            <w:pPr>
              <w:jc w:val="left"/>
            </w:pPr>
            <w:r>
              <w:rPr>
                <w:rFonts w:hint="eastAsia"/>
              </w:rPr>
              <w:t>英文名称：</w:t>
            </w:r>
            <w:r>
              <w:rPr>
                <w:rFonts w:hint="eastAsia"/>
              </w:rPr>
              <w:t>The Bank of New York Mellon Corporation</w:t>
            </w:r>
          </w:p>
        </w:tc>
      </w:tr>
      <w:tr w:rsidR="00F56EC0" w:rsidTr="00F56EC0">
        <w:tc>
          <w:tcPr>
            <w:tcW w:w="2768" w:type="dxa"/>
            <w:vMerge/>
          </w:tcPr>
          <w:p w:rsidR="00F56EC0" w:rsidRDefault="00F56EC0" w:rsidP="00F56EC0">
            <w:pPr>
              <w:jc w:val="left"/>
            </w:pPr>
          </w:p>
        </w:tc>
        <w:tc>
          <w:tcPr>
            <w:tcW w:w="5538" w:type="dxa"/>
            <w:gridSpan w:val="2"/>
          </w:tcPr>
          <w:p w:rsidR="00F56EC0" w:rsidRDefault="00F56EC0" w:rsidP="00F56EC0">
            <w:pPr>
              <w:jc w:val="left"/>
            </w:pPr>
            <w:r>
              <w:rPr>
                <w:rFonts w:hint="eastAsia"/>
              </w:rPr>
              <w:t>中文名称：纽约梅隆银行</w:t>
            </w:r>
          </w:p>
        </w:tc>
      </w:tr>
    </w:tbl>
    <w:p w:rsidR="00F56EC0" w:rsidRDefault="00F56EC0" w:rsidP="00F56EC0">
      <w:pPr>
        <w:pStyle w:val="-1"/>
        <w:ind w:left="281" w:hanging="281"/>
      </w:pPr>
      <w:r>
        <w:rPr>
          <w:rFonts w:hint="eastAsia"/>
        </w:rPr>
        <w:t>主要财务指标和基金净值表现</w:t>
      </w:r>
    </w:p>
    <w:p w:rsidR="00F56EC0" w:rsidRDefault="00F56EC0" w:rsidP="00F56EC0">
      <w:pPr>
        <w:pStyle w:val="-2"/>
        <w:spacing w:before="312"/>
      </w:pPr>
      <w:r>
        <w:rPr>
          <w:rFonts w:hint="eastAsia"/>
        </w:rPr>
        <w:t>主要财务指标</w:t>
      </w:r>
    </w:p>
    <w:p w:rsidR="00F56EC0" w:rsidRDefault="00F56EC0" w:rsidP="00F56EC0">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56EC0" w:rsidTr="00F56EC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56EC0" w:rsidRPr="00F56EC0" w:rsidRDefault="00F56EC0" w:rsidP="00F56EC0">
            <w:pPr>
              <w:jc w:val="center"/>
              <w:rPr>
                <w:b/>
              </w:rPr>
            </w:pPr>
            <w:r w:rsidRPr="00F56EC0">
              <w:rPr>
                <w:rFonts w:hint="eastAsia"/>
                <w:b/>
              </w:rPr>
              <w:t>主要财务指标</w:t>
            </w:r>
          </w:p>
        </w:tc>
        <w:tc>
          <w:tcPr>
            <w:tcW w:w="5538" w:type="dxa"/>
            <w:gridSpan w:val="2"/>
            <w:tcBorders>
              <w:bottom w:val="single" w:sz="4" w:space="0" w:color="auto"/>
            </w:tcBorders>
          </w:tcPr>
          <w:p w:rsidR="00F56EC0" w:rsidRPr="00F56EC0" w:rsidRDefault="00F56EC0" w:rsidP="00F56EC0">
            <w:pPr>
              <w:jc w:val="center"/>
              <w:rPr>
                <w:b/>
              </w:rPr>
            </w:pPr>
            <w:r w:rsidRPr="00F56EC0">
              <w:rPr>
                <w:rFonts w:hint="eastAsia"/>
                <w:b/>
              </w:rPr>
              <w:t>报告期（</w:t>
            </w:r>
            <w:r w:rsidRPr="00F56EC0">
              <w:rPr>
                <w:rFonts w:hint="eastAsia"/>
                <w:b/>
              </w:rPr>
              <w:t>2025</w:t>
            </w:r>
            <w:r w:rsidRPr="00F56EC0">
              <w:rPr>
                <w:rFonts w:hint="eastAsia"/>
                <w:b/>
              </w:rPr>
              <w:t>年</w:t>
            </w:r>
            <w:r w:rsidRPr="00F56EC0">
              <w:rPr>
                <w:rFonts w:hint="eastAsia"/>
                <w:b/>
              </w:rPr>
              <w:t>10</w:t>
            </w:r>
            <w:r w:rsidRPr="00F56EC0">
              <w:rPr>
                <w:rFonts w:hint="eastAsia"/>
                <w:b/>
              </w:rPr>
              <w:t>月</w:t>
            </w:r>
            <w:r w:rsidRPr="00F56EC0">
              <w:rPr>
                <w:rFonts w:hint="eastAsia"/>
                <w:b/>
              </w:rPr>
              <w:t>1</w:t>
            </w:r>
            <w:r w:rsidRPr="00F56EC0">
              <w:rPr>
                <w:rFonts w:hint="eastAsia"/>
                <w:b/>
              </w:rPr>
              <w:t>日－</w:t>
            </w:r>
            <w:r w:rsidRPr="00F56EC0">
              <w:rPr>
                <w:rFonts w:hint="eastAsia"/>
                <w:b/>
              </w:rPr>
              <w:t>2025</w:t>
            </w:r>
            <w:r w:rsidRPr="00F56EC0">
              <w:rPr>
                <w:rFonts w:hint="eastAsia"/>
                <w:b/>
              </w:rPr>
              <w:t>年</w:t>
            </w:r>
            <w:r w:rsidRPr="00F56EC0">
              <w:rPr>
                <w:rFonts w:hint="eastAsia"/>
                <w:b/>
              </w:rPr>
              <w:t>12</w:t>
            </w:r>
            <w:r w:rsidRPr="00F56EC0">
              <w:rPr>
                <w:rFonts w:hint="eastAsia"/>
                <w:b/>
              </w:rPr>
              <w:t>月</w:t>
            </w:r>
            <w:r w:rsidRPr="00F56EC0">
              <w:rPr>
                <w:rFonts w:hint="eastAsia"/>
                <w:b/>
              </w:rPr>
              <w:t>31</w:t>
            </w:r>
            <w:r w:rsidRPr="00F56EC0">
              <w:rPr>
                <w:rFonts w:hint="eastAsia"/>
                <w:b/>
              </w:rPr>
              <w:t>日）</w:t>
            </w:r>
          </w:p>
        </w:tc>
      </w:tr>
      <w:tr w:rsidR="00F56EC0" w:rsidTr="00F56EC0">
        <w:tc>
          <w:tcPr>
            <w:tcW w:w="2768" w:type="dxa"/>
            <w:vMerge/>
          </w:tcPr>
          <w:p w:rsidR="00F56EC0" w:rsidRDefault="00F56EC0" w:rsidP="00F56EC0">
            <w:pPr>
              <w:jc w:val="left"/>
            </w:pPr>
          </w:p>
        </w:tc>
        <w:tc>
          <w:tcPr>
            <w:tcW w:w="2769" w:type="dxa"/>
            <w:shd w:val="clear" w:color="auto" w:fill="BFBFBF"/>
          </w:tcPr>
          <w:p w:rsidR="00F56EC0" w:rsidRPr="00F56EC0" w:rsidRDefault="00F56EC0" w:rsidP="00F56EC0">
            <w:pPr>
              <w:jc w:val="center"/>
              <w:rPr>
                <w:b/>
              </w:rPr>
            </w:pPr>
            <w:r w:rsidRPr="00F56EC0">
              <w:rPr>
                <w:rFonts w:hint="eastAsia"/>
                <w:b/>
              </w:rPr>
              <w:t>南方全球精选配置股票（</w:t>
            </w:r>
            <w:r w:rsidRPr="00F56EC0">
              <w:rPr>
                <w:rFonts w:hint="eastAsia"/>
                <w:b/>
              </w:rPr>
              <w:t>QDII-FOF</w:t>
            </w:r>
            <w:r w:rsidRPr="00F56EC0">
              <w:rPr>
                <w:rFonts w:hint="eastAsia"/>
                <w:b/>
              </w:rPr>
              <w:t>）</w:t>
            </w:r>
            <w:r w:rsidRPr="00F56EC0">
              <w:rPr>
                <w:rFonts w:hint="eastAsia"/>
                <w:b/>
              </w:rPr>
              <w:t>A</w:t>
            </w:r>
          </w:p>
        </w:tc>
        <w:tc>
          <w:tcPr>
            <w:tcW w:w="2769" w:type="dxa"/>
            <w:shd w:val="clear" w:color="auto" w:fill="BFBFBF"/>
          </w:tcPr>
          <w:p w:rsidR="00F56EC0" w:rsidRPr="00F56EC0" w:rsidRDefault="00F56EC0" w:rsidP="00F56EC0">
            <w:pPr>
              <w:jc w:val="center"/>
              <w:rPr>
                <w:b/>
              </w:rPr>
            </w:pPr>
            <w:r w:rsidRPr="00F56EC0">
              <w:rPr>
                <w:rFonts w:hint="eastAsia"/>
                <w:b/>
              </w:rPr>
              <w:t>南方全球精选配置股票（</w:t>
            </w:r>
            <w:r w:rsidRPr="00F56EC0">
              <w:rPr>
                <w:rFonts w:hint="eastAsia"/>
                <w:b/>
              </w:rPr>
              <w:t>QDII-FOF</w:t>
            </w:r>
            <w:r w:rsidRPr="00F56EC0">
              <w:rPr>
                <w:rFonts w:hint="eastAsia"/>
                <w:b/>
              </w:rPr>
              <w:t>）</w:t>
            </w:r>
            <w:r w:rsidRPr="00F56EC0">
              <w:rPr>
                <w:rFonts w:hint="eastAsia"/>
                <w:b/>
              </w:rPr>
              <w:t>C</w:t>
            </w:r>
          </w:p>
        </w:tc>
      </w:tr>
      <w:tr w:rsidR="00F56EC0" w:rsidTr="00F56EC0">
        <w:tc>
          <w:tcPr>
            <w:tcW w:w="2768" w:type="dxa"/>
          </w:tcPr>
          <w:p w:rsidR="00F56EC0" w:rsidRDefault="00F56EC0" w:rsidP="00F56EC0">
            <w:pPr>
              <w:jc w:val="left"/>
            </w:pPr>
            <w:r>
              <w:rPr>
                <w:rFonts w:hint="eastAsia"/>
              </w:rPr>
              <w:t>1.</w:t>
            </w:r>
            <w:r>
              <w:rPr>
                <w:rFonts w:hint="eastAsia"/>
              </w:rPr>
              <w:t>本期已实现收益</w:t>
            </w:r>
          </w:p>
        </w:tc>
        <w:tc>
          <w:tcPr>
            <w:tcW w:w="2769" w:type="dxa"/>
          </w:tcPr>
          <w:p w:rsidR="00F56EC0" w:rsidRDefault="00F56EC0" w:rsidP="00F56EC0">
            <w:pPr>
              <w:jc w:val="right"/>
            </w:pPr>
            <w:r>
              <w:t>116,193,320.11</w:t>
            </w:r>
          </w:p>
        </w:tc>
        <w:tc>
          <w:tcPr>
            <w:tcW w:w="2769" w:type="dxa"/>
          </w:tcPr>
          <w:p w:rsidR="00F56EC0" w:rsidRDefault="00F56EC0" w:rsidP="00F56EC0">
            <w:pPr>
              <w:jc w:val="right"/>
            </w:pPr>
            <w:r>
              <w:t>1,175,696.49</w:t>
            </w:r>
          </w:p>
        </w:tc>
      </w:tr>
      <w:tr w:rsidR="00F56EC0" w:rsidTr="00F56EC0">
        <w:tc>
          <w:tcPr>
            <w:tcW w:w="2768" w:type="dxa"/>
          </w:tcPr>
          <w:p w:rsidR="00F56EC0" w:rsidRDefault="00F56EC0" w:rsidP="00F56EC0">
            <w:pPr>
              <w:jc w:val="left"/>
            </w:pPr>
            <w:r>
              <w:rPr>
                <w:rFonts w:hint="eastAsia"/>
              </w:rPr>
              <w:t>2.</w:t>
            </w:r>
            <w:r>
              <w:rPr>
                <w:rFonts w:hint="eastAsia"/>
              </w:rPr>
              <w:t>本期利润</w:t>
            </w:r>
          </w:p>
        </w:tc>
        <w:tc>
          <w:tcPr>
            <w:tcW w:w="2769" w:type="dxa"/>
          </w:tcPr>
          <w:p w:rsidR="00F56EC0" w:rsidRDefault="00F56EC0" w:rsidP="00F56EC0">
            <w:pPr>
              <w:jc w:val="right"/>
            </w:pPr>
            <w:r>
              <w:t>25,773,757.97</w:t>
            </w:r>
          </w:p>
        </w:tc>
        <w:tc>
          <w:tcPr>
            <w:tcW w:w="2769" w:type="dxa"/>
          </w:tcPr>
          <w:p w:rsidR="00F56EC0" w:rsidRDefault="00F56EC0" w:rsidP="00F56EC0">
            <w:pPr>
              <w:jc w:val="right"/>
            </w:pPr>
            <w:r>
              <w:t>-57,974.07</w:t>
            </w:r>
          </w:p>
        </w:tc>
      </w:tr>
      <w:tr w:rsidR="00F56EC0" w:rsidTr="00F56EC0">
        <w:tc>
          <w:tcPr>
            <w:tcW w:w="2768" w:type="dxa"/>
          </w:tcPr>
          <w:p w:rsidR="00F56EC0" w:rsidRDefault="00F56EC0" w:rsidP="00F56EC0">
            <w:pPr>
              <w:jc w:val="left"/>
            </w:pPr>
            <w:r>
              <w:rPr>
                <w:rFonts w:hint="eastAsia"/>
              </w:rPr>
              <w:t>3.</w:t>
            </w:r>
            <w:r>
              <w:rPr>
                <w:rFonts w:hint="eastAsia"/>
              </w:rPr>
              <w:t>加权平均基金份额本期利润</w:t>
            </w:r>
          </w:p>
        </w:tc>
        <w:tc>
          <w:tcPr>
            <w:tcW w:w="2769" w:type="dxa"/>
          </w:tcPr>
          <w:p w:rsidR="00F56EC0" w:rsidRDefault="00F56EC0" w:rsidP="00F56EC0">
            <w:pPr>
              <w:jc w:val="right"/>
            </w:pPr>
            <w:r>
              <w:t>0.0154</w:t>
            </w:r>
          </w:p>
        </w:tc>
        <w:tc>
          <w:tcPr>
            <w:tcW w:w="2769" w:type="dxa"/>
          </w:tcPr>
          <w:p w:rsidR="00F56EC0" w:rsidRDefault="00F56EC0" w:rsidP="00F56EC0">
            <w:pPr>
              <w:jc w:val="right"/>
            </w:pPr>
            <w:r>
              <w:t>-0.0012</w:t>
            </w:r>
          </w:p>
        </w:tc>
      </w:tr>
      <w:tr w:rsidR="00F56EC0" w:rsidTr="00F56EC0">
        <w:tc>
          <w:tcPr>
            <w:tcW w:w="2768" w:type="dxa"/>
          </w:tcPr>
          <w:p w:rsidR="00F56EC0" w:rsidRDefault="00F56EC0" w:rsidP="00F56EC0">
            <w:pPr>
              <w:jc w:val="left"/>
            </w:pPr>
            <w:r>
              <w:rPr>
                <w:rFonts w:hint="eastAsia"/>
              </w:rPr>
              <w:t>4.</w:t>
            </w:r>
            <w:r>
              <w:rPr>
                <w:rFonts w:hint="eastAsia"/>
              </w:rPr>
              <w:t>期末基金资产净值</w:t>
            </w:r>
          </w:p>
        </w:tc>
        <w:tc>
          <w:tcPr>
            <w:tcW w:w="2769" w:type="dxa"/>
          </w:tcPr>
          <w:p w:rsidR="00F56EC0" w:rsidRDefault="00F56EC0" w:rsidP="00F56EC0">
            <w:pPr>
              <w:jc w:val="right"/>
            </w:pPr>
            <w:r>
              <w:t>1,727,259,340.28</w:t>
            </w:r>
          </w:p>
        </w:tc>
        <w:tc>
          <w:tcPr>
            <w:tcW w:w="2769" w:type="dxa"/>
          </w:tcPr>
          <w:p w:rsidR="00F56EC0" w:rsidRDefault="00F56EC0" w:rsidP="00F56EC0">
            <w:pPr>
              <w:jc w:val="right"/>
            </w:pPr>
            <w:r>
              <w:t>102,217,516.03</w:t>
            </w:r>
          </w:p>
        </w:tc>
      </w:tr>
      <w:tr w:rsidR="00F56EC0" w:rsidTr="00F56EC0">
        <w:tc>
          <w:tcPr>
            <w:tcW w:w="2768" w:type="dxa"/>
          </w:tcPr>
          <w:p w:rsidR="00F56EC0" w:rsidRDefault="00F56EC0" w:rsidP="00F56EC0">
            <w:pPr>
              <w:jc w:val="left"/>
            </w:pPr>
            <w:r>
              <w:rPr>
                <w:rFonts w:hint="eastAsia"/>
              </w:rPr>
              <w:t>5.</w:t>
            </w:r>
            <w:r>
              <w:rPr>
                <w:rFonts w:hint="eastAsia"/>
              </w:rPr>
              <w:t>期末基金份额净值</w:t>
            </w:r>
          </w:p>
        </w:tc>
        <w:tc>
          <w:tcPr>
            <w:tcW w:w="2769" w:type="dxa"/>
          </w:tcPr>
          <w:p w:rsidR="00F56EC0" w:rsidRDefault="00F56EC0" w:rsidP="00F56EC0">
            <w:pPr>
              <w:jc w:val="right"/>
            </w:pPr>
            <w:r>
              <w:t>0.9855</w:t>
            </w:r>
          </w:p>
        </w:tc>
        <w:tc>
          <w:tcPr>
            <w:tcW w:w="2769" w:type="dxa"/>
          </w:tcPr>
          <w:p w:rsidR="00F56EC0" w:rsidRDefault="00F56EC0" w:rsidP="00F56EC0">
            <w:pPr>
              <w:jc w:val="right"/>
            </w:pPr>
            <w:r>
              <w:t>0.9819</w:t>
            </w:r>
          </w:p>
        </w:tc>
      </w:tr>
    </w:tbl>
    <w:p w:rsidR="00F56EC0" w:rsidRDefault="00F56EC0" w:rsidP="00F56EC0">
      <w:pPr>
        <w:pStyle w:val="-8"/>
      </w:pPr>
      <w:r>
        <w:rPr>
          <w:rFonts w:hint="eastAsia"/>
        </w:rPr>
        <w:t>注：1、基金业绩指标不包括持有人认（申）购或交易基金的各项费用，计入费用后实际收益水平要低于所列数字；</w:t>
      </w:r>
    </w:p>
    <w:p w:rsidR="00F56EC0" w:rsidRDefault="00F56EC0" w:rsidP="00F56EC0">
      <w:pPr>
        <w:pStyle w:val="-"/>
        <w:ind w:firstLine="420"/>
      </w:pPr>
      <w:r>
        <w:rPr>
          <w:rFonts w:hint="eastAsia"/>
        </w:rPr>
        <w:lastRenderedPageBreak/>
        <w:t>2、本期已实现收益指基金本期利息收入、投资收益、其他收入(不含公允价值变动收益)扣除相关费用和信用减值损失后的余额，本期利润为本期已实现收益加上本期公允价值变动收益。</w:t>
      </w:r>
    </w:p>
    <w:p w:rsidR="00F56EC0" w:rsidRDefault="00F56EC0" w:rsidP="00F56EC0">
      <w:pPr>
        <w:pStyle w:val="-2"/>
        <w:spacing w:before="312"/>
      </w:pPr>
      <w:r>
        <w:rPr>
          <w:rFonts w:hint="eastAsia"/>
        </w:rPr>
        <w:t>基金净值表现</w:t>
      </w:r>
    </w:p>
    <w:p w:rsidR="00F56EC0" w:rsidRDefault="00F56EC0" w:rsidP="00F56EC0">
      <w:pPr>
        <w:pStyle w:val="-3"/>
        <w:spacing w:before="156" w:after="156"/>
      </w:pPr>
      <w:r>
        <w:rPr>
          <w:rFonts w:hint="eastAsia"/>
        </w:rPr>
        <w:t>本报告期基金份额净值增长率及其与同期业绩比较基准收益率的比较</w:t>
      </w:r>
    </w:p>
    <w:p w:rsidR="00F56EC0" w:rsidRDefault="00F56EC0" w:rsidP="00F56EC0">
      <w:pPr>
        <w:pStyle w:val="-"/>
        <w:ind w:firstLine="420"/>
      </w:pPr>
      <w:r>
        <w:rPr>
          <w:rFonts w:hint="eastAsia"/>
        </w:rPr>
        <w:t>南方全球精选配置股票（QDII-FOF）A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F56EC0" w:rsidTr="00F56EC0">
        <w:trPr>
          <w:cnfStyle w:val="100000000000" w:firstRow="1" w:lastRow="0" w:firstColumn="0" w:lastColumn="0" w:oddVBand="0" w:evenVBand="0" w:oddHBand="0" w:evenHBand="0" w:firstRowFirstColumn="0" w:firstRowLastColumn="0" w:lastRowFirstColumn="0" w:lastRowLastColumn="0"/>
        </w:trPr>
        <w:tc>
          <w:tcPr>
            <w:tcW w:w="1186" w:type="dxa"/>
          </w:tcPr>
          <w:p w:rsidR="00F56EC0" w:rsidRPr="00F56EC0" w:rsidRDefault="00F56EC0" w:rsidP="00F56EC0">
            <w:pPr>
              <w:jc w:val="center"/>
              <w:rPr>
                <w:b/>
              </w:rPr>
            </w:pPr>
            <w:r w:rsidRPr="00F56EC0">
              <w:rPr>
                <w:rFonts w:hint="eastAsia"/>
                <w:b/>
              </w:rPr>
              <w:t>阶段</w:t>
            </w:r>
          </w:p>
        </w:tc>
        <w:tc>
          <w:tcPr>
            <w:tcW w:w="1186" w:type="dxa"/>
          </w:tcPr>
          <w:p w:rsidR="00F56EC0" w:rsidRPr="00F56EC0" w:rsidRDefault="00F56EC0" w:rsidP="00F56EC0">
            <w:pPr>
              <w:jc w:val="center"/>
              <w:rPr>
                <w:b/>
              </w:rPr>
            </w:pPr>
            <w:r w:rsidRPr="00F56EC0">
              <w:rPr>
                <w:rFonts w:hint="eastAsia"/>
                <w:b/>
              </w:rPr>
              <w:t>净值增长率①</w:t>
            </w:r>
          </w:p>
        </w:tc>
        <w:tc>
          <w:tcPr>
            <w:tcW w:w="1186" w:type="dxa"/>
          </w:tcPr>
          <w:p w:rsidR="00F56EC0" w:rsidRPr="00F56EC0" w:rsidRDefault="00F56EC0" w:rsidP="00F56EC0">
            <w:pPr>
              <w:jc w:val="center"/>
              <w:rPr>
                <w:b/>
              </w:rPr>
            </w:pPr>
            <w:r w:rsidRPr="00F56EC0">
              <w:rPr>
                <w:rFonts w:hint="eastAsia"/>
                <w:b/>
              </w:rPr>
              <w:t>净值增长率标准差②</w:t>
            </w:r>
          </w:p>
        </w:tc>
        <w:tc>
          <w:tcPr>
            <w:tcW w:w="1187" w:type="dxa"/>
          </w:tcPr>
          <w:p w:rsidR="00F56EC0" w:rsidRPr="00F56EC0" w:rsidRDefault="00F56EC0" w:rsidP="00F56EC0">
            <w:pPr>
              <w:jc w:val="center"/>
              <w:rPr>
                <w:b/>
              </w:rPr>
            </w:pPr>
            <w:r w:rsidRPr="00F56EC0">
              <w:rPr>
                <w:rFonts w:hint="eastAsia"/>
                <w:b/>
              </w:rPr>
              <w:t>业绩比较基准收益率③</w:t>
            </w:r>
          </w:p>
        </w:tc>
        <w:tc>
          <w:tcPr>
            <w:tcW w:w="1187" w:type="dxa"/>
          </w:tcPr>
          <w:p w:rsidR="00F56EC0" w:rsidRPr="00F56EC0" w:rsidRDefault="00F56EC0" w:rsidP="00F56EC0">
            <w:pPr>
              <w:jc w:val="center"/>
              <w:rPr>
                <w:b/>
              </w:rPr>
            </w:pPr>
            <w:r w:rsidRPr="00F56EC0">
              <w:rPr>
                <w:rFonts w:hint="eastAsia"/>
                <w:b/>
              </w:rPr>
              <w:t>业绩比较基准收益率标准差④</w:t>
            </w:r>
          </w:p>
        </w:tc>
        <w:tc>
          <w:tcPr>
            <w:tcW w:w="1187" w:type="dxa"/>
          </w:tcPr>
          <w:p w:rsidR="00F56EC0" w:rsidRPr="00F56EC0" w:rsidRDefault="00F56EC0" w:rsidP="00F56EC0">
            <w:pPr>
              <w:jc w:val="center"/>
              <w:rPr>
                <w:b/>
              </w:rPr>
            </w:pPr>
            <w:r w:rsidRPr="00F56EC0">
              <w:rPr>
                <w:rFonts w:hint="eastAsia"/>
                <w:b/>
              </w:rPr>
              <w:t>①</w:t>
            </w:r>
            <w:r w:rsidRPr="00F56EC0">
              <w:rPr>
                <w:rFonts w:hint="eastAsia"/>
                <w:b/>
              </w:rPr>
              <w:t>-</w:t>
            </w:r>
            <w:r w:rsidRPr="00F56EC0">
              <w:rPr>
                <w:rFonts w:hint="eastAsia"/>
                <w:b/>
              </w:rPr>
              <w:t>③</w:t>
            </w:r>
          </w:p>
        </w:tc>
        <w:tc>
          <w:tcPr>
            <w:tcW w:w="1187" w:type="dxa"/>
          </w:tcPr>
          <w:p w:rsidR="00F56EC0" w:rsidRPr="00F56EC0" w:rsidRDefault="00F56EC0" w:rsidP="00F56EC0">
            <w:pPr>
              <w:jc w:val="center"/>
              <w:rPr>
                <w:b/>
              </w:rPr>
            </w:pPr>
            <w:r w:rsidRPr="00F56EC0">
              <w:rPr>
                <w:rFonts w:hint="eastAsia"/>
                <w:b/>
              </w:rPr>
              <w:t>②</w:t>
            </w:r>
            <w:r w:rsidRPr="00F56EC0">
              <w:rPr>
                <w:rFonts w:hint="eastAsia"/>
                <w:b/>
              </w:rPr>
              <w:t>-</w:t>
            </w:r>
            <w:r w:rsidRPr="00F56EC0">
              <w:rPr>
                <w:rFonts w:hint="eastAsia"/>
                <w:b/>
              </w:rPr>
              <w:t>④</w:t>
            </w:r>
          </w:p>
        </w:tc>
      </w:tr>
      <w:tr w:rsidR="00F56EC0" w:rsidTr="00F56EC0">
        <w:tc>
          <w:tcPr>
            <w:tcW w:w="1186" w:type="dxa"/>
          </w:tcPr>
          <w:p w:rsidR="00F56EC0" w:rsidRDefault="00F56EC0" w:rsidP="00F56EC0">
            <w:pPr>
              <w:jc w:val="left"/>
            </w:pPr>
            <w:r>
              <w:rPr>
                <w:rFonts w:hint="eastAsia"/>
              </w:rPr>
              <w:t>过去三个月</w:t>
            </w:r>
          </w:p>
        </w:tc>
        <w:tc>
          <w:tcPr>
            <w:tcW w:w="1186" w:type="dxa"/>
          </w:tcPr>
          <w:p w:rsidR="00F56EC0" w:rsidRDefault="00F56EC0" w:rsidP="00F56EC0">
            <w:pPr>
              <w:jc w:val="right"/>
            </w:pPr>
            <w:r>
              <w:t>1.65%</w:t>
            </w:r>
          </w:p>
        </w:tc>
        <w:tc>
          <w:tcPr>
            <w:tcW w:w="1186" w:type="dxa"/>
          </w:tcPr>
          <w:p w:rsidR="00F56EC0" w:rsidRDefault="00F56EC0" w:rsidP="00F56EC0">
            <w:pPr>
              <w:jc w:val="right"/>
            </w:pPr>
            <w:r>
              <w:t>0.58%</w:t>
            </w:r>
          </w:p>
        </w:tc>
        <w:tc>
          <w:tcPr>
            <w:tcW w:w="1187" w:type="dxa"/>
          </w:tcPr>
          <w:p w:rsidR="00F56EC0" w:rsidRDefault="00F56EC0" w:rsidP="00F56EC0">
            <w:pPr>
              <w:jc w:val="right"/>
            </w:pPr>
            <w:r>
              <w:t>2.41%</w:t>
            </w:r>
          </w:p>
        </w:tc>
        <w:tc>
          <w:tcPr>
            <w:tcW w:w="1187" w:type="dxa"/>
          </w:tcPr>
          <w:p w:rsidR="00F56EC0" w:rsidRDefault="00F56EC0" w:rsidP="00F56EC0">
            <w:pPr>
              <w:jc w:val="right"/>
            </w:pPr>
            <w:r>
              <w:t>0.65%</w:t>
            </w:r>
          </w:p>
        </w:tc>
        <w:tc>
          <w:tcPr>
            <w:tcW w:w="1187" w:type="dxa"/>
          </w:tcPr>
          <w:p w:rsidR="00F56EC0" w:rsidRDefault="00F56EC0" w:rsidP="00F56EC0">
            <w:pPr>
              <w:jc w:val="right"/>
            </w:pPr>
            <w:r>
              <w:t>-0.76%</w:t>
            </w:r>
          </w:p>
        </w:tc>
        <w:tc>
          <w:tcPr>
            <w:tcW w:w="1187" w:type="dxa"/>
          </w:tcPr>
          <w:p w:rsidR="00F56EC0" w:rsidRDefault="00F56EC0" w:rsidP="00F56EC0">
            <w:pPr>
              <w:jc w:val="right"/>
            </w:pPr>
            <w:r>
              <w:t>-0.07%</w:t>
            </w:r>
          </w:p>
        </w:tc>
      </w:tr>
      <w:tr w:rsidR="00F56EC0" w:rsidTr="00F56EC0">
        <w:tc>
          <w:tcPr>
            <w:tcW w:w="1186" w:type="dxa"/>
          </w:tcPr>
          <w:p w:rsidR="00F56EC0" w:rsidRDefault="00F56EC0" w:rsidP="00F56EC0">
            <w:pPr>
              <w:jc w:val="left"/>
            </w:pPr>
            <w:r>
              <w:rPr>
                <w:rFonts w:hint="eastAsia"/>
              </w:rPr>
              <w:t>过去六个月</w:t>
            </w:r>
          </w:p>
        </w:tc>
        <w:tc>
          <w:tcPr>
            <w:tcW w:w="1186" w:type="dxa"/>
          </w:tcPr>
          <w:p w:rsidR="00F56EC0" w:rsidRDefault="00F56EC0" w:rsidP="00F56EC0">
            <w:pPr>
              <w:jc w:val="right"/>
            </w:pPr>
            <w:r>
              <w:t>6.08%</w:t>
            </w:r>
          </w:p>
        </w:tc>
        <w:tc>
          <w:tcPr>
            <w:tcW w:w="1186" w:type="dxa"/>
          </w:tcPr>
          <w:p w:rsidR="00F56EC0" w:rsidRDefault="00F56EC0" w:rsidP="00F56EC0">
            <w:pPr>
              <w:jc w:val="right"/>
            </w:pPr>
            <w:r>
              <w:t>0.46%</w:t>
            </w:r>
          </w:p>
        </w:tc>
        <w:tc>
          <w:tcPr>
            <w:tcW w:w="1187" w:type="dxa"/>
          </w:tcPr>
          <w:p w:rsidR="00F56EC0" w:rsidRDefault="00F56EC0" w:rsidP="00F56EC0">
            <w:pPr>
              <w:jc w:val="right"/>
            </w:pPr>
            <w:r>
              <w:t>10.03%</w:t>
            </w:r>
          </w:p>
        </w:tc>
        <w:tc>
          <w:tcPr>
            <w:tcW w:w="1187" w:type="dxa"/>
          </w:tcPr>
          <w:p w:rsidR="00F56EC0" w:rsidRDefault="00F56EC0" w:rsidP="00F56EC0">
            <w:pPr>
              <w:jc w:val="right"/>
            </w:pPr>
            <w:r>
              <w:t>0.54%</w:t>
            </w:r>
          </w:p>
        </w:tc>
        <w:tc>
          <w:tcPr>
            <w:tcW w:w="1187" w:type="dxa"/>
          </w:tcPr>
          <w:p w:rsidR="00F56EC0" w:rsidRDefault="00F56EC0" w:rsidP="00F56EC0">
            <w:pPr>
              <w:jc w:val="right"/>
            </w:pPr>
            <w:r>
              <w:t>-3.95%</w:t>
            </w:r>
          </w:p>
        </w:tc>
        <w:tc>
          <w:tcPr>
            <w:tcW w:w="1187" w:type="dxa"/>
          </w:tcPr>
          <w:p w:rsidR="00F56EC0" w:rsidRDefault="00F56EC0" w:rsidP="00F56EC0">
            <w:pPr>
              <w:jc w:val="right"/>
            </w:pPr>
            <w:r>
              <w:t>-0.08%</w:t>
            </w:r>
          </w:p>
        </w:tc>
      </w:tr>
      <w:tr w:rsidR="00F56EC0" w:rsidTr="00F56EC0">
        <w:tc>
          <w:tcPr>
            <w:tcW w:w="1186" w:type="dxa"/>
          </w:tcPr>
          <w:p w:rsidR="00F56EC0" w:rsidRDefault="00F56EC0" w:rsidP="00F56EC0">
            <w:pPr>
              <w:jc w:val="left"/>
            </w:pPr>
            <w:r>
              <w:rPr>
                <w:rFonts w:hint="eastAsia"/>
              </w:rPr>
              <w:t>过去一年</w:t>
            </w:r>
          </w:p>
        </w:tc>
        <w:tc>
          <w:tcPr>
            <w:tcW w:w="1186" w:type="dxa"/>
          </w:tcPr>
          <w:p w:rsidR="00F56EC0" w:rsidRDefault="00F56EC0" w:rsidP="00F56EC0">
            <w:pPr>
              <w:jc w:val="right"/>
            </w:pPr>
            <w:r>
              <w:t>13.11%</w:t>
            </w:r>
          </w:p>
        </w:tc>
        <w:tc>
          <w:tcPr>
            <w:tcW w:w="1186" w:type="dxa"/>
          </w:tcPr>
          <w:p w:rsidR="00F56EC0" w:rsidRDefault="00F56EC0" w:rsidP="00F56EC0">
            <w:pPr>
              <w:jc w:val="right"/>
            </w:pPr>
            <w:r>
              <w:t>0.65%</w:t>
            </w:r>
          </w:p>
        </w:tc>
        <w:tc>
          <w:tcPr>
            <w:tcW w:w="1187" w:type="dxa"/>
          </w:tcPr>
          <w:p w:rsidR="00F56EC0" w:rsidRDefault="00F56EC0" w:rsidP="00F56EC0">
            <w:pPr>
              <w:jc w:val="right"/>
            </w:pPr>
            <w:r>
              <w:t>21.47%</w:t>
            </w:r>
          </w:p>
        </w:tc>
        <w:tc>
          <w:tcPr>
            <w:tcW w:w="1187" w:type="dxa"/>
          </w:tcPr>
          <w:p w:rsidR="00F56EC0" w:rsidRDefault="00F56EC0" w:rsidP="00F56EC0">
            <w:pPr>
              <w:jc w:val="right"/>
            </w:pPr>
            <w:r>
              <w:t>0.86%</w:t>
            </w:r>
          </w:p>
        </w:tc>
        <w:tc>
          <w:tcPr>
            <w:tcW w:w="1187" w:type="dxa"/>
          </w:tcPr>
          <w:p w:rsidR="00F56EC0" w:rsidRDefault="00F56EC0" w:rsidP="00F56EC0">
            <w:pPr>
              <w:jc w:val="right"/>
            </w:pPr>
            <w:r>
              <w:t>-8.36%</w:t>
            </w:r>
          </w:p>
        </w:tc>
        <w:tc>
          <w:tcPr>
            <w:tcW w:w="1187" w:type="dxa"/>
          </w:tcPr>
          <w:p w:rsidR="00F56EC0" w:rsidRDefault="00F56EC0" w:rsidP="00F56EC0">
            <w:pPr>
              <w:jc w:val="right"/>
            </w:pPr>
            <w:r>
              <w:t>-0.21%</w:t>
            </w:r>
          </w:p>
        </w:tc>
      </w:tr>
      <w:tr w:rsidR="00F56EC0" w:rsidTr="00F56EC0">
        <w:tc>
          <w:tcPr>
            <w:tcW w:w="1186" w:type="dxa"/>
          </w:tcPr>
          <w:p w:rsidR="00F56EC0" w:rsidRDefault="00F56EC0" w:rsidP="00F56EC0">
            <w:pPr>
              <w:jc w:val="left"/>
            </w:pPr>
            <w:r>
              <w:rPr>
                <w:rFonts w:hint="eastAsia"/>
              </w:rPr>
              <w:t>过去三年</w:t>
            </w:r>
          </w:p>
        </w:tc>
        <w:tc>
          <w:tcPr>
            <w:tcW w:w="1186" w:type="dxa"/>
          </w:tcPr>
          <w:p w:rsidR="00F56EC0" w:rsidRDefault="00F56EC0" w:rsidP="00F56EC0">
            <w:pPr>
              <w:jc w:val="right"/>
            </w:pPr>
            <w:r>
              <w:t>11.99%</w:t>
            </w:r>
          </w:p>
        </w:tc>
        <w:tc>
          <w:tcPr>
            <w:tcW w:w="1186" w:type="dxa"/>
          </w:tcPr>
          <w:p w:rsidR="00F56EC0" w:rsidRDefault="00F56EC0" w:rsidP="00F56EC0">
            <w:pPr>
              <w:jc w:val="right"/>
            </w:pPr>
            <w:r>
              <w:t>0.83%</w:t>
            </w:r>
          </w:p>
        </w:tc>
        <w:tc>
          <w:tcPr>
            <w:tcW w:w="1187" w:type="dxa"/>
          </w:tcPr>
          <w:p w:rsidR="00F56EC0" w:rsidRDefault="00F56EC0" w:rsidP="00F56EC0">
            <w:pPr>
              <w:jc w:val="right"/>
            </w:pPr>
            <w:r>
              <w:t>54.10%</w:t>
            </w:r>
          </w:p>
        </w:tc>
        <w:tc>
          <w:tcPr>
            <w:tcW w:w="1187" w:type="dxa"/>
          </w:tcPr>
          <w:p w:rsidR="00F56EC0" w:rsidRDefault="00F56EC0" w:rsidP="00F56EC0">
            <w:pPr>
              <w:jc w:val="right"/>
            </w:pPr>
            <w:r>
              <w:t>0.71%</w:t>
            </w:r>
          </w:p>
        </w:tc>
        <w:tc>
          <w:tcPr>
            <w:tcW w:w="1187" w:type="dxa"/>
          </w:tcPr>
          <w:p w:rsidR="00F56EC0" w:rsidRDefault="00F56EC0" w:rsidP="00F56EC0">
            <w:pPr>
              <w:jc w:val="right"/>
            </w:pPr>
            <w:r>
              <w:t>-42.11%</w:t>
            </w:r>
          </w:p>
        </w:tc>
        <w:tc>
          <w:tcPr>
            <w:tcW w:w="1187" w:type="dxa"/>
          </w:tcPr>
          <w:p w:rsidR="00F56EC0" w:rsidRDefault="00F56EC0" w:rsidP="00F56EC0">
            <w:pPr>
              <w:jc w:val="right"/>
            </w:pPr>
            <w:r>
              <w:t>0.12%</w:t>
            </w:r>
          </w:p>
        </w:tc>
      </w:tr>
      <w:tr w:rsidR="00F56EC0" w:rsidTr="00F56EC0">
        <w:tc>
          <w:tcPr>
            <w:tcW w:w="1186" w:type="dxa"/>
          </w:tcPr>
          <w:p w:rsidR="00F56EC0" w:rsidRDefault="00F56EC0" w:rsidP="00F56EC0">
            <w:pPr>
              <w:jc w:val="left"/>
            </w:pPr>
            <w:r>
              <w:rPr>
                <w:rFonts w:hint="eastAsia"/>
              </w:rPr>
              <w:t>过去五年</w:t>
            </w:r>
          </w:p>
        </w:tc>
        <w:tc>
          <w:tcPr>
            <w:tcW w:w="1186" w:type="dxa"/>
          </w:tcPr>
          <w:p w:rsidR="00F56EC0" w:rsidRDefault="00F56EC0" w:rsidP="00F56EC0">
            <w:pPr>
              <w:jc w:val="right"/>
            </w:pPr>
            <w:r>
              <w:t>-10.80%</w:t>
            </w:r>
          </w:p>
        </w:tc>
        <w:tc>
          <w:tcPr>
            <w:tcW w:w="1186" w:type="dxa"/>
          </w:tcPr>
          <w:p w:rsidR="00F56EC0" w:rsidRDefault="00F56EC0" w:rsidP="00F56EC0">
            <w:pPr>
              <w:jc w:val="right"/>
            </w:pPr>
            <w:r>
              <w:t>0.97%</w:t>
            </w:r>
          </w:p>
        </w:tc>
        <w:tc>
          <w:tcPr>
            <w:tcW w:w="1187" w:type="dxa"/>
          </w:tcPr>
          <w:p w:rsidR="00F56EC0" w:rsidRDefault="00F56EC0" w:rsidP="00F56EC0">
            <w:pPr>
              <w:jc w:val="right"/>
            </w:pPr>
            <w:r>
              <w:t>81.65%</w:t>
            </w:r>
          </w:p>
        </w:tc>
        <w:tc>
          <w:tcPr>
            <w:tcW w:w="1187" w:type="dxa"/>
          </w:tcPr>
          <w:p w:rsidR="00F56EC0" w:rsidRDefault="00F56EC0" w:rsidP="00F56EC0">
            <w:pPr>
              <w:jc w:val="right"/>
            </w:pPr>
            <w:r>
              <w:t>0.64%</w:t>
            </w:r>
          </w:p>
        </w:tc>
        <w:tc>
          <w:tcPr>
            <w:tcW w:w="1187" w:type="dxa"/>
          </w:tcPr>
          <w:p w:rsidR="00F56EC0" w:rsidRDefault="00F56EC0" w:rsidP="00F56EC0">
            <w:pPr>
              <w:jc w:val="right"/>
            </w:pPr>
            <w:r>
              <w:t>-92.45%</w:t>
            </w:r>
          </w:p>
        </w:tc>
        <w:tc>
          <w:tcPr>
            <w:tcW w:w="1187" w:type="dxa"/>
          </w:tcPr>
          <w:p w:rsidR="00F56EC0" w:rsidRDefault="00F56EC0" w:rsidP="00F56EC0">
            <w:pPr>
              <w:jc w:val="right"/>
            </w:pPr>
            <w:r>
              <w:t>0.33%</w:t>
            </w:r>
          </w:p>
        </w:tc>
      </w:tr>
      <w:tr w:rsidR="00F56EC0" w:rsidTr="00F56EC0">
        <w:tc>
          <w:tcPr>
            <w:tcW w:w="1186" w:type="dxa"/>
          </w:tcPr>
          <w:p w:rsidR="00F56EC0" w:rsidRDefault="00F56EC0" w:rsidP="00F56EC0">
            <w:pPr>
              <w:jc w:val="left"/>
            </w:pPr>
            <w:r>
              <w:rPr>
                <w:rFonts w:hint="eastAsia"/>
              </w:rPr>
              <w:t>自基金合同生效起至今</w:t>
            </w:r>
          </w:p>
        </w:tc>
        <w:tc>
          <w:tcPr>
            <w:tcW w:w="1186" w:type="dxa"/>
          </w:tcPr>
          <w:p w:rsidR="00F56EC0" w:rsidRDefault="00F56EC0" w:rsidP="00F56EC0">
            <w:pPr>
              <w:jc w:val="right"/>
            </w:pPr>
            <w:r>
              <w:t>11.57%</w:t>
            </w:r>
          </w:p>
        </w:tc>
        <w:tc>
          <w:tcPr>
            <w:tcW w:w="1186" w:type="dxa"/>
          </w:tcPr>
          <w:p w:rsidR="00F56EC0" w:rsidRDefault="00F56EC0" w:rsidP="00F56EC0">
            <w:pPr>
              <w:jc w:val="right"/>
            </w:pPr>
            <w:r>
              <w:t>1.07%</w:t>
            </w:r>
          </w:p>
        </w:tc>
        <w:tc>
          <w:tcPr>
            <w:tcW w:w="1187" w:type="dxa"/>
          </w:tcPr>
          <w:p w:rsidR="00F56EC0" w:rsidRDefault="00F56EC0" w:rsidP="00F56EC0">
            <w:pPr>
              <w:jc w:val="right"/>
            </w:pPr>
            <w:r>
              <w:t>189.14%</w:t>
            </w:r>
          </w:p>
        </w:tc>
        <w:tc>
          <w:tcPr>
            <w:tcW w:w="1187" w:type="dxa"/>
          </w:tcPr>
          <w:p w:rsidR="00F56EC0" w:rsidRDefault="00F56EC0" w:rsidP="00F56EC0">
            <w:pPr>
              <w:jc w:val="right"/>
            </w:pPr>
            <w:r>
              <w:t>1.05%</w:t>
            </w:r>
          </w:p>
        </w:tc>
        <w:tc>
          <w:tcPr>
            <w:tcW w:w="1187" w:type="dxa"/>
          </w:tcPr>
          <w:p w:rsidR="00F56EC0" w:rsidRDefault="00F56EC0" w:rsidP="00F56EC0">
            <w:pPr>
              <w:jc w:val="right"/>
            </w:pPr>
            <w:r>
              <w:t>-177.57%</w:t>
            </w:r>
          </w:p>
        </w:tc>
        <w:tc>
          <w:tcPr>
            <w:tcW w:w="1187" w:type="dxa"/>
          </w:tcPr>
          <w:p w:rsidR="00F56EC0" w:rsidRDefault="00F56EC0" w:rsidP="00F56EC0">
            <w:pPr>
              <w:jc w:val="right"/>
            </w:pPr>
            <w:r>
              <w:t>0.02%</w:t>
            </w:r>
          </w:p>
        </w:tc>
      </w:tr>
    </w:tbl>
    <w:p w:rsidR="00F56EC0" w:rsidRDefault="00F56EC0" w:rsidP="00F56EC0">
      <w:pPr>
        <w:pStyle w:val="-"/>
        <w:ind w:firstLine="420"/>
      </w:pPr>
      <w:r>
        <w:rPr>
          <w:rFonts w:hint="eastAsia"/>
        </w:rPr>
        <w:t>南方全球精选配置股票（QDII-FOF）C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F56EC0" w:rsidTr="00F56EC0">
        <w:trPr>
          <w:cnfStyle w:val="100000000000" w:firstRow="1" w:lastRow="0" w:firstColumn="0" w:lastColumn="0" w:oddVBand="0" w:evenVBand="0" w:oddHBand="0" w:evenHBand="0" w:firstRowFirstColumn="0" w:firstRowLastColumn="0" w:lastRowFirstColumn="0" w:lastRowLastColumn="0"/>
        </w:trPr>
        <w:tc>
          <w:tcPr>
            <w:tcW w:w="1186" w:type="dxa"/>
          </w:tcPr>
          <w:p w:rsidR="00F56EC0" w:rsidRPr="00F56EC0" w:rsidRDefault="00F56EC0" w:rsidP="00F56EC0">
            <w:pPr>
              <w:jc w:val="center"/>
              <w:rPr>
                <w:b/>
              </w:rPr>
            </w:pPr>
            <w:r w:rsidRPr="00F56EC0">
              <w:rPr>
                <w:rFonts w:hint="eastAsia"/>
                <w:b/>
              </w:rPr>
              <w:t>阶段</w:t>
            </w:r>
          </w:p>
        </w:tc>
        <w:tc>
          <w:tcPr>
            <w:tcW w:w="1186" w:type="dxa"/>
          </w:tcPr>
          <w:p w:rsidR="00F56EC0" w:rsidRPr="00F56EC0" w:rsidRDefault="00F56EC0" w:rsidP="00F56EC0">
            <w:pPr>
              <w:jc w:val="center"/>
              <w:rPr>
                <w:b/>
              </w:rPr>
            </w:pPr>
            <w:r w:rsidRPr="00F56EC0">
              <w:rPr>
                <w:rFonts w:hint="eastAsia"/>
                <w:b/>
              </w:rPr>
              <w:t>净值增长率①</w:t>
            </w:r>
          </w:p>
        </w:tc>
        <w:tc>
          <w:tcPr>
            <w:tcW w:w="1186" w:type="dxa"/>
          </w:tcPr>
          <w:p w:rsidR="00F56EC0" w:rsidRPr="00F56EC0" w:rsidRDefault="00F56EC0" w:rsidP="00F56EC0">
            <w:pPr>
              <w:jc w:val="center"/>
              <w:rPr>
                <w:b/>
              </w:rPr>
            </w:pPr>
            <w:r w:rsidRPr="00F56EC0">
              <w:rPr>
                <w:rFonts w:hint="eastAsia"/>
                <w:b/>
              </w:rPr>
              <w:t>净值增长率标准差②</w:t>
            </w:r>
          </w:p>
        </w:tc>
        <w:tc>
          <w:tcPr>
            <w:tcW w:w="1187" w:type="dxa"/>
          </w:tcPr>
          <w:p w:rsidR="00F56EC0" w:rsidRPr="00F56EC0" w:rsidRDefault="00F56EC0" w:rsidP="00F56EC0">
            <w:pPr>
              <w:jc w:val="center"/>
              <w:rPr>
                <w:b/>
              </w:rPr>
            </w:pPr>
            <w:r w:rsidRPr="00F56EC0">
              <w:rPr>
                <w:rFonts w:hint="eastAsia"/>
                <w:b/>
              </w:rPr>
              <w:t>业绩比较基准收益率③</w:t>
            </w:r>
          </w:p>
        </w:tc>
        <w:tc>
          <w:tcPr>
            <w:tcW w:w="1187" w:type="dxa"/>
          </w:tcPr>
          <w:p w:rsidR="00F56EC0" w:rsidRPr="00F56EC0" w:rsidRDefault="00F56EC0" w:rsidP="00F56EC0">
            <w:pPr>
              <w:jc w:val="center"/>
              <w:rPr>
                <w:b/>
              </w:rPr>
            </w:pPr>
            <w:r w:rsidRPr="00F56EC0">
              <w:rPr>
                <w:rFonts w:hint="eastAsia"/>
                <w:b/>
              </w:rPr>
              <w:t>业绩比较基准收益率标准差④</w:t>
            </w:r>
          </w:p>
        </w:tc>
        <w:tc>
          <w:tcPr>
            <w:tcW w:w="1187" w:type="dxa"/>
          </w:tcPr>
          <w:p w:rsidR="00F56EC0" w:rsidRPr="00F56EC0" w:rsidRDefault="00F56EC0" w:rsidP="00F56EC0">
            <w:pPr>
              <w:jc w:val="center"/>
              <w:rPr>
                <w:b/>
              </w:rPr>
            </w:pPr>
            <w:r w:rsidRPr="00F56EC0">
              <w:rPr>
                <w:rFonts w:hint="eastAsia"/>
                <w:b/>
              </w:rPr>
              <w:t>①</w:t>
            </w:r>
            <w:r w:rsidRPr="00F56EC0">
              <w:rPr>
                <w:rFonts w:hint="eastAsia"/>
                <w:b/>
              </w:rPr>
              <w:t>-</w:t>
            </w:r>
            <w:r w:rsidRPr="00F56EC0">
              <w:rPr>
                <w:rFonts w:hint="eastAsia"/>
                <w:b/>
              </w:rPr>
              <w:t>③</w:t>
            </w:r>
          </w:p>
        </w:tc>
        <w:tc>
          <w:tcPr>
            <w:tcW w:w="1187" w:type="dxa"/>
          </w:tcPr>
          <w:p w:rsidR="00F56EC0" w:rsidRPr="00F56EC0" w:rsidRDefault="00F56EC0" w:rsidP="00F56EC0">
            <w:pPr>
              <w:jc w:val="center"/>
              <w:rPr>
                <w:b/>
              </w:rPr>
            </w:pPr>
            <w:r w:rsidRPr="00F56EC0">
              <w:rPr>
                <w:rFonts w:hint="eastAsia"/>
                <w:b/>
              </w:rPr>
              <w:t>②</w:t>
            </w:r>
            <w:r w:rsidRPr="00F56EC0">
              <w:rPr>
                <w:rFonts w:hint="eastAsia"/>
                <w:b/>
              </w:rPr>
              <w:t>-</w:t>
            </w:r>
            <w:r w:rsidRPr="00F56EC0">
              <w:rPr>
                <w:rFonts w:hint="eastAsia"/>
                <w:b/>
              </w:rPr>
              <w:t>④</w:t>
            </w:r>
          </w:p>
        </w:tc>
      </w:tr>
      <w:tr w:rsidR="00F56EC0" w:rsidTr="00F56EC0">
        <w:tc>
          <w:tcPr>
            <w:tcW w:w="1186" w:type="dxa"/>
          </w:tcPr>
          <w:p w:rsidR="00F56EC0" w:rsidRDefault="00F56EC0" w:rsidP="00F56EC0">
            <w:pPr>
              <w:jc w:val="left"/>
            </w:pPr>
            <w:r>
              <w:rPr>
                <w:rFonts w:hint="eastAsia"/>
              </w:rPr>
              <w:t>过去三个月</w:t>
            </w:r>
          </w:p>
        </w:tc>
        <w:tc>
          <w:tcPr>
            <w:tcW w:w="1186" w:type="dxa"/>
          </w:tcPr>
          <w:p w:rsidR="00F56EC0" w:rsidRDefault="00F56EC0" w:rsidP="00F56EC0">
            <w:pPr>
              <w:jc w:val="right"/>
            </w:pPr>
            <w:r>
              <w:t>1.50%</w:t>
            </w:r>
          </w:p>
        </w:tc>
        <w:tc>
          <w:tcPr>
            <w:tcW w:w="1186" w:type="dxa"/>
          </w:tcPr>
          <w:p w:rsidR="00F56EC0" w:rsidRDefault="00F56EC0" w:rsidP="00F56EC0">
            <w:pPr>
              <w:jc w:val="right"/>
            </w:pPr>
            <w:r>
              <w:t>0.57%</w:t>
            </w:r>
          </w:p>
        </w:tc>
        <w:tc>
          <w:tcPr>
            <w:tcW w:w="1187" w:type="dxa"/>
          </w:tcPr>
          <w:p w:rsidR="00F56EC0" w:rsidRDefault="00F56EC0" w:rsidP="00F56EC0">
            <w:pPr>
              <w:jc w:val="right"/>
            </w:pPr>
            <w:r>
              <w:t>2.41%</w:t>
            </w:r>
          </w:p>
        </w:tc>
        <w:tc>
          <w:tcPr>
            <w:tcW w:w="1187" w:type="dxa"/>
          </w:tcPr>
          <w:p w:rsidR="00F56EC0" w:rsidRDefault="00F56EC0" w:rsidP="00F56EC0">
            <w:pPr>
              <w:jc w:val="right"/>
            </w:pPr>
            <w:r>
              <w:t>0.65%</w:t>
            </w:r>
          </w:p>
        </w:tc>
        <w:tc>
          <w:tcPr>
            <w:tcW w:w="1187" w:type="dxa"/>
          </w:tcPr>
          <w:p w:rsidR="00F56EC0" w:rsidRDefault="00F56EC0" w:rsidP="00F56EC0">
            <w:pPr>
              <w:jc w:val="right"/>
            </w:pPr>
            <w:r>
              <w:t>-0.91%</w:t>
            </w:r>
          </w:p>
        </w:tc>
        <w:tc>
          <w:tcPr>
            <w:tcW w:w="1187" w:type="dxa"/>
          </w:tcPr>
          <w:p w:rsidR="00F56EC0" w:rsidRDefault="00F56EC0" w:rsidP="00F56EC0">
            <w:pPr>
              <w:jc w:val="right"/>
            </w:pPr>
            <w:r>
              <w:t>-0.08%</w:t>
            </w:r>
          </w:p>
        </w:tc>
      </w:tr>
      <w:tr w:rsidR="00F56EC0" w:rsidTr="00F56EC0">
        <w:tc>
          <w:tcPr>
            <w:tcW w:w="1186" w:type="dxa"/>
          </w:tcPr>
          <w:p w:rsidR="00F56EC0" w:rsidRDefault="00F56EC0" w:rsidP="00F56EC0">
            <w:pPr>
              <w:jc w:val="left"/>
            </w:pPr>
            <w:r>
              <w:rPr>
                <w:rFonts w:hint="eastAsia"/>
              </w:rPr>
              <w:t>过去六个月</w:t>
            </w:r>
          </w:p>
        </w:tc>
        <w:tc>
          <w:tcPr>
            <w:tcW w:w="1186" w:type="dxa"/>
          </w:tcPr>
          <w:p w:rsidR="00F56EC0" w:rsidRDefault="00F56EC0" w:rsidP="00F56EC0">
            <w:pPr>
              <w:jc w:val="right"/>
            </w:pPr>
            <w:r>
              <w:t>5.80%</w:t>
            </w:r>
          </w:p>
        </w:tc>
        <w:tc>
          <w:tcPr>
            <w:tcW w:w="1186" w:type="dxa"/>
          </w:tcPr>
          <w:p w:rsidR="00F56EC0" w:rsidRDefault="00F56EC0" w:rsidP="00F56EC0">
            <w:pPr>
              <w:jc w:val="right"/>
            </w:pPr>
            <w:r>
              <w:t>0.46%</w:t>
            </w:r>
          </w:p>
        </w:tc>
        <w:tc>
          <w:tcPr>
            <w:tcW w:w="1187" w:type="dxa"/>
          </w:tcPr>
          <w:p w:rsidR="00F56EC0" w:rsidRDefault="00F56EC0" w:rsidP="00F56EC0">
            <w:pPr>
              <w:jc w:val="right"/>
            </w:pPr>
            <w:r>
              <w:t>10.03%</w:t>
            </w:r>
          </w:p>
        </w:tc>
        <w:tc>
          <w:tcPr>
            <w:tcW w:w="1187" w:type="dxa"/>
          </w:tcPr>
          <w:p w:rsidR="00F56EC0" w:rsidRDefault="00F56EC0" w:rsidP="00F56EC0">
            <w:pPr>
              <w:jc w:val="right"/>
            </w:pPr>
            <w:r>
              <w:t>0.54%</w:t>
            </w:r>
          </w:p>
        </w:tc>
        <w:tc>
          <w:tcPr>
            <w:tcW w:w="1187" w:type="dxa"/>
          </w:tcPr>
          <w:p w:rsidR="00F56EC0" w:rsidRDefault="00F56EC0" w:rsidP="00F56EC0">
            <w:pPr>
              <w:jc w:val="right"/>
            </w:pPr>
            <w:r>
              <w:t>-4.23%</w:t>
            </w:r>
          </w:p>
        </w:tc>
        <w:tc>
          <w:tcPr>
            <w:tcW w:w="1187" w:type="dxa"/>
          </w:tcPr>
          <w:p w:rsidR="00F56EC0" w:rsidRDefault="00F56EC0" w:rsidP="00F56EC0">
            <w:pPr>
              <w:jc w:val="right"/>
            </w:pPr>
            <w:r>
              <w:t>-0.08%</w:t>
            </w:r>
          </w:p>
        </w:tc>
      </w:tr>
      <w:tr w:rsidR="00F56EC0" w:rsidTr="00F56EC0">
        <w:tc>
          <w:tcPr>
            <w:tcW w:w="1186" w:type="dxa"/>
          </w:tcPr>
          <w:p w:rsidR="00F56EC0" w:rsidRDefault="00F56EC0" w:rsidP="00F56EC0">
            <w:pPr>
              <w:jc w:val="left"/>
            </w:pPr>
            <w:r>
              <w:rPr>
                <w:rFonts w:hint="eastAsia"/>
              </w:rPr>
              <w:t>自基金合同生效起至今</w:t>
            </w:r>
          </w:p>
        </w:tc>
        <w:tc>
          <w:tcPr>
            <w:tcW w:w="1186" w:type="dxa"/>
          </w:tcPr>
          <w:p w:rsidR="00F56EC0" w:rsidRDefault="00F56EC0" w:rsidP="00F56EC0">
            <w:pPr>
              <w:jc w:val="right"/>
            </w:pPr>
            <w:r>
              <w:t>11.39%</w:t>
            </w:r>
          </w:p>
        </w:tc>
        <w:tc>
          <w:tcPr>
            <w:tcW w:w="1186" w:type="dxa"/>
          </w:tcPr>
          <w:p w:rsidR="00F56EC0" w:rsidRDefault="00F56EC0" w:rsidP="00F56EC0">
            <w:pPr>
              <w:jc w:val="right"/>
            </w:pPr>
            <w:r>
              <w:t>0.67%</w:t>
            </w:r>
          </w:p>
        </w:tc>
        <w:tc>
          <w:tcPr>
            <w:tcW w:w="1187" w:type="dxa"/>
          </w:tcPr>
          <w:p w:rsidR="00F56EC0" w:rsidRDefault="00F56EC0" w:rsidP="00F56EC0">
            <w:pPr>
              <w:jc w:val="right"/>
            </w:pPr>
            <w:r>
              <w:t>19.46%</w:t>
            </w:r>
          </w:p>
        </w:tc>
        <w:tc>
          <w:tcPr>
            <w:tcW w:w="1187" w:type="dxa"/>
          </w:tcPr>
          <w:p w:rsidR="00F56EC0" w:rsidRDefault="00F56EC0" w:rsidP="00F56EC0">
            <w:pPr>
              <w:jc w:val="right"/>
            </w:pPr>
            <w:r>
              <w:t>0.90%</w:t>
            </w:r>
          </w:p>
        </w:tc>
        <w:tc>
          <w:tcPr>
            <w:tcW w:w="1187" w:type="dxa"/>
          </w:tcPr>
          <w:p w:rsidR="00F56EC0" w:rsidRDefault="00F56EC0" w:rsidP="00F56EC0">
            <w:pPr>
              <w:jc w:val="right"/>
            </w:pPr>
            <w:r>
              <w:t>-8.07%</w:t>
            </w:r>
          </w:p>
        </w:tc>
        <w:tc>
          <w:tcPr>
            <w:tcW w:w="1187" w:type="dxa"/>
          </w:tcPr>
          <w:p w:rsidR="00F56EC0" w:rsidRDefault="00F56EC0" w:rsidP="00F56EC0">
            <w:pPr>
              <w:jc w:val="right"/>
            </w:pPr>
            <w:r>
              <w:t>-0.23%</w:t>
            </w:r>
          </w:p>
        </w:tc>
      </w:tr>
    </w:tbl>
    <w:p w:rsidR="00F56EC0" w:rsidRDefault="00F56EC0" w:rsidP="00F56EC0">
      <w:pPr>
        <w:pStyle w:val="-3"/>
        <w:spacing w:before="156" w:after="156"/>
      </w:pPr>
      <w:r>
        <w:rPr>
          <w:rFonts w:hint="eastAsia"/>
        </w:rPr>
        <w:t>自基金合同生效以来基金累计净值增长率变动及其与同期业绩比较基准收益率变动的比较</w:t>
      </w:r>
    </w:p>
    <w:p w:rsidR="00F56EC0" w:rsidRDefault="00F56EC0" w:rsidP="00F56EC0">
      <w:r>
        <w:rPr>
          <w:noProof/>
        </w:rPr>
        <w:lastRenderedPageBreak/>
        <w:drawing>
          <wp:inline distT="0" distB="0" distL="0" distR="0">
            <wp:extent cx="5274310" cy="326644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F56EC0" w:rsidRDefault="00F56EC0" w:rsidP="00F56EC0">
      <w:r>
        <w:rPr>
          <w:noProof/>
        </w:rPr>
        <w:drawing>
          <wp:inline distT="0" distB="0" distL="0" distR="0">
            <wp:extent cx="5274310" cy="32664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F56EC0" w:rsidRDefault="00F56EC0" w:rsidP="00F56EC0">
      <w:pPr>
        <w:pStyle w:val="-8"/>
      </w:pPr>
      <w:r>
        <w:rPr>
          <w:rFonts w:hint="eastAsia"/>
        </w:rPr>
        <w:t>注：本基金从2025年3月3日起新增C类份额，C类份额自2025年3月4日起存续。</w:t>
      </w:r>
    </w:p>
    <w:p w:rsidR="00F56EC0" w:rsidRDefault="00F56EC0" w:rsidP="00F56EC0">
      <w:pPr>
        <w:pStyle w:val="-1"/>
        <w:ind w:left="281" w:hanging="281"/>
      </w:pPr>
      <w:r>
        <w:rPr>
          <w:rFonts w:hint="eastAsia"/>
        </w:rPr>
        <w:t>管理人报告</w:t>
      </w:r>
    </w:p>
    <w:p w:rsidR="00F56EC0" w:rsidRDefault="00F56EC0" w:rsidP="00F56EC0">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56EC0" w:rsidTr="000B6D8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56EC0" w:rsidRPr="00F56EC0" w:rsidRDefault="00F56EC0" w:rsidP="00F56EC0">
            <w:pPr>
              <w:jc w:val="center"/>
              <w:rPr>
                <w:b/>
              </w:rPr>
            </w:pPr>
            <w:r w:rsidRPr="00F56EC0">
              <w:rPr>
                <w:rFonts w:hint="eastAsia"/>
                <w:b/>
              </w:rPr>
              <w:t>姓名</w:t>
            </w:r>
          </w:p>
        </w:tc>
        <w:tc>
          <w:tcPr>
            <w:tcW w:w="851" w:type="dxa"/>
            <w:vMerge w:val="restart"/>
          </w:tcPr>
          <w:p w:rsidR="00F56EC0" w:rsidRPr="00F56EC0" w:rsidRDefault="00F56EC0" w:rsidP="00F56EC0">
            <w:pPr>
              <w:jc w:val="center"/>
              <w:rPr>
                <w:b/>
              </w:rPr>
            </w:pPr>
            <w:r w:rsidRPr="00F56EC0">
              <w:rPr>
                <w:rFonts w:hint="eastAsia"/>
                <w:b/>
              </w:rPr>
              <w:t>职务</w:t>
            </w:r>
          </w:p>
        </w:tc>
        <w:tc>
          <w:tcPr>
            <w:tcW w:w="2234" w:type="dxa"/>
            <w:gridSpan w:val="2"/>
            <w:tcBorders>
              <w:bottom w:val="single" w:sz="4" w:space="0" w:color="auto"/>
            </w:tcBorders>
          </w:tcPr>
          <w:p w:rsidR="00F56EC0" w:rsidRPr="00F56EC0" w:rsidRDefault="00F56EC0" w:rsidP="00F56EC0">
            <w:pPr>
              <w:jc w:val="center"/>
              <w:rPr>
                <w:b/>
              </w:rPr>
            </w:pPr>
            <w:r w:rsidRPr="00F56EC0">
              <w:rPr>
                <w:rFonts w:hint="eastAsia"/>
                <w:b/>
              </w:rPr>
              <w:t>任本基金的基金经理期限</w:t>
            </w:r>
          </w:p>
        </w:tc>
        <w:tc>
          <w:tcPr>
            <w:tcW w:w="703" w:type="dxa"/>
            <w:vMerge w:val="restart"/>
          </w:tcPr>
          <w:p w:rsidR="00F56EC0" w:rsidRPr="00F56EC0" w:rsidRDefault="00F56EC0" w:rsidP="00F56EC0">
            <w:pPr>
              <w:jc w:val="center"/>
              <w:rPr>
                <w:b/>
              </w:rPr>
            </w:pPr>
            <w:r w:rsidRPr="00F56EC0">
              <w:rPr>
                <w:rFonts w:hint="eastAsia"/>
                <w:b/>
              </w:rPr>
              <w:t>证券从业年限</w:t>
            </w:r>
          </w:p>
        </w:tc>
        <w:tc>
          <w:tcPr>
            <w:tcW w:w="3856" w:type="dxa"/>
            <w:vMerge w:val="restart"/>
          </w:tcPr>
          <w:p w:rsidR="00F56EC0" w:rsidRPr="00F56EC0" w:rsidRDefault="00F56EC0" w:rsidP="00F56EC0">
            <w:pPr>
              <w:jc w:val="center"/>
              <w:rPr>
                <w:b/>
              </w:rPr>
            </w:pPr>
            <w:r w:rsidRPr="00F56EC0">
              <w:rPr>
                <w:rFonts w:hint="eastAsia"/>
                <w:b/>
              </w:rPr>
              <w:t>说明</w:t>
            </w:r>
          </w:p>
        </w:tc>
      </w:tr>
      <w:tr w:rsidR="00F56EC0" w:rsidTr="00F56EC0">
        <w:tc>
          <w:tcPr>
            <w:tcW w:w="862" w:type="dxa"/>
            <w:vMerge/>
          </w:tcPr>
          <w:p w:rsidR="00F56EC0" w:rsidRDefault="00F56EC0" w:rsidP="00F56EC0">
            <w:pPr>
              <w:jc w:val="left"/>
            </w:pPr>
          </w:p>
        </w:tc>
        <w:tc>
          <w:tcPr>
            <w:tcW w:w="851" w:type="dxa"/>
            <w:vMerge/>
          </w:tcPr>
          <w:p w:rsidR="00F56EC0" w:rsidRDefault="00F56EC0" w:rsidP="00F56EC0">
            <w:pPr>
              <w:jc w:val="left"/>
            </w:pPr>
          </w:p>
        </w:tc>
        <w:tc>
          <w:tcPr>
            <w:tcW w:w="1117" w:type="dxa"/>
            <w:shd w:val="clear" w:color="auto" w:fill="BFBFBF"/>
          </w:tcPr>
          <w:p w:rsidR="00F56EC0" w:rsidRPr="00F56EC0" w:rsidRDefault="00F56EC0" w:rsidP="00F56EC0">
            <w:pPr>
              <w:jc w:val="center"/>
              <w:rPr>
                <w:b/>
              </w:rPr>
            </w:pPr>
            <w:r w:rsidRPr="00F56EC0">
              <w:rPr>
                <w:rFonts w:hint="eastAsia"/>
                <w:b/>
              </w:rPr>
              <w:t>任职日期</w:t>
            </w:r>
          </w:p>
        </w:tc>
        <w:tc>
          <w:tcPr>
            <w:tcW w:w="1117" w:type="dxa"/>
            <w:shd w:val="clear" w:color="auto" w:fill="BFBFBF"/>
          </w:tcPr>
          <w:p w:rsidR="00F56EC0" w:rsidRPr="00F56EC0" w:rsidRDefault="00F56EC0" w:rsidP="00F56EC0">
            <w:pPr>
              <w:jc w:val="center"/>
              <w:rPr>
                <w:b/>
              </w:rPr>
            </w:pPr>
            <w:r w:rsidRPr="00F56EC0">
              <w:rPr>
                <w:rFonts w:hint="eastAsia"/>
                <w:b/>
              </w:rPr>
              <w:t>离任日期</w:t>
            </w:r>
          </w:p>
        </w:tc>
        <w:tc>
          <w:tcPr>
            <w:tcW w:w="703" w:type="dxa"/>
            <w:vMerge/>
          </w:tcPr>
          <w:p w:rsidR="00F56EC0" w:rsidRDefault="00F56EC0" w:rsidP="00F56EC0">
            <w:pPr>
              <w:jc w:val="left"/>
            </w:pPr>
          </w:p>
        </w:tc>
        <w:tc>
          <w:tcPr>
            <w:tcW w:w="3856" w:type="dxa"/>
            <w:vMerge/>
          </w:tcPr>
          <w:p w:rsidR="00F56EC0" w:rsidRDefault="00F56EC0" w:rsidP="00F56EC0">
            <w:pPr>
              <w:jc w:val="left"/>
            </w:pPr>
          </w:p>
        </w:tc>
      </w:tr>
      <w:tr w:rsidR="00F56EC0" w:rsidTr="00F56EC0">
        <w:tc>
          <w:tcPr>
            <w:tcW w:w="862" w:type="dxa"/>
          </w:tcPr>
          <w:p w:rsidR="00F56EC0" w:rsidRDefault="00F56EC0" w:rsidP="00F56EC0">
            <w:pPr>
              <w:jc w:val="left"/>
            </w:pPr>
            <w:r>
              <w:rPr>
                <w:rFonts w:hint="eastAsia"/>
              </w:rPr>
              <w:lastRenderedPageBreak/>
              <w:t>恽雷</w:t>
            </w:r>
          </w:p>
        </w:tc>
        <w:tc>
          <w:tcPr>
            <w:tcW w:w="851" w:type="dxa"/>
          </w:tcPr>
          <w:p w:rsidR="00F56EC0" w:rsidRDefault="00F56EC0" w:rsidP="00F56EC0">
            <w:pPr>
              <w:jc w:val="left"/>
            </w:pPr>
            <w:r>
              <w:rPr>
                <w:rFonts w:hint="eastAsia"/>
              </w:rPr>
              <w:t>本基金基金经理</w:t>
            </w:r>
          </w:p>
        </w:tc>
        <w:tc>
          <w:tcPr>
            <w:tcW w:w="1117" w:type="dxa"/>
          </w:tcPr>
          <w:p w:rsidR="00F56EC0" w:rsidRDefault="00F56EC0" w:rsidP="00F56EC0">
            <w:pPr>
              <w:jc w:val="left"/>
            </w:pPr>
            <w:r>
              <w:rPr>
                <w:rFonts w:hint="eastAsia"/>
              </w:rPr>
              <w:t>2024</w:t>
            </w:r>
            <w:r>
              <w:rPr>
                <w:rFonts w:hint="eastAsia"/>
              </w:rPr>
              <w:t>年</w:t>
            </w:r>
            <w:r>
              <w:rPr>
                <w:rFonts w:hint="eastAsia"/>
              </w:rPr>
              <w:t>11</w:t>
            </w:r>
            <w:r>
              <w:rPr>
                <w:rFonts w:hint="eastAsia"/>
              </w:rPr>
              <w:t>月</w:t>
            </w:r>
            <w:r>
              <w:rPr>
                <w:rFonts w:hint="eastAsia"/>
              </w:rPr>
              <w:t>29</w:t>
            </w:r>
            <w:r>
              <w:rPr>
                <w:rFonts w:hint="eastAsia"/>
              </w:rPr>
              <w:t>日</w:t>
            </w:r>
          </w:p>
        </w:tc>
        <w:tc>
          <w:tcPr>
            <w:tcW w:w="1117" w:type="dxa"/>
          </w:tcPr>
          <w:p w:rsidR="00F56EC0" w:rsidRDefault="00F56EC0" w:rsidP="00F56EC0">
            <w:pPr>
              <w:jc w:val="right"/>
            </w:pPr>
            <w:r>
              <w:t>-</w:t>
            </w:r>
          </w:p>
        </w:tc>
        <w:tc>
          <w:tcPr>
            <w:tcW w:w="703" w:type="dxa"/>
          </w:tcPr>
          <w:p w:rsidR="00F56EC0" w:rsidRDefault="00F56EC0" w:rsidP="00F56EC0">
            <w:pPr>
              <w:jc w:val="left"/>
            </w:pPr>
            <w:r>
              <w:rPr>
                <w:rFonts w:hint="eastAsia"/>
              </w:rPr>
              <w:t>10</w:t>
            </w:r>
            <w:r>
              <w:rPr>
                <w:rFonts w:hint="eastAsia"/>
              </w:rPr>
              <w:t>年</w:t>
            </w:r>
          </w:p>
        </w:tc>
        <w:tc>
          <w:tcPr>
            <w:tcW w:w="3856" w:type="dxa"/>
          </w:tcPr>
          <w:p w:rsidR="00F56EC0" w:rsidRDefault="00F56EC0" w:rsidP="00F56EC0">
            <w:r>
              <w:rPr>
                <w:rFonts w:hint="eastAsia"/>
              </w:rPr>
              <w:t>香港中文大学化学博士，具有基金从业资格。</w:t>
            </w:r>
            <w:r>
              <w:rPr>
                <w:rFonts w:hint="eastAsia"/>
              </w:rPr>
              <w:t>2015</w:t>
            </w:r>
            <w:r>
              <w:rPr>
                <w:rFonts w:hint="eastAsia"/>
              </w:rPr>
              <w:t>年</w:t>
            </w:r>
            <w:r>
              <w:rPr>
                <w:rFonts w:hint="eastAsia"/>
              </w:rPr>
              <w:t>5</w:t>
            </w:r>
            <w:r>
              <w:rPr>
                <w:rFonts w:hint="eastAsia"/>
              </w:rPr>
              <w:t>月加入南方基金，历任国际业务部助理研究员、研究员，现任国际业务部部门负责人；</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2018</w:t>
            </w:r>
            <w:r>
              <w:rPr>
                <w:rFonts w:hint="eastAsia"/>
              </w:rPr>
              <w:t>年</w:t>
            </w:r>
            <w:r>
              <w:rPr>
                <w:rFonts w:hint="eastAsia"/>
              </w:rPr>
              <w:t>8</w:t>
            </w:r>
            <w:r>
              <w:rPr>
                <w:rFonts w:hint="eastAsia"/>
              </w:rPr>
              <w:t>月</w:t>
            </w:r>
            <w:r>
              <w:rPr>
                <w:rFonts w:hint="eastAsia"/>
              </w:rPr>
              <w:t>7</w:t>
            </w:r>
            <w:r>
              <w:rPr>
                <w:rFonts w:hint="eastAsia"/>
              </w:rPr>
              <w:t>日，任投资经理助理；</w:t>
            </w:r>
            <w:r>
              <w:rPr>
                <w:rFonts w:hint="eastAsia"/>
              </w:rPr>
              <w:t>2018</w:t>
            </w:r>
            <w:r>
              <w:rPr>
                <w:rFonts w:hint="eastAsia"/>
              </w:rPr>
              <w:t>年</w:t>
            </w:r>
            <w:r>
              <w:rPr>
                <w:rFonts w:hint="eastAsia"/>
              </w:rPr>
              <w:t>8</w:t>
            </w:r>
            <w:r>
              <w:rPr>
                <w:rFonts w:hint="eastAsia"/>
              </w:rPr>
              <w:t>月</w:t>
            </w:r>
            <w:r>
              <w:rPr>
                <w:rFonts w:hint="eastAsia"/>
              </w:rPr>
              <w:t>7</w:t>
            </w:r>
            <w:r>
              <w:rPr>
                <w:rFonts w:hint="eastAsia"/>
              </w:rPr>
              <w:t>日至</w:t>
            </w:r>
            <w:r>
              <w:rPr>
                <w:rFonts w:hint="eastAsia"/>
              </w:rPr>
              <w:t>2021</w:t>
            </w:r>
            <w:r>
              <w:rPr>
                <w:rFonts w:hint="eastAsia"/>
              </w:rPr>
              <w:t>年</w:t>
            </w:r>
            <w:r>
              <w:rPr>
                <w:rFonts w:hint="eastAsia"/>
              </w:rPr>
              <w:t>11</w:t>
            </w:r>
            <w:r>
              <w:rPr>
                <w:rFonts w:hint="eastAsia"/>
              </w:rPr>
              <w:t>月</w:t>
            </w:r>
            <w:r>
              <w:rPr>
                <w:rFonts w:hint="eastAsia"/>
              </w:rPr>
              <w:t>19</w:t>
            </w:r>
            <w:r>
              <w:rPr>
                <w:rFonts w:hint="eastAsia"/>
              </w:rPr>
              <w:t>日，任投资经理；</w:t>
            </w:r>
            <w:r>
              <w:rPr>
                <w:rFonts w:hint="eastAsia"/>
              </w:rPr>
              <w:t>2021</w:t>
            </w:r>
            <w:r>
              <w:rPr>
                <w:rFonts w:hint="eastAsia"/>
              </w:rPr>
              <w:t>年</w:t>
            </w:r>
            <w:r>
              <w:rPr>
                <w:rFonts w:hint="eastAsia"/>
              </w:rPr>
              <w:t>11</w:t>
            </w:r>
            <w:r>
              <w:rPr>
                <w:rFonts w:hint="eastAsia"/>
              </w:rPr>
              <w:t>月</w:t>
            </w:r>
            <w:r>
              <w:rPr>
                <w:rFonts w:hint="eastAsia"/>
              </w:rPr>
              <w:t>19</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日，任南方瑞合基金经理；</w:t>
            </w:r>
            <w:r>
              <w:rPr>
                <w:rFonts w:hint="eastAsia"/>
              </w:rPr>
              <w:t>2023</w:t>
            </w:r>
            <w:r>
              <w:rPr>
                <w:rFonts w:hint="eastAsia"/>
              </w:rPr>
              <w:t>年</w:t>
            </w:r>
            <w:r>
              <w:rPr>
                <w:rFonts w:hint="eastAsia"/>
              </w:rPr>
              <w:t>4</w:t>
            </w:r>
            <w:r>
              <w:rPr>
                <w:rFonts w:hint="eastAsia"/>
              </w:rPr>
              <w:t>月</w:t>
            </w:r>
            <w:r>
              <w:rPr>
                <w:rFonts w:hint="eastAsia"/>
              </w:rPr>
              <w:t>14</w:t>
            </w:r>
            <w:r>
              <w:rPr>
                <w:rFonts w:hint="eastAsia"/>
              </w:rPr>
              <w:t>日至今，任南方产业智选股票基金经理；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日至今，兼任投资经理；</w:t>
            </w:r>
            <w:r>
              <w:rPr>
                <w:rFonts w:hint="eastAsia"/>
              </w:rPr>
              <w:t>2024</w:t>
            </w:r>
            <w:r>
              <w:rPr>
                <w:rFonts w:hint="eastAsia"/>
              </w:rPr>
              <w:t>年</w:t>
            </w:r>
            <w:r>
              <w:rPr>
                <w:rFonts w:hint="eastAsia"/>
              </w:rPr>
              <w:t>11</w:t>
            </w:r>
            <w:r>
              <w:rPr>
                <w:rFonts w:hint="eastAsia"/>
              </w:rPr>
              <w:t>月</w:t>
            </w:r>
            <w:r>
              <w:rPr>
                <w:rFonts w:hint="eastAsia"/>
              </w:rPr>
              <w:t>29</w:t>
            </w:r>
            <w:r>
              <w:rPr>
                <w:rFonts w:hint="eastAsia"/>
              </w:rPr>
              <w:t>日至今，任南方全球精选配置股票（</w:t>
            </w:r>
            <w:r>
              <w:rPr>
                <w:rFonts w:hint="eastAsia"/>
              </w:rPr>
              <w:t>QDII-FOF</w:t>
            </w:r>
            <w:r>
              <w:rPr>
                <w:rFonts w:hint="eastAsia"/>
              </w:rPr>
              <w:t>）、南方沪港深核心优势混合基金经理；</w:t>
            </w:r>
            <w:r>
              <w:rPr>
                <w:rFonts w:hint="eastAsia"/>
              </w:rPr>
              <w:t>2025</w:t>
            </w:r>
            <w:r>
              <w:rPr>
                <w:rFonts w:hint="eastAsia"/>
              </w:rPr>
              <w:t>年</w:t>
            </w:r>
            <w:r>
              <w:rPr>
                <w:rFonts w:hint="eastAsia"/>
              </w:rPr>
              <w:t>11</w:t>
            </w:r>
            <w:r>
              <w:rPr>
                <w:rFonts w:hint="eastAsia"/>
              </w:rPr>
              <w:t>月</w:t>
            </w:r>
            <w:r>
              <w:rPr>
                <w:rFonts w:hint="eastAsia"/>
              </w:rPr>
              <w:t>5</w:t>
            </w:r>
            <w:r>
              <w:rPr>
                <w:rFonts w:hint="eastAsia"/>
              </w:rPr>
              <w:t>日至今，任南方多元价值一年持有混合基金经理。</w:t>
            </w:r>
          </w:p>
        </w:tc>
      </w:tr>
    </w:tbl>
    <w:p w:rsidR="00F56EC0" w:rsidRDefault="00F56EC0" w:rsidP="00F56EC0">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F56EC0" w:rsidRDefault="00F56EC0" w:rsidP="00F56EC0">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F56EC0" w:rsidRDefault="00F56EC0" w:rsidP="00F56EC0">
      <w:pPr>
        <w:pStyle w:val="-3"/>
        <w:spacing w:before="156" w:after="156"/>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F56EC0" w:rsidTr="00F56EC0">
        <w:tc>
          <w:tcPr>
            <w:tcW w:w="1661" w:type="dxa"/>
          </w:tcPr>
          <w:p w:rsidR="00F56EC0" w:rsidRDefault="00F56EC0" w:rsidP="00F56EC0">
            <w:pPr>
              <w:jc w:val="left"/>
            </w:pPr>
            <w:r>
              <w:rPr>
                <w:rFonts w:hint="eastAsia"/>
              </w:rPr>
              <w:t>姓名</w:t>
            </w:r>
          </w:p>
        </w:tc>
        <w:tc>
          <w:tcPr>
            <w:tcW w:w="1661" w:type="dxa"/>
          </w:tcPr>
          <w:p w:rsidR="00F56EC0" w:rsidRDefault="00F56EC0" w:rsidP="00F56EC0">
            <w:pPr>
              <w:jc w:val="left"/>
            </w:pPr>
            <w:r>
              <w:rPr>
                <w:rFonts w:hint="eastAsia"/>
              </w:rPr>
              <w:t>产品类型</w:t>
            </w:r>
          </w:p>
        </w:tc>
        <w:tc>
          <w:tcPr>
            <w:tcW w:w="1661" w:type="dxa"/>
          </w:tcPr>
          <w:p w:rsidR="00F56EC0" w:rsidRDefault="00F56EC0" w:rsidP="00F56EC0">
            <w:pPr>
              <w:jc w:val="left"/>
            </w:pPr>
            <w:r>
              <w:rPr>
                <w:rFonts w:hint="eastAsia"/>
              </w:rPr>
              <w:t>产品数量（只）</w:t>
            </w:r>
          </w:p>
        </w:tc>
        <w:tc>
          <w:tcPr>
            <w:tcW w:w="1661" w:type="dxa"/>
          </w:tcPr>
          <w:p w:rsidR="00F56EC0" w:rsidRDefault="00F56EC0" w:rsidP="00F56EC0">
            <w:pPr>
              <w:jc w:val="left"/>
            </w:pPr>
            <w:r>
              <w:rPr>
                <w:rFonts w:hint="eastAsia"/>
              </w:rPr>
              <w:t>资产净值</w:t>
            </w:r>
            <w:r>
              <w:rPr>
                <w:rFonts w:hint="eastAsia"/>
              </w:rPr>
              <w:t>(</w:t>
            </w:r>
            <w:r>
              <w:rPr>
                <w:rFonts w:hint="eastAsia"/>
              </w:rPr>
              <w:t>元</w:t>
            </w:r>
            <w:r>
              <w:rPr>
                <w:rFonts w:hint="eastAsia"/>
              </w:rPr>
              <w:t>)</w:t>
            </w:r>
          </w:p>
        </w:tc>
        <w:tc>
          <w:tcPr>
            <w:tcW w:w="1662" w:type="dxa"/>
          </w:tcPr>
          <w:p w:rsidR="00F56EC0" w:rsidRDefault="00F56EC0" w:rsidP="00F56EC0">
            <w:pPr>
              <w:jc w:val="left"/>
            </w:pPr>
            <w:r>
              <w:rPr>
                <w:rFonts w:hint="eastAsia"/>
              </w:rPr>
              <w:t>任职时间</w:t>
            </w:r>
          </w:p>
        </w:tc>
      </w:tr>
      <w:tr w:rsidR="00F56EC0" w:rsidTr="00F56EC0">
        <w:tc>
          <w:tcPr>
            <w:tcW w:w="1661" w:type="dxa"/>
            <w:vMerge w:val="restart"/>
          </w:tcPr>
          <w:p w:rsidR="00F56EC0" w:rsidRDefault="00F56EC0" w:rsidP="00F56EC0">
            <w:pPr>
              <w:jc w:val="left"/>
            </w:pPr>
            <w:r>
              <w:rPr>
                <w:rFonts w:hint="eastAsia"/>
              </w:rPr>
              <w:t>恽雷</w:t>
            </w:r>
          </w:p>
        </w:tc>
        <w:tc>
          <w:tcPr>
            <w:tcW w:w="1661" w:type="dxa"/>
          </w:tcPr>
          <w:p w:rsidR="00F56EC0" w:rsidRDefault="00F56EC0" w:rsidP="00F56EC0">
            <w:pPr>
              <w:jc w:val="left"/>
            </w:pPr>
            <w:r>
              <w:rPr>
                <w:rFonts w:hint="eastAsia"/>
              </w:rPr>
              <w:t>公募基金</w:t>
            </w:r>
          </w:p>
        </w:tc>
        <w:tc>
          <w:tcPr>
            <w:tcW w:w="1661" w:type="dxa"/>
          </w:tcPr>
          <w:p w:rsidR="00F56EC0" w:rsidRDefault="00F56EC0" w:rsidP="00F56EC0">
            <w:pPr>
              <w:jc w:val="right"/>
            </w:pPr>
            <w:r>
              <w:t>4</w:t>
            </w:r>
          </w:p>
        </w:tc>
        <w:tc>
          <w:tcPr>
            <w:tcW w:w="1661" w:type="dxa"/>
          </w:tcPr>
          <w:p w:rsidR="00F56EC0" w:rsidRDefault="00F56EC0" w:rsidP="00F56EC0">
            <w:pPr>
              <w:jc w:val="right"/>
            </w:pPr>
            <w:r>
              <w:t>3,803,464,719.60</w:t>
            </w:r>
          </w:p>
        </w:tc>
        <w:tc>
          <w:tcPr>
            <w:tcW w:w="1662" w:type="dxa"/>
          </w:tcPr>
          <w:p w:rsidR="00F56EC0" w:rsidRDefault="00F56EC0" w:rsidP="00F56EC0">
            <w:pPr>
              <w:jc w:val="left"/>
            </w:pPr>
            <w:r>
              <w:rPr>
                <w:rFonts w:hint="eastAsia"/>
              </w:rPr>
              <w:t>2021</w:t>
            </w:r>
            <w:r>
              <w:rPr>
                <w:rFonts w:hint="eastAsia"/>
              </w:rPr>
              <w:t>年</w:t>
            </w:r>
            <w:r>
              <w:rPr>
                <w:rFonts w:hint="eastAsia"/>
              </w:rPr>
              <w:t>11</w:t>
            </w:r>
            <w:r>
              <w:rPr>
                <w:rFonts w:hint="eastAsia"/>
              </w:rPr>
              <w:t>月</w:t>
            </w:r>
            <w:r>
              <w:rPr>
                <w:rFonts w:hint="eastAsia"/>
              </w:rPr>
              <w:t>19</w:t>
            </w:r>
            <w:r>
              <w:rPr>
                <w:rFonts w:hint="eastAsia"/>
              </w:rPr>
              <w:t>日</w:t>
            </w:r>
          </w:p>
        </w:tc>
      </w:tr>
      <w:tr w:rsidR="00F56EC0" w:rsidTr="00F56EC0">
        <w:tc>
          <w:tcPr>
            <w:tcW w:w="1661" w:type="dxa"/>
            <w:vMerge/>
          </w:tcPr>
          <w:p w:rsidR="00F56EC0" w:rsidRDefault="00F56EC0" w:rsidP="00F56EC0">
            <w:pPr>
              <w:jc w:val="left"/>
            </w:pPr>
          </w:p>
        </w:tc>
        <w:tc>
          <w:tcPr>
            <w:tcW w:w="1661" w:type="dxa"/>
          </w:tcPr>
          <w:p w:rsidR="00F56EC0" w:rsidRDefault="00F56EC0" w:rsidP="00F56EC0">
            <w:pPr>
              <w:jc w:val="left"/>
            </w:pPr>
            <w:r>
              <w:rPr>
                <w:rFonts w:hint="eastAsia"/>
              </w:rPr>
              <w:t>私募资产管理计划</w:t>
            </w:r>
          </w:p>
        </w:tc>
        <w:tc>
          <w:tcPr>
            <w:tcW w:w="1661" w:type="dxa"/>
          </w:tcPr>
          <w:p w:rsidR="00F56EC0" w:rsidRDefault="00F56EC0" w:rsidP="00F56EC0">
            <w:pPr>
              <w:jc w:val="right"/>
            </w:pPr>
            <w:r>
              <w:t>1</w:t>
            </w:r>
          </w:p>
        </w:tc>
        <w:tc>
          <w:tcPr>
            <w:tcW w:w="1661" w:type="dxa"/>
          </w:tcPr>
          <w:p w:rsidR="00F56EC0" w:rsidRDefault="00F56EC0" w:rsidP="00F56EC0">
            <w:pPr>
              <w:jc w:val="right"/>
            </w:pPr>
            <w:r>
              <w:t>73,649,739.10</w:t>
            </w:r>
          </w:p>
        </w:tc>
        <w:tc>
          <w:tcPr>
            <w:tcW w:w="1662" w:type="dxa"/>
          </w:tcPr>
          <w:p w:rsidR="00F56EC0" w:rsidRDefault="00F56EC0" w:rsidP="00F56EC0">
            <w:pPr>
              <w:jc w:val="left"/>
            </w:pPr>
            <w:r>
              <w:rPr>
                <w:rFonts w:hint="eastAsia"/>
              </w:rPr>
              <w:t>2025</w:t>
            </w:r>
            <w:r>
              <w:rPr>
                <w:rFonts w:hint="eastAsia"/>
              </w:rPr>
              <w:t>年</w:t>
            </w:r>
            <w:r>
              <w:rPr>
                <w:rFonts w:hint="eastAsia"/>
              </w:rPr>
              <w:t>03</w:t>
            </w:r>
            <w:r>
              <w:rPr>
                <w:rFonts w:hint="eastAsia"/>
              </w:rPr>
              <w:t>月</w:t>
            </w:r>
            <w:r>
              <w:rPr>
                <w:rFonts w:hint="eastAsia"/>
              </w:rPr>
              <w:t>17</w:t>
            </w:r>
            <w:r>
              <w:rPr>
                <w:rFonts w:hint="eastAsia"/>
              </w:rPr>
              <w:t>日</w:t>
            </w:r>
          </w:p>
        </w:tc>
      </w:tr>
      <w:tr w:rsidR="00F56EC0" w:rsidTr="00F56EC0">
        <w:tc>
          <w:tcPr>
            <w:tcW w:w="1661" w:type="dxa"/>
            <w:vMerge/>
          </w:tcPr>
          <w:p w:rsidR="00F56EC0" w:rsidRDefault="00F56EC0" w:rsidP="00F56EC0">
            <w:pPr>
              <w:jc w:val="left"/>
            </w:pPr>
          </w:p>
        </w:tc>
        <w:tc>
          <w:tcPr>
            <w:tcW w:w="1661" w:type="dxa"/>
          </w:tcPr>
          <w:p w:rsidR="00F56EC0" w:rsidRDefault="00F56EC0" w:rsidP="00F56EC0">
            <w:pPr>
              <w:jc w:val="left"/>
            </w:pPr>
            <w:r>
              <w:rPr>
                <w:rFonts w:hint="eastAsia"/>
              </w:rPr>
              <w:t>其他组合</w:t>
            </w:r>
          </w:p>
        </w:tc>
        <w:tc>
          <w:tcPr>
            <w:tcW w:w="1661" w:type="dxa"/>
          </w:tcPr>
          <w:p w:rsidR="00F56EC0" w:rsidRDefault="00F56EC0" w:rsidP="00F56EC0">
            <w:pPr>
              <w:jc w:val="right"/>
            </w:pPr>
            <w:r>
              <w:t>1</w:t>
            </w:r>
          </w:p>
        </w:tc>
        <w:tc>
          <w:tcPr>
            <w:tcW w:w="1661" w:type="dxa"/>
          </w:tcPr>
          <w:p w:rsidR="00F56EC0" w:rsidRDefault="00F56EC0" w:rsidP="00F56EC0">
            <w:pPr>
              <w:jc w:val="right"/>
            </w:pPr>
            <w:r>
              <w:t>1,507,713,390.45</w:t>
            </w:r>
          </w:p>
        </w:tc>
        <w:tc>
          <w:tcPr>
            <w:tcW w:w="1662" w:type="dxa"/>
          </w:tcPr>
          <w:p w:rsidR="00F56EC0" w:rsidRDefault="00F56EC0" w:rsidP="00F56EC0">
            <w:pPr>
              <w:jc w:val="left"/>
            </w:pPr>
            <w:r>
              <w:rPr>
                <w:rFonts w:hint="eastAsia"/>
              </w:rPr>
              <w:t>2024</w:t>
            </w:r>
            <w:r>
              <w:rPr>
                <w:rFonts w:hint="eastAsia"/>
              </w:rPr>
              <w:t>年</w:t>
            </w:r>
            <w:r>
              <w:rPr>
                <w:rFonts w:hint="eastAsia"/>
              </w:rPr>
              <w:t>03</w:t>
            </w:r>
            <w:r>
              <w:rPr>
                <w:rFonts w:hint="eastAsia"/>
              </w:rPr>
              <w:t>月</w:t>
            </w:r>
            <w:r>
              <w:rPr>
                <w:rFonts w:hint="eastAsia"/>
              </w:rPr>
              <w:t>20</w:t>
            </w:r>
            <w:r>
              <w:rPr>
                <w:rFonts w:hint="eastAsia"/>
              </w:rPr>
              <w:t>日</w:t>
            </w:r>
          </w:p>
        </w:tc>
      </w:tr>
      <w:tr w:rsidR="00F56EC0" w:rsidTr="00F56EC0">
        <w:tc>
          <w:tcPr>
            <w:tcW w:w="1661" w:type="dxa"/>
            <w:vMerge/>
          </w:tcPr>
          <w:p w:rsidR="00F56EC0" w:rsidRDefault="00F56EC0" w:rsidP="00F56EC0">
            <w:pPr>
              <w:jc w:val="left"/>
            </w:pPr>
          </w:p>
        </w:tc>
        <w:tc>
          <w:tcPr>
            <w:tcW w:w="1661" w:type="dxa"/>
          </w:tcPr>
          <w:p w:rsidR="00F56EC0" w:rsidRDefault="00F56EC0" w:rsidP="00F56EC0">
            <w:pPr>
              <w:jc w:val="left"/>
            </w:pPr>
            <w:r>
              <w:rPr>
                <w:rFonts w:hint="eastAsia"/>
              </w:rPr>
              <w:t>合计</w:t>
            </w:r>
          </w:p>
        </w:tc>
        <w:tc>
          <w:tcPr>
            <w:tcW w:w="1661" w:type="dxa"/>
          </w:tcPr>
          <w:p w:rsidR="00F56EC0" w:rsidRDefault="00F56EC0" w:rsidP="00F56EC0">
            <w:pPr>
              <w:jc w:val="right"/>
            </w:pPr>
            <w:r>
              <w:t>6</w:t>
            </w:r>
          </w:p>
        </w:tc>
        <w:tc>
          <w:tcPr>
            <w:tcW w:w="1661" w:type="dxa"/>
          </w:tcPr>
          <w:p w:rsidR="00F56EC0" w:rsidRDefault="00F56EC0" w:rsidP="00F56EC0">
            <w:pPr>
              <w:jc w:val="right"/>
            </w:pPr>
            <w:r>
              <w:t>5,384,827,849.15</w:t>
            </w:r>
          </w:p>
        </w:tc>
        <w:tc>
          <w:tcPr>
            <w:tcW w:w="1662" w:type="dxa"/>
          </w:tcPr>
          <w:p w:rsidR="00F56EC0" w:rsidRDefault="00F56EC0" w:rsidP="00F56EC0">
            <w:pPr>
              <w:jc w:val="right"/>
            </w:pPr>
            <w:r>
              <w:t>-</w:t>
            </w:r>
          </w:p>
        </w:tc>
      </w:tr>
    </w:tbl>
    <w:p w:rsidR="00F56EC0" w:rsidRDefault="00F56EC0" w:rsidP="00F56EC0">
      <w:pPr>
        <w:pStyle w:val="-2"/>
        <w:spacing w:before="312"/>
      </w:pPr>
      <w:r>
        <w:rPr>
          <w:rFonts w:hint="eastAsia"/>
        </w:rPr>
        <w:t>境外投资顾问为本基金提供投资建议的主要成员简介</w:t>
      </w:r>
    </w:p>
    <w:p w:rsidR="00F56EC0" w:rsidRDefault="00F56EC0" w:rsidP="00F56EC0">
      <w:pPr>
        <w:pStyle w:val="-"/>
        <w:ind w:firstLine="420"/>
      </w:pPr>
      <w:r>
        <w:rPr>
          <w:rFonts w:hint="eastAsia"/>
        </w:rPr>
        <w:t>本基金无境外投资顾问。</w:t>
      </w:r>
    </w:p>
    <w:p w:rsidR="00F56EC0" w:rsidRDefault="00F56EC0" w:rsidP="00F56EC0">
      <w:pPr>
        <w:pStyle w:val="-2"/>
        <w:spacing w:before="312"/>
      </w:pPr>
      <w:r>
        <w:rPr>
          <w:rFonts w:hint="eastAsia"/>
        </w:rPr>
        <w:t>报告期内本基金运作遵规守信情况的说明</w:t>
      </w:r>
    </w:p>
    <w:p w:rsidR="00F56EC0" w:rsidRDefault="00F56EC0" w:rsidP="00F56EC0">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F56EC0" w:rsidRDefault="00F56EC0" w:rsidP="00F56EC0">
      <w:pPr>
        <w:pStyle w:val="-2"/>
        <w:spacing w:before="312"/>
      </w:pPr>
      <w:r>
        <w:rPr>
          <w:rFonts w:hint="eastAsia"/>
        </w:rPr>
        <w:t>公平交易专项说明</w:t>
      </w:r>
    </w:p>
    <w:p w:rsidR="00F56EC0" w:rsidRDefault="00F56EC0" w:rsidP="00F56EC0">
      <w:pPr>
        <w:pStyle w:val="-3"/>
        <w:spacing w:before="156" w:after="156"/>
      </w:pPr>
      <w:r>
        <w:rPr>
          <w:rFonts w:hint="eastAsia"/>
        </w:rPr>
        <w:t>公平交易制度的执行情况</w:t>
      </w:r>
    </w:p>
    <w:p w:rsidR="00F56EC0" w:rsidRDefault="00F56EC0" w:rsidP="00F56EC0">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56EC0" w:rsidRDefault="00F56EC0" w:rsidP="00F56EC0">
      <w:pPr>
        <w:pStyle w:val="-3"/>
        <w:spacing w:before="156" w:after="156"/>
      </w:pPr>
      <w:r>
        <w:rPr>
          <w:rFonts w:hint="eastAsia"/>
        </w:rPr>
        <w:t>异常交易行为的专项说明</w:t>
      </w:r>
    </w:p>
    <w:p w:rsidR="00F56EC0" w:rsidRDefault="00F56EC0" w:rsidP="00F56EC0">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56EC0" w:rsidRDefault="00F56EC0" w:rsidP="00F56EC0">
      <w:pPr>
        <w:pStyle w:val="-2"/>
        <w:spacing w:before="312"/>
      </w:pPr>
      <w:r>
        <w:rPr>
          <w:rFonts w:hint="eastAsia"/>
        </w:rPr>
        <w:t>报告期内基金的投资策略和业绩表现说明</w:t>
      </w:r>
    </w:p>
    <w:p w:rsidR="00F56EC0" w:rsidRDefault="00F56EC0" w:rsidP="00F56EC0">
      <w:pPr>
        <w:pStyle w:val="-3"/>
        <w:spacing w:before="156" w:after="156"/>
      </w:pPr>
      <w:r>
        <w:rPr>
          <w:rFonts w:hint="eastAsia"/>
        </w:rPr>
        <w:t>报告期内基金投资策略和运作分析</w:t>
      </w:r>
    </w:p>
    <w:p w:rsidR="00F56EC0" w:rsidRDefault="00F56EC0" w:rsidP="00F56EC0">
      <w:pPr>
        <w:pStyle w:val="-"/>
        <w:ind w:firstLine="420"/>
      </w:pPr>
      <w:r>
        <w:rPr>
          <w:rFonts w:hint="eastAsia"/>
        </w:rPr>
        <w:t>在第一眼看到南方全球的四季报的时候，笔者想不少持有人会有疑惑，看三季报持仓这不应该是“抄美国副总统万斯的基金配置方案么”（至少小红书上是这么评论的，经常有不少朋友转一些有意思的评论给笔者，笔者也不有趣，就是个Nerd，恰好很幸运干了份自己感兴趣的工作，反而时常因为基金业绩不达预期感到自责）经历了过去一年基金的平稳运作，笔者对整体组合策略做了以下改进和迭代：（1）采用科技行业基金以及smart beta风格基金去替代简单的宽基指数基金，例如纳斯达克100或者标普500等宽基指数基金；（2）通过全球以及加拿大，日本等市场的低波动策略ETF在尽可能不牺牲收益率的情况下降低组合波动；（3）通过桥水的ALLW ETF来使得仓位更有效利用，提升对于低波资产—债券的持仓权重；（4）在股债均衡配置的框架下，引入风险预算模型来更好地控制波动率水平。之所以这么做是源于我们团队有位应届生从《因子投资》这本书中带给我们的启发。当把传统的股债60/40模型中的股票从宽基换成不同的smart beta基金之后，显著提升了组合的风险收益特征。南方全球配置基金的目标是在全球市场找到更多高夏普比的生息资产。在全球市场做资产配置的优势在于全球市场拥有较多的高夏普比，即优质贝塔的生息资产。国内投资者往往比较熟悉的标的，如标普500、纳斯达克100等等。放眼全球，其实不仅仅是美国的宽基指数，不少区域的宽基、行业以及风格指数都能呈现出不断向右上方“攀登”的走势。不同区域的指数走势也都有其自身特征，和其经济结构，产业结构，社会意识形态与制度都有着密切的联系。例如，美国市场是对成长风格有额外奖励的市场，欧洲市场，加拿大等则是奖励价值的市场，香港则是奖励动量的市场。</w:t>
      </w:r>
    </w:p>
    <w:p w:rsidR="00F56EC0" w:rsidRDefault="00F56EC0" w:rsidP="00F56EC0">
      <w:pPr>
        <w:pStyle w:val="-"/>
        <w:ind w:firstLine="420"/>
      </w:pPr>
    </w:p>
    <w:p w:rsidR="00F56EC0" w:rsidRDefault="00F56EC0" w:rsidP="00F56EC0">
      <w:pPr>
        <w:pStyle w:val="-"/>
        <w:ind w:firstLine="420"/>
      </w:pPr>
      <w:r>
        <w:rPr>
          <w:rFonts w:hint="eastAsia"/>
        </w:rPr>
        <w:t>南方全球精选仍然采用了全球股债均衡配置模型，加入风险预算模型之后，组合的波动率水平控制在某一范围之内，使得组合能够获得更优质的风险收益比特征。当然引入风险预算模型的目标是控制组合波动率水平。因此，最后再来讲一讲，为什么选择风险预算模型？在我们看来，比如说传统股债60/40这种资产配置方案里面，其实最主要的风险贡献来自于股票，股票几乎贡献了60/40股债均衡组合接近90%左右的风险，所以才会考虑使用风险预算模型的思路。坦率地说，没有选择风险平价（全天候策略）主要原因是对于笔者也想不出来如果是以股为主的FOF基金，倘若无法在低波资产上加足够的杠杆，同时可投范围中的金融衍生品工具使用受限，如何实现全天候？南方全球是以股票为主的资产配置组合，最后选择了最适合我们的全球股债均衡模型+风险预算模型进行管理。</w:t>
      </w:r>
    </w:p>
    <w:p w:rsidR="00F56EC0" w:rsidRDefault="00F56EC0" w:rsidP="00F56EC0">
      <w:pPr>
        <w:pStyle w:val="-"/>
        <w:ind w:firstLine="420"/>
      </w:pPr>
    </w:p>
    <w:p w:rsidR="00F56EC0" w:rsidRDefault="00F56EC0" w:rsidP="00F56EC0">
      <w:pPr>
        <w:pStyle w:val="-"/>
        <w:ind w:firstLine="420"/>
      </w:pPr>
      <w:r>
        <w:rPr>
          <w:rFonts w:hint="eastAsia"/>
        </w:rPr>
        <w:t>在接下来的季报中我们将分享《全球资产配置实战指南：从理论到组合构建》。这一篇报告来源于笔者一次公开策略会主题演讲时所撰写的报告。当天不少参会的投资者反馈从这篇报告中获得了不少启发。因此，为了能够让更多的投资者朋友们受益，笔者整理了这篇主题演讲的文字版本。当然作为资产管理的从业者，我们为什么要把方法论毫无保留的分享给大家。主要也是两个目的：其一、希望能够让普通的投资者都可以通过定期报告了解我们团队在做什么事情，我们是如何思考和迭代的；其二、市场中经验丰富的高手太多了，大家的提出的建议哪怕是批评往往是我们逐步改进的动力。在笔者看来，真正的长期主义就是每天进步一点点，改进一点点，如履薄冰地给委托人稳步挣钱，最终能够平稳完成职业生涯已然不易。2025年12月31日最后一天，我们客户服务部的总经理找到笔者说一位客户认同全球资产配置的理念，想直观了解基金经理的投资理念和产品运作的思路。我想定期报告应该就是最直接的方式了。在笔者的日常工作中会发现可能由于国内金融工具较少，市场对于全球资产配置更多还是停留在理念上的一些想法。大家对于资产配置研究的行为模式，往往是资产比较。例如，从宏观分析师或者策略分析师的口中我们能听到今年到底是美股比A股好，还是A股比港股好，还是港股比欧洲好？这显然是一种“选美”逻辑而非“组合”逻辑。甚至我们在面对银行理财经理推荐产品或者保险从业者推荐产品误以为这也是在做资产配置。实则不然，资产配置的本质是把一些能够给大家带来长期稳健回报的资产，通过一些既有的或者创新性的配置模型和框架，通过金融工程的方式组合到一起，使其给委托人带来稳健收益的方式。</w:t>
      </w:r>
    </w:p>
    <w:p w:rsidR="00F56EC0" w:rsidRDefault="00F56EC0" w:rsidP="00F56EC0">
      <w:pPr>
        <w:pStyle w:val="-"/>
        <w:ind w:firstLine="420"/>
      </w:pPr>
    </w:p>
    <w:p w:rsidR="00F56EC0" w:rsidRDefault="00F56EC0" w:rsidP="00F56EC0">
      <w:pPr>
        <w:pStyle w:val="-"/>
        <w:ind w:firstLine="420"/>
      </w:pPr>
      <w:r>
        <w:rPr>
          <w:rFonts w:hint="eastAsia"/>
        </w:rPr>
        <w:t>在接下来的文章中，我们主要讨论一下几个方面：1）什么是资产配置？（1.1）资产的定义与分类；（1.2）配置的本质是金融工程；（1.3）免费的午餐—1+1&gt;2？；（1.4）便宜的晚餐—关于杠杆的使用；2）资产配置的框架——主动配置与被动配置；3）关于资产预期收益率的讨论（3.1）估值变动的长期影响；（3.2）不同类型资产在时间序列上的收益积累；</w:t>
      </w:r>
      <w:r>
        <w:rPr>
          <w:rFonts w:hint="eastAsia"/>
        </w:rPr>
        <w:lastRenderedPageBreak/>
        <w:t>（3.3）非生息资产的分类及预期收益率讨论；4）关于资产相关性动态变化的讨论；5）关于资产配置中“尾部风险”应对处理。</w:t>
      </w:r>
    </w:p>
    <w:p w:rsidR="00F56EC0" w:rsidRDefault="00F56EC0" w:rsidP="00F56EC0">
      <w:pPr>
        <w:pStyle w:val="-"/>
        <w:ind w:firstLine="420"/>
      </w:pPr>
    </w:p>
    <w:p w:rsidR="00F56EC0" w:rsidRDefault="00F56EC0" w:rsidP="00F56EC0">
      <w:pPr>
        <w:pStyle w:val="-"/>
        <w:ind w:firstLine="420"/>
      </w:pPr>
      <w:r>
        <w:rPr>
          <w:rFonts w:hint="eastAsia"/>
        </w:rPr>
        <w:t>1.1什么是资产配置？——资产的定义与分类</w:t>
      </w:r>
    </w:p>
    <w:p w:rsidR="00F56EC0" w:rsidRDefault="00F56EC0" w:rsidP="00F56EC0">
      <w:pPr>
        <w:pStyle w:val="-"/>
        <w:ind w:firstLine="420"/>
      </w:pPr>
      <w:r>
        <w:rPr>
          <w:rFonts w:hint="eastAsia"/>
        </w:rPr>
        <w:t>资产配置是一个老生常谈的话题，从保险销售到宏观经济学家嘴里都能够经常听到资产配置这四个字。在日常投资理财中，大家更多的是关注资产配置的配置方法，比如说股债均衡的配置思路，风险平价配置思路，美林时钟配置思路等等。但是，在我们看来，资产配置中最重要其实还是底层资产的质量。资产配置这个概念在笔者看来，可以拆开进行理解，资产是“道”，而配置是“术”。</w:t>
      </w:r>
    </w:p>
    <w:p w:rsidR="00F56EC0" w:rsidRDefault="00F56EC0" w:rsidP="00F56EC0">
      <w:pPr>
        <w:pStyle w:val="-"/>
        <w:ind w:firstLine="420"/>
      </w:pPr>
    </w:p>
    <w:p w:rsidR="00F56EC0" w:rsidRDefault="00F56EC0" w:rsidP="00F56EC0">
      <w:pPr>
        <w:pStyle w:val="-"/>
        <w:ind w:firstLine="420"/>
      </w:pPr>
      <w:r>
        <w:rPr>
          <w:rFonts w:hint="eastAsia"/>
        </w:rPr>
        <w:t>因此，在这里想和大家先谈一谈什么是资产以及资产应该如何进行分类？在笔者看来，我们可以把资产分成两种类型，生息资产与非生息资产。生息资产相信大家都比较容易理解，能够产生现金流的资产都可以称之为生息资产，例如债券有票息收益、房地产有租金收益、部分的股票有股息回报。反之，非生息资产则是不产生现金流的资产，其中最常见的非生息资产为黄金，金融衍生品、艺术品、虚拟货币以及部分股票。因此，简单小结，区分生息资产与非生息资产最主要的差异为底层资产是否能够持续产生现金流。当然，其中最为特殊的资产类别是股票，因为我们知道其中能够产生自由现金流公司的股票是生息资产，反之另外一部分股票则是非生息资产。具体举例说明，比如说像中证红利指数中的成分股不少都是典型的生息资产，而有一些非盈利的科创企业或者创新药企业，这些公司现阶段的状态就属于非生息资产。</w:t>
      </w:r>
    </w:p>
    <w:p w:rsidR="00F56EC0" w:rsidRDefault="00F56EC0" w:rsidP="00F56EC0">
      <w:pPr>
        <w:pStyle w:val="-"/>
        <w:ind w:firstLine="420"/>
      </w:pPr>
    </w:p>
    <w:p w:rsidR="00F56EC0" w:rsidRDefault="00F56EC0" w:rsidP="00F56EC0">
      <w:pPr>
        <w:pStyle w:val="-"/>
        <w:ind w:firstLine="420"/>
      </w:pPr>
      <w:r>
        <w:rPr>
          <w:rFonts w:hint="eastAsia"/>
        </w:rPr>
        <w:t>接着投资者朋友们可能会问为什么要把资产区分为生息资产和非生息资产呢？这么做的目的是什么？其实主要和两个因素有关，一是资产收益累积的表现形态，二是资产预期回报的计算。在资产收益累积表现上，笔者发现绝大部分生息资产都具备了“长牛以及慢牛”的走势形态，相反大部分非生息资产往往都是“短跑型选手”，短期具备极强的爆发性。因此，两种不同的资产收益累积表现也决定了通常生息资产持有的周期普遍要比非生息资产来得长的多。当然在笔者看来，持有生息资产最重要的两个素质是买入的低估值以及持有后保持耐心。而对于非生息资产来说，相比估值更为重要的是交易能力以及择时能力的把控。例如，通常在大家的日常观察中会发现美股长期处于慢牛的走势，其最主要的原因还是其指数本身为生息资产，其中指数成分股创造了大量的自由现金流，并且自由现金流持续不断地增长推升了指数亦步亦趋同步上行。而作为非生息资产的代表，例如恒生生物科技指数，由于指数的成份股公司仍然处于高研发开支阶段，因此现金流创造能力相对来说较差。因此，指数会随着市场流动性环境、市场情绪的强弱呈现出剧烈波动，但是往往弹性巨大，在短期里面容易累积出很高的收益水平。</w:t>
      </w:r>
    </w:p>
    <w:p w:rsidR="00F56EC0" w:rsidRDefault="00F56EC0" w:rsidP="00F56EC0">
      <w:pPr>
        <w:pStyle w:val="-"/>
        <w:ind w:firstLine="420"/>
      </w:pPr>
    </w:p>
    <w:p w:rsidR="00F56EC0" w:rsidRDefault="00F56EC0" w:rsidP="00F56EC0">
      <w:pPr>
        <w:pStyle w:val="-"/>
        <w:ind w:firstLine="420"/>
      </w:pPr>
      <w:r>
        <w:rPr>
          <w:rFonts w:hint="eastAsia"/>
        </w:rPr>
        <w:t>1.2什么是资产配置？——配置的本质是金融工程</w:t>
      </w:r>
    </w:p>
    <w:p w:rsidR="00F56EC0" w:rsidRDefault="00F56EC0" w:rsidP="00F56EC0">
      <w:pPr>
        <w:pStyle w:val="-"/>
        <w:ind w:firstLine="420"/>
      </w:pPr>
      <w:r>
        <w:rPr>
          <w:rFonts w:hint="eastAsia"/>
        </w:rPr>
        <w:t>在和大家分享完了资产配置中的“资产”的定义和分类之后，我们重新把目光回到“配置”二字。从整体上来看，笔者认为资产配置并非是宏观分析师中资产选美比较的逻辑，也并非是银行渠道理财经理给普罗大众推荐理财产品。在笔者看来，资产配置的本质是金融工程，即把不同风险收益特征的金融工具组合搭配到一起，以实现投资组合稳健增值，获得稳稳幸福的过程。配置是需要通过较为复杂的数理分析和定量手段来构建出一个较有韧性的体系，即使在当前充满不确定性的市场环境中也能实现平稳渡过。通常来说，在笔者看来，资产配置中有三个最为关键的核心问题：（1）资产的预期收益率测算；（2）资产波动率水平的刻画；（3）组合如何进行构建。往往在日常研究中，我们在谈资产配置的时候，大家会相对轻视资产预期收益率和波动率水平，而是把目光更多地聚焦在如何配置模型是什么上面。可能最主要原因还是国内市场中具备不同风险收益特征的资产种类较少。在笔者看来，无论是从1930年开始诞生的股债恒定均衡模型，还是均值方差模型（1952年），风险平价模型（1996年）、风险预算模型（2003/2013年），美林时钟模型（2004年），其实都是上一代模型在真实世界运作的过程中结合所遇到市场环境的变化，不断修正和迭代配置框架。 资产配置本质就是房屋建设设计，不需要神话某一种配置框架，即使号称“全天候”的资产配置模型也总有自己不适合的环境。例如，全天候的底层是风险平价模型，其中包含了有两种假设，（1）资产的净值曲线都是向“右上方”推进的；（2）宏观环境往往处于利率水平单调下行的市场环境里。但是，当我们观察2022-2023年全球由于疫情之后带来的高通胀，美联储处于加息的宏观环境中，全天候的资产配置模型也出现了比较明显的回撤。因此，笔者一直所强调的，不用去神话某些资产配置模型，适合自身的风险收益特征需求才是合适的配置模型。全球市场中一些主权基金经历了非常长的周期，依然沿用着传统且简单的股债均衡模型，也获得了稳健的投资收益。</w:t>
      </w:r>
    </w:p>
    <w:p w:rsidR="00F56EC0" w:rsidRDefault="00F56EC0" w:rsidP="00F56EC0">
      <w:pPr>
        <w:pStyle w:val="-"/>
        <w:ind w:firstLine="420"/>
      </w:pPr>
    </w:p>
    <w:p w:rsidR="00F56EC0" w:rsidRDefault="00F56EC0" w:rsidP="00F56EC0">
      <w:pPr>
        <w:pStyle w:val="-"/>
        <w:ind w:firstLine="420"/>
      </w:pPr>
      <w:r>
        <w:rPr>
          <w:rFonts w:hint="eastAsia"/>
        </w:rPr>
        <w:t>1.3什么是资产配置？——免费的午餐 1+1&gt;2？</w:t>
      </w:r>
    </w:p>
    <w:p w:rsidR="00F56EC0" w:rsidRDefault="00F56EC0" w:rsidP="00F56EC0">
      <w:pPr>
        <w:pStyle w:val="-"/>
        <w:ind w:firstLine="420"/>
      </w:pPr>
      <w:r>
        <w:rPr>
          <w:rFonts w:hint="eastAsia"/>
        </w:rPr>
        <w:t>在谈到资产配置的时候，我想几乎所有人都听过马科维茨的名言，叫做“资产配置多元化是投资的唯一免费午餐”。真实情况是否如此呢？笔者认为其实这份“午餐”并不免费——资产配置中，平抑波动往往是需要牺牲部分的超额收益。拿“固收+”作为一个简单的案例去陈述为什么在我们看来并不真正“免费”，“固收+”本质上是最简单的资产配置模型。例如，在降息环境里面，股票管理人认为由于流动性的改善，应该更多的选择成长风格的资产（备注：在价值和成长两种风格资产中，价值风格可以认为是短久期资产，而成长风格则是长久期资产；价值风格所呈现的波动率水平一般要比成长风格的波动率水平更低）。同时，债券管理人会认为降息环境中，我应该把组合向短端倾斜，缩短组合久期，短端利率对降息更加敏感，尽管少了一些“票息”，但是能够通过资本利得来获得补充。因</w:t>
      </w:r>
      <w:r>
        <w:rPr>
          <w:rFonts w:hint="eastAsia"/>
        </w:rPr>
        <w:lastRenderedPageBreak/>
        <w:t>此，当股票管理人把组合仓位转向更为成长风格时候，股票仓位的波动率水平就会显著提升。此时，债券管理人也在缩短久期追求资本利得，就使得组合的整体波动率水平有所放大。上述的投资行为说明股票和债券管理人都在分别追求更多的收益。而如果按照资产配置的思路在兼顾收益的同时又能控制好波动该如何去处理这一问题呢？当股票管理人把股票仓位转向成长的时候，股票仓位波动率水平确实有所抬升。此时此刻，为了能让组合整体的波动率水平维持稳定，债券管理人其实不应该一味降债券久期，反而应该在组合中拉长一部分资产的久期，利用股债之间的负相关性（备注：股债也并非一直负相关，随着近年来央行以及财政部对货币和财政政策的干预越来越多，股债之间的相关性越来越不稳定，），来降低组合的整体波动率水平，呈现出更加平滑的净值曲线，使投资者获得更好的持有体验。这也是我们在这里想表达的，在笔者看来，资产配置多元化并非是投资当中唯一免费的午餐，平抑波动往往需要付出部分的超额收益。</w:t>
      </w:r>
    </w:p>
    <w:p w:rsidR="00F56EC0" w:rsidRDefault="00F56EC0" w:rsidP="00F56EC0">
      <w:pPr>
        <w:pStyle w:val="-"/>
        <w:ind w:firstLine="420"/>
      </w:pPr>
    </w:p>
    <w:p w:rsidR="00F56EC0" w:rsidRDefault="00F56EC0" w:rsidP="00F56EC0">
      <w:pPr>
        <w:pStyle w:val="-"/>
        <w:ind w:firstLine="420"/>
      </w:pPr>
      <w:r>
        <w:rPr>
          <w:rFonts w:hint="eastAsia"/>
        </w:rPr>
        <w:t>1.4 什么是资产配置？——便宜的晚餐（杠杆使用）</w:t>
      </w:r>
    </w:p>
    <w:p w:rsidR="00F56EC0" w:rsidRDefault="00F56EC0" w:rsidP="00F56EC0">
      <w:pPr>
        <w:pStyle w:val="-"/>
        <w:ind w:firstLine="420"/>
      </w:pPr>
      <w:r>
        <w:rPr>
          <w:rFonts w:hint="eastAsia"/>
        </w:rPr>
        <w:t>关于资产配置，除了大家常常听说的“免费的午餐”以外，这里笔者还想用“便宜的晚餐”来描述在不少资产配置模型中经常使用的杠杆。当然，由于投资者教育的缺失，使得大家一听到杠杆就“谈虎色变”。我们在研究Bridgewater的资产配置模型的时候，会发现管理人把杠杆引入到资产配置组合之后，同时提升了资产的收益率以及平抑了组合的波动率水平。因为这些杠杆加到了一些低波动的资产上，以起到提升扩大组合有效前沿的目的。</w:t>
      </w:r>
    </w:p>
    <w:p w:rsidR="00F56EC0" w:rsidRDefault="00F56EC0" w:rsidP="00F56EC0">
      <w:pPr>
        <w:pStyle w:val="-"/>
        <w:ind w:firstLine="420"/>
      </w:pPr>
    </w:p>
    <w:p w:rsidR="00F56EC0" w:rsidRDefault="00F56EC0" w:rsidP="00F56EC0">
      <w:pPr>
        <w:pStyle w:val="-"/>
        <w:ind w:firstLine="420"/>
      </w:pPr>
      <w:r>
        <w:rPr>
          <w:rFonts w:hint="eastAsia"/>
        </w:rPr>
        <w:t>在这里我们简单小结一下，资产配置追求的方向其实就是提升收益率的同时降低组合的波动水平，以使得投资者能够获得稳健的幸福。要同时满足这两点其实并不容易，第一个，我们需要找到预期收益率更高的资产，即该资产的净值曲线尽可能陡峭；第二，我们希望通过资产之间弱相关或者负相关的关系，去降低组合整体的波动水平。当然，这里面就会产生两点悖论：第一是收益率高的资产和该收益率是否可持续性之间的矛盾。大家在做投资的过程中都希望能够找到净值曲线尽可能陡峭的资产，但是往往净值曲线陡峭的资产持续性相对来说较弱，即大家所说的一年三倍者众，三年一倍者寡的道理。第二是分散化投资与多元资产之间存在悖论。日常与不少投资者朋友们交流，都会认为分散化投资是把鸡蛋放在不同的篮子里面，但在实战中如果各个篮子都铁索连环，其实篮子再多也起不到有效的分散作用。例如，我们把资产放在创业板ETF、科创50ETF、芯片ETF、人工智能ETF上，我们会发现尽管做了分散化投资，但这些指数相关性非常强，所以并没有起到降低波动的作用。利用历史上资产之间的相关性是否能够降低波动率，现实情况没那么简单，因为资产之间的相关性会随着宏观环境的变化而变化，并不稳定。例如，过去三年笔者认为全球市场最成功的宏观交易之一莫过于黄金可以摆脱真实利率这一“地心引力”，表现</w:t>
      </w:r>
      <w:r>
        <w:rPr>
          <w:rFonts w:hint="eastAsia"/>
        </w:rPr>
        <w:lastRenderedPageBreak/>
        <w:t>出与以往不同的资产相关性。因此，资产之间的相关性很难说能够持续稳定，前瞻性地发现相关性的变化，往往是资产配置中最具挑战的一项课题。</w:t>
      </w:r>
    </w:p>
    <w:p w:rsidR="00F56EC0" w:rsidRDefault="00F56EC0" w:rsidP="00F56EC0">
      <w:pPr>
        <w:pStyle w:val="-"/>
        <w:ind w:firstLine="420"/>
      </w:pPr>
    </w:p>
    <w:p w:rsidR="00F56EC0" w:rsidRDefault="00F56EC0" w:rsidP="00F56EC0">
      <w:pPr>
        <w:pStyle w:val="-"/>
        <w:ind w:firstLine="420"/>
      </w:pPr>
      <w:r>
        <w:rPr>
          <w:rFonts w:hint="eastAsia"/>
        </w:rPr>
        <w:t>2. 资产配置的框架——主动配置与被动配置</w:t>
      </w:r>
    </w:p>
    <w:p w:rsidR="00F56EC0" w:rsidRDefault="00F56EC0" w:rsidP="00F56EC0">
      <w:pPr>
        <w:pStyle w:val="-"/>
        <w:ind w:firstLine="420"/>
      </w:pPr>
      <w:r>
        <w:rPr>
          <w:rFonts w:hint="eastAsia"/>
        </w:rPr>
        <w:t>笔者认为，资产配置的框架大致可以分成两种类型，主动配置以及被动配置。与我们直观理解的主被动股票基金稍稍有所不同。我们往往在单一区域的宏观资产配置上会采用主动配置框架，这里的“主动”主要由于对于单一国家或者地区而言，底层的资产类别都受相同的宏观环境的影响，往往只能依靠单一的贝塔策略，同时叠加底层资产品类较少。因此，需要资产管理人能够做好股债之间的择时轮动，也需要做不同风格权益资产以及不同债券久期之间的轮动。另一种资产配置则是被动配置，被动配置更像是基于某种规则或者纪律所执行的配置思路，例如股债均衡60/40，风险平价模型，风险预算管理模型都是经典的被动配置模型。同时，也具有明确的再平衡机制，他有点类似于被动指数基金——指数有明确的编制规则以及定期的再平衡机制。被动配置往往出现在跨区域以及跨资产类别的配置场景下。组合管理人不过分执着于单一区域的宏观因子所驱动的资产轮动，而是更加专注在宏观范式的变化所带来的中长期的投资机会。第二，则是专注于研究和挖掘全球市场中优质的贝塔，并深入去理解这些贝塔背后所形成的原因。那什么是优质的贝塔呢？所谓优质贝塔就是具备优秀的风险收益比特征的资产。从表象上来看，这些资产净值曲线能够持续呈现出稳健向上的走势，拥有比较好的夏普比率。当底层资产足够优秀的时候，我们只需要研究该资产表现是否可持续，当前预期收益率水平以及波动率水平，然后通过既定的规则例如收益最大化或者波动率最小化亦或是夏普比率最优化把资产纳入到组合中来。</w:t>
      </w:r>
    </w:p>
    <w:p w:rsidR="00F56EC0" w:rsidRDefault="00F56EC0" w:rsidP="00F56EC0">
      <w:pPr>
        <w:pStyle w:val="-"/>
        <w:ind w:firstLine="420"/>
      </w:pPr>
    </w:p>
    <w:p w:rsidR="00F56EC0" w:rsidRDefault="00F56EC0" w:rsidP="00F56EC0">
      <w:pPr>
        <w:pStyle w:val="-"/>
        <w:ind w:firstLine="420"/>
      </w:pPr>
      <w:r>
        <w:rPr>
          <w:rFonts w:hint="eastAsia"/>
        </w:rPr>
        <w:t>3.1关于资产预期收益率的讨论——估值变动影响</w:t>
      </w:r>
    </w:p>
    <w:p w:rsidR="00F56EC0" w:rsidRDefault="00F56EC0" w:rsidP="00F56EC0">
      <w:pPr>
        <w:pStyle w:val="-"/>
        <w:ind w:firstLine="420"/>
      </w:pPr>
      <w:r>
        <w:rPr>
          <w:rFonts w:hint="eastAsia"/>
        </w:rPr>
        <w:t>在讨论完资产配置框架之后，我们再把目光转移到资产预期收益率的讨论上。对于债券这类资产而言，往往预期收益率可以简单理解为到期收益率水平。而股票资产预期收益率测算则是一个较为复杂的课题。这也是一开始为什么笔者要把股票分成生息资产和非生息资产的主要原因。因为在笔者看来只有生息资产的预期收益水平才可以通过计算来衡量，而非生息资产是无法准确计算其预期回报水平的。拿标普500指数举例，过去30年，标普500全收益指数年化回报约为10%左右，其中每股盈利增长约为7%左右水平，平均股息率水平约为2%，估值变动贡献了1.3%左右水平。再来观察标普500全收益指数过去20年的情况，同样也是差不多10%年化回报，每股收益增长约为6%左右水平，平均股息率水平约为2%，估值变动贡献了2%左右的水平。因此，长周期而言，生息资产的预期收益率往往大部分都可以通过基本面来进行解释。即，生息资产收益率通常来自于两个部分：一是自由现金流的增长，二是自由现金流的回报（近似为每股收益增长以及平均股息率水平）。当然，</w:t>
      </w:r>
      <w:r>
        <w:rPr>
          <w:rFonts w:hint="eastAsia"/>
        </w:rPr>
        <w:lastRenderedPageBreak/>
        <w:t>影响生息资产预期收益率还有一个扰动因素为估值的变动，如果在估值相对较贵的时候进行买入，那估值变动将持续拖累资产的预期收益率表现。从上述标普500这个案例也可以解释一些有意思的投资行为，为什么有一些著名的超长线成长风格投资人在买入资产的时候并没有那么在意估值水平，是因为估值对资产收益率的影响在拉长时间维度下会逐渐淡化，但是前提条件是公司将在未来通过科技创新展现出星辰大海的成长空间。而相反价值投资者则需要非常关注估值，因为如果买贵了，短期靠每股盈利的增长没办法覆盖或者抵消估值的收缩。因此，往往价值投资者都需要择时（买的便宜），而成长型投资者才有底气选择不择时。在这里笔者借着标普500的例子，再和大家分享一下为什么美股呈现出长牛的走势？主要有两方面的原因：（1）美股宽基指数代表纳斯达克100以及标普500的ROE水平，和全球主要市场相比都明显高了一个台阶。其中，纳斯达克100指数的ROE水平长年稳定在20%左右的水平，标普500指数的ROE水平近年来也上升到17%-18%左右的水平。这说明了这一区域资本挣钱效率较高，而背后底层原因还是来源于科技创新所带来的长期红利；（2）美股宽基指数成分股创造了大量的自由现金流，并且这些公司的自由现金流还在不断增长，推动着这些指数稳健向上抬升。</w:t>
      </w:r>
    </w:p>
    <w:p w:rsidR="00F56EC0" w:rsidRDefault="00F56EC0" w:rsidP="00F56EC0">
      <w:pPr>
        <w:pStyle w:val="-"/>
        <w:ind w:firstLine="420"/>
      </w:pPr>
    </w:p>
    <w:p w:rsidR="00F56EC0" w:rsidRDefault="00F56EC0" w:rsidP="00F56EC0">
      <w:pPr>
        <w:pStyle w:val="-"/>
        <w:ind w:firstLine="420"/>
      </w:pPr>
      <w:r>
        <w:rPr>
          <w:rFonts w:hint="eastAsia"/>
        </w:rPr>
        <w:t>3.2关于资产预期收益率的讨论——不同类型资产在时间序列上的收益积累</w:t>
      </w:r>
    </w:p>
    <w:p w:rsidR="00F56EC0" w:rsidRDefault="00F56EC0" w:rsidP="00F56EC0">
      <w:pPr>
        <w:pStyle w:val="-"/>
        <w:ind w:firstLine="420"/>
      </w:pPr>
      <w:r>
        <w:rPr>
          <w:rFonts w:hint="eastAsia"/>
        </w:rPr>
        <w:t>生息资产和非生息资产在不同市场环境里面积累收益的方式并不相同。把标普500指数作为生息资产的代表，可以去观察一下标普500指数和其波动率的关系。笔者惊奇地发现，生息资产往往需要在低波环境里面积累收益，同时当每一次指数波动率水平放大的时候，都是生息资产出现回调的状态。例如，我们复盘2022-2023年期间，在美联储加息的环境中，标普500指数波动率水平持续处于相对比较高的位置，而2022年美股表现也确实较差。写到这里的时候，笔者也恍然大悟，为什么大家总有个模糊的感受每一次美股这些宽基指数出现20%-30%回调的时候，似乎都是加仓的时间点。我想原因就在此处，因为作为生息资产而言，很难长期处于高波动的环境中，波动率水平最终都将回归平静，这也是生息资产开始重新积累收益的时刻。</w:t>
      </w:r>
    </w:p>
    <w:p w:rsidR="00F56EC0" w:rsidRDefault="00F56EC0" w:rsidP="00F56EC0">
      <w:pPr>
        <w:pStyle w:val="-"/>
        <w:ind w:firstLine="420"/>
      </w:pPr>
    </w:p>
    <w:p w:rsidR="00F56EC0" w:rsidRDefault="00F56EC0" w:rsidP="00F56EC0">
      <w:pPr>
        <w:pStyle w:val="-"/>
        <w:ind w:firstLine="420"/>
      </w:pPr>
      <w:r>
        <w:rPr>
          <w:rFonts w:hint="eastAsia"/>
        </w:rPr>
        <w:t>对非生息资产而言，则出现了截然不同的收益累积方式。非生息资产往往是在低波的环境里面出现持续阴跌的状态，相反在高波动、高流动性的环境里面则快速积累收益。大家同样可以观察科创50指数，创业板指数，恒生科技等等成长风格指数与其波动率之间的关系。笔者想这也是为什么“一年一倍者众多，五年一倍者寥寥”的底层逻辑。</w:t>
      </w:r>
    </w:p>
    <w:p w:rsidR="00F56EC0" w:rsidRDefault="00F56EC0" w:rsidP="00F56EC0">
      <w:pPr>
        <w:pStyle w:val="-"/>
        <w:ind w:firstLine="420"/>
      </w:pPr>
    </w:p>
    <w:p w:rsidR="00F56EC0" w:rsidRDefault="00F56EC0" w:rsidP="00F56EC0">
      <w:pPr>
        <w:pStyle w:val="-"/>
        <w:ind w:firstLine="420"/>
      </w:pPr>
      <w:r>
        <w:rPr>
          <w:rFonts w:hint="eastAsia"/>
        </w:rPr>
        <w:t>3.3关于资产预期收益率的讨论——非生息资产的分类及预期收益率讨论</w:t>
      </w:r>
    </w:p>
    <w:p w:rsidR="00F56EC0" w:rsidRDefault="00F56EC0" w:rsidP="00F56EC0">
      <w:pPr>
        <w:pStyle w:val="-"/>
        <w:ind w:firstLine="420"/>
      </w:pPr>
      <w:r>
        <w:rPr>
          <w:rFonts w:hint="eastAsia"/>
        </w:rPr>
        <w:t>讨论完生息资产之后，我们再把目光转移到非生息资产。非生息资产也可以分成两种类别：一种叫做流动性载体的资产，另一种则为波动率资产。同样在非生息资产中我们也</w:t>
      </w:r>
      <w:r>
        <w:rPr>
          <w:rFonts w:hint="eastAsia"/>
        </w:rPr>
        <w:lastRenderedPageBreak/>
        <w:t>可以观察到少数净值稳步向上的资产类别，比如黄金，虚拟货币，微盘股策略，日本市场中的一些基准指数。为什么这些非生息资产的净值可以不断向上呢？其实得益于这些资产本生的稀缺性，稀缺的资产与全球泛滥的流动性相结合，净值曲线就呈现出稳步增长的态势。第二种非生息资产就是所谓波动率资产，波动率资产的定价模式往往来源于市场信息的催化所引发的股票供需变化。比如说某一上市公司A，突然美国的上游客户给A公司下了一个数量较大的订单，受益于消息的催化，股票数量供需边际呈现出供不应求的状态，股价在短期内出现明显的涨幅。</w:t>
      </w:r>
    </w:p>
    <w:p w:rsidR="00F56EC0" w:rsidRDefault="00F56EC0" w:rsidP="00F56EC0">
      <w:pPr>
        <w:pStyle w:val="-"/>
        <w:ind w:firstLine="420"/>
      </w:pPr>
    </w:p>
    <w:p w:rsidR="00F56EC0" w:rsidRDefault="00F56EC0" w:rsidP="00F56EC0">
      <w:pPr>
        <w:pStyle w:val="-"/>
        <w:ind w:firstLine="420"/>
      </w:pPr>
      <w:r>
        <w:rPr>
          <w:rFonts w:hint="eastAsia"/>
        </w:rPr>
        <w:t>为什么笔者认为非生息资产无法准确计算出潜在的收益回报？主要原因来自非生息资产的定价模式没有办法像生息资产那样进行科学合理的预期收益率计算。非生息资产价格的抬升往往依赖于市场的流动性以及活跃度，同时在定价方式非常像商品的定价方式，即边际信息的催化使得股票数量在短期内出现供不应求而催生股价的上涨。我们拿原油来举例，例如油价在当前交易在80美金的水平，突然之间OPEC组织宣布限产，那油价大概率应声上涨。反之当油价交易在40美金的水平，突然美国又发现了新的油田盆地，油价自然会出现下跌。所以原油到底是40美金合理还是80美金合理，没有合理的价格，因为定价来源于边际的供求关系的变化。</w:t>
      </w:r>
    </w:p>
    <w:p w:rsidR="00F56EC0" w:rsidRDefault="00F56EC0" w:rsidP="00F56EC0">
      <w:pPr>
        <w:pStyle w:val="-"/>
        <w:ind w:firstLine="420"/>
      </w:pPr>
    </w:p>
    <w:p w:rsidR="00F56EC0" w:rsidRDefault="00F56EC0" w:rsidP="00F56EC0">
      <w:pPr>
        <w:pStyle w:val="-"/>
        <w:ind w:firstLine="420"/>
      </w:pPr>
      <w:r>
        <w:rPr>
          <w:rFonts w:hint="eastAsia"/>
        </w:rPr>
        <w:t>4、关于资产相关性动态变化的讨论</w:t>
      </w:r>
    </w:p>
    <w:p w:rsidR="00F56EC0" w:rsidRDefault="00F56EC0" w:rsidP="00F56EC0">
      <w:pPr>
        <w:pStyle w:val="-"/>
        <w:ind w:firstLine="420"/>
      </w:pPr>
      <w:r>
        <w:rPr>
          <w:rFonts w:hint="eastAsia"/>
        </w:rPr>
        <w:t>聊完了不同资产预期收益率的测算之后，我们再把目光聚焦在资产的波动率。复盘历史各类资产之间长期的相关性，股和债呈现出一些弱相关的关系，黄金和其他资产也呈现出一些弱相关或者负相关的关系。当然这些弱相关或者负相关的关系，对组合管理者来说就是可以有效降低组合整体波动率的工具。对于资产之间的相关性并非是一成不变的，往往会随着宏观范式的变化引发资产之间相关性的变化。比如，理论上股票和债券的定价公式，假设股权风险溢价不变的基础上，股票和债券之间的定价大概率呈现出负相关的关系。但是从08年全球金融危机以及新冠疫情之后，全球政府通过使用货币手段和财政手段对经济逆周期调节的越来越多，因此使得股和债之间的关系并不稳定。在过往三年中，坦率地说，笔者认为全球市场中最成功的宏观交易一定是做多牛市，这并不是一个简单容易的投资决策。2022年之前，黄金和真实利率呈现相对稳定的负相关关系。2022年之后黄金脱离了真实利率这一“地心引力”一路狂飙。本质原因是因为在疫情之后，黄金价格的影响因素产生了新的变量，疫情之后美国政府赤字率水平显著抬升，通胀水平维持高位，政府财政负担加重引发市场对债券偿付能力的担忧进而影响美元的信用。同时，俄乌战争等地缘政治的扰动加速了各国央行的购金行为。2022年之前黄金的定价因素主要和其金融属性紧密相关，疫情之后，美元信用以及地缘政治催生了影响黄金价格的第二个因素——供需环境改变。所以，在这里笔者想和投资者朋友强调的一点是，去深入研究资产相关性背后的</w:t>
      </w:r>
      <w:r>
        <w:rPr>
          <w:rFonts w:hint="eastAsia"/>
        </w:rPr>
        <w:lastRenderedPageBreak/>
        <w:t>底层逻辑，才是我们通过宏观范式的变化提前识别资产之间相关性逆转的重要方式。这也是资产配置获取超额收益的重要来源之一。</w:t>
      </w:r>
    </w:p>
    <w:p w:rsidR="00F56EC0" w:rsidRDefault="00F56EC0" w:rsidP="00F56EC0">
      <w:pPr>
        <w:pStyle w:val="-"/>
        <w:ind w:firstLine="420"/>
      </w:pPr>
    </w:p>
    <w:p w:rsidR="00F56EC0" w:rsidRDefault="00F56EC0" w:rsidP="00F56EC0">
      <w:pPr>
        <w:pStyle w:val="-"/>
        <w:ind w:firstLine="420"/>
      </w:pPr>
      <w:r>
        <w:rPr>
          <w:rFonts w:hint="eastAsia"/>
        </w:rPr>
        <w:t>5、关于资产配置中“尾部风险”应对处理</w:t>
      </w:r>
    </w:p>
    <w:p w:rsidR="00F56EC0" w:rsidRDefault="00F56EC0" w:rsidP="00F56EC0">
      <w:pPr>
        <w:pStyle w:val="-"/>
        <w:ind w:firstLine="420"/>
      </w:pPr>
      <w:r>
        <w:rPr>
          <w:rFonts w:hint="eastAsia"/>
        </w:rPr>
        <w:t>做资产配置的过程中，除了笔者在上文中强调的，需要研究三件事：（1）资产的预期收益率水平；（2）资产之间的相关性的动态变化以及（3）资产配置组合应该以什么样的方式进行构建。当然还有一个非常重要的事情就是如何应对市场中的“尾部风险”。尽管“尾部风险”往往是一些“无法预期”的黑天鹅事件。但如果能在组合管理中控制好“尾部风险”，减少回撤才有可能尽快修复净值，并且持续在低波动的市场环境中继续积累收益。因此，笔者认为只有管理人手中拥有足够的多的金融工具，才是应对市场出现尾部风险重要的保障。常见的应对方式，例如通过提前在VIX波动率指数极低的位置埋伏波动率ETF产品来应对市场出现的短期快速回调，但同时也要注意长期持有波动率产品损耗较大。第二种则是当市场的波动率水平持续处于比较高的位置，例如2022年美股市场宽基指数持续回调，此时备兑型（Covered Call）ETF就是比较好的选择，例如iShare Large cap MAX BufferETF，JPMorgan Equity Premium Income ETF等等都是管理人在保留权益仓位的同时，又能够有效控制组合回撤的方式。除了在全球市场通过采用包含衍生品的ETF来降低组合波动率水平之外，第三种应对市场“尾部风险”的方式则是“防患于未然”。事前在日常的组合管理中，引入一些低波动的基金来降低整个组合的波动率水平，使自身能够更好的、更从容的去应对整体市场的波动。例如，BMO低波加拿大股票指数基金，领航富时加拿大高股息指数基金，富兰克林全球高息低波指数基金以及WisdomTree日本多空对冲指数基金等等。</w:t>
      </w:r>
    </w:p>
    <w:p w:rsidR="00F56EC0" w:rsidRDefault="00F56EC0" w:rsidP="00F56EC0">
      <w:pPr>
        <w:pStyle w:val="-3"/>
        <w:spacing w:before="156" w:after="156"/>
      </w:pPr>
      <w:r>
        <w:rPr>
          <w:rFonts w:hint="eastAsia"/>
        </w:rPr>
        <w:t>报告期内基金的业绩表现</w:t>
      </w:r>
    </w:p>
    <w:p w:rsidR="00F56EC0" w:rsidRDefault="00F56EC0" w:rsidP="00F56EC0">
      <w:pPr>
        <w:pStyle w:val="-"/>
        <w:ind w:firstLine="420"/>
      </w:pPr>
      <w:r>
        <w:rPr>
          <w:rFonts w:hint="eastAsia"/>
        </w:rPr>
        <w:t>截至报告期末，本基金A份额净值为0.9855元，报告期内，份额净值增长率为1.65%，同期业绩基准增长率为2.41%；本基金C份额净值为0.9819元，报告期内，份额净值增长率为1.50%，同期业绩基准增长率为2.41%。</w:t>
      </w:r>
    </w:p>
    <w:p w:rsidR="00F56EC0" w:rsidRDefault="00F56EC0" w:rsidP="00F56EC0">
      <w:pPr>
        <w:pStyle w:val="-2"/>
        <w:spacing w:before="312"/>
      </w:pPr>
      <w:r>
        <w:rPr>
          <w:rFonts w:hint="eastAsia"/>
        </w:rPr>
        <w:t>报告期内基金持有人数或基金资产净值预警说明</w:t>
      </w:r>
    </w:p>
    <w:p w:rsidR="00F56EC0" w:rsidRDefault="00F56EC0" w:rsidP="00F56EC0">
      <w:pPr>
        <w:pStyle w:val="-"/>
        <w:ind w:firstLine="420"/>
      </w:pPr>
      <w:r>
        <w:rPr>
          <w:rFonts w:hint="eastAsia"/>
        </w:rPr>
        <w:t>报告期内，本基金未出现连续二十个交易日基金份额持有人数量不满二百人或者基金资产净值低于五千万元的情形。</w:t>
      </w:r>
    </w:p>
    <w:p w:rsidR="00F56EC0" w:rsidRDefault="00F56EC0" w:rsidP="00F56EC0">
      <w:pPr>
        <w:pStyle w:val="-1"/>
        <w:ind w:left="281" w:hanging="281"/>
      </w:pPr>
      <w:r>
        <w:rPr>
          <w:rFonts w:hint="eastAsia"/>
        </w:rPr>
        <w:t>投资组合报告</w:t>
      </w:r>
    </w:p>
    <w:p w:rsidR="00F56EC0" w:rsidRDefault="00F56EC0" w:rsidP="00F56EC0">
      <w:pPr>
        <w:pStyle w:val="-2"/>
        <w:spacing w:before="312"/>
      </w:pPr>
      <w:r>
        <w:rPr>
          <w:rFonts w:hint="eastAsia"/>
        </w:rPr>
        <w:t>报告期末基金资产组合情况</w:t>
      </w:r>
    </w:p>
    <w:p w:rsidR="00F56EC0" w:rsidRDefault="00F56EC0" w:rsidP="00F56EC0">
      <w:pPr>
        <w:jc w:val="right"/>
      </w:pPr>
      <w:r>
        <w:rPr>
          <w:rFonts w:hint="eastAsia"/>
        </w:rPr>
        <w:lastRenderedPageBreak/>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F56EC0" w:rsidTr="00F56EC0">
        <w:trPr>
          <w:cnfStyle w:val="100000000000" w:firstRow="1" w:lastRow="0" w:firstColumn="0" w:lastColumn="0" w:oddVBand="0" w:evenVBand="0" w:oddHBand="0" w:evenHBand="0" w:firstRowFirstColumn="0" w:firstRowLastColumn="0" w:lastRowFirstColumn="0" w:lastRowLastColumn="0"/>
        </w:trPr>
        <w:tc>
          <w:tcPr>
            <w:tcW w:w="2076" w:type="dxa"/>
          </w:tcPr>
          <w:p w:rsidR="00F56EC0" w:rsidRPr="00F56EC0" w:rsidRDefault="00F56EC0" w:rsidP="00F56EC0">
            <w:pPr>
              <w:jc w:val="center"/>
              <w:rPr>
                <w:b/>
              </w:rPr>
            </w:pPr>
            <w:r w:rsidRPr="00F56EC0">
              <w:rPr>
                <w:rFonts w:hint="eastAsia"/>
                <w:b/>
              </w:rPr>
              <w:t>序号</w:t>
            </w:r>
          </w:p>
        </w:tc>
        <w:tc>
          <w:tcPr>
            <w:tcW w:w="2076" w:type="dxa"/>
          </w:tcPr>
          <w:p w:rsidR="00F56EC0" w:rsidRPr="00F56EC0" w:rsidRDefault="00F56EC0" w:rsidP="00F56EC0">
            <w:pPr>
              <w:jc w:val="center"/>
              <w:rPr>
                <w:b/>
              </w:rPr>
            </w:pPr>
            <w:r w:rsidRPr="00F56EC0">
              <w:rPr>
                <w:rFonts w:hint="eastAsia"/>
                <w:b/>
              </w:rPr>
              <w:t>项目</w:t>
            </w:r>
          </w:p>
        </w:tc>
        <w:tc>
          <w:tcPr>
            <w:tcW w:w="2077" w:type="dxa"/>
          </w:tcPr>
          <w:p w:rsidR="00F56EC0" w:rsidRPr="00F56EC0" w:rsidRDefault="00F56EC0" w:rsidP="00F56EC0">
            <w:pPr>
              <w:jc w:val="center"/>
              <w:rPr>
                <w:b/>
              </w:rPr>
            </w:pPr>
            <w:r w:rsidRPr="00F56EC0">
              <w:rPr>
                <w:rFonts w:hint="eastAsia"/>
                <w:b/>
              </w:rPr>
              <w:t>金额（元）</w:t>
            </w:r>
          </w:p>
        </w:tc>
        <w:tc>
          <w:tcPr>
            <w:tcW w:w="2077" w:type="dxa"/>
          </w:tcPr>
          <w:p w:rsidR="00F56EC0" w:rsidRPr="00F56EC0" w:rsidRDefault="00F56EC0" w:rsidP="00F56EC0">
            <w:pPr>
              <w:jc w:val="center"/>
              <w:rPr>
                <w:b/>
              </w:rPr>
            </w:pPr>
            <w:r w:rsidRPr="00F56EC0">
              <w:rPr>
                <w:rFonts w:hint="eastAsia"/>
                <w:b/>
              </w:rPr>
              <w:t>占基金总资产的比例（</w:t>
            </w:r>
            <w:r w:rsidRPr="00F56EC0">
              <w:rPr>
                <w:rFonts w:hint="eastAsia"/>
                <w:b/>
              </w:rPr>
              <w:t>%</w:t>
            </w:r>
            <w:r w:rsidRPr="00F56EC0">
              <w:rPr>
                <w:rFonts w:hint="eastAsia"/>
                <w:b/>
              </w:rPr>
              <w:t>）</w:t>
            </w:r>
          </w:p>
        </w:tc>
      </w:tr>
      <w:tr w:rsidR="00F56EC0" w:rsidTr="00F56EC0">
        <w:tc>
          <w:tcPr>
            <w:tcW w:w="2076" w:type="dxa"/>
          </w:tcPr>
          <w:p w:rsidR="00F56EC0" w:rsidRDefault="00F56EC0" w:rsidP="00F56EC0">
            <w:pPr>
              <w:jc w:val="center"/>
            </w:pPr>
            <w:r>
              <w:t>1</w:t>
            </w:r>
          </w:p>
        </w:tc>
        <w:tc>
          <w:tcPr>
            <w:tcW w:w="2076" w:type="dxa"/>
          </w:tcPr>
          <w:p w:rsidR="00F56EC0" w:rsidRDefault="00F56EC0" w:rsidP="00F56EC0">
            <w:pPr>
              <w:jc w:val="left"/>
            </w:pPr>
            <w:r>
              <w:rPr>
                <w:rFonts w:hint="eastAsia"/>
              </w:rPr>
              <w:t>权益投资</w:t>
            </w:r>
          </w:p>
        </w:tc>
        <w:tc>
          <w:tcPr>
            <w:tcW w:w="2077" w:type="dxa"/>
          </w:tcPr>
          <w:p w:rsidR="00F56EC0" w:rsidRDefault="00F56EC0" w:rsidP="00F56EC0">
            <w:pPr>
              <w:jc w:val="right"/>
            </w:pPr>
            <w:r>
              <w:t>20,102,414.77</w:t>
            </w:r>
          </w:p>
        </w:tc>
        <w:tc>
          <w:tcPr>
            <w:tcW w:w="2077" w:type="dxa"/>
          </w:tcPr>
          <w:p w:rsidR="00F56EC0" w:rsidRDefault="00F56EC0" w:rsidP="00F56EC0">
            <w:pPr>
              <w:jc w:val="right"/>
            </w:pPr>
            <w:r>
              <w:t>1.08</w:t>
            </w:r>
          </w:p>
        </w:tc>
      </w:tr>
      <w:tr w:rsidR="00F56EC0" w:rsidTr="00F56EC0">
        <w:tc>
          <w:tcPr>
            <w:tcW w:w="2076" w:type="dxa"/>
          </w:tcPr>
          <w:p w:rsidR="00F56EC0" w:rsidRDefault="00F56EC0" w:rsidP="00F56EC0">
            <w:pPr>
              <w:jc w:val="center"/>
            </w:pPr>
          </w:p>
        </w:tc>
        <w:tc>
          <w:tcPr>
            <w:tcW w:w="2076" w:type="dxa"/>
          </w:tcPr>
          <w:p w:rsidR="00F56EC0" w:rsidRDefault="00F56EC0" w:rsidP="00F56EC0">
            <w:pPr>
              <w:jc w:val="left"/>
            </w:pPr>
            <w:r>
              <w:rPr>
                <w:rFonts w:hint="eastAsia"/>
              </w:rPr>
              <w:t>其中：普通股</w:t>
            </w:r>
          </w:p>
        </w:tc>
        <w:tc>
          <w:tcPr>
            <w:tcW w:w="2077" w:type="dxa"/>
          </w:tcPr>
          <w:p w:rsidR="00F56EC0" w:rsidRDefault="00F56EC0" w:rsidP="00F56EC0">
            <w:pPr>
              <w:jc w:val="right"/>
            </w:pPr>
            <w:r>
              <w:t>20,102,414.77</w:t>
            </w:r>
          </w:p>
        </w:tc>
        <w:tc>
          <w:tcPr>
            <w:tcW w:w="2077" w:type="dxa"/>
          </w:tcPr>
          <w:p w:rsidR="00F56EC0" w:rsidRDefault="00F56EC0" w:rsidP="00F56EC0">
            <w:pPr>
              <w:jc w:val="right"/>
            </w:pPr>
            <w:r>
              <w:t>1.08</w:t>
            </w:r>
          </w:p>
        </w:tc>
      </w:tr>
      <w:tr w:rsidR="00F56EC0" w:rsidTr="00F56EC0">
        <w:tc>
          <w:tcPr>
            <w:tcW w:w="2076" w:type="dxa"/>
          </w:tcPr>
          <w:p w:rsidR="00F56EC0" w:rsidRDefault="00F56EC0" w:rsidP="00F56EC0">
            <w:pPr>
              <w:jc w:val="center"/>
            </w:pPr>
          </w:p>
        </w:tc>
        <w:tc>
          <w:tcPr>
            <w:tcW w:w="2076" w:type="dxa"/>
          </w:tcPr>
          <w:p w:rsidR="00F56EC0" w:rsidRDefault="00F56EC0" w:rsidP="00F56EC0">
            <w:pPr>
              <w:jc w:val="left"/>
            </w:pPr>
            <w:r>
              <w:rPr>
                <w:rFonts w:hint="eastAsia"/>
              </w:rPr>
              <w:t xml:space="preserve">      </w:t>
            </w:r>
            <w:r>
              <w:rPr>
                <w:rFonts w:hint="eastAsia"/>
              </w:rPr>
              <w:t>存托凭证</w:t>
            </w:r>
          </w:p>
        </w:tc>
        <w:tc>
          <w:tcPr>
            <w:tcW w:w="2077" w:type="dxa"/>
          </w:tcPr>
          <w:p w:rsidR="00F56EC0" w:rsidRDefault="00F56EC0" w:rsidP="00F56EC0">
            <w:pPr>
              <w:jc w:val="right"/>
            </w:pPr>
            <w:r>
              <w:t>-</w:t>
            </w:r>
          </w:p>
        </w:tc>
        <w:tc>
          <w:tcPr>
            <w:tcW w:w="2077" w:type="dxa"/>
          </w:tcPr>
          <w:p w:rsidR="00F56EC0" w:rsidRDefault="00F56EC0" w:rsidP="00F56EC0">
            <w:pPr>
              <w:jc w:val="right"/>
            </w:pPr>
            <w:r>
              <w:t>-</w:t>
            </w:r>
          </w:p>
        </w:tc>
      </w:tr>
      <w:tr w:rsidR="00F56EC0" w:rsidTr="00F56EC0">
        <w:tc>
          <w:tcPr>
            <w:tcW w:w="2076" w:type="dxa"/>
          </w:tcPr>
          <w:p w:rsidR="00F56EC0" w:rsidRDefault="00F56EC0" w:rsidP="00F56EC0">
            <w:pPr>
              <w:jc w:val="center"/>
            </w:pPr>
            <w:r>
              <w:t>2</w:t>
            </w:r>
          </w:p>
        </w:tc>
        <w:tc>
          <w:tcPr>
            <w:tcW w:w="2076" w:type="dxa"/>
          </w:tcPr>
          <w:p w:rsidR="00F56EC0" w:rsidRDefault="00F56EC0" w:rsidP="00F56EC0">
            <w:pPr>
              <w:jc w:val="left"/>
            </w:pPr>
            <w:r>
              <w:rPr>
                <w:rFonts w:hint="eastAsia"/>
              </w:rPr>
              <w:t>基金投资</w:t>
            </w:r>
          </w:p>
        </w:tc>
        <w:tc>
          <w:tcPr>
            <w:tcW w:w="2077" w:type="dxa"/>
          </w:tcPr>
          <w:p w:rsidR="00F56EC0" w:rsidRDefault="00F56EC0" w:rsidP="00F56EC0">
            <w:pPr>
              <w:jc w:val="right"/>
            </w:pPr>
            <w:r>
              <w:t>1,712,648,140.77</w:t>
            </w:r>
          </w:p>
        </w:tc>
        <w:tc>
          <w:tcPr>
            <w:tcW w:w="2077" w:type="dxa"/>
          </w:tcPr>
          <w:p w:rsidR="00F56EC0" w:rsidRDefault="00F56EC0" w:rsidP="00F56EC0">
            <w:pPr>
              <w:jc w:val="right"/>
            </w:pPr>
            <w:r>
              <w:t>91.66</w:t>
            </w:r>
          </w:p>
        </w:tc>
      </w:tr>
      <w:tr w:rsidR="00F56EC0" w:rsidTr="00F56EC0">
        <w:tc>
          <w:tcPr>
            <w:tcW w:w="2076" w:type="dxa"/>
          </w:tcPr>
          <w:p w:rsidR="00F56EC0" w:rsidRDefault="00F56EC0" w:rsidP="00F56EC0">
            <w:pPr>
              <w:jc w:val="center"/>
            </w:pPr>
            <w:r>
              <w:t>3</w:t>
            </w:r>
          </w:p>
        </w:tc>
        <w:tc>
          <w:tcPr>
            <w:tcW w:w="2076" w:type="dxa"/>
          </w:tcPr>
          <w:p w:rsidR="00F56EC0" w:rsidRDefault="00F56EC0" w:rsidP="00F56EC0">
            <w:pPr>
              <w:jc w:val="left"/>
            </w:pPr>
            <w:r>
              <w:rPr>
                <w:rFonts w:hint="eastAsia"/>
              </w:rPr>
              <w:t>固定收益投资</w:t>
            </w:r>
          </w:p>
        </w:tc>
        <w:tc>
          <w:tcPr>
            <w:tcW w:w="2077" w:type="dxa"/>
          </w:tcPr>
          <w:p w:rsidR="00F56EC0" w:rsidRDefault="00F56EC0" w:rsidP="00F56EC0">
            <w:pPr>
              <w:jc w:val="right"/>
            </w:pPr>
            <w:r>
              <w:t>-</w:t>
            </w:r>
          </w:p>
        </w:tc>
        <w:tc>
          <w:tcPr>
            <w:tcW w:w="2077" w:type="dxa"/>
          </w:tcPr>
          <w:p w:rsidR="00F56EC0" w:rsidRDefault="00F56EC0" w:rsidP="00F56EC0">
            <w:pPr>
              <w:jc w:val="right"/>
            </w:pPr>
            <w:r>
              <w:t>-</w:t>
            </w:r>
          </w:p>
        </w:tc>
      </w:tr>
      <w:tr w:rsidR="00F56EC0" w:rsidTr="00F56EC0">
        <w:tc>
          <w:tcPr>
            <w:tcW w:w="2076" w:type="dxa"/>
          </w:tcPr>
          <w:p w:rsidR="00F56EC0" w:rsidRDefault="00F56EC0" w:rsidP="00F56EC0">
            <w:pPr>
              <w:jc w:val="center"/>
            </w:pPr>
          </w:p>
        </w:tc>
        <w:tc>
          <w:tcPr>
            <w:tcW w:w="2076" w:type="dxa"/>
          </w:tcPr>
          <w:p w:rsidR="00F56EC0" w:rsidRDefault="00F56EC0" w:rsidP="00F56EC0">
            <w:pPr>
              <w:jc w:val="left"/>
            </w:pPr>
            <w:r>
              <w:rPr>
                <w:rFonts w:hint="eastAsia"/>
              </w:rPr>
              <w:t>其中：债券</w:t>
            </w:r>
          </w:p>
        </w:tc>
        <w:tc>
          <w:tcPr>
            <w:tcW w:w="2077" w:type="dxa"/>
          </w:tcPr>
          <w:p w:rsidR="00F56EC0" w:rsidRDefault="00F56EC0" w:rsidP="00F56EC0">
            <w:pPr>
              <w:jc w:val="right"/>
            </w:pPr>
            <w:r>
              <w:t>-</w:t>
            </w:r>
          </w:p>
        </w:tc>
        <w:tc>
          <w:tcPr>
            <w:tcW w:w="2077" w:type="dxa"/>
          </w:tcPr>
          <w:p w:rsidR="00F56EC0" w:rsidRDefault="00F56EC0" w:rsidP="00F56EC0">
            <w:pPr>
              <w:jc w:val="right"/>
            </w:pPr>
            <w:r>
              <w:t>-</w:t>
            </w:r>
          </w:p>
        </w:tc>
      </w:tr>
      <w:tr w:rsidR="00F56EC0" w:rsidTr="00F56EC0">
        <w:tc>
          <w:tcPr>
            <w:tcW w:w="2076" w:type="dxa"/>
          </w:tcPr>
          <w:p w:rsidR="00F56EC0" w:rsidRDefault="00F56EC0" w:rsidP="00F56EC0">
            <w:pPr>
              <w:jc w:val="center"/>
            </w:pPr>
          </w:p>
        </w:tc>
        <w:tc>
          <w:tcPr>
            <w:tcW w:w="2076" w:type="dxa"/>
          </w:tcPr>
          <w:p w:rsidR="00F56EC0" w:rsidRDefault="00F56EC0" w:rsidP="00F56EC0">
            <w:pPr>
              <w:jc w:val="left"/>
            </w:pPr>
            <w:r>
              <w:rPr>
                <w:rFonts w:hint="eastAsia"/>
              </w:rPr>
              <w:t xml:space="preserve">      </w:t>
            </w:r>
            <w:r>
              <w:rPr>
                <w:rFonts w:hint="eastAsia"/>
              </w:rPr>
              <w:t>资产支持证券</w:t>
            </w:r>
          </w:p>
        </w:tc>
        <w:tc>
          <w:tcPr>
            <w:tcW w:w="2077" w:type="dxa"/>
          </w:tcPr>
          <w:p w:rsidR="00F56EC0" w:rsidRDefault="00F56EC0" w:rsidP="00F56EC0">
            <w:pPr>
              <w:jc w:val="right"/>
            </w:pPr>
            <w:r>
              <w:t>-</w:t>
            </w:r>
          </w:p>
        </w:tc>
        <w:tc>
          <w:tcPr>
            <w:tcW w:w="2077" w:type="dxa"/>
          </w:tcPr>
          <w:p w:rsidR="00F56EC0" w:rsidRDefault="00F56EC0" w:rsidP="00F56EC0">
            <w:pPr>
              <w:jc w:val="right"/>
            </w:pPr>
            <w:r>
              <w:t>-</w:t>
            </w:r>
          </w:p>
        </w:tc>
      </w:tr>
      <w:tr w:rsidR="00F56EC0" w:rsidTr="00F56EC0">
        <w:tc>
          <w:tcPr>
            <w:tcW w:w="2076" w:type="dxa"/>
          </w:tcPr>
          <w:p w:rsidR="00F56EC0" w:rsidRDefault="00F56EC0" w:rsidP="00F56EC0">
            <w:pPr>
              <w:jc w:val="center"/>
            </w:pPr>
            <w:r>
              <w:t>4</w:t>
            </w:r>
          </w:p>
        </w:tc>
        <w:tc>
          <w:tcPr>
            <w:tcW w:w="2076" w:type="dxa"/>
          </w:tcPr>
          <w:p w:rsidR="00F56EC0" w:rsidRDefault="00F56EC0" w:rsidP="00F56EC0">
            <w:pPr>
              <w:jc w:val="left"/>
            </w:pPr>
            <w:r>
              <w:rPr>
                <w:rFonts w:hint="eastAsia"/>
              </w:rPr>
              <w:t>金融衍生品投资</w:t>
            </w:r>
          </w:p>
        </w:tc>
        <w:tc>
          <w:tcPr>
            <w:tcW w:w="2077" w:type="dxa"/>
          </w:tcPr>
          <w:p w:rsidR="00F56EC0" w:rsidRDefault="00F56EC0" w:rsidP="00F56EC0">
            <w:pPr>
              <w:jc w:val="right"/>
            </w:pPr>
            <w:r>
              <w:t>-</w:t>
            </w:r>
          </w:p>
        </w:tc>
        <w:tc>
          <w:tcPr>
            <w:tcW w:w="2077" w:type="dxa"/>
          </w:tcPr>
          <w:p w:rsidR="00F56EC0" w:rsidRDefault="00F56EC0" w:rsidP="00F56EC0">
            <w:pPr>
              <w:jc w:val="right"/>
            </w:pPr>
            <w:r>
              <w:t>-</w:t>
            </w:r>
          </w:p>
        </w:tc>
      </w:tr>
      <w:tr w:rsidR="00F56EC0" w:rsidTr="00F56EC0">
        <w:tc>
          <w:tcPr>
            <w:tcW w:w="2076" w:type="dxa"/>
          </w:tcPr>
          <w:p w:rsidR="00F56EC0" w:rsidRDefault="00F56EC0" w:rsidP="00F56EC0">
            <w:pPr>
              <w:jc w:val="center"/>
            </w:pPr>
          </w:p>
        </w:tc>
        <w:tc>
          <w:tcPr>
            <w:tcW w:w="2076" w:type="dxa"/>
          </w:tcPr>
          <w:p w:rsidR="00F56EC0" w:rsidRDefault="00F56EC0" w:rsidP="00F56EC0">
            <w:pPr>
              <w:jc w:val="left"/>
            </w:pPr>
            <w:r>
              <w:rPr>
                <w:rFonts w:hint="eastAsia"/>
              </w:rPr>
              <w:t>其中：远期</w:t>
            </w:r>
          </w:p>
        </w:tc>
        <w:tc>
          <w:tcPr>
            <w:tcW w:w="2077" w:type="dxa"/>
          </w:tcPr>
          <w:p w:rsidR="00F56EC0" w:rsidRDefault="00F56EC0" w:rsidP="00F56EC0">
            <w:pPr>
              <w:jc w:val="right"/>
            </w:pPr>
            <w:r>
              <w:t>-</w:t>
            </w:r>
          </w:p>
        </w:tc>
        <w:tc>
          <w:tcPr>
            <w:tcW w:w="2077" w:type="dxa"/>
          </w:tcPr>
          <w:p w:rsidR="00F56EC0" w:rsidRDefault="00F56EC0" w:rsidP="00F56EC0">
            <w:pPr>
              <w:jc w:val="right"/>
            </w:pPr>
            <w:r>
              <w:t>-</w:t>
            </w:r>
          </w:p>
        </w:tc>
      </w:tr>
      <w:tr w:rsidR="00F56EC0" w:rsidTr="00F56EC0">
        <w:tc>
          <w:tcPr>
            <w:tcW w:w="2076" w:type="dxa"/>
          </w:tcPr>
          <w:p w:rsidR="00F56EC0" w:rsidRDefault="00F56EC0" w:rsidP="00F56EC0">
            <w:pPr>
              <w:jc w:val="center"/>
            </w:pPr>
          </w:p>
        </w:tc>
        <w:tc>
          <w:tcPr>
            <w:tcW w:w="2076" w:type="dxa"/>
          </w:tcPr>
          <w:p w:rsidR="00F56EC0" w:rsidRDefault="00F56EC0" w:rsidP="00F56EC0">
            <w:pPr>
              <w:jc w:val="left"/>
            </w:pPr>
            <w:r>
              <w:rPr>
                <w:rFonts w:hint="eastAsia"/>
              </w:rPr>
              <w:t xml:space="preserve">      </w:t>
            </w:r>
            <w:r>
              <w:rPr>
                <w:rFonts w:hint="eastAsia"/>
              </w:rPr>
              <w:t>期货</w:t>
            </w:r>
          </w:p>
        </w:tc>
        <w:tc>
          <w:tcPr>
            <w:tcW w:w="2077" w:type="dxa"/>
          </w:tcPr>
          <w:p w:rsidR="00F56EC0" w:rsidRDefault="00F56EC0" w:rsidP="00F56EC0">
            <w:pPr>
              <w:jc w:val="right"/>
            </w:pPr>
            <w:r>
              <w:t>-</w:t>
            </w:r>
          </w:p>
        </w:tc>
        <w:tc>
          <w:tcPr>
            <w:tcW w:w="2077" w:type="dxa"/>
          </w:tcPr>
          <w:p w:rsidR="00F56EC0" w:rsidRDefault="00F56EC0" w:rsidP="00F56EC0">
            <w:pPr>
              <w:jc w:val="right"/>
            </w:pPr>
            <w:r>
              <w:t>-</w:t>
            </w:r>
          </w:p>
        </w:tc>
      </w:tr>
      <w:tr w:rsidR="00F56EC0" w:rsidTr="00F56EC0">
        <w:tc>
          <w:tcPr>
            <w:tcW w:w="2076" w:type="dxa"/>
          </w:tcPr>
          <w:p w:rsidR="00F56EC0" w:rsidRDefault="00F56EC0" w:rsidP="00F56EC0">
            <w:pPr>
              <w:jc w:val="center"/>
            </w:pPr>
          </w:p>
        </w:tc>
        <w:tc>
          <w:tcPr>
            <w:tcW w:w="2076" w:type="dxa"/>
          </w:tcPr>
          <w:p w:rsidR="00F56EC0" w:rsidRDefault="00F56EC0" w:rsidP="00F56EC0">
            <w:pPr>
              <w:jc w:val="left"/>
            </w:pPr>
            <w:r>
              <w:rPr>
                <w:rFonts w:hint="eastAsia"/>
              </w:rPr>
              <w:t xml:space="preserve">      </w:t>
            </w:r>
            <w:r>
              <w:rPr>
                <w:rFonts w:hint="eastAsia"/>
              </w:rPr>
              <w:t>期权</w:t>
            </w:r>
          </w:p>
        </w:tc>
        <w:tc>
          <w:tcPr>
            <w:tcW w:w="2077" w:type="dxa"/>
          </w:tcPr>
          <w:p w:rsidR="00F56EC0" w:rsidRDefault="00F56EC0" w:rsidP="00F56EC0">
            <w:pPr>
              <w:jc w:val="right"/>
            </w:pPr>
            <w:r>
              <w:t>-</w:t>
            </w:r>
          </w:p>
        </w:tc>
        <w:tc>
          <w:tcPr>
            <w:tcW w:w="2077" w:type="dxa"/>
          </w:tcPr>
          <w:p w:rsidR="00F56EC0" w:rsidRDefault="00F56EC0" w:rsidP="00F56EC0">
            <w:pPr>
              <w:jc w:val="right"/>
            </w:pPr>
            <w:r>
              <w:t>-</w:t>
            </w:r>
          </w:p>
        </w:tc>
      </w:tr>
      <w:tr w:rsidR="00F56EC0" w:rsidTr="00F56EC0">
        <w:tc>
          <w:tcPr>
            <w:tcW w:w="2076" w:type="dxa"/>
          </w:tcPr>
          <w:p w:rsidR="00F56EC0" w:rsidRDefault="00F56EC0" w:rsidP="00F56EC0">
            <w:pPr>
              <w:jc w:val="center"/>
            </w:pPr>
          </w:p>
        </w:tc>
        <w:tc>
          <w:tcPr>
            <w:tcW w:w="2076" w:type="dxa"/>
          </w:tcPr>
          <w:p w:rsidR="00F56EC0" w:rsidRDefault="00F56EC0" w:rsidP="00F56EC0">
            <w:pPr>
              <w:jc w:val="left"/>
            </w:pPr>
            <w:r>
              <w:rPr>
                <w:rFonts w:hint="eastAsia"/>
              </w:rPr>
              <w:t xml:space="preserve">      </w:t>
            </w:r>
            <w:r>
              <w:rPr>
                <w:rFonts w:hint="eastAsia"/>
              </w:rPr>
              <w:t>权证</w:t>
            </w:r>
          </w:p>
        </w:tc>
        <w:tc>
          <w:tcPr>
            <w:tcW w:w="2077" w:type="dxa"/>
          </w:tcPr>
          <w:p w:rsidR="00F56EC0" w:rsidRDefault="00F56EC0" w:rsidP="00F56EC0">
            <w:pPr>
              <w:jc w:val="right"/>
            </w:pPr>
            <w:r>
              <w:t>-</w:t>
            </w:r>
          </w:p>
        </w:tc>
        <w:tc>
          <w:tcPr>
            <w:tcW w:w="2077" w:type="dxa"/>
          </w:tcPr>
          <w:p w:rsidR="00F56EC0" w:rsidRDefault="00F56EC0" w:rsidP="00F56EC0">
            <w:pPr>
              <w:jc w:val="right"/>
            </w:pPr>
            <w:r>
              <w:t>-</w:t>
            </w:r>
          </w:p>
        </w:tc>
      </w:tr>
      <w:tr w:rsidR="00F56EC0" w:rsidTr="00F56EC0">
        <w:tc>
          <w:tcPr>
            <w:tcW w:w="2076" w:type="dxa"/>
          </w:tcPr>
          <w:p w:rsidR="00F56EC0" w:rsidRDefault="00F56EC0" w:rsidP="00F56EC0">
            <w:pPr>
              <w:jc w:val="center"/>
            </w:pPr>
            <w:r>
              <w:t>5</w:t>
            </w:r>
          </w:p>
        </w:tc>
        <w:tc>
          <w:tcPr>
            <w:tcW w:w="2076" w:type="dxa"/>
          </w:tcPr>
          <w:p w:rsidR="00F56EC0" w:rsidRDefault="00F56EC0" w:rsidP="00F56EC0">
            <w:pPr>
              <w:jc w:val="left"/>
            </w:pPr>
            <w:r>
              <w:rPr>
                <w:rFonts w:hint="eastAsia"/>
              </w:rPr>
              <w:t>买入返售金融资产</w:t>
            </w:r>
          </w:p>
        </w:tc>
        <w:tc>
          <w:tcPr>
            <w:tcW w:w="2077" w:type="dxa"/>
          </w:tcPr>
          <w:p w:rsidR="00F56EC0" w:rsidRDefault="00F56EC0" w:rsidP="00F56EC0">
            <w:pPr>
              <w:jc w:val="right"/>
            </w:pPr>
            <w:r>
              <w:t>-</w:t>
            </w:r>
          </w:p>
        </w:tc>
        <w:tc>
          <w:tcPr>
            <w:tcW w:w="2077" w:type="dxa"/>
          </w:tcPr>
          <w:p w:rsidR="00F56EC0" w:rsidRDefault="00F56EC0" w:rsidP="00F56EC0">
            <w:pPr>
              <w:jc w:val="right"/>
            </w:pPr>
            <w:r>
              <w:t>-</w:t>
            </w:r>
          </w:p>
        </w:tc>
      </w:tr>
      <w:tr w:rsidR="00F56EC0" w:rsidTr="00F56EC0">
        <w:tc>
          <w:tcPr>
            <w:tcW w:w="2076" w:type="dxa"/>
          </w:tcPr>
          <w:p w:rsidR="00F56EC0" w:rsidRDefault="00F56EC0" w:rsidP="00F56EC0">
            <w:pPr>
              <w:jc w:val="center"/>
            </w:pPr>
          </w:p>
        </w:tc>
        <w:tc>
          <w:tcPr>
            <w:tcW w:w="2076" w:type="dxa"/>
          </w:tcPr>
          <w:p w:rsidR="00F56EC0" w:rsidRDefault="00F56EC0" w:rsidP="00F56EC0">
            <w:pPr>
              <w:jc w:val="left"/>
            </w:pPr>
            <w:r>
              <w:rPr>
                <w:rFonts w:hint="eastAsia"/>
              </w:rPr>
              <w:t>其中：买断式回购的买入返售金融资产</w:t>
            </w:r>
          </w:p>
        </w:tc>
        <w:tc>
          <w:tcPr>
            <w:tcW w:w="2077" w:type="dxa"/>
          </w:tcPr>
          <w:p w:rsidR="00F56EC0" w:rsidRDefault="00F56EC0" w:rsidP="00F56EC0">
            <w:pPr>
              <w:jc w:val="right"/>
            </w:pPr>
            <w:r>
              <w:t>-</w:t>
            </w:r>
          </w:p>
        </w:tc>
        <w:tc>
          <w:tcPr>
            <w:tcW w:w="2077" w:type="dxa"/>
          </w:tcPr>
          <w:p w:rsidR="00F56EC0" w:rsidRDefault="00F56EC0" w:rsidP="00F56EC0">
            <w:pPr>
              <w:jc w:val="right"/>
            </w:pPr>
            <w:r>
              <w:t>-</w:t>
            </w:r>
          </w:p>
        </w:tc>
      </w:tr>
      <w:tr w:rsidR="00F56EC0" w:rsidTr="00F56EC0">
        <w:tc>
          <w:tcPr>
            <w:tcW w:w="2076" w:type="dxa"/>
          </w:tcPr>
          <w:p w:rsidR="00F56EC0" w:rsidRDefault="00F56EC0" w:rsidP="00F56EC0">
            <w:pPr>
              <w:jc w:val="center"/>
            </w:pPr>
            <w:r>
              <w:t>6</w:t>
            </w:r>
          </w:p>
        </w:tc>
        <w:tc>
          <w:tcPr>
            <w:tcW w:w="2076" w:type="dxa"/>
          </w:tcPr>
          <w:p w:rsidR="00F56EC0" w:rsidRDefault="00F56EC0" w:rsidP="00F56EC0">
            <w:pPr>
              <w:jc w:val="left"/>
            </w:pPr>
            <w:r>
              <w:rPr>
                <w:rFonts w:hint="eastAsia"/>
              </w:rPr>
              <w:t>货币市场工具</w:t>
            </w:r>
          </w:p>
        </w:tc>
        <w:tc>
          <w:tcPr>
            <w:tcW w:w="2077" w:type="dxa"/>
          </w:tcPr>
          <w:p w:rsidR="00F56EC0" w:rsidRDefault="00F56EC0" w:rsidP="00F56EC0">
            <w:pPr>
              <w:jc w:val="right"/>
            </w:pPr>
            <w:r>
              <w:t>-</w:t>
            </w:r>
          </w:p>
        </w:tc>
        <w:tc>
          <w:tcPr>
            <w:tcW w:w="2077" w:type="dxa"/>
          </w:tcPr>
          <w:p w:rsidR="00F56EC0" w:rsidRDefault="00F56EC0" w:rsidP="00F56EC0">
            <w:pPr>
              <w:jc w:val="right"/>
            </w:pPr>
            <w:r>
              <w:t>-</w:t>
            </w:r>
          </w:p>
        </w:tc>
      </w:tr>
      <w:tr w:rsidR="00F56EC0" w:rsidTr="00F56EC0">
        <w:tc>
          <w:tcPr>
            <w:tcW w:w="2076" w:type="dxa"/>
          </w:tcPr>
          <w:p w:rsidR="00F56EC0" w:rsidRDefault="00F56EC0" w:rsidP="00F56EC0">
            <w:pPr>
              <w:jc w:val="center"/>
            </w:pPr>
            <w:r>
              <w:t>7</w:t>
            </w:r>
          </w:p>
        </w:tc>
        <w:tc>
          <w:tcPr>
            <w:tcW w:w="2076" w:type="dxa"/>
          </w:tcPr>
          <w:p w:rsidR="00F56EC0" w:rsidRDefault="00F56EC0" w:rsidP="00F56EC0">
            <w:pPr>
              <w:jc w:val="left"/>
            </w:pPr>
            <w:r>
              <w:rPr>
                <w:rFonts w:hint="eastAsia"/>
              </w:rPr>
              <w:t>银行存款和结算备付金合计</w:t>
            </w:r>
          </w:p>
        </w:tc>
        <w:tc>
          <w:tcPr>
            <w:tcW w:w="2077" w:type="dxa"/>
          </w:tcPr>
          <w:p w:rsidR="00F56EC0" w:rsidRDefault="00F56EC0" w:rsidP="00F56EC0">
            <w:pPr>
              <w:jc w:val="right"/>
            </w:pPr>
            <w:r>
              <w:t>111,879,479.60</w:t>
            </w:r>
          </w:p>
        </w:tc>
        <w:tc>
          <w:tcPr>
            <w:tcW w:w="2077" w:type="dxa"/>
          </w:tcPr>
          <w:p w:rsidR="00F56EC0" w:rsidRDefault="00F56EC0" w:rsidP="00F56EC0">
            <w:pPr>
              <w:jc w:val="right"/>
            </w:pPr>
            <w:r>
              <w:t>5.99</w:t>
            </w:r>
          </w:p>
        </w:tc>
      </w:tr>
      <w:tr w:rsidR="00F56EC0" w:rsidTr="00F56EC0">
        <w:tc>
          <w:tcPr>
            <w:tcW w:w="2076" w:type="dxa"/>
          </w:tcPr>
          <w:p w:rsidR="00F56EC0" w:rsidRDefault="00F56EC0" w:rsidP="00F56EC0">
            <w:pPr>
              <w:jc w:val="center"/>
            </w:pPr>
            <w:r>
              <w:t>8</w:t>
            </w:r>
          </w:p>
        </w:tc>
        <w:tc>
          <w:tcPr>
            <w:tcW w:w="2076" w:type="dxa"/>
          </w:tcPr>
          <w:p w:rsidR="00F56EC0" w:rsidRDefault="00F56EC0" w:rsidP="00F56EC0">
            <w:pPr>
              <w:jc w:val="left"/>
            </w:pPr>
            <w:r>
              <w:rPr>
                <w:rFonts w:hint="eastAsia"/>
              </w:rPr>
              <w:t>其他资产</w:t>
            </w:r>
          </w:p>
        </w:tc>
        <w:tc>
          <w:tcPr>
            <w:tcW w:w="2077" w:type="dxa"/>
          </w:tcPr>
          <w:p w:rsidR="00F56EC0" w:rsidRDefault="00F56EC0" w:rsidP="00F56EC0">
            <w:pPr>
              <w:jc w:val="right"/>
            </w:pPr>
            <w:r>
              <w:t>23,937,459.88</w:t>
            </w:r>
          </w:p>
        </w:tc>
        <w:tc>
          <w:tcPr>
            <w:tcW w:w="2077" w:type="dxa"/>
          </w:tcPr>
          <w:p w:rsidR="00F56EC0" w:rsidRDefault="00F56EC0" w:rsidP="00F56EC0">
            <w:pPr>
              <w:jc w:val="right"/>
            </w:pPr>
            <w:r>
              <w:t>1.28</w:t>
            </w:r>
          </w:p>
        </w:tc>
      </w:tr>
      <w:tr w:rsidR="00F56EC0" w:rsidTr="00F56EC0">
        <w:tc>
          <w:tcPr>
            <w:tcW w:w="2076" w:type="dxa"/>
          </w:tcPr>
          <w:p w:rsidR="00F56EC0" w:rsidRDefault="00F56EC0" w:rsidP="00F56EC0">
            <w:pPr>
              <w:jc w:val="center"/>
            </w:pPr>
            <w:r>
              <w:t>9</w:t>
            </w:r>
          </w:p>
        </w:tc>
        <w:tc>
          <w:tcPr>
            <w:tcW w:w="2076" w:type="dxa"/>
          </w:tcPr>
          <w:p w:rsidR="00F56EC0" w:rsidRDefault="00F56EC0" w:rsidP="00F56EC0">
            <w:pPr>
              <w:jc w:val="left"/>
            </w:pPr>
            <w:r>
              <w:rPr>
                <w:rFonts w:hint="eastAsia"/>
              </w:rPr>
              <w:t>合计</w:t>
            </w:r>
          </w:p>
        </w:tc>
        <w:tc>
          <w:tcPr>
            <w:tcW w:w="2077" w:type="dxa"/>
          </w:tcPr>
          <w:p w:rsidR="00F56EC0" w:rsidRDefault="00F56EC0" w:rsidP="00F56EC0">
            <w:pPr>
              <w:jc w:val="right"/>
            </w:pPr>
            <w:r>
              <w:t>1,868,567,495.02</w:t>
            </w:r>
          </w:p>
        </w:tc>
        <w:tc>
          <w:tcPr>
            <w:tcW w:w="2077" w:type="dxa"/>
          </w:tcPr>
          <w:p w:rsidR="00F56EC0" w:rsidRDefault="00F56EC0" w:rsidP="00F56EC0">
            <w:pPr>
              <w:jc w:val="right"/>
            </w:pPr>
            <w:r>
              <w:t>100.00</w:t>
            </w:r>
          </w:p>
        </w:tc>
      </w:tr>
    </w:tbl>
    <w:p w:rsidR="00F56EC0" w:rsidRDefault="00F56EC0" w:rsidP="00F56EC0">
      <w:pPr>
        <w:pStyle w:val="-2"/>
        <w:spacing w:before="312"/>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F56EC0" w:rsidTr="00F56EC0">
        <w:trPr>
          <w:cnfStyle w:val="100000000000" w:firstRow="1" w:lastRow="0" w:firstColumn="0" w:lastColumn="0" w:oddVBand="0" w:evenVBand="0" w:oddHBand="0" w:evenHBand="0" w:firstRowFirstColumn="0" w:firstRowLastColumn="0" w:lastRowFirstColumn="0" w:lastRowLastColumn="0"/>
        </w:trPr>
        <w:tc>
          <w:tcPr>
            <w:tcW w:w="2768" w:type="dxa"/>
          </w:tcPr>
          <w:p w:rsidR="00F56EC0" w:rsidRPr="00F56EC0" w:rsidRDefault="00F56EC0" w:rsidP="00F56EC0">
            <w:pPr>
              <w:jc w:val="center"/>
              <w:rPr>
                <w:b/>
              </w:rPr>
            </w:pPr>
            <w:r w:rsidRPr="00F56EC0">
              <w:rPr>
                <w:rFonts w:hint="eastAsia"/>
                <w:b/>
              </w:rPr>
              <w:t>国家（地区）</w:t>
            </w:r>
          </w:p>
        </w:tc>
        <w:tc>
          <w:tcPr>
            <w:tcW w:w="2769" w:type="dxa"/>
          </w:tcPr>
          <w:p w:rsidR="00F56EC0" w:rsidRPr="00F56EC0" w:rsidRDefault="00F56EC0" w:rsidP="00F56EC0">
            <w:pPr>
              <w:jc w:val="center"/>
              <w:rPr>
                <w:b/>
              </w:rPr>
            </w:pPr>
            <w:r w:rsidRPr="00F56EC0">
              <w:rPr>
                <w:rFonts w:hint="eastAsia"/>
                <w:b/>
              </w:rPr>
              <w:t>公允价值（人民币元）</w:t>
            </w:r>
          </w:p>
        </w:tc>
        <w:tc>
          <w:tcPr>
            <w:tcW w:w="2769" w:type="dxa"/>
          </w:tcPr>
          <w:p w:rsidR="00F56EC0" w:rsidRPr="00F56EC0" w:rsidRDefault="00F56EC0" w:rsidP="00F56EC0">
            <w:pPr>
              <w:jc w:val="center"/>
              <w:rPr>
                <w:b/>
              </w:rPr>
            </w:pPr>
            <w:r w:rsidRPr="00F56EC0">
              <w:rPr>
                <w:rFonts w:hint="eastAsia"/>
                <w:b/>
              </w:rPr>
              <w:t>占基金资产净值比例（％）</w:t>
            </w:r>
          </w:p>
        </w:tc>
      </w:tr>
      <w:tr w:rsidR="00F56EC0" w:rsidTr="00F56EC0">
        <w:tc>
          <w:tcPr>
            <w:tcW w:w="2768" w:type="dxa"/>
          </w:tcPr>
          <w:p w:rsidR="00F56EC0" w:rsidRDefault="00F56EC0" w:rsidP="00F56EC0">
            <w:pPr>
              <w:jc w:val="left"/>
            </w:pPr>
            <w:r>
              <w:rPr>
                <w:rFonts w:hint="eastAsia"/>
              </w:rPr>
              <w:t>中国香港</w:t>
            </w:r>
          </w:p>
        </w:tc>
        <w:tc>
          <w:tcPr>
            <w:tcW w:w="2769" w:type="dxa"/>
          </w:tcPr>
          <w:p w:rsidR="00F56EC0" w:rsidRDefault="00F56EC0" w:rsidP="00F56EC0">
            <w:pPr>
              <w:jc w:val="right"/>
            </w:pPr>
            <w:r>
              <w:t>20,102,414.77</w:t>
            </w:r>
          </w:p>
        </w:tc>
        <w:tc>
          <w:tcPr>
            <w:tcW w:w="2769" w:type="dxa"/>
          </w:tcPr>
          <w:p w:rsidR="00F56EC0" w:rsidRDefault="00F56EC0" w:rsidP="00F56EC0">
            <w:pPr>
              <w:jc w:val="right"/>
            </w:pPr>
            <w:r>
              <w:t>1.10</w:t>
            </w:r>
          </w:p>
        </w:tc>
      </w:tr>
    </w:tbl>
    <w:p w:rsidR="00F56EC0" w:rsidRDefault="00F56EC0" w:rsidP="00F56EC0">
      <w:pPr>
        <w:pStyle w:val="-2"/>
        <w:spacing w:before="312"/>
      </w:pPr>
      <w:r>
        <w:rPr>
          <w:rFonts w:hint="eastAsia"/>
        </w:rPr>
        <w:t>报告期末按行业分类的股票及存托凭证投资组合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F56EC0" w:rsidTr="00F56EC0">
        <w:trPr>
          <w:cnfStyle w:val="100000000000" w:firstRow="1" w:lastRow="0" w:firstColumn="0" w:lastColumn="0" w:oddVBand="0" w:evenVBand="0" w:oddHBand="0" w:evenHBand="0" w:firstRowFirstColumn="0" w:firstRowLastColumn="0" w:lastRowFirstColumn="0" w:lastRowLastColumn="0"/>
        </w:trPr>
        <w:tc>
          <w:tcPr>
            <w:tcW w:w="2768" w:type="dxa"/>
          </w:tcPr>
          <w:p w:rsidR="00F56EC0" w:rsidRPr="00F56EC0" w:rsidRDefault="00F56EC0" w:rsidP="00F56EC0">
            <w:pPr>
              <w:jc w:val="center"/>
              <w:rPr>
                <w:b/>
              </w:rPr>
            </w:pPr>
            <w:r w:rsidRPr="00F56EC0">
              <w:rPr>
                <w:rFonts w:hint="eastAsia"/>
                <w:b/>
              </w:rPr>
              <w:t>行业类别</w:t>
            </w:r>
          </w:p>
        </w:tc>
        <w:tc>
          <w:tcPr>
            <w:tcW w:w="2769" w:type="dxa"/>
          </w:tcPr>
          <w:p w:rsidR="00F56EC0" w:rsidRPr="00F56EC0" w:rsidRDefault="00F56EC0" w:rsidP="00F56EC0">
            <w:pPr>
              <w:jc w:val="center"/>
              <w:rPr>
                <w:b/>
              </w:rPr>
            </w:pPr>
            <w:r w:rsidRPr="00F56EC0">
              <w:rPr>
                <w:rFonts w:hint="eastAsia"/>
                <w:b/>
              </w:rPr>
              <w:t>公允价值（人民币元）</w:t>
            </w:r>
          </w:p>
        </w:tc>
        <w:tc>
          <w:tcPr>
            <w:tcW w:w="2769" w:type="dxa"/>
          </w:tcPr>
          <w:p w:rsidR="00F56EC0" w:rsidRPr="00F56EC0" w:rsidRDefault="00F56EC0" w:rsidP="00F56EC0">
            <w:pPr>
              <w:jc w:val="center"/>
              <w:rPr>
                <w:b/>
              </w:rPr>
            </w:pPr>
            <w:r w:rsidRPr="00F56EC0">
              <w:rPr>
                <w:rFonts w:hint="eastAsia"/>
                <w:b/>
              </w:rPr>
              <w:t>占基金资产净值比例（％）</w:t>
            </w:r>
          </w:p>
        </w:tc>
      </w:tr>
      <w:tr w:rsidR="00F56EC0" w:rsidTr="00F56EC0">
        <w:tc>
          <w:tcPr>
            <w:tcW w:w="2768" w:type="dxa"/>
          </w:tcPr>
          <w:p w:rsidR="00F56EC0" w:rsidRDefault="00F56EC0" w:rsidP="00F56EC0">
            <w:pPr>
              <w:jc w:val="left"/>
            </w:pPr>
            <w:r>
              <w:rPr>
                <w:rFonts w:hint="eastAsia"/>
              </w:rPr>
              <w:t>能源</w:t>
            </w:r>
          </w:p>
        </w:tc>
        <w:tc>
          <w:tcPr>
            <w:tcW w:w="2769" w:type="dxa"/>
          </w:tcPr>
          <w:p w:rsidR="00F56EC0" w:rsidRDefault="00F56EC0" w:rsidP="00F56EC0">
            <w:pPr>
              <w:jc w:val="right"/>
            </w:pPr>
            <w:r>
              <w:t>-</w:t>
            </w:r>
          </w:p>
        </w:tc>
        <w:tc>
          <w:tcPr>
            <w:tcW w:w="2769" w:type="dxa"/>
          </w:tcPr>
          <w:p w:rsidR="00F56EC0" w:rsidRDefault="00F56EC0" w:rsidP="00F56EC0">
            <w:pPr>
              <w:jc w:val="right"/>
            </w:pPr>
            <w:r>
              <w:t>-</w:t>
            </w:r>
          </w:p>
        </w:tc>
      </w:tr>
      <w:tr w:rsidR="00F56EC0" w:rsidTr="00F56EC0">
        <w:tc>
          <w:tcPr>
            <w:tcW w:w="2768" w:type="dxa"/>
          </w:tcPr>
          <w:p w:rsidR="00F56EC0" w:rsidRDefault="00F56EC0" w:rsidP="00F56EC0">
            <w:pPr>
              <w:jc w:val="left"/>
            </w:pPr>
            <w:r>
              <w:rPr>
                <w:rFonts w:hint="eastAsia"/>
              </w:rPr>
              <w:t>材料</w:t>
            </w:r>
          </w:p>
        </w:tc>
        <w:tc>
          <w:tcPr>
            <w:tcW w:w="2769" w:type="dxa"/>
          </w:tcPr>
          <w:p w:rsidR="00F56EC0" w:rsidRDefault="00F56EC0" w:rsidP="00F56EC0">
            <w:pPr>
              <w:jc w:val="right"/>
            </w:pPr>
            <w:r>
              <w:t>-</w:t>
            </w:r>
          </w:p>
        </w:tc>
        <w:tc>
          <w:tcPr>
            <w:tcW w:w="2769" w:type="dxa"/>
          </w:tcPr>
          <w:p w:rsidR="00F56EC0" w:rsidRDefault="00F56EC0" w:rsidP="00F56EC0">
            <w:pPr>
              <w:jc w:val="right"/>
            </w:pPr>
            <w:r>
              <w:t>-</w:t>
            </w:r>
          </w:p>
        </w:tc>
      </w:tr>
      <w:tr w:rsidR="00F56EC0" w:rsidTr="00F56EC0">
        <w:tc>
          <w:tcPr>
            <w:tcW w:w="2768" w:type="dxa"/>
          </w:tcPr>
          <w:p w:rsidR="00F56EC0" w:rsidRDefault="00F56EC0" w:rsidP="00F56EC0">
            <w:pPr>
              <w:jc w:val="left"/>
            </w:pPr>
            <w:r>
              <w:rPr>
                <w:rFonts w:hint="eastAsia"/>
              </w:rPr>
              <w:t>工业</w:t>
            </w:r>
          </w:p>
        </w:tc>
        <w:tc>
          <w:tcPr>
            <w:tcW w:w="2769" w:type="dxa"/>
          </w:tcPr>
          <w:p w:rsidR="00F56EC0" w:rsidRDefault="00F56EC0" w:rsidP="00F56EC0">
            <w:pPr>
              <w:jc w:val="right"/>
            </w:pPr>
            <w:r>
              <w:t>-</w:t>
            </w:r>
          </w:p>
        </w:tc>
        <w:tc>
          <w:tcPr>
            <w:tcW w:w="2769" w:type="dxa"/>
          </w:tcPr>
          <w:p w:rsidR="00F56EC0" w:rsidRDefault="00F56EC0" w:rsidP="00F56EC0">
            <w:pPr>
              <w:jc w:val="right"/>
            </w:pPr>
            <w:r>
              <w:t>-</w:t>
            </w:r>
          </w:p>
        </w:tc>
      </w:tr>
      <w:tr w:rsidR="00F56EC0" w:rsidTr="00F56EC0">
        <w:tc>
          <w:tcPr>
            <w:tcW w:w="2768" w:type="dxa"/>
          </w:tcPr>
          <w:p w:rsidR="00F56EC0" w:rsidRDefault="00F56EC0" w:rsidP="00F56EC0">
            <w:pPr>
              <w:jc w:val="left"/>
            </w:pPr>
            <w:r>
              <w:rPr>
                <w:rFonts w:hint="eastAsia"/>
              </w:rPr>
              <w:t>非必需消费品</w:t>
            </w:r>
          </w:p>
        </w:tc>
        <w:tc>
          <w:tcPr>
            <w:tcW w:w="2769" w:type="dxa"/>
          </w:tcPr>
          <w:p w:rsidR="00F56EC0" w:rsidRDefault="00F56EC0" w:rsidP="00F56EC0">
            <w:pPr>
              <w:jc w:val="right"/>
            </w:pPr>
            <w:r>
              <w:t>-</w:t>
            </w:r>
          </w:p>
        </w:tc>
        <w:tc>
          <w:tcPr>
            <w:tcW w:w="2769" w:type="dxa"/>
          </w:tcPr>
          <w:p w:rsidR="00F56EC0" w:rsidRDefault="00F56EC0" w:rsidP="00F56EC0">
            <w:pPr>
              <w:jc w:val="right"/>
            </w:pPr>
            <w:r>
              <w:t>-</w:t>
            </w:r>
          </w:p>
        </w:tc>
      </w:tr>
      <w:tr w:rsidR="00F56EC0" w:rsidTr="00F56EC0">
        <w:tc>
          <w:tcPr>
            <w:tcW w:w="2768" w:type="dxa"/>
          </w:tcPr>
          <w:p w:rsidR="00F56EC0" w:rsidRDefault="00F56EC0" w:rsidP="00F56EC0">
            <w:pPr>
              <w:jc w:val="left"/>
            </w:pPr>
            <w:r>
              <w:rPr>
                <w:rFonts w:hint="eastAsia"/>
              </w:rPr>
              <w:t>必需消费品</w:t>
            </w:r>
          </w:p>
        </w:tc>
        <w:tc>
          <w:tcPr>
            <w:tcW w:w="2769" w:type="dxa"/>
          </w:tcPr>
          <w:p w:rsidR="00F56EC0" w:rsidRDefault="00F56EC0" w:rsidP="00F56EC0">
            <w:pPr>
              <w:jc w:val="right"/>
            </w:pPr>
            <w:r>
              <w:t>1,174,247.42</w:t>
            </w:r>
          </w:p>
        </w:tc>
        <w:tc>
          <w:tcPr>
            <w:tcW w:w="2769" w:type="dxa"/>
          </w:tcPr>
          <w:p w:rsidR="00F56EC0" w:rsidRDefault="00F56EC0" w:rsidP="00F56EC0">
            <w:pPr>
              <w:jc w:val="right"/>
            </w:pPr>
            <w:r>
              <w:t>0.06</w:t>
            </w:r>
          </w:p>
        </w:tc>
      </w:tr>
      <w:tr w:rsidR="00F56EC0" w:rsidTr="00F56EC0">
        <w:tc>
          <w:tcPr>
            <w:tcW w:w="2768" w:type="dxa"/>
          </w:tcPr>
          <w:p w:rsidR="00F56EC0" w:rsidRDefault="00F56EC0" w:rsidP="00F56EC0">
            <w:pPr>
              <w:jc w:val="left"/>
            </w:pPr>
            <w:r>
              <w:rPr>
                <w:rFonts w:hint="eastAsia"/>
              </w:rPr>
              <w:t>医疗保健</w:t>
            </w:r>
          </w:p>
        </w:tc>
        <w:tc>
          <w:tcPr>
            <w:tcW w:w="2769" w:type="dxa"/>
          </w:tcPr>
          <w:p w:rsidR="00F56EC0" w:rsidRDefault="00F56EC0" w:rsidP="00F56EC0">
            <w:pPr>
              <w:jc w:val="right"/>
            </w:pPr>
            <w:r>
              <w:t>-</w:t>
            </w:r>
          </w:p>
        </w:tc>
        <w:tc>
          <w:tcPr>
            <w:tcW w:w="2769" w:type="dxa"/>
          </w:tcPr>
          <w:p w:rsidR="00F56EC0" w:rsidRDefault="00F56EC0" w:rsidP="00F56EC0">
            <w:pPr>
              <w:jc w:val="right"/>
            </w:pPr>
            <w:r>
              <w:t>-</w:t>
            </w:r>
          </w:p>
        </w:tc>
      </w:tr>
      <w:tr w:rsidR="00F56EC0" w:rsidTr="00F56EC0">
        <w:tc>
          <w:tcPr>
            <w:tcW w:w="2768" w:type="dxa"/>
          </w:tcPr>
          <w:p w:rsidR="00F56EC0" w:rsidRDefault="00F56EC0" w:rsidP="00F56EC0">
            <w:pPr>
              <w:jc w:val="left"/>
            </w:pPr>
            <w:r>
              <w:rPr>
                <w:rFonts w:hint="eastAsia"/>
              </w:rPr>
              <w:t>金融</w:t>
            </w:r>
          </w:p>
        </w:tc>
        <w:tc>
          <w:tcPr>
            <w:tcW w:w="2769" w:type="dxa"/>
          </w:tcPr>
          <w:p w:rsidR="00F56EC0" w:rsidRDefault="00F56EC0" w:rsidP="00F56EC0">
            <w:pPr>
              <w:jc w:val="right"/>
            </w:pPr>
            <w:r>
              <w:t>-</w:t>
            </w:r>
          </w:p>
        </w:tc>
        <w:tc>
          <w:tcPr>
            <w:tcW w:w="2769" w:type="dxa"/>
          </w:tcPr>
          <w:p w:rsidR="00F56EC0" w:rsidRDefault="00F56EC0" w:rsidP="00F56EC0">
            <w:pPr>
              <w:jc w:val="right"/>
            </w:pPr>
            <w:r>
              <w:t>-</w:t>
            </w:r>
          </w:p>
        </w:tc>
      </w:tr>
      <w:tr w:rsidR="00F56EC0" w:rsidTr="00F56EC0">
        <w:tc>
          <w:tcPr>
            <w:tcW w:w="2768" w:type="dxa"/>
          </w:tcPr>
          <w:p w:rsidR="00F56EC0" w:rsidRDefault="00F56EC0" w:rsidP="00F56EC0">
            <w:pPr>
              <w:jc w:val="left"/>
            </w:pPr>
            <w:r>
              <w:rPr>
                <w:rFonts w:hint="eastAsia"/>
              </w:rPr>
              <w:t>科技</w:t>
            </w:r>
          </w:p>
        </w:tc>
        <w:tc>
          <w:tcPr>
            <w:tcW w:w="2769" w:type="dxa"/>
          </w:tcPr>
          <w:p w:rsidR="00F56EC0" w:rsidRDefault="00F56EC0" w:rsidP="00F56EC0">
            <w:pPr>
              <w:jc w:val="right"/>
            </w:pPr>
            <w:r>
              <w:t>18,928,167.35</w:t>
            </w:r>
          </w:p>
        </w:tc>
        <w:tc>
          <w:tcPr>
            <w:tcW w:w="2769" w:type="dxa"/>
          </w:tcPr>
          <w:p w:rsidR="00F56EC0" w:rsidRDefault="00F56EC0" w:rsidP="00F56EC0">
            <w:pPr>
              <w:jc w:val="right"/>
            </w:pPr>
            <w:r>
              <w:t>1.03</w:t>
            </w:r>
          </w:p>
        </w:tc>
      </w:tr>
      <w:tr w:rsidR="00F56EC0" w:rsidTr="00F56EC0">
        <w:tc>
          <w:tcPr>
            <w:tcW w:w="2768" w:type="dxa"/>
          </w:tcPr>
          <w:p w:rsidR="00F56EC0" w:rsidRDefault="00F56EC0" w:rsidP="00F56EC0">
            <w:pPr>
              <w:jc w:val="left"/>
            </w:pPr>
            <w:r>
              <w:rPr>
                <w:rFonts w:hint="eastAsia"/>
              </w:rPr>
              <w:t>通讯</w:t>
            </w:r>
          </w:p>
        </w:tc>
        <w:tc>
          <w:tcPr>
            <w:tcW w:w="2769" w:type="dxa"/>
          </w:tcPr>
          <w:p w:rsidR="00F56EC0" w:rsidRDefault="00F56EC0" w:rsidP="00F56EC0">
            <w:pPr>
              <w:jc w:val="right"/>
            </w:pPr>
            <w:r>
              <w:t>-</w:t>
            </w:r>
          </w:p>
        </w:tc>
        <w:tc>
          <w:tcPr>
            <w:tcW w:w="2769" w:type="dxa"/>
          </w:tcPr>
          <w:p w:rsidR="00F56EC0" w:rsidRDefault="00F56EC0" w:rsidP="00F56EC0">
            <w:pPr>
              <w:jc w:val="right"/>
            </w:pPr>
            <w:r>
              <w:t>-</w:t>
            </w:r>
          </w:p>
        </w:tc>
      </w:tr>
      <w:tr w:rsidR="00F56EC0" w:rsidTr="00F56EC0">
        <w:tc>
          <w:tcPr>
            <w:tcW w:w="2768" w:type="dxa"/>
          </w:tcPr>
          <w:p w:rsidR="00F56EC0" w:rsidRDefault="00F56EC0" w:rsidP="00F56EC0">
            <w:pPr>
              <w:jc w:val="left"/>
            </w:pPr>
            <w:r>
              <w:rPr>
                <w:rFonts w:hint="eastAsia"/>
              </w:rPr>
              <w:lastRenderedPageBreak/>
              <w:t>公用事业</w:t>
            </w:r>
          </w:p>
        </w:tc>
        <w:tc>
          <w:tcPr>
            <w:tcW w:w="2769" w:type="dxa"/>
          </w:tcPr>
          <w:p w:rsidR="00F56EC0" w:rsidRDefault="00F56EC0" w:rsidP="00F56EC0">
            <w:pPr>
              <w:jc w:val="right"/>
            </w:pPr>
            <w:r>
              <w:t>-</w:t>
            </w:r>
          </w:p>
        </w:tc>
        <w:tc>
          <w:tcPr>
            <w:tcW w:w="2769" w:type="dxa"/>
          </w:tcPr>
          <w:p w:rsidR="00F56EC0" w:rsidRDefault="00F56EC0" w:rsidP="00F56EC0">
            <w:pPr>
              <w:jc w:val="right"/>
            </w:pPr>
            <w:r>
              <w:t>-</w:t>
            </w:r>
          </w:p>
        </w:tc>
      </w:tr>
      <w:tr w:rsidR="00F56EC0" w:rsidTr="00F56EC0">
        <w:tc>
          <w:tcPr>
            <w:tcW w:w="2768" w:type="dxa"/>
          </w:tcPr>
          <w:p w:rsidR="00F56EC0" w:rsidRDefault="00F56EC0" w:rsidP="00F56EC0">
            <w:pPr>
              <w:jc w:val="left"/>
            </w:pPr>
            <w:r>
              <w:rPr>
                <w:rFonts w:hint="eastAsia"/>
              </w:rPr>
              <w:t>房地产</w:t>
            </w:r>
          </w:p>
        </w:tc>
        <w:tc>
          <w:tcPr>
            <w:tcW w:w="2769" w:type="dxa"/>
          </w:tcPr>
          <w:p w:rsidR="00F56EC0" w:rsidRDefault="00F56EC0" w:rsidP="00F56EC0">
            <w:pPr>
              <w:jc w:val="right"/>
            </w:pPr>
            <w:r>
              <w:t>-</w:t>
            </w:r>
          </w:p>
        </w:tc>
        <w:tc>
          <w:tcPr>
            <w:tcW w:w="2769" w:type="dxa"/>
          </w:tcPr>
          <w:p w:rsidR="00F56EC0" w:rsidRDefault="00F56EC0" w:rsidP="00F56EC0">
            <w:pPr>
              <w:jc w:val="right"/>
            </w:pPr>
            <w:r>
              <w:t>-</w:t>
            </w:r>
          </w:p>
        </w:tc>
      </w:tr>
      <w:tr w:rsidR="00F56EC0" w:rsidTr="00F56EC0">
        <w:tc>
          <w:tcPr>
            <w:tcW w:w="2768" w:type="dxa"/>
          </w:tcPr>
          <w:p w:rsidR="00F56EC0" w:rsidRDefault="00F56EC0" w:rsidP="00F56EC0">
            <w:pPr>
              <w:jc w:val="left"/>
            </w:pPr>
            <w:r>
              <w:rPr>
                <w:rFonts w:hint="eastAsia"/>
              </w:rPr>
              <w:t>政府</w:t>
            </w:r>
          </w:p>
        </w:tc>
        <w:tc>
          <w:tcPr>
            <w:tcW w:w="2769" w:type="dxa"/>
          </w:tcPr>
          <w:p w:rsidR="00F56EC0" w:rsidRDefault="00F56EC0" w:rsidP="00F56EC0">
            <w:pPr>
              <w:jc w:val="right"/>
            </w:pPr>
            <w:r>
              <w:t>-</w:t>
            </w:r>
          </w:p>
        </w:tc>
        <w:tc>
          <w:tcPr>
            <w:tcW w:w="2769" w:type="dxa"/>
          </w:tcPr>
          <w:p w:rsidR="00F56EC0" w:rsidRDefault="00F56EC0" w:rsidP="00F56EC0">
            <w:pPr>
              <w:jc w:val="right"/>
            </w:pPr>
            <w:r>
              <w:t>-</w:t>
            </w:r>
          </w:p>
        </w:tc>
      </w:tr>
      <w:tr w:rsidR="00F56EC0" w:rsidTr="00F56EC0">
        <w:tc>
          <w:tcPr>
            <w:tcW w:w="2768" w:type="dxa"/>
          </w:tcPr>
          <w:p w:rsidR="00F56EC0" w:rsidRDefault="00F56EC0" w:rsidP="00F56EC0">
            <w:pPr>
              <w:jc w:val="left"/>
            </w:pPr>
            <w:r>
              <w:rPr>
                <w:rFonts w:hint="eastAsia"/>
              </w:rPr>
              <w:t>合计</w:t>
            </w:r>
          </w:p>
        </w:tc>
        <w:tc>
          <w:tcPr>
            <w:tcW w:w="2769" w:type="dxa"/>
          </w:tcPr>
          <w:p w:rsidR="00F56EC0" w:rsidRDefault="00F56EC0" w:rsidP="00F56EC0">
            <w:pPr>
              <w:jc w:val="right"/>
            </w:pPr>
            <w:r>
              <w:t>20,102,414.77</w:t>
            </w:r>
          </w:p>
        </w:tc>
        <w:tc>
          <w:tcPr>
            <w:tcW w:w="2769" w:type="dxa"/>
          </w:tcPr>
          <w:p w:rsidR="00F56EC0" w:rsidRDefault="00F56EC0" w:rsidP="00F56EC0">
            <w:pPr>
              <w:jc w:val="right"/>
            </w:pPr>
            <w:r>
              <w:t>1.10</w:t>
            </w:r>
          </w:p>
        </w:tc>
      </w:tr>
    </w:tbl>
    <w:p w:rsidR="00F56EC0" w:rsidRDefault="00F56EC0" w:rsidP="00F56EC0">
      <w:pPr>
        <w:pStyle w:val="-8"/>
      </w:pPr>
      <w:r>
        <w:rPr>
          <w:rFonts w:hint="eastAsia"/>
        </w:rPr>
        <w:t>注：本基金对以上行业分类采用彭博行业分类标准。</w:t>
      </w:r>
    </w:p>
    <w:p w:rsidR="00F56EC0" w:rsidRDefault="00F56EC0" w:rsidP="00F56EC0">
      <w:pPr>
        <w:pStyle w:val="-2"/>
        <w:spacing w:before="312"/>
      </w:pPr>
      <w:r>
        <w:rPr>
          <w:rFonts w:hint="eastAsia"/>
        </w:rPr>
        <w:t>期末按公允价值占基金资产净值比例大小排序的权益投资明细</w:t>
      </w:r>
    </w:p>
    <w:p w:rsidR="00F56EC0" w:rsidRDefault="00F56EC0" w:rsidP="00F56EC0">
      <w:pPr>
        <w:pStyle w:val="-3"/>
        <w:spacing w:before="156" w:after="156"/>
      </w:pPr>
      <w:r>
        <w:rPr>
          <w:rFonts w:hint="eastAsia"/>
        </w:rPr>
        <w:t>报告期末按公允价值占基金资产净值比例大小排序的前十名股票及存托凭证投资明细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F56EC0" w:rsidTr="00F56EC0">
        <w:trPr>
          <w:cnfStyle w:val="100000000000" w:firstRow="1" w:lastRow="0" w:firstColumn="0" w:lastColumn="0" w:oddVBand="0" w:evenVBand="0" w:oddHBand="0" w:evenHBand="0" w:firstRowFirstColumn="0" w:firstRowLastColumn="0" w:lastRowFirstColumn="0" w:lastRowLastColumn="0"/>
        </w:trPr>
        <w:tc>
          <w:tcPr>
            <w:tcW w:w="922" w:type="dxa"/>
          </w:tcPr>
          <w:p w:rsidR="00F56EC0" w:rsidRPr="00F56EC0" w:rsidRDefault="00F56EC0" w:rsidP="00F56EC0">
            <w:pPr>
              <w:jc w:val="center"/>
              <w:rPr>
                <w:b/>
              </w:rPr>
            </w:pPr>
            <w:r w:rsidRPr="00F56EC0">
              <w:rPr>
                <w:rFonts w:hint="eastAsia"/>
                <w:b/>
              </w:rPr>
              <w:t>序号</w:t>
            </w:r>
          </w:p>
        </w:tc>
        <w:tc>
          <w:tcPr>
            <w:tcW w:w="923" w:type="dxa"/>
          </w:tcPr>
          <w:p w:rsidR="00F56EC0" w:rsidRPr="00F56EC0" w:rsidRDefault="00F56EC0" w:rsidP="00F56EC0">
            <w:pPr>
              <w:jc w:val="center"/>
              <w:rPr>
                <w:b/>
              </w:rPr>
            </w:pPr>
            <w:r w:rsidRPr="00F56EC0">
              <w:rPr>
                <w:rFonts w:hint="eastAsia"/>
                <w:b/>
              </w:rPr>
              <w:t>公司名称（英文）</w:t>
            </w:r>
          </w:p>
        </w:tc>
        <w:tc>
          <w:tcPr>
            <w:tcW w:w="923" w:type="dxa"/>
          </w:tcPr>
          <w:p w:rsidR="00F56EC0" w:rsidRPr="00F56EC0" w:rsidRDefault="00F56EC0" w:rsidP="00F56EC0">
            <w:pPr>
              <w:jc w:val="center"/>
              <w:rPr>
                <w:b/>
              </w:rPr>
            </w:pPr>
            <w:r w:rsidRPr="00F56EC0">
              <w:rPr>
                <w:rFonts w:hint="eastAsia"/>
                <w:b/>
              </w:rPr>
              <w:t>公司名称（中文）</w:t>
            </w:r>
          </w:p>
        </w:tc>
        <w:tc>
          <w:tcPr>
            <w:tcW w:w="923" w:type="dxa"/>
          </w:tcPr>
          <w:p w:rsidR="00F56EC0" w:rsidRPr="00F56EC0" w:rsidRDefault="00F56EC0" w:rsidP="00F56EC0">
            <w:pPr>
              <w:jc w:val="center"/>
              <w:rPr>
                <w:b/>
              </w:rPr>
            </w:pPr>
            <w:r w:rsidRPr="00F56EC0">
              <w:rPr>
                <w:rFonts w:hint="eastAsia"/>
                <w:b/>
              </w:rPr>
              <w:t>证券代码</w:t>
            </w:r>
          </w:p>
        </w:tc>
        <w:tc>
          <w:tcPr>
            <w:tcW w:w="923" w:type="dxa"/>
          </w:tcPr>
          <w:p w:rsidR="00F56EC0" w:rsidRPr="00F56EC0" w:rsidRDefault="00F56EC0" w:rsidP="00F56EC0">
            <w:pPr>
              <w:jc w:val="center"/>
              <w:rPr>
                <w:b/>
              </w:rPr>
            </w:pPr>
            <w:r w:rsidRPr="00F56EC0">
              <w:rPr>
                <w:rFonts w:hint="eastAsia"/>
                <w:b/>
              </w:rPr>
              <w:t>所在证券市场</w:t>
            </w:r>
          </w:p>
        </w:tc>
        <w:tc>
          <w:tcPr>
            <w:tcW w:w="923" w:type="dxa"/>
          </w:tcPr>
          <w:p w:rsidR="00F56EC0" w:rsidRPr="00F56EC0" w:rsidRDefault="00F56EC0" w:rsidP="00F56EC0">
            <w:pPr>
              <w:jc w:val="center"/>
              <w:rPr>
                <w:b/>
              </w:rPr>
            </w:pPr>
            <w:r w:rsidRPr="00F56EC0">
              <w:rPr>
                <w:rFonts w:hint="eastAsia"/>
                <w:b/>
              </w:rPr>
              <w:t>所属国家（地区）</w:t>
            </w:r>
          </w:p>
        </w:tc>
        <w:tc>
          <w:tcPr>
            <w:tcW w:w="923" w:type="dxa"/>
          </w:tcPr>
          <w:p w:rsidR="00F56EC0" w:rsidRPr="00F56EC0" w:rsidRDefault="00F56EC0" w:rsidP="00F56EC0">
            <w:pPr>
              <w:jc w:val="center"/>
              <w:rPr>
                <w:b/>
              </w:rPr>
            </w:pPr>
            <w:r w:rsidRPr="00F56EC0">
              <w:rPr>
                <w:rFonts w:hint="eastAsia"/>
                <w:b/>
              </w:rPr>
              <w:t>数量（股）</w:t>
            </w:r>
          </w:p>
        </w:tc>
        <w:tc>
          <w:tcPr>
            <w:tcW w:w="923" w:type="dxa"/>
          </w:tcPr>
          <w:p w:rsidR="00F56EC0" w:rsidRPr="00F56EC0" w:rsidRDefault="00F56EC0" w:rsidP="00F56EC0">
            <w:pPr>
              <w:jc w:val="center"/>
              <w:rPr>
                <w:b/>
              </w:rPr>
            </w:pPr>
            <w:r w:rsidRPr="00F56EC0">
              <w:rPr>
                <w:rFonts w:hint="eastAsia"/>
                <w:b/>
              </w:rPr>
              <w:t>公允价值（人民币元）</w:t>
            </w:r>
          </w:p>
        </w:tc>
        <w:tc>
          <w:tcPr>
            <w:tcW w:w="923" w:type="dxa"/>
          </w:tcPr>
          <w:p w:rsidR="00F56EC0" w:rsidRPr="00F56EC0" w:rsidRDefault="00F56EC0" w:rsidP="00F56EC0">
            <w:pPr>
              <w:jc w:val="center"/>
              <w:rPr>
                <w:b/>
              </w:rPr>
            </w:pPr>
            <w:r w:rsidRPr="00F56EC0">
              <w:rPr>
                <w:rFonts w:hint="eastAsia"/>
                <w:b/>
              </w:rPr>
              <w:t>占基金资产净值比例（％）</w:t>
            </w:r>
          </w:p>
        </w:tc>
      </w:tr>
      <w:tr w:rsidR="00F56EC0" w:rsidTr="00F56EC0">
        <w:tc>
          <w:tcPr>
            <w:tcW w:w="922" w:type="dxa"/>
          </w:tcPr>
          <w:p w:rsidR="00F56EC0" w:rsidRDefault="00F56EC0" w:rsidP="00F56EC0">
            <w:pPr>
              <w:jc w:val="center"/>
            </w:pPr>
            <w:r>
              <w:t>1</w:t>
            </w:r>
          </w:p>
        </w:tc>
        <w:tc>
          <w:tcPr>
            <w:tcW w:w="923" w:type="dxa"/>
          </w:tcPr>
          <w:p w:rsidR="00F56EC0" w:rsidRDefault="00F56EC0" w:rsidP="00F56EC0">
            <w:pPr>
              <w:jc w:val="left"/>
            </w:pPr>
            <w:r>
              <w:t>Shanghai Biren Technology Co Ltd</w:t>
            </w:r>
          </w:p>
        </w:tc>
        <w:tc>
          <w:tcPr>
            <w:tcW w:w="923" w:type="dxa"/>
          </w:tcPr>
          <w:p w:rsidR="00F56EC0" w:rsidRDefault="00F56EC0" w:rsidP="00F56EC0">
            <w:pPr>
              <w:jc w:val="left"/>
            </w:pPr>
            <w:r>
              <w:rPr>
                <w:rFonts w:hint="eastAsia"/>
              </w:rPr>
              <w:t>上海壁仞科技股份有限公司</w:t>
            </w:r>
          </w:p>
        </w:tc>
        <w:tc>
          <w:tcPr>
            <w:tcW w:w="923" w:type="dxa"/>
          </w:tcPr>
          <w:p w:rsidR="00F56EC0" w:rsidRDefault="00F56EC0" w:rsidP="00F56EC0">
            <w:pPr>
              <w:jc w:val="left"/>
            </w:pPr>
            <w:r>
              <w:t>6082 HK</w:t>
            </w:r>
          </w:p>
        </w:tc>
        <w:tc>
          <w:tcPr>
            <w:tcW w:w="923" w:type="dxa"/>
          </w:tcPr>
          <w:p w:rsidR="00F56EC0" w:rsidRDefault="00F56EC0" w:rsidP="00F56EC0">
            <w:pPr>
              <w:jc w:val="left"/>
            </w:pPr>
            <w:r>
              <w:rPr>
                <w:rFonts w:hint="eastAsia"/>
              </w:rPr>
              <w:t>中国香港联合交易所</w:t>
            </w:r>
          </w:p>
        </w:tc>
        <w:tc>
          <w:tcPr>
            <w:tcW w:w="923" w:type="dxa"/>
          </w:tcPr>
          <w:p w:rsidR="00F56EC0" w:rsidRDefault="00F56EC0" w:rsidP="00F56EC0">
            <w:pPr>
              <w:jc w:val="left"/>
            </w:pPr>
            <w:r>
              <w:rPr>
                <w:rFonts w:hint="eastAsia"/>
              </w:rPr>
              <w:t>中国香港</w:t>
            </w:r>
          </w:p>
        </w:tc>
        <w:tc>
          <w:tcPr>
            <w:tcW w:w="923" w:type="dxa"/>
          </w:tcPr>
          <w:p w:rsidR="00F56EC0" w:rsidRDefault="00F56EC0" w:rsidP="00F56EC0">
            <w:pPr>
              <w:jc w:val="right"/>
            </w:pPr>
            <w:r>
              <w:t>1,069,200</w:t>
            </w:r>
          </w:p>
        </w:tc>
        <w:tc>
          <w:tcPr>
            <w:tcW w:w="923" w:type="dxa"/>
          </w:tcPr>
          <w:p w:rsidR="00F56EC0" w:rsidRDefault="00F56EC0" w:rsidP="00F56EC0">
            <w:pPr>
              <w:jc w:val="right"/>
            </w:pPr>
            <w:r>
              <w:t>18,928,167.35</w:t>
            </w:r>
          </w:p>
        </w:tc>
        <w:tc>
          <w:tcPr>
            <w:tcW w:w="923" w:type="dxa"/>
          </w:tcPr>
          <w:p w:rsidR="00F56EC0" w:rsidRDefault="00F56EC0" w:rsidP="00F56EC0">
            <w:pPr>
              <w:jc w:val="right"/>
            </w:pPr>
            <w:r>
              <w:t>1.03</w:t>
            </w:r>
          </w:p>
        </w:tc>
      </w:tr>
      <w:tr w:rsidR="00F56EC0" w:rsidTr="00F56EC0">
        <w:tc>
          <w:tcPr>
            <w:tcW w:w="922" w:type="dxa"/>
          </w:tcPr>
          <w:p w:rsidR="00F56EC0" w:rsidRDefault="00F56EC0" w:rsidP="00F56EC0">
            <w:pPr>
              <w:jc w:val="center"/>
            </w:pPr>
            <w:r>
              <w:t>2</w:t>
            </w:r>
          </w:p>
        </w:tc>
        <w:tc>
          <w:tcPr>
            <w:tcW w:w="923" w:type="dxa"/>
          </w:tcPr>
          <w:p w:rsidR="00F56EC0" w:rsidRDefault="00F56EC0" w:rsidP="00F56EC0">
            <w:pPr>
              <w:jc w:val="left"/>
            </w:pPr>
            <w:r>
              <w:t>Softcare Ltd</w:t>
            </w:r>
          </w:p>
        </w:tc>
        <w:tc>
          <w:tcPr>
            <w:tcW w:w="923" w:type="dxa"/>
          </w:tcPr>
          <w:p w:rsidR="00F56EC0" w:rsidRDefault="00F56EC0" w:rsidP="00F56EC0">
            <w:pPr>
              <w:jc w:val="left"/>
            </w:pPr>
            <w:r>
              <w:t>Softcare Ltd</w:t>
            </w:r>
          </w:p>
        </w:tc>
        <w:tc>
          <w:tcPr>
            <w:tcW w:w="923" w:type="dxa"/>
          </w:tcPr>
          <w:p w:rsidR="00F56EC0" w:rsidRDefault="00F56EC0" w:rsidP="00F56EC0">
            <w:pPr>
              <w:jc w:val="left"/>
            </w:pPr>
            <w:r>
              <w:t>2698 HK</w:t>
            </w:r>
          </w:p>
        </w:tc>
        <w:tc>
          <w:tcPr>
            <w:tcW w:w="923" w:type="dxa"/>
          </w:tcPr>
          <w:p w:rsidR="00F56EC0" w:rsidRDefault="00F56EC0" w:rsidP="00F56EC0">
            <w:pPr>
              <w:jc w:val="left"/>
            </w:pPr>
            <w:r>
              <w:rPr>
                <w:rFonts w:hint="eastAsia"/>
              </w:rPr>
              <w:t>中国香港联合交易所</w:t>
            </w:r>
          </w:p>
        </w:tc>
        <w:tc>
          <w:tcPr>
            <w:tcW w:w="923" w:type="dxa"/>
          </w:tcPr>
          <w:p w:rsidR="00F56EC0" w:rsidRDefault="00F56EC0" w:rsidP="00F56EC0">
            <w:pPr>
              <w:jc w:val="left"/>
            </w:pPr>
            <w:r>
              <w:rPr>
                <w:rFonts w:hint="eastAsia"/>
              </w:rPr>
              <w:t>中国香港</w:t>
            </w:r>
          </w:p>
        </w:tc>
        <w:tc>
          <w:tcPr>
            <w:tcW w:w="923" w:type="dxa"/>
          </w:tcPr>
          <w:p w:rsidR="00F56EC0" w:rsidRDefault="00F56EC0" w:rsidP="00F56EC0">
            <w:pPr>
              <w:jc w:val="right"/>
            </w:pPr>
            <w:r>
              <w:t>40,200</w:t>
            </w:r>
          </w:p>
        </w:tc>
        <w:tc>
          <w:tcPr>
            <w:tcW w:w="923" w:type="dxa"/>
          </w:tcPr>
          <w:p w:rsidR="00F56EC0" w:rsidRDefault="00F56EC0" w:rsidP="00F56EC0">
            <w:pPr>
              <w:jc w:val="right"/>
            </w:pPr>
            <w:r>
              <w:t>1,174,247.42</w:t>
            </w:r>
          </w:p>
        </w:tc>
        <w:tc>
          <w:tcPr>
            <w:tcW w:w="923" w:type="dxa"/>
          </w:tcPr>
          <w:p w:rsidR="00F56EC0" w:rsidRDefault="00F56EC0" w:rsidP="00F56EC0">
            <w:pPr>
              <w:jc w:val="right"/>
            </w:pPr>
            <w:r>
              <w:t>0.06</w:t>
            </w:r>
          </w:p>
        </w:tc>
      </w:tr>
    </w:tbl>
    <w:p w:rsidR="00F56EC0" w:rsidRDefault="00F56EC0" w:rsidP="00F56EC0">
      <w:pPr>
        <w:pStyle w:val="-2"/>
        <w:spacing w:before="312"/>
      </w:pPr>
      <w:r>
        <w:rPr>
          <w:rFonts w:hint="eastAsia"/>
        </w:rPr>
        <w:t>报告期末按债券信用等级分类的债券投资组合</w:t>
      </w:r>
    </w:p>
    <w:p w:rsidR="00F56EC0" w:rsidRDefault="00F56EC0" w:rsidP="00F56EC0">
      <w:pPr>
        <w:pStyle w:val="-"/>
        <w:ind w:firstLine="420"/>
      </w:pPr>
      <w:r>
        <w:rPr>
          <w:rFonts w:hint="eastAsia"/>
        </w:rPr>
        <w:t>本基金本报告期末未持有债券。</w:t>
      </w:r>
    </w:p>
    <w:p w:rsidR="00F56EC0" w:rsidRDefault="00F56EC0" w:rsidP="00F56EC0">
      <w:pPr>
        <w:pStyle w:val="-2"/>
        <w:spacing w:before="312"/>
      </w:pPr>
      <w:r>
        <w:rPr>
          <w:rFonts w:hint="eastAsia"/>
        </w:rPr>
        <w:t>报告期末按公允价值占基金资产净值比例大小排名的前五名债券投资明细</w:t>
      </w:r>
    </w:p>
    <w:p w:rsidR="00F56EC0" w:rsidRDefault="00F56EC0" w:rsidP="00F56EC0">
      <w:pPr>
        <w:pStyle w:val="-"/>
        <w:ind w:firstLine="420"/>
      </w:pPr>
      <w:r>
        <w:rPr>
          <w:rFonts w:hint="eastAsia"/>
        </w:rPr>
        <w:t>本基金本报告期末未持有债券。</w:t>
      </w:r>
    </w:p>
    <w:p w:rsidR="00F56EC0" w:rsidRDefault="00F56EC0" w:rsidP="00F56EC0">
      <w:pPr>
        <w:pStyle w:val="-2"/>
        <w:spacing w:before="312"/>
      </w:pPr>
      <w:r>
        <w:rPr>
          <w:rFonts w:hint="eastAsia"/>
        </w:rPr>
        <w:t>报告期末按公允价值占基金资产净值比例大小排名的前十名资产支持证券投资明细</w:t>
      </w:r>
    </w:p>
    <w:p w:rsidR="00F56EC0" w:rsidRDefault="00F56EC0" w:rsidP="00F56EC0">
      <w:pPr>
        <w:pStyle w:val="-"/>
        <w:ind w:firstLine="420"/>
      </w:pPr>
      <w:r>
        <w:rPr>
          <w:rFonts w:hint="eastAsia"/>
        </w:rPr>
        <w:t>本基金本报告期末未持有资产支持证券。</w:t>
      </w:r>
    </w:p>
    <w:p w:rsidR="00F56EC0" w:rsidRDefault="00F56EC0" w:rsidP="00F56EC0">
      <w:pPr>
        <w:pStyle w:val="-2"/>
        <w:spacing w:before="312"/>
      </w:pPr>
      <w:r>
        <w:rPr>
          <w:rFonts w:hint="eastAsia"/>
        </w:rPr>
        <w:t>报告期末按公允价值占基金资产净值比例大小排名的前五名金融衍生品投资明细</w:t>
      </w:r>
    </w:p>
    <w:p w:rsidR="00F56EC0" w:rsidRDefault="00F56EC0" w:rsidP="00F56EC0">
      <w:pPr>
        <w:pStyle w:val="-"/>
        <w:ind w:firstLine="420"/>
      </w:pPr>
      <w:r>
        <w:rPr>
          <w:rFonts w:hint="eastAsia"/>
        </w:rPr>
        <w:t>本基金本报告期末未持有金融衍生品。</w:t>
      </w:r>
    </w:p>
    <w:p w:rsidR="00F56EC0" w:rsidRDefault="00F56EC0" w:rsidP="00F56EC0">
      <w:pPr>
        <w:pStyle w:val="-2"/>
        <w:spacing w:before="312"/>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F56EC0" w:rsidTr="00F56EC0">
        <w:trPr>
          <w:cnfStyle w:val="100000000000" w:firstRow="1" w:lastRow="0" w:firstColumn="0" w:lastColumn="0" w:oddVBand="0" w:evenVBand="0" w:oddHBand="0" w:evenHBand="0" w:firstRowFirstColumn="0" w:firstRowLastColumn="0" w:lastRowFirstColumn="0" w:lastRowLastColumn="0"/>
        </w:trPr>
        <w:tc>
          <w:tcPr>
            <w:tcW w:w="1186" w:type="dxa"/>
          </w:tcPr>
          <w:p w:rsidR="00F56EC0" w:rsidRPr="00F56EC0" w:rsidRDefault="00F56EC0" w:rsidP="00F56EC0">
            <w:pPr>
              <w:jc w:val="center"/>
              <w:rPr>
                <w:b/>
              </w:rPr>
            </w:pPr>
            <w:r w:rsidRPr="00F56EC0">
              <w:rPr>
                <w:rFonts w:hint="eastAsia"/>
                <w:b/>
              </w:rPr>
              <w:lastRenderedPageBreak/>
              <w:t>序号</w:t>
            </w:r>
          </w:p>
        </w:tc>
        <w:tc>
          <w:tcPr>
            <w:tcW w:w="1186" w:type="dxa"/>
          </w:tcPr>
          <w:p w:rsidR="00F56EC0" w:rsidRPr="00F56EC0" w:rsidRDefault="00F56EC0" w:rsidP="00F56EC0">
            <w:pPr>
              <w:jc w:val="center"/>
              <w:rPr>
                <w:b/>
              </w:rPr>
            </w:pPr>
            <w:r w:rsidRPr="00F56EC0">
              <w:rPr>
                <w:rFonts w:hint="eastAsia"/>
                <w:b/>
              </w:rPr>
              <w:t>基金名称</w:t>
            </w:r>
          </w:p>
        </w:tc>
        <w:tc>
          <w:tcPr>
            <w:tcW w:w="1186" w:type="dxa"/>
          </w:tcPr>
          <w:p w:rsidR="00F56EC0" w:rsidRPr="00F56EC0" w:rsidRDefault="00F56EC0" w:rsidP="00F56EC0">
            <w:pPr>
              <w:jc w:val="center"/>
              <w:rPr>
                <w:b/>
              </w:rPr>
            </w:pPr>
            <w:r w:rsidRPr="00F56EC0">
              <w:rPr>
                <w:rFonts w:hint="eastAsia"/>
                <w:b/>
              </w:rPr>
              <w:t>基金类型</w:t>
            </w:r>
          </w:p>
        </w:tc>
        <w:tc>
          <w:tcPr>
            <w:tcW w:w="1187" w:type="dxa"/>
          </w:tcPr>
          <w:p w:rsidR="00F56EC0" w:rsidRPr="00F56EC0" w:rsidRDefault="00F56EC0" w:rsidP="00F56EC0">
            <w:pPr>
              <w:jc w:val="center"/>
              <w:rPr>
                <w:b/>
              </w:rPr>
            </w:pPr>
            <w:r w:rsidRPr="00F56EC0">
              <w:rPr>
                <w:rFonts w:hint="eastAsia"/>
                <w:b/>
              </w:rPr>
              <w:t>运作方式</w:t>
            </w:r>
          </w:p>
        </w:tc>
        <w:tc>
          <w:tcPr>
            <w:tcW w:w="1187" w:type="dxa"/>
          </w:tcPr>
          <w:p w:rsidR="00F56EC0" w:rsidRPr="00F56EC0" w:rsidRDefault="00F56EC0" w:rsidP="00F56EC0">
            <w:pPr>
              <w:jc w:val="center"/>
              <w:rPr>
                <w:b/>
              </w:rPr>
            </w:pPr>
            <w:r w:rsidRPr="00F56EC0">
              <w:rPr>
                <w:rFonts w:hint="eastAsia"/>
                <w:b/>
              </w:rPr>
              <w:t>管理人</w:t>
            </w:r>
          </w:p>
        </w:tc>
        <w:tc>
          <w:tcPr>
            <w:tcW w:w="1187" w:type="dxa"/>
          </w:tcPr>
          <w:p w:rsidR="00F56EC0" w:rsidRPr="00F56EC0" w:rsidRDefault="00F56EC0" w:rsidP="00F56EC0">
            <w:pPr>
              <w:jc w:val="center"/>
              <w:rPr>
                <w:b/>
              </w:rPr>
            </w:pPr>
            <w:r w:rsidRPr="00F56EC0">
              <w:rPr>
                <w:rFonts w:hint="eastAsia"/>
                <w:b/>
              </w:rPr>
              <w:t>公允价值（人民币元）</w:t>
            </w:r>
          </w:p>
        </w:tc>
        <w:tc>
          <w:tcPr>
            <w:tcW w:w="1187" w:type="dxa"/>
          </w:tcPr>
          <w:p w:rsidR="00F56EC0" w:rsidRPr="00F56EC0" w:rsidRDefault="00F56EC0" w:rsidP="00F56EC0">
            <w:pPr>
              <w:jc w:val="center"/>
              <w:rPr>
                <w:b/>
              </w:rPr>
            </w:pPr>
            <w:r w:rsidRPr="00F56EC0">
              <w:rPr>
                <w:rFonts w:hint="eastAsia"/>
                <w:b/>
              </w:rPr>
              <w:t>占基金资产净值比例（</w:t>
            </w:r>
            <w:r w:rsidRPr="00F56EC0">
              <w:rPr>
                <w:rFonts w:hint="eastAsia"/>
                <w:b/>
              </w:rPr>
              <w:t>%</w:t>
            </w:r>
            <w:r w:rsidRPr="00F56EC0">
              <w:rPr>
                <w:rFonts w:hint="eastAsia"/>
                <w:b/>
              </w:rPr>
              <w:t>）</w:t>
            </w:r>
          </w:p>
        </w:tc>
      </w:tr>
      <w:tr w:rsidR="00F56EC0" w:rsidTr="00F56EC0">
        <w:tc>
          <w:tcPr>
            <w:tcW w:w="1186" w:type="dxa"/>
          </w:tcPr>
          <w:p w:rsidR="00F56EC0" w:rsidRDefault="00F56EC0" w:rsidP="00F56EC0">
            <w:pPr>
              <w:jc w:val="center"/>
            </w:pPr>
            <w:r>
              <w:t>1</w:t>
            </w:r>
          </w:p>
        </w:tc>
        <w:tc>
          <w:tcPr>
            <w:tcW w:w="1186" w:type="dxa"/>
          </w:tcPr>
          <w:p w:rsidR="00F56EC0" w:rsidRDefault="00F56EC0" w:rsidP="00F56EC0">
            <w:pPr>
              <w:jc w:val="left"/>
            </w:pPr>
            <w:r>
              <w:t>SPDR Bridgewater All Weather ETF</w:t>
            </w:r>
          </w:p>
        </w:tc>
        <w:tc>
          <w:tcPr>
            <w:tcW w:w="1186" w:type="dxa"/>
          </w:tcPr>
          <w:p w:rsidR="00F56EC0" w:rsidRDefault="00F56EC0" w:rsidP="00F56EC0">
            <w:pPr>
              <w:jc w:val="left"/>
            </w:pPr>
            <w:r>
              <w:t>ETF</w:t>
            </w:r>
          </w:p>
        </w:tc>
        <w:tc>
          <w:tcPr>
            <w:tcW w:w="1187" w:type="dxa"/>
          </w:tcPr>
          <w:p w:rsidR="00F56EC0" w:rsidRDefault="00F56EC0" w:rsidP="00F56EC0">
            <w:pPr>
              <w:jc w:val="left"/>
            </w:pPr>
            <w:r>
              <w:rPr>
                <w:rFonts w:hint="eastAsia"/>
              </w:rPr>
              <w:t>交易型开放式</w:t>
            </w:r>
          </w:p>
        </w:tc>
        <w:tc>
          <w:tcPr>
            <w:tcW w:w="1187" w:type="dxa"/>
          </w:tcPr>
          <w:p w:rsidR="00F56EC0" w:rsidRDefault="00F56EC0" w:rsidP="00F56EC0">
            <w:pPr>
              <w:jc w:val="left"/>
            </w:pPr>
            <w:r>
              <w:t>SSgA Funds Management Inc</w:t>
            </w:r>
          </w:p>
        </w:tc>
        <w:tc>
          <w:tcPr>
            <w:tcW w:w="1187" w:type="dxa"/>
          </w:tcPr>
          <w:p w:rsidR="00F56EC0" w:rsidRDefault="00F56EC0" w:rsidP="00F56EC0">
            <w:pPr>
              <w:jc w:val="right"/>
            </w:pPr>
            <w:r>
              <w:t>172,788,129.51</w:t>
            </w:r>
          </w:p>
        </w:tc>
        <w:tc>
          <w:tcPr>
            <w:tcW w:w="1187" w:type="dxa"/>
          </w:tcPr>
          <w:p w:rsidR="00F56EC0" w:rsidRDefault="00F56EC0" w:rsidP="00F56EC0">
            <w:pPr>
              <w:jc w:val="right"/>
            </w:pPr>
            <w:r>
              <w:t>9.44</w:t>
            </w:r>
          </w:p>
        </w:tc>
      </w:tr>
      <w:tr w:rsidR="00F56EC0" w:rsidTr="00F56EC0">
        <w:tc>
          <w:tcPr>
            <w:tcW w:w="1186" w:type="dxa"/>
          </w:tcPr>
          <w:p w:rsidR="00F56EC0" w:rsidRDefault="00F56EC0" w:rsidP="00F56EC0">
            <w:pPr>
              <w:jc w:val="center"/>
            </w:pPr>
            <w:r>
              <w:t>2</w:t>
            </w:r>
          </w:p>
        </w:tc>
        <w:tc>
          <w:tcPr>
            <w:tcW w:w="1186" w:type="dxa"/>
          </w:tcPr>
          <w:p w:rsidR="00F56EC0" w:rsidRDefault="00F56EC0" w:rsidP="00F56EC0">
            <w:pPr>
              <w:jc w:val="left"/>
            </w:pPr>
            <w:r>
              <w:t>Invesco Nasdaq 100 ETF</w:t>
            </w:r>
          </w:p>
        </w:tc>
        <w:tc>
          <w:tcPr>
            <w:tcW w:w="1186" w:type="dxa"/>
          </w:tcPr>
          <w:p w:rsidR="00F56EC0" w:rsidRDefault="00F56EC0" w:rsidP="00F56EC0">
            <w:pPr>
              <w:jc w:val="left"/>
            </w:pPr>
            <w:r>
              <w:t>ETF</w:t>
            </w:r>
          </w:p>
        </w:tc>
        <w:tc>
          <w:tcPr>
            <w:tcW w:w="1187" w:type="dxa"/>
          </w:tcPr>
          <w:p w:rsidR="00F56EC0" w:rsidRDefault="00F56EC0" w:rsidP="00F56EC0">
            <w:pPr>
              <w:jc w:val="left"/>
            </w:pPr>
            <w:r>
              <w:rPr>
                <w:rFonts w:hint="eastAsia"/>
              </w:rPr>
              <w:t>交易型开放式</w:t>
            </w:r>
          </w:p>
        </w:tc>
        <w:tc>
          <w:tcPr>
            <w:tcW w:w="1187" w:type="dxa"/>
          </w:tcPr>
          <w:p w:rsidR="00F56EC0" w:rsidRDefault="00F56EC0" w:rsidP="00F56EC0">
            <w:pPr>
              <w:jc w:val="left"/>
            </w:pPr>
            <w:r>
              <w:t>Invesco Capital Management LLC</w:t>
            </w:r>
          </w:p>
        </w:tc>
        <w:tc>
          <w:tcPr>
            <w:tcW w:w="1187" w:type="dxa"/>
          </w:tcPr>
          <w:p w:rsidR="00F56EC0" w:rsidRDefault="00F56EC0" w:rsidP="00F56EC0">
            <w:pPr>
              <w:jc w:val="right"/>
            </w:pPr>
            <w:r>
              <w:t>133,286,641.82</w:t>
            </w:r>
          </w:p>
        </w:tc>
        <w:tc>
          <w:tcPr>
            <w:tcW w:w="1187" w:type="dxa"/>
          </w:tcPr>
          <w:p w:rsidR="00F56EC0" w:rsidRDefault="00F56EC0" w:rsidP="00F56EC0">
            <w:pPr>
              <w:jc w:val="right"/>
            </w:pPr>
            <w:r>
              <w:t>7.29</w:t>
            </w:r>
          </w:p>
        </w:tc>
      </w:tr>
      <w:tr w:rsidR="00F56EC0" w:rsidTr="00F56EC0">
        <w:tc>
          <w:tcPr>
            <w:tcW w:w="1186" w:type="dxa"/>
          </w:tcPr>
          <w:p w:rsidR="00F56EC0" w:rsidRDefault="00F56EC0" w:rsidP="00F56EC0">
            <w:pPr>
              <w:jc w:val="center"/>
            </w:pPr>
            <w:r>
              <w:t>3</w:t>
            </w:r>
          </w:p>
        </w:tc>
        <w:tc>
          <w:tcPr>
            <w:tcW w:w="1186" w:type="dxa"/>
          </w:tcPr>
          <w:p w:rsidR="00F56EC0" w:rsidRDefault="00F56EC0" w:rsidP="00F56EC0">
            <w:pPr>
              <w:jc w:val="left"/>
            </w:pPr>
            <w:r>
              <w:t>iShares Core S&amp;P 500 ETF</w:t>
            </w:r>
          </w:p>
        </w:tc>
        <w:tc>
          <w:tcPr>
            <w:tcW w:w="1186" w:type="dxa"/>
          </w:tcPr>
          <w:p w:rsidR="00F56EC0" w:rsidRDefault="00F56EC0" w:rsidP="00F56EC0">
            <w:pPr>
              <w:jc w:val="left"/>
            </w:pPr>
            <w:r>
              <w:t>ETF</w:t>
            </w:r>
          </w:p>
        </w:tc>
        <w:tc>
          <w:tcPr>
            <w:tcW w:w="1187" w:type="dxa"/>
          </w:tcPr>
          <w:p w:rsidR="00F56EC0" w:rsidRDefault="00F56EC0" w:rsidP="00F56EC0">
            <w:pPr>
              <w:jc w:val="left"/>
            </w:pPr>
            <w:r>
              <w:rPr>
                <w:rFonts w:hint="eastAsia"/>
              </w:rPr>
              <w:t>交易型开放式</w:t>
            </w:r>
          </w:p>
        </w:tc>
        <w:tc>
          <w:tcPr>
            <w:tcW w:w="1187" w:type="dxa"/>
          </w:tcPr>
          <w:p w:rsidR="00F56EC0" w:rsidRDefault="00F56EC0" w:rsidP="00F56EC0">
            <w:pPr>
              <w:jc w:val="left"/>
            </w:pPr>
            <w:r>
              <w:t>BlackRock Fund Advisors</w:t>
            </w:r>
          </w:p>
        </w:tc>
        <w:tc>
          <w:tcPr>
            <w:tcW w:w="1187" w:type="dxa"/>
          </w:tcPr>
          <w:p w:rsidR="00F56EC0" w:rsidRDefault="00F56EC0" w:rsidP="00F56EC0">
            <w:pPr>
              <w:jc w:val="right"/>
            </w:pPr>
            <w:r>
              <w:t>92,352,837.22</w:t>
            </w:r>
          </w:p>
        </w:tc>
        <w:tc>
          <w:tcPr>
            <w:tcW w:w="1187" w:type="dxa"/>
          </w:tcPr>
          <w:p w:rsidR="00F56EC0" w:rsidRDefault="00F56EC0" w:rsidP="00F56EC0">
            <w:pPr>
              <w:jc w:val="right"/>
            </w:pPr>
            <w:r>
              <w:t>5.05</w:t>
            </w:r>
          </w:p>
        </w:tc>
      </w:tr>
      <w:tr w:rsidR="00F56EC0" w:rsidTr="00F56EC0">
        <w:tc>
          <w:tcPr>
            <w:tcW w:w="1186" w:type="dxa"/>
          </w:tcPr>
          <w:p w:rsidR="00F56EC0" w:rsidRDefault="00F56EC0" w:rsidP="00F56EC0">
            <w:pPr>
              <w:jc w:val="center"/>
            </w:pPr>
            <w:r>
              <w:t>4</w:t>
            </w:r>
          </w:p>
        </w:tc>
        <w:tc>
          <w:tcPr>
            <w:tcW w:w="1186" w:type="dxa"/>
          </w:tcPr>
          <w:p w:rsidR="00F56EC0" w:rsidRDefault="00F56EC0" w:rsidP="00F56EC0">
            <w:pPr>
              <w:jc w:val="left"/>
            </w:pPr>
            <w:r>
              <w:t>Motley Fool 100 Index ETF</w:t>
            </w:r>
          </w:p>
        </w:tc>
        <w:tc>
          <w:tcPr>
            <w:tcW w:w="1186" w:type="dxa"/>
          </w:tcPr>
          <w:p w:rsidR="00F56EC0" w:rsidRDefault="00F56EC0" w:rsidP="00F56EC0">
            <w:pPr>
              <w:jc w:val="left"/>
            </w:pPr>
            <w:r>
              <w:t>ETF</w:t>
            </w:r>
          </w:p>
        </w:tc>
        <w:tc>
          <w:tcPr>
            <w:tcW w:w="1187" w:type="dxa"/>
          </w:tcPr>
          <w:p w:rsidR="00F56EC0" w:rsidRDefault="00F56EC0" w:rsidP="00F56EC0">
            <w:pPr>
              <w:jc w:val="left"/>
            </w:pPr>
            <w:r>
              <w:rPr>
                <w:rFonts w:hint="eastAsia"/>
              </w:rPr>
              <w:t>交易型开放式</w:t>
            </w:r>
          </w:p>
        </w:tc>
        <w:tc>
          <w:tcPr>
            <w:tcW w:w="1187" w:type="dxa"/>
          </w:tcPr>
          <w:p w:rsidR="00F56EC0" w:rsidRDefault="00F56EC0" w:rsidP="00F56EC0">
            <w:pPr>
              <w:jc w:val="left"/>
            </w:pPr>
            <w:r>
              <w:t>Motley Fool Asset Management LLC</w:t>
            </w:r>
          </w:p>
        </w:tc>
        <w:tc>
          <w:tcPr>
            <w:tcW w:w="1187" w:type="dxa"/>
          </w:tcPr>
          <w:p w:rsidR="00F56EC0" w:rsidRDefault="00F56EC0" w:rsidP="00F56EC0">
            <w:pPr>
              <w:jc w:val="right"/>
            </w:pPr>
            <w:r>
              <w:t>70,210,321.92</w:t>
            </w:r>
          </w:p>
        </w:tc>
        <w:tc>
          <w:tcPr>
            <w:tcW w:w="1187" w:type="dxa"/>
          </w:tcPr>
          <w:p w:rsidR="00F56EC0" w:rsidRDefault="00F56EC0" w:rsidP="00F56EC0">
            <w:pPr>
              <w:jc w:val="right"/>
            </w:pPr>
            <w:r>
              <w:t>3.84</w:t>
            </w:r>
          </w:p>
        </w:tc>
      </w:tr>
      <w:tr w:rsidR="00F56EC0" w:rsidTr="00F56EC0">
        <w:tc>
          <w:tcPr>
            <w:tcW w:w="1186" w:type="dxa"/>
          </w:tcPr>
          <w:p w:rsidR="00F56EC0" w:rsidRDefault="00F56EC0" w:rsidP="00F56EC0">
            <w:pPr>
              <w:jc w:val="center"/>
            </w:pPr>
            <w:r>
              <w:t>5</w:t>
            </w:r>
          </w:p>
        </w:tc>
        <w:tc>
          <w:tcPr>
            <w:tcW w:w="1186" w:type="dxa"/>
          </w:tcPr>
          <w:p w:rsidR="00F56EC0" w:rsidRDefault="00F56EC0" w:rsidP="00F56EC0">
            <w:pPr>
              <w:jc w:val="left"/>
            </w:pPr>
            <w:r>
              <w:t>State Street SPDR Portfolio S&amp;P 500 Growth ETF</w:t>
            </w:r>
          </w:p>
        </w:tc>
        <w:tc>
          <w:tcPr>
            <w:tcW w:w="1186" w:type="dxa"/>
          </w:tcPr>
          <w:p w:rsidR="00F56EC0" w:rsidRDefault="00F56EC0" w:rsidP="00F56EC0">
            <w:pPr>
              <w:jc w:val="left"/>
            </w:pPr>
            <w:r>
              <w:t>ETF</w:t>
            </w:r>
          </w:p>
        </w:tc>
        <w:tc>
          <w:tcPr>
            <w:tcW w:w="1187" w:type="dxa"/>
          </w:tcPr>
          <w:p w:rsidR="00F56EC0" w:rsidRDefault="00F56EC0" w:rsidP="00F56EC0">
            <w:pPr>
              <w:jc w:val="left"/>
            </w:pPr>
            <w:r>
              <w:rPr>
                <w:rFonts w:hint="eastAsia"/>
              </w:rPr>
              <w:t>交易型开放式</w:t>
            </w:r>
          </w:p>
        </w:tc>
        <w:tc>
          <w:tcPr>
            <w:tcW w:w="1187" w:type="dxa"/>
          </w:tcPr>
          <w:p w:rsidR="00F56EC0" w:rsidRDefault="00F56EC0" w:rsidP="00F56EC0">
            <w:pPr>
              <w:jc w:val="left"/>
            </w:pPr>
            <w:r>
              <w:t>SSgA Funds Management Inc</w:t>
            </w:r>
          </w:p>
        </w:tc>
        <w:tc>
          <w:tcPr>
            <w:tcW w:w="1187" w:type="dxa"/>
          </w:tcPr>
          <w:p w:rsidR="00F56EC0" w:rsidRDefault="00F56EC0" w:rsidP="00F56EC0">
            <w:pPr>
              <w:jc w:val="right"/>
            </w:pPr>
            <w:r>
              <w:t>67,540,314.86</w:t>
            </w:r>
          </w:p>
        </w:tc>
        <w:tc>
          <w:tcPr>
            <w:tcW w:w="1187" w:type="dxa"/>
          </w:tcPr>
          <w:p w:rsidR="00F56EC0" w:rsidRDefault="00F56EC0" w:rsidP="00F56EC0">
            <w:pPr>
              <w:jc w:val="right"/>
            </w:pPr>
            <w:r>
              <w:t>3.69</w:t>
            </w:r>
          </w:p>
        </w:tc>
      </w:tr>
      <w:tr w:rsidR="00F56EC0" w:rsidTr="00F56EC0">
        <w:tc>
          <w:tcPr>
            <w:tcW w:w="1186" w:type="dxa"/>
          </w:tcPr>
          <w:p w:rsidR="00F56EC0" w:rsidRDefault="00F56EC0" w:rsidP="00F56EC0">
            <w:pPr>
              <w:jc w:val="center"/>
            </w:pPr>
            <w:r>
              <w:t>6</w:t>
            </w:r>
          </w:p>
        </w:tc>
        <w:tc>
          <w:tcPr>
            <w:tcW w:w="1186" w:type="dxa"/>
          </w:tcPr>
          <w:p w:rsidR="00F56EC0" w:rsidRDefault="00F56EC0" w:rsidP="00F56EC0">
            <w:pPr>
              <w:jc w:val="left"/>
            </w:pPr>
            <w:r>
              <w:t>Vanguard Intermediate-Term Bond ETF</w:t>
            </w:r>
          </w:p>
        </w:tc>
        <w:tc>
          <w:tcPr>
            <w:tcW w:w="1186" w:type="dxa"/>
          </w:tcPr>
          <w:p w:rsidR="00F56EC0" w:rsidRDefault="00F56EC0" w:rsidP="00F56EC0">
            <w:pPr>
              <w:jc w:val="left"/>
            </w:pPr>
            <w:r>
              <w:t>ETF</w:t>
            </w:r>
          </w:p>
        </w:tc>
        <w:tc>
          <w:tcPr>
            <w:tcW w:w="1187" w:type="dxa"/>
          </w:tcPr>
          <w:p w:rsidR="00F56EC0" w:rsidRDefault="00F56EC0" w:rsidP="00F56EC0">
            <w:pPr>
              <w:jc w:val="left"/>
            </w:pPr>
            <w:r>
              <w:rPr>
                <w:rFonts w:hint="eastAsia"/>
              </w:rPr>
              <w:t>交易型开放式</w:t>
            </w:r>
          </w:p>
        </w:tc>
        <w:tc>
          <w:tcPr>
            <w:tcW w:w="1187" w:type="dxa"/>
          </w:tcPr>
          <w:p w:rsidR="00F56EC0" w:rsidRDefault="00F56EC0" w:rsidP="00F56EC0">
            <w:pPr>
              <w:jc w:val="left"/>
            </w:pPr>
            <w:r>
              <w:t>Vanguard Group Inc/The</w:t>
            </w:r>
          </w:p>
        </w:tc>
        <w:tc>
          <w:tcPr>
            <w:tcW w:w="1187" w:type="dxa"/>
          </w:tcPr>
          <w:p w:rsidR="00F56EC0" w:rsidRDefault="00F56EC0" w:rsidP="00F56EC0">
            <w:pPr>
              <w:jc w:val="right"/>
            </w:pPr>
            <w:r>
              <w:t>66,559,818.77</w:t>
            </w:r>
          </w:p>
        </w:tc>
        <w:tc>
          <w:tcPr>
            <w:tcW w:w="1187" w:type="dxa"/>
          </w:tcPr>
          <w:p w:rsidR="00F56EC0" w:rsidRDefault="00F56EC0" w:rsidP="00F56EC0">
            <w:pPr>
              <w:jc w:val="right"/>
            </w:pPr>
            <w:r>
              <w:t>3.64</w:t>
            </w:r>
          </w:p>
        </w:tc>
      </w:tr>
      <w:tr w:rsidR="00F56EC0" w:rsidTr="00F56EC0">
        <w:tc>
          <w:tcPr>
            <w:tcW w:w="1186" w:type="dxa"/>
          </w:tcPr>
          <w:p w:rsidR="00F56EC0" w:rsidRDefault="00F56EC0" w:rsidP="00F56EC0">
            <w:pPr>
              <w:jc w:val="center"/>
            </w:pPr>
            <w:r>
              <w:t>7</w:t>
            </w:r>
          </w:p>
        </w:tc>
        <w:tc>
          <w:tcPr>
            <w:tcW w:w="1186" w:type="dxa"/>
          </w:tcPr>
          <w:p w:rsidR="00F56EC0" w:rsidRDefault="00F56EC0" w:rsidP="00F56EC0">
            <w:pPr>
              <w:jc w:val="left"/>
            </w:pPr>
            <w:r>
              <w:t>Capital Group Dividend Value ETF</w:t>
            </w:r>
          </w:p>
        </w:tc>
        <w:tc>
          <w:tcPr>
            <w:tcW w:w="1186" w:type="dxa"/>
          </w:tcPr>
          <w:p w:rsidR="00F56EC0" w:rsidRDefault="00F56EC0" w:rsidP="00F56EC0">
            <w:pPr>
              <w:jc w:val="left"/>
            </w:pPr>
            <w:r>
              <w:t>ETF</w:t>
            </w:r>
          </w:p>
        </w:tc>
        <w:tc>
          <w:tcPr>
            <w:tcW w:w="1187" w:type="dxa"/>
          </w:tcPr>
          <w:p w:rsidR="00F56EC0" w:rsidRDefault="00F56EC0" w:rsidP="00F56EC0">
            <w:pPr>
              <w:jc w:val="left"/>
            </w:pPr>
            <w:r>
              <w:rPr>
                <w:rFonts w:hint="eastAsia"/>
              </w:rPr>
              <w:t>交易型开放式</w:t>
            </w:r>
          </w:p>
        </w:tc>
        <w:tc>
          <w:tcPr>
            <w:tcW w:w="1187" w:type="dxa"/>
          </w:tcPr>
          <w:p w:rsidR="00F56EC0" w:rsidRDefault="00F56EC0" w:rsidP="00F56EC0">
            <w:pPr>
              <w:jc w:val="left"/>
            </w:pPr>
            <w:r>
              <w:t>Capital Research and Management Co</w:t>
            </w:r>
          </w:p>
        </w:tc>
        <w:tc>
          <w:tcPr>
            <w:tcW w:w="1187" w:type="dxa"/>
          </w:tcPr>
          <w:p w:rsidR="00F56EC0" w:rsidRDefault="00F56EC0" w:rsidP="00F56EC0">
            <w:pPr>
              <w:jc w:val="right"/>
            </w:pPr>
            <w:r>
              <w:t>60,760,272.10</w:t>
            </w:r>
          </w:p>
        </w:tc>
        <w:tc>
          <w:tcPr>
            <w:tcW w:w="1187" w:type="dxa"/>
          </w:tcPr>
          <w:p w:rsidR="00F56EC0" w:rsidRDefault="00F56EC0" w:rsidP="00F56EC0">
            <w:pPr>
              <w:jc w:val="right"/>
            </w:pPr>
            <w:r>
              <w:t>3.32</w:t>
            </w:r>
          </w:p>
        </w:tc>
      </w:tr>
      <w:tr w:rsidR="00F56EC0" w:rsidTr="00F56EC0">
        <w:tc>
          <w:tcPr>
            <w:tcW w:w="1186" w:type="dxa"/>
          </w:tcPr>
          <w:p w:rsidR="00F56EC0" w:rsidRDefault="00F56EC0" w:rsidP="00F56EC0">
            <w:pPr>
              <w:jc w:val="center"/>
            </w:pPr>
            <w:r>
              <w:t>8</w:t>
            </w:r>
          </w:p>
        </w:tc>
        <w:tc>
          <w:tcPr>
            <w:tcW w:w="1186" w:type="dxa"/>
          </w:tcPr>
          <w:p w:rsidR="00F56EC0" w:rsidRDefault="00F56EC0" w:rsidP="00F56EC0">
            <w:pPr>
              <w:jc w:val="left"/>
            </w:pPr>
            <w:r>
              <w:t>iShares Expanded Tech Sector ETF</w:t>
            </w:r>
          </w:p>
        </w:tc>
        <w:tc>
          <w:tcPr>
            <w:tcW w:w="1186" w:type="dxa"/>
          </w:tcPr>
          <w:p w:rsidR="00F56EC0" w:rsidRDefault="00F56EC0" w:rsidP="00F56EC0">
            <w:pPr>
              <w:jc w:val="left"/>
            </w:pPr>
            <w:r>
              <w:t>ETF</w:t>
            </w:r>
          </w:p>
        </w:tc>
        <w:tc>
          <w:tcPr>
            <w:tcW w:w="1187" w:type="dxa"/>
          </w:tcPr>
          <w:p w:rsidR="00F56EC0" w:rsidRDefault="00F56EC0" w:rsidP="00F56EC0">
            <w:pPr>
              <w:jc w:val="left"/>
            </w:pPr>
            <w:r>
              <w:rPr>
                <w:rFonts w:hint="eastAsia"/>
              </w:rPr>
              <w:t>交易型开放式</w:t>
            </w:r>
          </w:p>
        </w:tc>
        <w:tc>
          <w:tcPr>
            <w:tcW w:w="1187" w:type="dxa"/>
          </w:tcPr>
          <w:p w:rsidR="00F56EC0" w:rsidRDefault="00F56EC0" w:rsidP="00F56EC0">
            <w:pPr>
              <w:jc w:val="left"/>
            </w:pPr>
            <w:r>
              <w:t>BlackRock Fund Advisors</w:t>
            </w:r>
          </w:p>
        </w:tc>
        <w:tc>
          <w:tcPr>
            <w:tcW w:w="1187" w:type="dxa"/>
          </w:tcPr>
          <w:p w:rsidR="00F56EC0" w:rsidRDefault="00F56EC0" w:rsidP="00F56EC0">
            <w:pPr>
              <w:jc w:val="right"/>
            </w:pPr>
            <w:r>
              <w:t>59,616,024.51</w:t>
            </w:r>
          </w:p>
        </w:tc>
        <w:tc>
          <w:tcPr>
            <w:tcW w:w="1187" w:type="dxa"/>
          </w:tcPr>
          <w:p w:rsidR="00F56EC0" w:rsidRDefault="00F56EC0" w:rsidP="00F56EC0">
            <w:pPr>
              <w:jc w:val="right"/>
            </w:pPr>
            <w:r>
              <w:t>3.26</w:t>
            </w:r>
          </w:p>
        </w:tc>
      </w:tr>
      <w:tr w:rsidR="00F56EC0" w:rsidTr="00F56EC0">
        <w:tc>
          <w:tcPr>
            <w:tcW w:w="1186" w:type="dxa"/>
          </w:tcPr>
          <w:p w:rsidR="00F56EC0" w:rsidRDefault="00F56EC0" w:rsidP="00F56EC0">
            <w:pPr>
              <w:jc w:val="center"/>
            </w:pPr>
            <w:r>
              <w:t>9</w:t>
            </w:r>
          </w:p>
        </w:tc>
        <w:tc>
          <w:tcPr>
            <w:tcW w:w="1186" w:type="dxa"/>
          </w:tcPr>
          <w:p w:rsidR="00F56EC0" w:rsidRDefault="00F56EC0" w:rsidP="00F56EC0">
            <w:pPr>
              <w:jc w:val="left"/>
            </w:pPr>
            <w:r>
              <w:t>SPDR Gold Shares</w:t>
            </w:r>
          </w:p>
        </w:tc>
        <w:tc>
          <w:tcPr>
            <w:tcW w:w="1186" w:type="dxa"/>
          </w:tcPr>
          <w:p w:rsidR="00F56EC0" w:rsidRDefault="00F56EC0" w:rsidP="00F56EC0">
            <w:pPr>
              <w:jc w:val="left"/>
            </w:pPr>
            <w:r>
              <w:t>ETF</w:t>
            </w:r>
          </w:p>
        </w:tc>
        <w:tc>
          <w:tcPr>
            <w:tcW w:w="1187" w:type="dxa"/>
          </w:tcPr>
          <w:p w:rsidR="00F56EC0" w:rsidRDefault="00F56EC0" w:rsidP="00F56EC0">
            <w:pPr>
              <w:jc w:val="left"/>
            </w:pPr>
            <w:r>
              <w:rPr>
                <w:rFonts w:hint="eastAsia"/>
              </w:rPr>
              <w:t>交易型开放式</w:t>
            </w:r>
          </w:p>
        </w:tc>
        <w:tc>
          <w:tcPr>
            <w:tcW w:w="1187" w:type="dxa"/>
          </w:tcPr>
          <w:p w:rsidR="00F56EC0" w:rsidRDefault="00F56EC0" w:rsidP="00F56EC0">
            <w:pPr>
              <w:jc w:val="left"/>
            </w:pPr>
            <w:r>
              <w:t>State Street Global Advisors Inc</w:t>
            </w:r>
          </w:p>
        </w:tc>
        <w:tc>
          <w:tcPr>
            <w:tcW w:w="1187" w:type="dxa"/>
          </w:tcPr>
          <w:p w:rsidR="00F56EC0" w:rsidRDefault="00F56EC0" w:rsidP="00F56EC0">
            <w:pPr>
              <w:jc w:val="right"/>
            </w:pPr>
            <w:r>
              <w:t>54,371,808.79</w:t>
            </w:r>
          </w:p>
        </w:tc>
        <w:tc>
          <w:tcPr>
            <w:tcW w:w="1187" w:type="dxa"/>
          </w:tcPr>
          <w:p w:rsidR="00F56EC0" w:rsidRDefault="00F56EC0" w:rsidP="00F56EC0">
            <w:pPr>
              <w:jc w:val="right"/>
            </w:pPr>
            <w:r>
              <w:t>2.97</w:t>
            </w:r>
          </w:p>
        </w:tc>
      </w:tr>
      <w:tr w:rsidR="00F56EC0" w:rsidTr="00F56EC0">
        <w:tc>
          <w:tcPr>
            <w:tcW w:w="1186" w:type="dxa"/>
          </w:tcPr>
          <w:p w:rsidR="00F56EC0" w:rsidRDefault="00F56EC0" w:rsidP="00F56EC0">
            <w:pPr>
              <w:jc w:val="center"/>
            </w:pPr>
            <w:r>
              <w:t>10</w:t>
            </w:r>
          </w:p>
        </w:tc>
        <w:tc>
          <w:tcPr>
            <w:tcW w:w="1186" w:type="dxa"/>
          </w:tcPr>
          <w:p w:rsidR="00F56EC0" w:rsidRDefault="00F56EC0" w:rsidP="00F56EC0">
            <w:pPr>
              <w:jc w:val="left"/>
            </w:pPr>
            <w:r>
              <w:t xml:space="preserve">iShares MSCI </w:t>
            </w:r>
            <w:r>
              <w:lastRenderedPageBreak/>
              <w:t>China ETF</w:t>
            </w:r>
          </w:p>
        </w:tc>
        <w:tc>
          <w:tcPr>
            <w:tcW w:w="1186" w:type="dxa"/>
          </w:tcPr>
          <w:p w:rsidR="00F56EC0" w:rsidRDefault="00F56EC0" w:rsidP="00F56EC0">
            <w:pPr>
              <w:jc w:val="left"/>
            </w:pPr>
            <w:r>
              <w:lastRenderedPageBreak/>
              <w:t>ETF</w:t>
            </w:r>
          </w:p>
        </w:tc>
        <w:tc>
          <w:tcPr>
            <w:tcW w:w="1187" w:type="dxa"/>
          </w:tcPr>
          <w:p w:rsidR="00F56EC0" w:rsidRDefault="00F56EC0" w:rsidP="00F56EC0">
            <w:pPr>
              <w:jc w:val="left"/>
            </w:pPr>
            <w:r>
              <w:rPr>
                <w:rFonts w:hint="eastAsia"/>
              </w:rPr>
              <w:t>交易型开放式</w:t>
            </w:r>
          </w:p>
        </w:tc>
        <w:tc>
          <w:tcPr>
            <w:tcW w:w="1187" w:type="dxa"/>
          </w:tcPr>
          <w:p w:rsidR="00F56EC0" w:rsidRDefault="00F56EC0" w:rsidP="00F56EC0">
            <w:pPr>
              <w:jc w:val="left"/>
            </w:pPr>
            <w:r>
              <w:t xml:space="preserve">BlackRock Fund </w:t>
            </w:r>
            <w:r>
              <w:lastRenderedPageBreak/>
              <w:t>Advisors</w:t>
            </w:r>
          </w:p>
        </w:tc>
        <w:tc>
          <w:tcPr>
            <w:tcW w:w="1187" w:type="dxa"/>
          </w:tcPr>
          <w:p w:rsidR="00F56EC0" w:rsidRDefault="00F56EC0" w:rsidP="00F56EC0">
            <w:pPr>
              <w:jc w:val="right"/>
            </w:pPr>
            <w:r>
              <w:lastRenderedPageBreak/>
              <w:t>53,348,765.68</w:t>
            </w:r>
          </w:p>
        </w:tc>
        <w:tc>
          <w:tcPr>
            <w:tcW w:w="1187" w:type="dxa"/>
          </w:tcPr>
          <w:p w:rsidR="00F56EC0" w:rsidRDefault="00F56EC0" w:rsidP="00F56EC0">
            <w:pPr>
              <w:jc w:val="right"/>
            </w:pPr>
            <w:r>
              <w:t>2.92</w:t>
            </w:r>
          </w:p>
        </w:tc>
      </w:tr>
    </w:tbl>
    <w:p w:rsidR="00F56EC0" w:rsidRDefault="00F56EC0" w:rsidP="00F56EC0">
      <w:pPr>
        <w:pStyle w:val="-2"/>
        <w:spacing w:before="312"/>
      </w:pPr>
      <w:r>
        <w:rPr>
          <w:rFonts w:hint="eastAsia"/>
        </w:rPr>
        <w:lastRenderedPageBreak/>
        <w:t>投资组合报告附注</w:t>
      </w:r>
    </w:p>
    <w:p w:rsidR="00F56EC0" w:rsidRDefault="00F56EC0" w:rsidP="00F56EC0">
      <w:pPr>
        <w:pStyle w:val="-3"/>
        <w:spacing w:before="156" w:after="156"/>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56EC0" w:rsidRDefault="00F56EC0" w:rsidP="00F56EC0">
      <w:pPr>
        <w:pStyle w:val="-"/>
        <w:ind w:firstLine="420"/>
      </w:pPr>
      <w:r>
        <w:rPr>
          <w:rFonts w:hint="eastAsia"/>
        </w:rPr>
        <w:t>报告期内基金投资的前十名证券的发行主体未有被监管部门立案调查，不存在报告编制日前一年内受到公开谴责、处罚的情形。</w:t>
      </w:r>
    </w:p>
    <w:p w:rsidR="00F56EC0" w:rsidRDefault="00F56EC0" w:rsidP="00F56EC0">
      <w:pPr>
        <w:pStyle w:val="-3"/>
        <w:spacing w:before="156" w:after="156"/>
      </w:pPr>
      <w:r>
        <w:rPr>
          <w:rFonts w:hint="eastAsia"/>
        </w:rPr>
        <w:t>声明基金投资的前十名股票是否超出基金合同规定的备选股票库。如是，还应对相关股票的投资决策程序做出说明</w:t>
      </w:r>
      <w:r>
        <w:rPr>
          <w:rFonts w:hint="eastAsia"/>
        </w:rPr>
        <w:t xml:space="preserve"> </w:t>
      </w:r>
    </w:p>
    <w:p w:rsidR="00F56EC0" w:rsidRDefault="00F56EC0" w:rsidP="00F56EC0">
      <w:pPr>
        <w:pStyle w:val="-"/>
        <w:ind w:firstLine="420"/>
      </w:pPr>
      <w:r>
        <w:rPr>
          <w:rFonts w:hint="eastAsia"/>
        </w:rPr>
        <w:t>本基金投资的前十名股票（如有）没有超出基金合同规定的备选股票库，本基金管理人从制度和流程上要求股票必须先入库再买入。</w:t>
      </w:r>
    </w:p>
    <w:p w:rsidR="00F56EC0" w:rsidRDefault="00F56EC0" w:rsidP="00F56EC0">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56EC0" w:rsidTr="00F56EC0">
        <w:trPr>
          <w:cnfStyle w:val="100000000000" w:firstRow="1" w:lastRow="0" w:firstColumn="0" w:lastColumn="0" w:oddVBand="0" w:evenVBand="0" w:oddHBand="0" w:evenHBand="0" w:firstRowFirstColumn="0" w:firstRowLastColumn="0" w:lastRowFirstColumn="0" w:lastRowLastColumn="0"/>
        </w:trPr>
        <w:tc>
          <w:tcPr>
            <w:tcW w:w="743" w:type="dxa"/>
          </w:tcPr>
          <w:p w:rsidR="00F56EC0" w:rsidRPr="00F56EC0" w:rsidRDefault="00F56EC0" w:rsidP="00F56EC0">
            <w:pPr>
              <w:jc w:val="center"/>
              <w:rPr>
                <w:b/>
              </w:rPr>
            </w:pPr>
            <w:r w:rsidRPr="00F56EC0">
              <w:rPr>
                <w:rFonts w:hint="eastAsia"/>
                <w:b/>
              </w:rPr>
              <w:t>序号</w:t>
            </w:r>
          </w:p>
        </w:tc>
        <w:tc>
          <w:tcPr>
            <w:tcW w:w="2977" w:type="dxa"/>
          </w:tcPr>
          <w:p w:rsidR="00F56EC0" w:rsidRPr="00F56EC0" w:rsidRDefault="00F56EC0" w:rsidP="00F56EC0">
            <w:pPr>
              <w:jc w:val="center"/>
              <w:rPr>
                <w:b/>
              </w:rPr>
            </w:pPr>
            <w:r w:rsidRPr="00F56EC0">
              <w:rPr>
                <w:rFonts w:hint="eastAsia"/>
                <w:b/>
              </w:rPr>
              <w:t>名称</w:t>
            </w:r>
          </w:p>
        </w:tc>
        <w:tc>
          <w:tcPr>
            <w:tcW w:w="4785" w:type="dxa"/>
          </w:tcPr>
          <w:p w:rsidR="00F56EC0" w:rsidRPr="00F56EC0" w:rsidRDefault="00F56EC0" w:rsidP="00F56EC0">
            <w:pPr>
              <w:jc w:val="center"/>
              <w:rPr>
                <w:b/>
              </w:rPr>
            </w:pPr>
            <w:r w:rsidRPr="00F56EC0">
              <w:rPr>
                <w:rFonts w:hint="eastAsia"/>
                <w:b/>
              </w:rPr>
              <w:t>金额（元）</w:t>
            </w:r>
          </w:p>
        </w:tc>
      </w:tr>
      <w:tr w:rsidR="00F56EC0" w:rsidTr="00F56EC0">
        <w:tc>
          <w:tcPr>
            <w:tcW w:w="743" w:type="dxa"/>
          </w:tcPr>
          <w:p w:rsidR="00F56EC0" w:rsidRDefault="00F56EC0" w:rsidP="00F56EC0">
            <w:pPr>
              <w:jc w:val="center"/>
            </w:pPr>
            <w:r>
              <w:t>1</w:t>
            </w:r>
          </w:p>
        </w:tc>
        <w:tc>
          <w:tcPr>
            <w:tcW w:w="2977" w:type="dxa"/>
          </w:tcPr>
          <w:p w:rsidR="00F56EC0" w:rsidRDefault="00F56EC0" w:rsidP="00F56EC0">
            <w:pPr>
              <w:jc w:val="left"/>
            </w:pPr>
            <w:r>
              <w:rPr>
                <w:rFonts w:hint="eastAsia"/>
              </w:rPr>
              <w:t>存出保证金</w:t>
            </w:r>
          </w:p>
        </w:tc>
        <w:tc>
          <w:tcPr>
            <w:tcW w:w="4785" w:type="dxa"/>
          </w:tcPr>
          <w:p w:rsidR="00F56EC0" w:rsidRDefault="00F56EC0" w:rsidP="00F56EC0">
            <w:pPr>
              <w:jc w:val="right"/>
            </w:pPr>
            <w:r>
              <w:t>2,032.25</w:t>
            </w:r>
          </w:p>
        </w:tc>
      </w:tr>
      <w:tr w:rsidR="00F56EC0" w:rsidTr="00F56EC0">
        <w:tc>
          <w:tcPr>
            <w:tcW w:w="743" w:type="dxa"/>
          </w:tcPr>
          <w:p w:rsidR="00F56EC0" w:rsidRDefault="00F56EC0" w:rsidP="00F56EC0">
            <w:pPr>
              <w:jc w:val="center"/>
            </w:pPr>
            <w:r>
              <w:t>2</w:t>
            </w:r>
          </w:p>
        </w:tc>
        <w:tc>
          <w:tcPr>
            <w:tcW w:w="2977" w:type="dxa"/>
          </w:tcPr>
          <w:p w:rsidR="00F56EC0" w:rsidRDefault="00F56EC0" w:rsidP="00F56EC0">
            <w:pPr>
              <w:jc w:val="left"/>
            </w:pPr>
            <w:r>
              <w:rPr>
                <w:rFonts w:hint="eastAsia"/>
              </w:rPr>
              <w:t>应收证券清算款</w:t>
            </w:r>
          </w:p>
        </w:tc>
        <w:tc>
          <w:tcPr>
            <w:tcW w:w="4785" w:type="dxa"/>
          </w:tcPr>
          <w:p w:rsidR="00F56EC0" w:rsidRDefault="00F56EC0" w:rsidP="00F56EC0">
            <w:pPr>
              <w:jc w:val="right"/>
            </w:pPr>
            <w:r>
              <w:t>-</w:t>
            </w:r>
          </w:p>
        </w:tc>
      </w:tr>
      <w:tr w:rsidR="00F56EC0" w:rsidTr="00F56EC0">
        <w:tc>
          <w:tcPr>
            <w:tcW w:w="743" w:type="dxa"/>
          </w:tcPr>
          <w:p w:rsidR="00F56EC0" w:rsidRDefault="00F56EC0" w:rsidP="00F56EC0">
            <w:pPr>
              <w:jc w:val="center"/>
            </w:pPr>
            <w:r>
              <w:t>3</w:t>
            </w:r>
          </w:p>
        </w:tc>
        <w:tc>
          <w:tcPr>
            <w:tcW w:w="2977" w:type="dxa"/>
          </w:tcPr>
          <w:p w:rsidR="00F56EC0" w:rsidRDefault="00F56EC0" w:rsidP="00F56EC0">
            <w:pPr>
              <w:jc w:val="left"/>
            </w:pPr>
            <w:r>
              <w:rPr>
                <w:rFonts w:hint="eastAsia"/>
              </w:rPr>
              <w:t>应收股利</w:t>
            </w:r>
          </w:p>
        </w:tc>
        <w:tc>
          <w:tcPr>
            <w:tcW w:w="4785" w:type="dxa"/>
          </w:tcPr>
          <w:p w:rsidR="00F56EC0" w:rsidRDefault="00F56EC0" w:rsidP="00F56EC0">
            <w:pPr>
              <w:jc w:val="right"/>
            </w:pPr>
            <w:r>
              <w:t>436,453.72</w:t>
            </w:r>
          </w:p>
        </w:tc>
      </w:tr>
      <w:tr w:rsidR="00F56EC0" w:rsidTr="00F56EC0">
        <w:tc>
          <w:tcPr>
            <w:tcW w:w="743" w:type="dxa"/>
          </w:tcPr>
          <w:p w:rsidR="00F56EC0" w:rsidRDefault="00F56EC0" w:rsidP="00F56EC0">
            <w:pPr>
              <w:jc w:val="center"/>
            </w:pPr>
            <w:r>
              <w:t>4</w:t>
            </w:r>
          </w:p>
        </w:tc>
        <w:tc>
          <w:tcPr>
            <w:tcW w:w="2977" w:type="dxa"/>
          </w:tcPr>
          <w:p w:rsidR="00F56EC0" w:rsidRDefault="00F56EC0" w:rsidP="00F56EC0">
            <w:pPr>
              <w:jc w:val="left"/>
            </w:pPr>
            <w:r>
              <w:rPr>
                <w:rFonts w:hint="eastAsia"/>
              </w:rPr>
              <w:t>应收利息</w:t>
            </w:r>
          </w:p>
        </w:tc>
        <w:tc>
          <w:tcPr>
            <w:tcW w:w="4785" w:type="dxa"/>
          </w:tcPr>
          <w:p w:rsidR="00F56EC0" w:rsidRDefault="00F56EC0" w:rsidP="00F56EC0">
            <w:pPr>
              <w:jc w:val="right"/>
            </w:pPr>
            <w:r>
              <w:t>-</w:t>
            </w:r>
          </w:p>
        </w:tc>
      </w:tr>
      <w:tr w:rsidR="00F56EC0" w:rsidTr="00F56EC0">
        <w:tc>
          <w:tcPr>
            <w:tcW w:w="743" w:type="dxa"/>
          </w:tcPr>
          <w:p w:rsidR="00F56EC0" w:rsidRDefault="00F56EC0" w:rsidP="00F56EC0">
            <w:pPr>
              <w:jc w:val="center"/>
            </w:pPr>
            <w:r>
              <w:t>5</w:t>
            </w:r>
          </w:p>
        </w:tc>
        <w:tc>
          <w:tcPr>
            <w:tcW w:w="2977" w:type="dxa"/>
          </w:tcPr>
          <w:p w:rsidR="00F56EC0" w:rsidRDefault="00F56EC0" w:rsidP="00F56EC0">
            <w:pPr>
              <w:jc w:val="left"/>
            </w:pPr>
            <w:r>
              <w:rPr>
                <w:rFonts w:hint="eastAsia"/>
              </w:rPr>
              <w:t>应收申购款</w:t>
            </w:r>
          </w:p>
        </w:tc>
        <w:tc>
          <w:tcPr>
            <w:tcW w:w="4785" w:type="dxa"/>
          </w:tcPr>
          <w:p w:rsidR="00F56EC0" w:rsidRDefault="00F56EC0" w:rsidP="00F56EC0">
            <w:pPr>
              <w:jc w:val="right"/>
            </w:pPr>
            <w:r>
              <w:t>23,498,973.91</w:t>
            </w:r>
          </w:p>
        </w:tc>
      </w:tr>
      <w:tr w:rsidR="00F56EC0" w:rsidTr="00F56EC0">
        <w:tc>
          <w:tcPr>
            <w:tcW w:w="743" w:type="dxa"/>
          </w:tcPr>
          <w:p w:rsidR="00F56EC0" w:rsidRDefault="00F56EC0" w:rsidP="00F56EC0">
            <w:pPr>
              <w:jc w:val="center"/>
            </w:pPr>
            <w:r>
              <w:t>6</w:t>
            </w:r>
          </w:p>
        </w:tc>
        <w:tc>
          <w:tcPr>
            <w:tcW w:w="2977" w:type="dxa"/>
          </w:tcPr>
          <w:p w:rsidR="00F56EC0" w:rsidRDefault="00F56EC0" w:rsidP="00F56EC0">
            <w:pPr>
              <w:jc w:val="left"/>
            </w:pPr>
            <w:r>
              <w:rPr>
                <w:rFonts w:hint="eastAsia"/>
              </w:rPr>
              <w:t>其他应收款</w:t>
            </w:r>
          </w:p>
        </w:tc>
        <w:tc>
          <w:tcPr>
            <w:tcW w:w="4785" w:type="dxa"/>
          </w:tcPr>
          <w:p w:rsidR="00F56EC0" w:rsidRDefault="00F56EC0" w:rsidP="00F56EC0">
            <w:pPr>
              <w:jc w:val="right"/>
            </w:pPr>
            <w:r>
              <w:t>-</w:t>
            </w:r>
          </w:p>
        </w:tc>
      </w:tr>
      <w:tr w:rsidR="00F56EC0" w:rsidTr="00F56EC0">
        <w:tc>
          <w:tcPr>
            <w:tcW w:w="743" w:type="dxa"/>
          </w:tcPr>
          <w:p w:rsidR="00F56EC0" w:rsidRDefault="00F56EC0" w:rsidP="00F56EC0">
            <w:pPr>
              <w:jc w:val="center"/>
            </w:pPr>
            <w:r>
              <w:t>7</w:t>
            </w:r>
          </w:p>
        </w:tc>
        <w:tc>
          <w:tcPr>
            <w:tcW w:w="2977" w:type="dxa"/>
          </w:tcPr>
          <w:p w:rsidR="00F56EC0" w:rsidRDefault="00F56EC0" w:rsidP="00F56EC0">
            <w:pPr>
              <w:jc w:val="left"/>
            </w:pPr>
            <w:r>
              <w:rPr>
                <w:rFonts w:hint="eastAsia"/>
              </w:rPr>
              <w:t>待摊费用</w:t>
            </w:r>
          </w:p>
        </w:tc>
        <w:tc>
          <w:tcPr>
            <w:tcW w:w="4785" w:type="dxa"/>
          </w:tcPr>
          <w:p w:rsidR="00F56EC0" w:rsidRDefault="00F56EC0" w:rsidP="00F56EC0">
            <w:pPr>
              <w:jc w:val="right"/>
            </w:pPr>
            <w:r>
              <w:t>-</w:t>
            </w:r>
          </w:p>
        </w:tc>
      </w:tr>
      <w:tr w:rsidR="00F56EC0" w:rsidTr="00F56EC0">
        <w:tc>
          <w:tcPr>
            <w:tcW w:w="743" w:type="dxa"/>
          </w:tcPr>
          <w:p w:rsidR="00F56EC0" w:rsidRDefault="00F56EC0" w:rsidP="00F56EC0">
            <w:pPr>
              <w:jc w:val="center"/>
            </w:pPr>
            <w:r>
              <w:t>8</w:t>
            </w:r>
          </w:p>
        </w:tc>
        <w:tc>
          <w:tcPr>
            <w:tcW w:w="2977" w:type="dxa"/>
          </w:tcPr>
          <w:p w:rsidR="00F56EC0" w:rsidRDefault="00F56EC0" w:rsidP="00F56EC0">
            <w:pPr>
              <w:jc w:val="left"/>
            </w:pPr>
            <w:r>
              <w:rPr>
                <w:rFonts w:hint="eastAsia"/>
              </w:rPr>
              <w:t>其他</w:t>
            </w:r>
          </w:p>
        </w:tc>
        <w:tc>
          <w:tcPr>
            <w:tcW w:w="4785" w:type="dxa"/>
          </w:tcPr>
          <w:p w:rsidR="00F56EC0" w:rsidRDefault="00F56EC0" w:rsidP="00F56EC0">
            <w:pPr>
              <w:jc w:val="right"/>
            </w:pPr>
            <w:r>
              <w:t>-</w:t>
            </w:r>
          </w:p>
        </w:tc>
      </w:tr>
      <w:tr w:rsidR="00F56EC0" w:rsidTr="00F56EC0">
        <w:tc>
          <w:tcPr>
            <w:tcW w:w="743" w:type="dxa"/>
          </w:tcPr>
          <w:p w:rsidR="00F56EC0" w:rsidRDefault="00F56EC0" w:rsidP="00F56EC0">
            <w:pPr>
              <w:jc w:val="center"/>
            </w:pPr>
            <w:r>
              <w:t>9</w:t>
            </w:r>
          </w:p>
        </w:tc>
        <w:tc>
          <w:tcPr>
            <w:tcW w:w="2977" w:type="dxa"/>
          </w:tcPr>
          <w:p w:rsidR="00F56EC0" w:rsidRDefault="00F56EC0" w:rsidP="00F56EC0">
            <w:pPr>
              <w:jc w:val="left"/>
            </w:pPr>
            <w:r>
              <w:rPr>
                <w:rFonts w:hint="eastAsia"/>
              </w:rPr>
              <w:t>合计</w:t>
            </w:r>
          </w:p>
        </w:tc>
        <w:tc>
          <w:tcPr>
            <w:tcW w:w="4785" w:type="dxa"/>
          </w:tcPr>
          <w:p w:rsidR="00F56EC0" w:rsidRDefault="00F56EC0" w:rsidP="00F56EC0">
            <w:pPr>
              <w:jc w:val="right"/>
            </w:pPr>
            <w:r>
              <w:t>23,937,459.88</w:t>
            </w:r>
          </w:p>
        </w:tc>
      </w:tr>
    </w:tbl>
    <w:p w:rsidR="00F56EC0" w:rsidRDefault="00F56EC0" w:rsidP="00F56EC0">
      <w:pPr>
        <w:pStyle w:val="-3"/>
        <w:spacing w:before="156" w:after="156"/>
      </w:pPr>
      <w:r>
        <w:rPr>
          <w:rFonts w:hint="eastAsia"/>
        </w:rPr>
        <w:t>报告期末持有的处于转股期的可转换债券明细</w:t>
      </w:r>
    </w:p>
    <w:p w:rsidR="00F56EC0" w:rsidRDefault="00F56EC0" w:rsidP="00F56EC0">
      <w:pPr>
        <w:pStyle w:val="-"/>
        <w:ind w:firstLine="420"/>
      </w:pPr>
      <w:r>
        <w:rPr>
          <w:rFonts w:hint="eastAsia"/>
        </w:rPr>
        <w:t>本基金本报告期末未持有处于转股期的可转换债券。</w:t>
      </w:r>
    </w:p>
    <w:p w:rsidR="00F56EC0" w:rsidRDefault="00F56EC0" w:rsidP="00F56EC0">
      <w:pPr>
        <w:pStyle w:val="-3"/>
        <w:spacing w:before="156" w:after="156"/>
      </w:pPr>
      <w:r>
        <w:rPr>
          <w:rFonts w:hint="eastAsia"/>
        </w:rPr>
        <w:t>报告期末前十名股票中存在流通受限情况的说明</w:t>
      </w:r>
    </w:p>
    <w:p w:rsidR="00F56EC0" w:rsidRDefault="00F56EC0" w:rsidP="00F56EC0">
      <w:pPr>
        <w:pStyle w:val="-"/>
        <w:ind w:firstLine="420"/>
      </w:pPr>
      <w:r>
        <w:rPr>
          <w:rFonts w:hint="eastAsia"/>
        </w:rPr>
        <w:t>无。</w:t>
      </w:r>
    </w:p>
    <w:p w:rsidR="00F56EC0" w:rsidRDefault="00F56EC0" w:rsidP="00F56EC0">
      <w:pPr>
        <w:pStyle w:val="-1"/>
        <w:ind w:left="281" w:hanging="281"/>
      </w:pPr>
      <w:r>
        <w:rPr>
          <w:rFonts w:hint="eastAsia"/>
        </w:rPr>
        <w:t>开放式基金份额变动</w:t>
      </w:r>
    </w:p>
    <w:p w:rsidR="00F56EC0" w:rsidRDefault="00F56EC0" w:rsidP="00F56EC0">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56EC0" w:rsidTr="00F56EC0">
        <w:trPr>
          <w:cnfStyle w:val="100000000000" w:firstRow="1" w:lastRow="0" w:firstColumn="0" w:lastColumn="0" w:oddVBand="0" w:evenVBand="0" w:oddHBand="0" w:evenHBand="0" w:firstRowFirstColumn="0" w:firstRowLastColumn="0" w:lastRowFirstColumn="0" w:lastRowLastColumn="0"/>
        </w:trPr>
        <w:tc>
          <w:tcPr>
            <w:tcW w:w="2768" w:type="dxa"/>
          </w:tcPr>
          <w:p w:rsidR="00F56EC0" w:rsidRPr="00F56EC0" w:rsidRDefault="00F56EC0" w:rsidP="00F56EC0">
            <w:pPr>
              <w:jc w:val="center"/>
              <w:rPr>
                <w:b/>
              </w:rPr>
            </w:pPr>
            <w:r w:rsidRPr="00F56EC0">
              <w:rPr>
                <w:rFonts w:hint="eastAsia"/>
                <w:b/>
              </w:rPr>
              <w:t>项目</w:t>
            </w:r>
          </w:p>
        </w:tc>
        <w:tc>
          <w:tcPr>
            <w:tcW w:w="2769" w:type="dxa"/>
          </w:tcPr>
          <w:p w:rsidR="00F56EC0" w:rsidRPr="00F56EC0" w:rsidRDefault="00F56EC0" w:rsidP="00F56EC0">
            <w:pPr>
              <w:jc w:val="center"/>
              <w:rPr>
                <w:b/>
              </w:rPr>
            </w:pPr>
            <w:r w:rsidRPr="00F56EC0">
              <w:rPr>
                <w:rFonts w:hint="eastAsia"/>
                <w:b/>
              </w:rPr>
              <w:t>南方全球精选配置股票（</w:t>
            </w:r>
            <w:r w:rsidRPr="00F56EC0">
              <w:rPr>
                <w:rFonts w:hint="eastAsia"/>
                <w:b/>
              </w:rPr>
              <w:t>QDII-FOF</w:t>
            </w:r>
            <w:r w:rsidRPr="00F56EC0">
              <w:rPr>
                <w:rFonts w:hint="eastAsia"/>
                <w:b/>
              </w:rPr>
              <w:t>）</w:t>
            </w:r>
            <w:r w:rsidRPr="00F56EC0">
              <w:rPr>
                <w:rFonts w:hint="eastAsia"/>
                <w:b/>
              </w:rPr>
              <w:t>A</w:t>
            </w:r>
          </w:p>
        </w:tc>
        <w:tc>
          <w:tcPr>
            <w:tcW w:w="2769" w:type="dxa"/>
          </w:tcPr>
          <w:p w:rsidR="00F56EC0" w:rsidRPr="00F56EC0" w:rsidRDefault="00F56EC0" w:rsidP="00F56EC0">
            <w:pPr>
              <w:jc w:val="center"/>
              <w:rPr>
                <w:b/>
              </w:rPr>
            </w:pPr>
            <w:r w:rsidRPr="00F56EC0">
              <w:rPr>
                <w:rFonts w:hint="eastAsia"/>
                <w:b/>
              </w:rPr>
              <w:t>南方全球精选配置股票（</w:t>
            </w:r>
            <w:r w:rsidRPr="00F56EC0">
              <w:rPr>
                <w:rFonts w:hint="eastAsia"/>
                <w:b/>
              </w:rPr>
              <w:t>QDII-FOF</w:t>
            </w:r>
            <w:r w:rsidRPr="00F56EC0">
              <w:rPr>
                <w:rFonts w:hint="eastAsia"/>
                <w:b/>
              </w:rPr>
              <w:t>）</w:t>
            </w:r>
            <w:r w:rsidRPr="00F56EC0">
              <w:rPr>
                <w:rFonts w:hint="eastAsia"/>
                <w:b/>
              </w:rPr>
              <w:t>C</w:t>
            </w:r>
          </w:p>
        </w:tc>
      </w:tr>
      <w:tr w:rsidR="00F56EC0" w:rsidTr="00F56EC0">
        <w:tc>
          <w:tcPr>
            <w:tcW w:w="2768" w:type="dxa"/>
          </w:tcPr>
          <w:p w:rsidR="00F56EC0" w:rsidRDefault="00F56EC0" w:rsidP="00F56EC0">
            <w:pPr>
              <w:jc w:val="left"/>
            </w:pPr>
            <w:r>
              <w:rPr>
                <w:rFonts w:hint="eastAsia"/>
              </w:rPr>
              <w:t>报告期期初基金份额总额</w:t>
            </w:r>
          </w:p>
        </w:tc>
        <w:tc>
          <w:tcPr>
            <w:tcW w:w="2769" w:type="dxa"/>
          </w:tcPr>
          <w:p w:rsidR="00F56EC0" w:rsidRDefault="00F56EC0" w:rsidP="00F56EC0">
            <w:pPr>
              <w:jc w:val="right"/>
            </w:pPr>
            <w:r>
              <w:t>1,673,082,836.92</w:t>
            </w:r>
          </w:p>
        </w:tc>
        <w:tc>
          <w:tcPr>
            <w:tcW w:w="2769" w:type="dxa"/>
          </w:tcPr>
          <w:p w:rsidR="00F56EC0" w:rsidRDefault="00F56EC0" w:rsidP="00F56EC0">
            <w:pPr>
              <w:jc w:val="right"/>
            </w:pPr>
            <w:r>
              <w:t>7,109,771.07</w:t>
            </w:r>
          </w:p>
        </w:tc>
      </w:tr>
      <w:tr w:rsidR="00F56EC0" w:rsidTr="00F56EC0">
        <w:tc>
          <w:tcPr>
            <w:tcW w:w="2768" w:type="dxa"/>
          </w:tcPr>
          <w:p w:rsidR="00F56EC0" w:rsidRDefault="00F56EC0" w:rsidP="00F56EC0">
            <w:pPr>
              <w:jc w:val="left"/>
            </w:pPr>
            <w:r>
              <w:rPr>
                <w:rFonts w:hint="eastAsia"/>
              </w:rPr>
              <w:t>报告期期间基金总申购份额</w:t>
            </w:r>
          </w:p>
        </w:tc>
        <w:tc>
          <w:tcPr>
            <w:tcW w:w="2769" w:type="dxa"/>
          </w:tcPr>
          <w:p w:rsidR="00F56EC0" w:rsidRDefault="00F56EC0" w:rsidP="00F56EC0">
            <w:pPr>
              <w:jc w:val="right"/>
            </w:pPr>
            <w:r>
              <w:t>166,238,754.10</w:t>
            </w:r>
          </w:p>
        </w:tc>
        <w:tc>
          <w:tcPr>
            <w:tcW w:w="2769" w:type="dxa"/>
          </w:tcPr>
          <w:p w:rsidR="00F56EC0" w:rsidRDefault="00F56EC0" w:rsidP="00F56EC0">
            <w:pPr>
              <w:jc w:val="right"/>
            </w:pPr>
            <w:r>
              <w:t>103,193,828.02</w:t>
            </w:r>
          </w:p>
        </w:tc>
      </w:tr>
      <w:tr w:rsidR="00F56EC0" w:rsidTr="00F56EC0">
        <w:tc>
          <w:tcPr>
            <w:tcW w:w="2768" w:type="dxa"/>
          </w:tcPr>
          <w:p w:rsidR="00F56EC0" w:rsidRDefault="00F56EC0" w:rsidP="00F56EC0">
            <w:pPr>
              <w:jc w:val="left"/>
            </w:pPr>
            <w:r>
              <w:rPr>
                <w:rFonts w:hint="eastAsia"/>
              </w:rPr>
              <w:t>减：报告期期间基金总赎回</w:t>
            </w:r>
            <w:r>
              <w:rPr>
                <w:rFonts w:hint="eastAsia"/>
              </w:rPr>
              <w:lastRenderedPageBreak/>
              <w:t>份额</w:t>
            </w:r>
          </w:p>
        </w:tc>
        <w:tc>
          <w:tcPr>
            <w:tcW w:w="2769" w:type="dxa"/>
          </w:tcPr>
          <w:p w:rsidR="00F56EC0" w:rsidRDefault="00F56EC0" w:rsidP="00F56EC0">
            <w:pPr>
              <w:jc w:val="right"/>
            </w:pPr>
            <w:r>
              <w:lastRenderedPageBreak/>
              <w:t>86,651,792.35</w:t>
            </w:r>
          </w:p>
        </w:tc>
        <w:tc>
          <w:tcPr>
            <w:tcW w:w="2769" w:type="dxa"/>
          </w:tcPr>
          <w:p w:rsidR="00F56EC0" w:rsidRDefault="00F56EC0" w:rsidP="00F56EC0">
            <w:pPr>
              <w:jc w:val="right"/>
            </w:pPr>
            <w:r>
              <w:t>6,203,320.14</w:t>
            </w:r>
          </w:p>
        </w:tc>
      </w:tr>
      <w:tr w:rsidR="00F56EC0" w:rsidTr="00F56EC0">
        <w:tc>
          <w:tcPr>
            <w:tcW w:w="2768" w:type="dxa"/>
          </w:tcPr>
          <w:p w:rsidR="00F56EC0" w:rsidRDefault="00F56EC0" w:rsidP="00F56EC0">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F56EC0" w:rsidRDefault="00F56EC0" w:rsidP="00F56EC0">
            <w:pPr>
              <w:jc w:val="right"/>
            </w:pPr>
            <w:r>
              <w:t>-</w:t>
            </w:r>
          </w:p>
        </w:tc>
        <w:tc>
          <w:tcPr>
            <w:tcW w:w="2769" w:type="dxa"/>
          </w:tcPr>
          <w:p w:rsidR="00F56EC0" w:rsidRDefault="00F56EC0" w:rsidP="00F56EC0">
            <w:pPr>
              <w:jc w:val="right"/>
            </w:pPr>
            <w:r>
              <w:t>-</w:t>
            </w:r>
          </w:p>
        </w:tc>
      </w:tr>
      <w:tr w:rsidR="00F56EC0" w:rsidTr="00F56EC0">
        <w:tc>
          <w:tcPr>
            <w:tcW w:w="2768" w:type="dxa"/>
          </w:tcPr>
          <w:p w:rsidR="00F56EC0" w:rsidRDefault="00F56EC0" w:rsidP="00F56EC0">
            <w:pPr>
              <w:jc w:val="left"/>
            </w:pPr>
            <w:r>
              <w:rPr>
                <w:rFonts w:hint="eastAsia"/>
              </w:rPr>
              <w:t>报告期期末基金份额总额</w:t>
            </w:r>
          </w:p>
        </w:tc>
        <w:tc>
          <w:tcPr>
            <w:tcW w:w="2769" w:type="dxa"/>
          </w:tcPr>
          <w:p w:rsidR="00F56EC0" w:rsidRDefault="00F56EC0" w:rsidP="00F56EC0">
            <w:pPr>
              <w:jc w:val="right"/>
            </w:pPr>
            <w:r>
              <w:t>1,752,669,798.67</w:t>
            </w:r>
          </w:p>
        </w:tc>
        <w:tc>
          <w:tcPr>
            <w:tcW w:w="2769" w:type="dxa"/>
          </w:tcPr>
          <w:p w:rsidR="00F56EC0" w:rsidRDefault="00F56EC0" w:rsidP="00F56EC0">
            <w:pPr>
              <w:jc w:val="right"/>
            </w:pPr>
            <w:r>
              <w:t>104,100,278.95</w:t>
            </w:r>
          </w:p>
        </w:tc>
      </w:tr>
    </w:tbl>
    <w:p w:rsidR="00F56EC0" w:rsidRDefault="00F56EC0" w:rsidP="00F56EC0">
      <w:pPr>
        <w:pStyle w:val="-1"/>
        <w:ind w:left="281" w:hanging="281"/>
      </w:pPr>
      <w:r>
        <w:rPr>
          <w:rFonts w:hint="eastAsia"/>
        </w:rPr>
        <w:t>基金管理人运用固有资金投资本基金情况</w:t>
      </w:r>
    </w:p>
    <w:p w:rsidR="00F56EC0" w:rsidRDefault="00F56EC0" w:rsidP="00F56EC0">
      <w:pPr>
        <w:pStyle w:val="-2"/>
        <w:spacing w:before="312"/>
      </w:pPr>
      <w:r>
        <w:rPr>
          <w:rFonts w:hint="eastAsia"/>
        </w:rPr>
        <w:t>基金管理人持有本基金份额变动情况</w:t>
      </w:r>
    </w:p>
    <w:p w:rsidR="00F56EC0" w:rsidRDefault="00F56EC0" w:rsidP="00F56EC0">
      <w:pPr>
        <w:pStyle w:val="-"/>
        <w:ind w:firstLine="420"/>
      </w:pPr>
      <w:r>
        <w:rPr>
          <w:rFonts w:hint="eastAsia"/>
        </w:rPr>
        <w:t>本报告期末，基金管理人未持有本基金份额。</w:t>
      </w:r>
    </w:p>
    <w:p w:rsidR="00F56EC0" w:rsidRDefault="00F56EC0" w:rsidP="00F56EC0">
      <w:pPr>
        <w:pStyle w:val="-2"/>
        <w:spacing w:before="312"/>
      </w:pPr>
      <w:r>
        <w:rPr>
          <w:rFonts w:hint="eastAsia"/>
        </w:rPr>
        <w:t>基金管理人运用固有资金投资本基金交易明细</w:t>
      </w:r>
    </w:p>
    <w:p w:rsidR="00F56EC0" w:rsidRDefault="00F56EC0" w:rsidP="00F56EC0">
      <w:pPr>
        <w:pStyle w:val="-"/>
        <w:ind w:firstLine="420"/>
      </w:pPr>
      <w:r>
        <w:rPr>
          <w:rFonts w:hint="eastAsia"/>
        </w:rPr>
        <w:t>本报告期内，基金管理人不存在申购、赎回或买卖本基金的情况。</w:t>
      </w:r>
    </w:p>
    <w:p w:rsidR="00F56EC0" w:rsidRDefault="00F56EC0" w:rsidP="00F56EC0">
      <w:pPr>
        <w:pStyle w:val="-1"/>
        <w:ind w:left="281" w:hanging="281"/>
      </w:pPr>
      <w:r>
        <w:rPr>
          <w:rFonts w:hint="eastAsia"/>
        </w:rPr>
        <w:t>影响投资者决策的其他重要信息</w:t>
      </w:r>
    </w:p>
    <w:p w:rsidR="00F56EC0" w:rsidRDefault="00F56EC0" w:rsidP="00F56EC0">
      <w:pPr>
        <w:pStyle w:val="-2"/>
        <w:spacing w:before="312"/>
      </w:pPr>
      <w:r>
        <w:rPr>
          <w:rFonts w:hint="eastAsia"/>
        </w:rPr>
        <w:t>报告期内单一投资者持有基金份额比例达到或超过20%的情况</w:t>
      </w:r>
    </w:p>
    <w:p w:rsidR="00F56EC0" w:rsidRDefault="00F56EC0" w:rsidP="00F56EC0">
      <w:pPr>
        <w:pStyle w:val="-"/>
        <w:ind w:firstLine="420"/>
      </w:pPr>
      <w:r>
        <w:rPr>
          <w:rFonts w:hint="eastAsia"/>
        </w:rPr>
        <w:t>报告期内单一投资者持有基金份额比例不存在达到或超过20%的情况。</w:t>
      </w:r>
    </w:p>
    <w:p w:rsidR="00F56EC0" w:rsidRDefault="00F56EC0" w:rsidP="00F56EC0">
      <w:pPr>
        <w:pStyle w:val="-2"/>
        <w:spacing w:before="312"/>
      </w:pPr>
      <w:r>
        <w:rPr>
          <w:rFonts w:hint="eastAsia"/>
        </w:rPr>
        <w:t>影响投资者决策的其他重要信息</w:t>
      </w:r>
    </w:p>
    <w:p w:rsidR="00F56EC0" w:rsidRDefault="00F56EC0" w:rsidP="00F56EC0">
      <w:pPr>
        <w:pStyle w:val="-"/>
        <w:ind w:firstLine="420"/>
      </w:pPr>
      <w:r>
        <w:rPr>
          <w:rFonts w:hint="eastAsia"/>
        </w:rPr>
        <w:t>无。</w:t>
      </w:r>
    </w:p>
    <w:p w:rsidR="00F56EC0" w:rsidRDefault="00F56EC0" w:rsidP="00F56EC0">
      <w:pPr>
        <w:pStyle w:val="-1"/>
        <w:ind w:left="281" w:hanging="281"/>
      </w:pPr>
      <w:r>
        <w:rPr>
          <w:rFonts w:hint="eastAsia"/>
        </w:rPr>
        <w:t>备查文件目录</w:t>
      </w:r>
    </w:p>
    <w:p w:rsidR="00F56EC0" w:rsidRDefault="00F56EC0" w:rsidP="00F56EC0">
      <w:pPr>
        <w:pStyle w:val="-2"/>
        <w:spacing w:before="312"/>
      </w:pPr>
      <w:r>
        <w:rPr>
          <w:rFonts w:hint="eastAsia"/>
        </w:rPr>
        <w:t>备查文件目录</w:t>
      </w:r>
    </w:p>
    <w:p w:rsidR="00F56EC0" w:rsidRDefault="00F56EC0" w:rsidP="00F56EC0">
      <w:pPr>
        <w:pStyle w:val="-"/>
        <w:ind w:firstLine="420"/>
      </w:pPr>
      <w:r>
        <w:rPr>
          <w:rFonts w:hint="eastAsia"/>
        </w:rPr>
        <w:t>1、《南方全球精选配置证券投资基金基金合同》；</w:t>
      </w:r>
    </w:p>
    <w:p w:rsidR="00F56EC0" w:rsidRDefault="00F56EC0" w:rsidP="00F56EC0">
      <w:pPr>
        <w:pStyle w:val="-"/>
        <w:ind w:firstLine="420"/>
      </w:pPr>
      <w:r>
        <w:rPr>
          <w:rFonts w:hint="eastAsia"/>
        </w:rPr>
        <w:t>2、《南方全球精选配置证券投资基金托管协议》；</w:t>
      </w:r>
    </w:p>
    <w:p w:rsidR="00F56EC0" w:rsidRDefault="00F56EC0" w:rsidP="00F56EC0">
      <w:pPr>
        <w:pStyle w:val="-"/>
        <w:ind w:firstLine="420"/>
      </w:pPr>
      <w:r>
        <w:rPr>
          <w:rFonts w:hint="eastAsia"/>
        </w:rPr>
        <w:t>3、南方全球精选配置证券投资基金2025年4季度报告原文。</w:t>
      </w:r>
    </w:p>
    <w:p w:rsidR="00F56EC0" w:rsidRDefault="00F56EC0" w:rsidP="00F56EC0">
      <w:pPr>
        <w:pStyle w:val="-2"/>
        <w:spacing w:before="312"/>
      </w:pPr>
      <w:r>
        <w:rPr>
          <w:rFonts w:hint="eastAsia"/>
        </w:rPr>
        <w:t>存放地点</w:t>
      </w:r>
    </w:p>
    <w:p w:rsidR="00F56EC0" w:rsidRDefault="00F56EC0" w:rsidP="00F56EC0">
      <w:pPr>
        <w:pStyle w:val="-"/>
        <w:ind w:firstLine="420"/>
      </w:pPr>
      <w:r>
        <w:rPr>
          <w:rFonts w:hint="eastAsia"/>
        </w:rPr>
        <w:t>深圳市福田区莲花街道益田路5999号基金大厦32-42楼。</w:t>
      </w:r>
    </w:p>
    <w:p w:rsidR="00F56EC0" w:rsidRDefault="00F56EC0" w:rsidP="00F56EC0">
      <w:pPr>
        <w:pStyle w:val="-2"/>
        <w:spacing w:before="312"/>
      </w:pPr>
      <w:r>
        <w:rPr>
          <w:rFonts w:hint="eastAsia"/>
        </w:rPr>
        <w:t>查阅方式</w:t>
      </w:r>
    </w:p>
    <w:p w:rsidR="00F56EC0" w:rsidRDefault="00F56EC0" w:rsidP="00F56EC0">
      <w:pPr>
        <w:pStyle w:val="-"/>
        <w:ind w:firstLine="420"/>
      </w:pPr>
      <w:r>
        <w:rPr>
          <w:rFonts w:hint="eastAsia"/>
        </w:rPr>
        <w:t>网站：http://www.nffund.com</w:t>
      </w:r>
    </w:p>
    <w:sectPr w:rsidR="00F56EC0" w:rsidSect="00225D75">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EC0" w:rsidRDefault="00F56EC0" w:rsidP="00D17C56">
      <w:r>
        <w:separator/>
      </w:r>
    </w:p>
  </w:endnote>
  <w:endnote w:type="continuationSeparator" w:id="0">
    <w:p w:rsidR="00F56EC0" w:rsidRDefault="00F56EC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51A8F" w:rsidRPr="00551A8F">
      <w:rPr>
        <w:rFonts w:ascii="宋体" w:hAnsi="宋体"/>
        <w:bCs/>
        <w:noProof/>
        <w:lang w:val="zh-CN"/>
      </w:rPr>
      <w:t>19</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51A8F">
      <w:rPr>
        <w:rFonts w:ascii="宋体" w:hAnsi="宋体"/>
        <w:bCs/>
        <w:noProof/>
      </w:rPr>
      <w:instrText>21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51A8F">
      <w:rPr>
        <w:rFonts w:ascii="宋体" w:hAnsi="宋体"/>
        <w:bCs/>
        <w:noProof/>
      </w:rPr>
      <w:t>20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EC0" w:rsidRDefault="00F56EC0" w:rsidP="00D17C56">
      <w:r>
        <w:separator/>
      </w:r>
    </w:p>
  </w:footnote>
  <w:footnote w:type="continuationSeparator" w:id="0">
    <w:p w:rsidR="00F56EC0" w:rsidRDefault="00F56EC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56EC0" w:rsidP="00AE3F5B">
    <w:pPr>
      <w:pStyle w:val="a7"/>
      <w:pBdr>
        <w:bottom w:val="single" w:sz="4" w:space="1" w:color="auto"/>
      </w:pBdr>
      <w:jc w:val="right"/>
    </w:pPr>
    <w:r>
      <w:rPr>
        <w:rFonts w:hint="eastAsia"/>
      </w:rPr>
      <w:t>南方全球精选配置证券投资基金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51A8F"/>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56EC0"/>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F5815-D09F-4834-8F35-84B5D22CD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2605</Words>
  <Characters>14854</Characters>
  <Application>Microsoft Office Word</Application>
  <DocSecurity>0</DocSecurity>
  <Lines>123</Lines>
  <Paragraphs>34</Paragraphs>
  <ScaleCrop>false</ScaleCrop>
  <Company>MC SYSTEM</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2026-01-21T02:58:00Z</dcterms:created>
  <dcterms:modified xsi:type="dcterms:W3CDTF">2026-01-21T02:58:00Z</dcterms:modified>
</cp:coreProperties>
</file>