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952E6">
        <w:rPr>
          <w:rFonts w:ascii="宋体" w:hAnsi="宋体" w:hint="eastAsia"/>
          <w:b/>
          <w:bCs/>
          <w:sz w:val="48"/>
          <w:szCs w:val="30"/>
        </w:rPr>
        <w:t>南方恒庆一年定期开放债券型证券投资基金</w:t>
      </w:r>
      <w:r w:rsidR="00D952E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952E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952E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952E6">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952E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952E6" w:rsidRDefault="00D952E6" w:rsidP="00D952E6">
      <w:pPr>
        <w:pStyle w:val="-1"/>
        <w:ind w:left="281" w:hanging="281"/>
        <w:rPr>
          <w:rFonts w:hint="eastAsia"/>
        </w:rPr>
      </w:pPr>
      <w:r>
        <w:rPr>
          <w:rFonts w:hint="eastAsia"/>
        </w:rPr>
        <w:lastRenderedPageBreak/>
        <w:t>重要提示</w:t>
      </w:r>
    </w:p>
    <w:p w:rsidR="00D952E6" w:rsidRDefault="00D952E6" w:rsidP="00D952E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952E6" w:rsidRDefault="00D952E6" w:rsidP="00D952E6">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D952E6" w:rsidRDefault="00D952E6" w:rsidP="00D952E6">
      <w:pPr>
        <w:pStyle w:val="-"/>
        <w:ind w:firstLine="420"/>
        <w:rPr>
          <w:rFonts w:hint="eastAsia"/>
        </w:rPr>
      </w:pPr>
      <w:r>
        <w:rPr>
          <w:rFonts w:hint="eastAsia"/>
        </w:rPr>
        <w:t>基金管理人承诺以诚实信用、勤勉尽责的原则管理和运用基金资产，但不保证基金一定盈利。</w:t>
      </w:r>
    </w:p>
    <w:p w:rsidR="00D952E6" w:rsidRDefault="00D952E6" w:rsidP="00D952E6">
      <w:pPr>
        <w:pStyle w:val="-"/>
        <w:ind w:firstLine="420"/>
        <w:rPr>
          <w:rFonts w:hint="eastAsia"/>
        </w:rPr>
      </w:pPr>
      <w:r>
        <w:rPr>
          <w:rFonts w:hint="eastAsia"/>
        </w:rPr>
        <w:t>基金的过往业绩并不代表其未来表现。投资有风险，投资者在作出投资决策前应仔细阅读本基金的招募说明书。</w:t>
      </w:r>
    </w:p>
    <w:p w:rsidR="00D952E6" w:rsidRDefault="00D952E6" w:rsidP="00D952E6">
      <w:pPr>
        <w:pStyle w:val="-"/>
        <w:ind w:firstLine="420"/>
        <w:rPr>
          <w:rFonts w:hint="eastAsia"/>
        </w:rPr>
      </w:pPr>
      <w:r>
        <w:rPr>
          <w:rFonts w:hint="eastAsia"/>
        </w:rPr>
        <w:t>本报告中财务资料未经审计。</w:t>
      </w:r>
    </w:p>
    <w:p w:rsidR="00D952E6" w:rsidRDefault="00D952E6" w:rsidP="00D952E6">
      <w:pPr>
        <w:pStyle w:val="-"/>
        <w:ind w:firstLine="420"/>
        <w:rPr>
          <w:rFonts w:hint="eastAsia"/>
        </w:rPr>
      </w:pPr>
      <w:r>
        <w:rPr>
          <w:rFonts w:hint="eastAsia"/>
        </w:rPr>
        <w:t>本报告期自2025年10月1日起至12月31日止。</w:t>
      </w:r>
    </w:p>
    <w:p w:rsidR="00D952E6" w:rsidRDefault="00D952E6" w:rsidP="00D952E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952E6" w:rsidTr="00D952E6">
        <w:tc>
          <w:tcPr>
            <w:tcW w:w="2552" w:type="dxa"/>
          </w:tcPr>
          <w:p w:rsidR="00D952E6" w:rsidRDefault="00D952E6" w:rsidP="00D952E6">
            <w:pPr>
              <w:jc w:val="left"/>
            </w:pPr>
            <w:r>
              <w:rPr>
                <w:rFonts w:hint="eastAsia"/>
              </w:rPr>
              <w:t>基金简称</w:t>
            </w:r>
          </w:p>
        </w:tc>
        <w:tc>
          <w:tcPr>
            <w:tcW w:w="5954" w:type="dxa"/>
          </w:tcPr>
          <w:p w:rsidR="00D952E6" w:rsidRDefault="00D952E6" w:rsidP="00D952E6">
            <w:pPr>
              <w:jc w:val="left"/>
            </w:pPr>
            <w:r>
              <w:rPr>
                <w:rFonts w:hint="eastAsia"/>
              </w:rPr>
              <w:t>南方恒庆一年定开债券</w:t>
            </w:r>
          </w:p>
        </w:tc>
      </w:tr>
      <w:tr w:rsidR="00D952E6" w:rsidTr="00D952E6">
        <w:tc>
          <w:tcPr>
            <w:tcW w:w="2552" w:type="dxa"/>
          </w:tcPr>
          <w:p w:rsidR="00D952E6" w:rsidRDefault="00D952E6" w:rsidP="00D952E6">
            <w:pPr>
              <w:jc w:val="left"/>
            </w:pPr>
            <w:r>
              <w:rPr>
                <w:rFonts w:hint="eastAsia"/>
              </w:rPr>
              <w:t>基金主代码</w:t>
            </w:r>
          </w:p>
        </w:tc>
        <w:tc>
          <w:tcPr>
            <w:tcW w:w="5954" w:type="dxa"/>
          </w:tcPr>
          <w:p w:rsidR="00D952E6" w:rsidRDefault="00D952E6" w:rsidP="00D952E6">
            <w:pPr>
              <w:jc w:val="left"/>
            </w:pPr>
            <w:r>
              <w:t>007161</w:t>
            </w:r>
          </w:p>
        </w:tc>
      </w:tr>
      <w:tr w:rsidR="00D952E6" w:rsidTr="00D952E6">
        <w:tc>
          <w:tcPr>
            <w:tcW w:w="2552" w:type="dxa"/>
          </w:tcPr>
          <w:p w:rsidR="00D952E6" w:rsidRDefault="00D952E6" w:rsidP="00D952E6">
            <w:pPr>
              <w:jc w:val="left"/>
            </w:pPr>
            <w:r>
              <w:rPr>
                <w:rFonts w:hint="eastAsia"/>
              </w:rPr>
              <w:t>交易代码</w:t>
            </w:r>
          </w:p>
        </w:tc>
        <w:tc>
          <w:tcPr>
            <w:tcW w:w="5954" w:type="dxa"/>
          </w:tcPr>
          <w:p w:rsidR="00D952E6" w:rsidRDefault="00D952E6" w:rsidP="00D952E6">
            <w:pPr>
              <w:jc w:val="left"/>
            </w:pPr>
            <w:r>
              <w:t>007161</w:t>
            </w:r>
          </w:p>
        </w:tc>
      </w:tr>
      <w:tr w:rsidR="00D952E6" w:rsidTr="00D952E6">
        <w:tc>
          <w:tcPr>
            <w:tcW w:w="2552" w:type="dxa"/>
          </w:tcPr>
          <w:p w:rsidR="00D952E6" w:rsidRDefault="00D952E6" w:rsidP="00D952E6">
            <w:pPr>
              <w:jc w:val="left"/>
            </w:pPr>
            <w:r>
              <w:rPr>
                <w:rFonts w:hint="eastAsia"/>
              </w:rPr>
              <w:t>基金运作方式</w:t>
            </w:r>
          </w:p>
        </w:tc>
        <w:tc>
          <w:tcPr>
            <w:tcW w:w="5954" w:type="dxa"/>
          </w:tcPr>
          <w:p w:rsidR="00D952E6" w:rsidRDefault="00D952E6" w:rsidP="00D952E6">
            <w:pPr>
              <w:jc w:val="left"/>
            </w:pPr>
            <w:r>
              <w:rPr>
                <w:rFonts w:hint="eastAsia"/>
              </w:rPr>
              <w:t>契约型开放式</w:t>
            </w:r>
          </w:p>
        </w:tc>
      </w:tr>
      <w:tr w:rsidR="00D952E6" w:rsidTr="00D952E6">
        <w:tc>
          <w:tcPr>
            <w:tcW w:w="2552" w:type="dxa"/>
          </w:tcPr>
          <w:p w:rsidR="00D952E6" w:rsidRDefault="00D952E6" w:rsidP="00D952E6">
            <w:pPr>
              <w:jc w:val="left"/>
            </w:pPr>
            <w:r>
              <w:rPr>
                <w:rFonts w:hint="eastAsia"/>
              </w:rPr>
              <w:t>基金合同生效日</w:t>
            </w:r>
          </w:p>
        </w:tc>
        <w:tc>
          <w:tcPr>
            <w:tcW w:w="5954" w:type="dxa"/>
          </w:tcPr>
          <w:p w:rsidR="00D952E6" w:rsidRDefault="00D952E6" w:rsidP="00D952E6">
            <w:pPr>
              <w:jc w:val="left"/>
            </w:pPr>
            <w:r>
              <w:rPr>
                <w:rFonts w:hint="eastAsia"/>
              </w:rPr>
              <w:t>2019</w:t>
            </w:r>
            <w:r>
              <w:rPr>
                <w:rFonts w:hint="eastAsia"/>
              </w:rPr>
              <w:t>年</w:t>
            </w:r>
            <w:r>
              <w:rPr>
                <w:rFonts w:hint="eastAsia"/>
              </w:rPr>
              <w:t>5</w:t>
            </w:r>
            <w:r>
              <w:rPr>
                <w:rFonts w:hint="eastAsia"/>
              </w:rPr>
              <w:t>月</w:t>
            </w:r>
            <w:r>
              <w:rPr>
                <w:rFonts w:hint="eastAsia"/>
              </w:rPr>
              <w:t>21</w:t>
            </w:r>
            <w:r>
              <w:rPr>
                <w:rFonts w:hint="eastAsia"/>
              </w:rPr>
              <w:t>日</w:t>
            </w:r>
          </w:p>
        </w:tc>
      </w:tr>
      <w:tr w:rsidR="00D952E6" w:rsidTr="00D952E6">
        <w:tc>
          <w:tcPr>
            <w:tcW w:w="2552" w:type="dxa"/>
          </w:tcPr>
          <w:p w:rsidR="00D952E6" w:rsidRDefault="00D952E6" w:rsidP="00D952E6">
            <w:pPr>
              <w:jc w:val="left"/>
            </w:pPr>
            <w:r>
              <w:rPr>
                <w:rFonts w:hint="eastAsia"/>
              </w:rPr>
              <w:t>报告期末基金份额总额</w:t>
            </w:r>
          </w:p>
        </w:tc>
        <w:tc>
          <w:tcPr>
            <w:tcW w:w="5954" w:type="dxa"/>
          </w:tcPr>
          <w:p w:rsidR="00D952E6" w:rsidRDefault="00D952E6" w:rsidP="00D952E6">
            <w:pPr>
              <w:jc w:val="left"/>
            </w:pPr>
            <w:r>
              <w:rPr>
                <w:rFonts w:hint="eastAsia"/>
              </w:rPr>
              <w:t>33,451,303.63</w:t>
            </w:r>
            <w:r>
              <w:rPr>
                <w:rFonts w:hint="eastAsia"/>
              </w:rPr>
              <w:t>份</w:t>
            </w:r>
          </w:p>
        </w:tc>
      </w:tr>
      <w:tr w:rsidR="00D952E6" w:rsidTr="00D952E6">
        <w:tc>
          <w:tcPr>
            <w:tcW w:w="2552" w:type="dxa"/>
          </w:tcPr>
          <w:p w:rsidR="00D952E6" w:rsidRDefault="00D952E6" w:rsidP="00D952E6">
            <w:pPr>
              <w:jc w:val="left"/>
            </w:pPr>
            <w:r>
              <w:rPr>
                <w:rFonts w:hint="eastAsia"/>
              </w:rPr>
              <w:t>投资目标</w:t>
            </w:r>
          </w:p>
        </w:tc>
        <w:tc>
          <w:tcPr>
            <w:tcW w:w="5954" w:type="dxa"/>
          </w:tcPr>
          <w:p w:rsidR="00D952E6" w:rsidRDefault="00D952E6" w:rsidP="00D952E6">
            <w:r>
              <w:rPr>
                <w:rFonts w:hint="eastAsia"/>
              </w:rPr>
              <w:t>本基金封闭期内采取买入持有到期投资策略，投资于剩余期限（或回售期限）不超过基金剩余封闭期的固定收益类工具，力求基金资产的稳健增值。</w:t>
            </w:r>
          </w:p>
        </w:tc>
      </w:tr>
      <w:tr w:rsidR="00D952E6" w:rsidTr="00D952E6">
        <w:tc>
          <w:tcPr>
            <w:tcW w:w="2552" w:type="dxa"/>
          </w:tcPr>
          <w:p w:rsidR="00D952E6" w:rsidRDefault="00D952E6" w:rsidP="00D952E6">
            <w:pPr>
              <w:jc w:val="left"/>
            </w:pPr>
            <w:r>
              <w:rPr>
                <w:rFonts w:hint="eastAsia"/>
              </w:rPr>
              <w:t>投资策略</w:t>
            </w:r>
          </w:p>
        </w:tc>
        <w:tc>
          <w:tcPr>
            <w:tcW w:w="5954" w:type="dxa"/>
          </w:tcPr>
          <w:p w:rsidR="00D952E6" w:rsidRDefault="00D952E6" w:rsidP="00D952E6">
            <w:r>
              <w:rPr>
                <w:rFonts w:hint="eastAsia"/>
              </w:rPr>
              <w:t>本基金由于封闭期内采用买入持有到期投资策略，因此，个券精选是本基金投资策略的重要组成部分。信用债券相对央票、国债等利率产品的信用利差是本基金获取较高投资收益的来源。本基金将在南方基金内部信用评级的基础上和内部信用风险控制的框架下，根据对宏观经济形势、发行人公司所在行业状况、以及公司自身在行业内的竞争力、公司财务状况和现金流状况、公司治理等信息，进一步结合债券发行具体条款对债券进行分析，评估信用风险溢价，发掘具备相对价值的个券。</w:t>
            </w:r>
          </w:p>
        </w:tc>
      </w:tr>
      <w:tr w:rsidR="00D952E6" w:rsidTr="00D952E6">
        <w:tc>
          <w:tcPr>
            <w:tcW w:w="2552" w:type="dxa"/>
          </w:tcPr>
          <w:p w:rsidR="00D952E6" w:rsidRDefault="00D952E6" w:rsidP="00D952E6">
            <w:pPr>
              <w:jc w:val="left"/>
            </w:pPr>
            <w:r>
              <w:rPr>
                <w:rFonts w:hint="eastAsia"/>
              </w:rPr>
              <w:t>业绩比较基准</w:t>
            </w:r>
          </w:p>
        </w:tc>
        <w:tc>
          <w:tcPr>
            <w:tcW w:w="5954" w:type="dxa"/>
          </w:tcPr>
          <w:p w:rsidR="00D952E6" w:rsidRDefault="00D952E6" w:rsidP="00D952E6">
            <w:pPr>
              <w:rPr>
                <w:rFonts w:hint="eastAsia"/>
              </w:rPr>
            </w:pPr>
            <w:r>
              <w:rPr>
                <w:rFonts w:hint="eastAsia"/>
              </w:rPr>
              <w:t>在每个封闭期，本基金的业绩比较基准为该封闭期起始日公布的一年期定期存款利率（税后）</w:t>
            </w:r>
            <w:r>
              <w:rPr>
                <w:rFonts w:hint="eastAsia"/>
              </w:rPr>
              <w:t>+1.5%</w:t>
            </w:r>
            <w:r>
              <w:rPr>
                <w:rFonts w:hint="eastAsia"/>
              </w:rPr>
              <w:t>。</w:t>
            </w:r>
          </w:p>
          <w:p w:rsidR="00D952E6" w:rsidRDefault="00D952E6" w:rsidP="00D952E6">
            <w:r>
              <w:rPr>
                <w:rFonts w:hint="eastAsia"/>
              </w:rPr>
              <w:t>一年期定期存款利率采用每个封闭期起始日中国人民银行公布的金融机构人民币一年期存款基准利率。</w:t>
            </w:r>
          </w:p>
        </w:tc>
      </w:tr>
      <w:tr w:rsidR="00D952E6" w:rsidTr="00D952E6">
        <w:tc>
          <w:tcPr>
            <w:tcW w:w="2552" w:type="dxa"/>
          </w:tcPr>
          <w:p w:rsidR="00D952E6" w:rsidRDefault="00D952E6" w:rsidP="00D952E6">
            <w:pPr>
              <w:jc w:val="left"/>
            </w:pPr>
            <w:r>
              <w:rPr>
                <w:rFonts w:hint="eastAsia"/>
              </w:rPr>
              <w:t>风险收益特征</w:t>
            </w:r>
          </w:p>
        </w:tc>
        <w:tc>
          <w:tcPr>
            <w:tcW w:w="5954" w:type="dxa"/>
          </w:tcPr>
          <w:p w:rsidR="00D952E6" w:rsidRDefault="00D952E6" w:rsidP="00D952E6">
            <w:pPr>
              <w:jc w:val="left"/>
            </w:pPr>
            <w:r>
              <w:rPr>
                <w:rFonts w:hint="eastAsia"/>
              </w:rPr>
              <w:t>本基金为债券型基金，一般而言，其长期平均风险和预期收益率低于股票型基金、混合型基金，高于货币市场基金。</w:t>
            </w:r>
          </w:p>
        </w:tc>
      </w:tr>
      <w:tr w:rsidR="00D952E6" w:rsidTr="00D952E6">
        <w:tc>
          <w:tcPr>
            <w:tcW w:w="2552" w:type="dxa"/>
          </w:tcPr>
          <w:p w:rsidR="00D952E6" w:rsidRDefault="00D952E6" w:rsidP="00D952E6">
            <w:pPr>
              <w:jc w:val="left"/>
            </w:pPr>
            <w:r>
              <w:rPr>
                <w:rFonts w:hint="eastAsia"/>
              </w:rPr>
              <w:lastRenderedPageBreak/>
              <w:t>基金管理人</w:t>
            </w:r>
          </w:p>
        </w:tc>
        <w:tc>
          <w:tcPr>
            <w:tcW w:w="5954" w:type="dxa"/>
          </w:tcPr>
          <w:p w:rsidR="00D952E6" w:rsidRDefault="00D952E6" w:rsidP="00D952E6">
            <w:pPr>
              <w:jc w:val="left"/>
            </w:pPr>
            <w:r>
              <w:rPr>
                <w:rFonts w:hint="eastAsia"/>
              </w:rPr>
              <w:t>南方基金管理股份有限公司</w:t>
            </w:r>
          </w:p>
        </w:tc>
      </w:tr>
      <w:tr w:rsidR="00D952E6" w:rsidTr="00D952E6">
        <w:tc>
          <w:tcPr>
            <w:tcW w:w="2552" w:type="dxa"/>
          </w:tcPr>
          <w:p w:rsidR="00D952E6" w:rsidRDefault="00D952E6" w:rsidP="00D952E6">
            <w:pPr>
              <w:jc w:val="left"/>
            </w:pPr>
            <w:r>
              <w:rPr>
                <w:rFonts w:hint="eastAsia"/>
              </w:rPr>
              <w:t>基金托管人</w:t>
            </w:r>
          </w:p>
        </w:tc>
        <w:tc>
          <w:tcPr>
            <w:tcW w:w="5954" w:type="dxa"/>
          </w:tcPr>
          <w:p w:rsidR="00D952E6" w:rsidRDefault="00D952E6" w:rsidP="00D952E6">
            <w:pPr>
              <w:jc w:val="left"/>
            </w:pPr>
            <w:r>
              <w:rPr>
                <w:rFonts w:hint="eastAsia"/>
              </w:rPr>
              <w:t>交通银行股份有限公司</w:t>
            </w:r>
          </w:p>
        </w:tc>
      </w:tr>
    </w:tbl>
    <w:p w:rsidR="00D952E6" w:rsidRDefault="00D952E6" w:rsidP="00D952E6">
      <w:pPr>
        <w:pStyle w:val="-8"/>
        <w:rPr>
          <w:rFonts w:hint="eastAsia"/>
        </w:rPr>
      </w:pPr>
      <w:r>
        <w:rPr>
          <w:rFonts w:hint="eastAsia"/>
        </w:rPr>
        <w:t>注：1、南方恒庆已于2020年5月16日发布《关于南方恒庆一年定期开放债券型证券投资基金第一个封闭期到期后暂停运作、不开放申购及转换转入等安排的公告》，基金管理人决定本基金第一个封闭期到期后暂停运作，暂不开放申购及转换转入业务。本基金A类和C类基金份额将于本期封闭期结束之日的下一个工作日（即2020年5月21日）全部自动赎回。</w:t>
      </w:r>
    </w:p>
    <w:p w:rsidR="00D952E6" w:rsidRDefault="00D952E6" w:rsidP="00D952E6">
      <w:pPr>
        <w:pStyle w:val="-"/>
        <w:ind w:firstLine="420"/>
        <w:rPr>
          <w:rFonts w:hint="eastAsia"/>
        </w:rPr>
      </w:pPr>
      <w:r>
        <w:rPr>
          <w:rFonts w:hint="eastAsia"/>
        </w:rPr>
        <w:t>2、南方恒庆已于2020年8月22日发布《关于南方恒庆一年定期开放债券型证券投资基金重启运作并开放申购、转换转入业务的公告》，基金管理人决定自2020年8月25日起重启本基金的运作并开放申购、转换转入业务。A类份额于2020年8月27日重启，C类份额无持有人。</w:t>
      </w:r>
    </w:p>
    <w:p w:rsidR="00D952E6" w:rsidRDefault="00D952E6" w:rsidP="00D952E6">
      <w:pPr>
        <w:pStyle w:val="-"/>
        <w:ind w:firstLine="420"/>
        <w:rPr>
          <w:rFonts w:hint="eastAsia"/>
        </w:rPr>
      </w:pPr>
      <w:r>
        <w:rPr>
          <w:rFonts w:hint="eastAsia"/>
        </w:rPr>
        <w:t>3、南方恒庆已于2021年9月3日发布《关于南方恒庆一年定期开放债券型证券投资基金第二个封闭期到期后暂停运作、不开放申购及转换转入等安排的公告》，基金管理人决定本基金第二个封闭期到期后暂停运作，暂不开放申购及转换转入业务。本基金A类和C类基金份额将于本期封闭期结束之日的下一个工作日（即2021年9月8日）全部自动赎回。</w:t>
      </w:r>
    </w:p>
    <w:p w:rsidR="00D952E6" w:rsidRDefault="00D952E6" w:rsidP="00D952E6">
      <w:pPr>
        <w:pStyle w:val="-"/>
        <w:ind w:firstLine="420"/>
        <w:rPr>
          <w:rFonts w:hint="eastAsia"/>
        </w:rPr>
      </w:pPr>
      <w:r>
        <w:rPr>
          <w:rFonts w:hint="eastAsia"/>
        </w:rPr>
        <w:t>4、南方恒庆已于2022年1月21日发布《关于南方恒庆一年定期开放债券型证券投资基金减少C类基金份额并修改基金合同的公告》，基金管理人决定于2022年1月26日起对该基金减少C类基金份额。</w:t>
      </w:r>
    </w:p>
    <w:p w:rsidR="00D952E6" w:rsidRDefault="00D952E6" w:rsidP="00D952E6">
      <w:pPr>
        <w:pStyle w:val="-"/>
        <w:ind w:firstLine="420"/>
        <w:rPr>
          <w:rFonts w:hint="eastAsia"/>
        </w:rPr>
      </w:pPr>
      <w:r>
        <w:rPr>
          <w:rFonts w:hint="eastAsia"/>
        </w:rPr>
        <w:t>5、南方恒庆已于2022年11月25日发布《关于南方恒庆一年定期开放债券型证券投资基金重启运作并开放申购、转换转入业务的公告》，基金管理人决定自2022年11月28日起重启本基金的运作并开放申购、转换转入业务。</w:t>
      </w:r>
    </w:p>
    <w:p w:rsidR="00D952E6" w:rsidRDefault="00D952E6" w:rsidP="00D952E6">
      <w:pPr>
        <w:pStyle w:val="-1"/>
        <w:ind w:left="281" w:hanging="281"/>
        <w:rPr>
          <w:rFonts w:hint="eastAsia"/>
        </w:rPr>
      </w:pPr>
      <w:r>
        <w:rPr>
          <w:rFonts w:hint="eastAsia"/>
        </w:rPr>
        <w:t>主要财务指标和基金净值表现</w:t>
      </w:r>
    </w:p>
    <w:p w:rsidR="00D952E6" w:rsidRDefault="00D952E6" w:rsidP="00D952E6">
      <w:pPr>
        <w:pStyle w:val="-2"/>
        <w:spacing w:before="312"/>
        <w:rPr>
          <w:rFonts w:hint="eastAsia"/>
        </w:rPr>
      </w:pPr>
      <w:r>
        <w:rPr>
          <w:rFonts w:hint="eastAsia"/>
        </w:rPr>
        <w:t>主要财务指标</w:t>
      </w:r>
    </w:p>
    <w:p w:rsidR="00D952E6" w:rsidRDefault="00D952E6" w:rsidP="00D952E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952E6" w:rsidTr="00D952E6">
        <w:trPr>
          <w:cnfStyle w:val="100000000000" w:firstRow="1" w:lastRow="0" w:firstColumn="0" w:lastColumn="0" w:oddVBand="0" w:evenVBand="0" w:oddHBand="0" w:evenHBand="0" w:firstRowFirstColumn="0" w:firstRowLastColumn="0" w:lastRowFirstColumn="0" w:lastRowLastColumn="0"/>
        </w:trPr>
        <w:tc>
          <w:tcPr>
            <w:tcW w:w="3345" w:type="dxa"/>
          </w:tcPr>
          <w:p w:rsidR="00D952E6" w:rsidRPr="00D952E6" w:rsidRDefault="00D952E6" w:rsidP="00D952E6">
            <w:pPr>
              <w:jc w:val="center"/>
              <w:rPr>
                <w:b/>
              </w:rPr>
            </w:pPr>
            <w:r w:rsidRPr="00D952E6">
              <w:rPr>
                <w:rFonts w:hint="eastAsia"/>
                <w:b/>
              </w:rPr>
              <w:t>主要财务指标</w:t>
            </w:r>
          </w:p>
        </w:tc>
        <w:tc>
          <w:tcPr>
            <w:tcW w:w="5160" w:type="dxa"/>
          </w:tcPr>
          <w:p w:rsidR="00D952E6" w:rsidRPr="00D952E6" w:rsidRDefault="00D952E6" w:rsidP="00D952E6">
            <w:pPr>
              <w:jc w:val="center"/>
              <w:rPr>
                <w:b/>
              </w:rPr>
            </w:pPr>
            <w:r w:rsidRPr="00D952E6">
              <w:rPr>
                <w:rFonts w:hint="eastAsia"/>
                <w:b/>
              </w:rPr>
              <w:t>报告期（</w:t>
            </w:r>
            <w:r w:rsidRPr="00D952E6">
              <w:rPr>
                <w:rFonts w:hint="eastAsia"/>
                <w:b/>
              </w:rPr>
              <w:t>2025</w:t>
            </w:r>
            <w:r w:rsidRPr="00D952E6">
              <w:rPr>
                <w:rFonts w:hint="eastAsia"/>
                <w:b/>
              </w:rPr>
              <w:t>年</w:t>
            </w:r>
            <w:r w:rsidRPr="00D952E6">
              <w:rPr>
                <w:rFonts w:hint="eastAsia"/>
                <w:b/>
              </w:rPr>
              <w:t>10</w:t>
            </w:r>
            <w:r w:rsidRPr="00D952E6">
              <w:rPr>
                <w:rFonts w:hint="eastAsia"/>
                <w:b/>
              </w:rPr>
              <w:t>月</w:t>
            </w:r>
            <w:r w:rsidRPr="00D952E6">
              <w:rPr>
                <w:rFonts w:hint="eastAsia"/>
                <w:b/>
              </w:rPr>
              <w:t>1</w:t>
            </w:r>
            <w:r w:rsidRPr="00D952E6">
              <w:rPr>
                <w:rFonts w:hint="eastAsia"/>
                <w:b/>
              </w:rPr>
              <w:t>日－</w:t>
            </w:r>
            <w:r w:rsidRPr="00D952E6">
              <w:rPr>
                <w:rFonts w:hint="eastAsia"/>
                <w:b/>
              </w:rPr>
              <w:t>2025</w:t>
            </w:r>
            <w:r w:rsidRPr="00D952E6">
              <w:rPr>
                <w:rFonts w:hint="eastAsia"/>
                <w:b/>
              </w:rPr>
              <w:t>年</w:t>
            </w:r>
            <w:r w:rsidRPr="00D952E6">
              <w:rPr>
                <w:rFonts w:hint="eastAsia"/>
                <w:b/>
              </w:rPr>
              <w:t>12</w:t>
            </w:r>
            <w:r w:rsidRPr="00D952E6">
              <w:rPr>
                <w:rFonts w:hint="eastAsia"/>
                <w:b/>
              </w:rPr>
              <w:t>月</w:t>
            </w:r>
            <w:r w:rsidRPr="00D952E6">
              <w:rPr>
                <w:rFonts w:hint="eastAsia"/>
                <w:b/>
              </w:rPr>
              <w:t>31</w:t>
            </w:r>
            <w:r w:rsidRPr="00D952E6">
              <w:rPr>
                <w:rFonts w:hint="eastAsia"/>
                <w:b/>
              </w:rPr>
              <w:t>日）</w:t>
            </w:r>
          </w:p>
        </w:tc>
      </w:tr>
      <w:tr w:rsidR="00D952E6" w:rsidTr="00D952E6">
        <w:tc>
          <w:tcPr>
            <w:tcW w:w="3345" w:type="dxa"/>
          </w:tcPr>
          <w:p w:rsidR="00D952E6" w:rsidRDefault="00D952E6" w:rsidP="00D952E6">
            <w:pPr>
              <w:jc w:val="left"/>
            </w:pPr>
            <w:r>
              <w:rPr>
                <w:rFonts w:hint="eastAsia"/>
              </w:rPr>
              <w:t>1.</w:t>
            </w:r>
            <w:r>
              <w:rPr>
                <w:rFonts w:hint="eastAsia"/>
              </w:rPr>
              <w:t>本期已实现收益</w:t>
            </w:r>
          </w:p>
        </w:tc>
        <w:tc>
          <w:tcPr>
            <w:tcW w:w="5160" w:type="dxa"/>
          </w:tcPr>
          <w:p w:rsidR="00D952E6" w:rsidRDefault="00D952E6" w:rsidP="00D952E6">
            <w:pPr>
              <w:jc w:val="right"/>
            </w:pPr>
            <w:r>
              <w:t>30,292,686.29</w:t>
            </w:r>
          </w:p>
        </w:tc>
      </w:tr>
      <w:tr w:rsidR="00D952E6" w:rsidTr="00D952E6">
        <w:tc>
          <w:tcPr>
            <w:tcW w:w="3345" w:type="dxa"/>
          </w:tcPr>
          <w:p w:rsidR="00D952E6" w:rsidRDefault="00D952E6" w:rsidP="00D952E6">
            <w:pPr>
              <w:jc w:val="left"/>
            </w:pPr>
            <w:r>
              <w:rPr>
                <w:rFonts w:hint="eastAsia"/>
              </w:rPr>
              <w:t>2.</w:t>
            </w:r>
            <w:r>
              <w:rPr>
                <w:rFonts w:hint="eastAsia"/>
              </w:rPr>
              <w:t>本期利润</w:t>
            </w:r>
          </w:p>
        </w:tc>
        <w:tc>
          <w:tcPr>
            <w:tcW w:w="5160" w:type="dxa"/>
          </w:tcPr>
          <w:p w:rsidR="00D952E6" w:rsidRDefault="00D952E6" w:rsidP="00D952E6">
            <w:pPr>
              <w:jc w:val="right"/>
            </w:pPr>
            <w:r>
              <w:t>30,292,686.29</w:t>
            </w:r>
          </w:p>
        </w:tc>
      </w:tr>
      <w:tr w:rsidR="00D952E6" w:rsidTr="00D952E6">
        <w:tc>
          <w:tcPr>
            <w:tcW w:w="3345" w:type="dxa"/>
          </w:tcPr>
          <w:p w:rsidR="00D952E6" w:rsidRDefault="00D952E6" w:rsidP="00D952E6">
            <w:pPr>
              <w:jc w:val="left"/>
            </w:pPr>
            <w:r>
              <w:rPr>
                <w:rFonts w:hint="eastAsia"/>
              </w:rPr>
              <w:t>3.</w:t>
            </w:r>
            <w:r>
              <w:rPr>
                <w:rFonts w:hint="eastAsia"/>
              </w:rPr>
              <w:t>加权平均基金份额本期利润</w:t>
            </w:r>
          </w:p>
        </w:tc>
        <w:tc>
          <w:tcPr>
            <w:tcW w:w="5160" w:type="dxa"/>
          </w:tcPr>
          <w:p w:rsidR="00D952E6" w:rsidRDefault="00D952E6" w:rsidP="00D952E6">
            <w:pPr>
              <w:jc w:val="right"/>
            </w:pPr>
            <w:r>
              <w:t>0.0072</w:t>
            </w:r>
          </w:p>
        </w:tc>
      </w:tr>
      <w:tr w:rsidR="00D952E6" w:rsidTr="00D952E6">
        <w:tc>
          <w:tcPr>
            <w:tcW w:w="3345" w:type="dxa"/>
          </w:tcPr>
          <w:p w:rsidR="00D952E6" w:rsidRDefault="00D952E6" w:rsidP="00D952E6">
            <w:pPr>
              <w:jc w:val="left"/>
            </w:pPr>
            <w:r>
              <w:rPr>
                <w:rFonts w:hint="eastAsia"/>
              </w:rPr>
              <w:t>4.</w:t>
            </w:r>
            <w:r>
              <w:rPr>
                <w:rFonts w:hint="eastAsia"/>
              </w:rPr>
              <w:t>期末基金资产净值</w:t>
            </w:r>
          </w:p>
        </w:tc>
        <w:tc>
          <w:tcPr>
            <w:tcW w:w="5160" w:type="dxa"/>
          </w:tcPr>
          <w:p w:rsidR="00D952E6" w:rsidRDefault="00D952E6" w:rsidP="00D952E6">
            <w:pPr>
              <w:jc w:val="right"/>
            </w:pPr>
            <w:r>
              <w:t>34,855,904.53</w:t>
            </w:r>
          </w:p>
        </w:tc>
      </w:tr>
      <w:tr w:rsidR="00D952E6" w:rsidTr="00D952E6">
        <w:tc>
          <w:tcPr>
            <w:tcW w:w="3345" w:type="dxa"/>
          </w:tcPr>
          <w:p w:rsidR="00D952E6" w:rsidRDefault="00D952E6" w:rsidP="00D952E6">
            <w:pPr>
              <w:jc w:val="left"/>
            </w:pPr>
            <w:r>
              <w:rPr>
                <w:rFonts w:hint="eastAsia"/>
              </w:rPr>
              <w:t>5.</w:t>
            </w:r>
            <w:r>
              <w:rPr>
                <w:rFonts w:hint="eastAsia"/>
              </w:rPr>
              <w:t>期末基金份额净值</w:t>
            </w:r>
          </w:p>
        </w:tc>
        <w:tc>
          <w:tcPr>
            <w:tcW w:w="5160" w:type="dxa"/>
          </w:tcPr>
          <w:p w:rsidR="00D952E6" w:rsidRDefault="00D952E6" w:rsidP="00D952E6">
            <w:pPr>
              <w:jc w:val="right"/>
            </w:pPr>
            <w:r>
              <w:t>1.0420</w:t>
            </w:r>
          </w:p>
        </w:tc>
      </w:tr>
    </w:tbl>
    <w:p w:rsidR="00D952E6" w:rsidRDefault="00D952E6" w:rsidP="00D952E6">
      <w:pPr>
        <w:pStyle w:val="-8"/>
        <w:rPr>
          <w:rFonts w:hint="eastAsia"/>
        </w:rPr>
      </w:pPr>
      <w:r>
        <w:rPr>
          <w:rFonts w:hint="eastAsia"/>
        </w:rPr>
        <w:t>注：1、上述基金业绩指标不包括持有人认购或交易基金的各项费用，计入费用后实际收益水平要低于所列数字；</w:t>
      </w:r>
    </w:p>
    <w:p w:rsidR="00D952E6" w:rsidRDefault="00D952E6" w:rsidP="00D952E6">
      <w:pPr>
        <w:pStyle w:val="-"/>
        <w:ind w:firstLine="420"/>
        <w:rPr>
          <w:rFonts w:hint="eastAsia"/>
        </w:rPr>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rsidR="00D952E6" w:rsidRDefault="00D952E6" w:rsidP="00D952E6">
      <w:pPr>
        <w:pStyle w:val="-2"/>
        <w:spacing w:before="312"/>
        <w:rPr>
          <w:rFonts w:hint="eastAsia"/>
        </w:rPr>
      </w:pPr>
      <w:r>
        <w:rPr>
          <w:rFonts w:hint="eastAsia"/>
        </w:rPr>
        <w:t>基金净值表现</w:t>
      </w:r>
    </w:p>
    <w:p w:rsidR="00D952E6" w:rsidRDefault="00D952E6" w:rsidP="00D952E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52E6" w:rsidTr="00D952E6">
        <w:trPr>
          <w:cnfStyle w:val="100000000000" w:firstRow="1" w:lastRow="0" w:firstColumn="0" w:lastColumn="0" w:oddVBand="0" w:evenVBand="0" w:oddHBand="0" w:evenHBand="0" w:firstRowFirstColumn="0" w:firstRowLastColumn="0" w:lastRowFirstColumn="0" w:lastRowLastColumn="0"/>
        </w:trPr>
        <w:tc>
          <w:tcPr>
            <w:tcW w:w="1429" w:type="dxa"/>
          </w:tcPr>
          <w:p w:rsidR="00D952E6" w:rsidRPr="00D952E6" w:rsidRDefault="00D952E6" w:rsidP="00D952E6">
            <w:pPr>
              <w:jc w:val="center"/>
              <w:rPr>
                <w:b/>
              </w:rPr>
            </w:pPr>
            <w:r w:rsidRPr="00D952E6">
              <w:rPr>
                <w:rFonts w:hint="eastAsia"/>
                <w:b/>
              </w:rPr>
              <w:t>阶段</w:t>
            </w:r>
          </w:p>
        </w:tc>
        <w:tc>
          <w:tcPr>
            <w:tcW w:w="1315" w:type="dxa"/>
          </w:tcPr>
          <w:p w:rsidR="00D952E6" w:rsidRPr="00D952E6" w:rsidRDefault="00D952E6" w:rsidP="00D952E6">
            <w:pPr>
              <w:jc w:val="center"/>
              <w:rPr>
                <w:b/>
              </w:rPr>
            </w:pPr>
            <w:r w:rsidRPr="00D952E6">
              <w:rPr>
                <w:rFonts w:hint="eastAsia"/>
                <w:b/>
              </w:rPr>
              <w:t>净值增长率①</w:t>
            </w:r>
          </w:p>
        </w:tc>
        <w:tc>
          <w:tcPr>
            <w:tcW w:w="1315" w:type="dxa"/>
          </w:tcPr>
          <w:p w:rsidR="00D952E6" w:rsidRPr="00D952E6" w:rsidRDefault="00D952E6" w:rsidP="00D952E6">
            <w:pPr>
              <w:jc w:val="center"/>
              <w:rPr>
                <w:b/>
              </w:rPr>
            </w:pPr>
            <w:r w:rsidRPr="00D952E6">
              <w:rPr>
                <w:rFonts w:hint="eastAsia"/>
                <w:b/>
              </w:rPr>
              <w:t>净值增长率标准差②</w:t>
            </w:r>
          </w:p>
        </w:tc>
        <w:tc>
          <w:tcPr>
            <w:tcW w:w="1315" w:type="dxa"/>
          </w:tcPr>
          <w:p w:rsidR="00D952E6" w:rsidRPr="00D952E6" w:rsidRDefault="00D952E6" w:rsidP="00D952E6">
            <w:pPr>
              <w:jc w:val="center"/>
              <w:rPr>
                <w:b/>
              </w:rPr>
            </w:pPr>
            <w:r w:rsidRPr="00D952E6">
              <w:rPr>
                <w:rFonts w:hint="eastAsia"/>
                <w:b/>
              </w:rPr>
              <w:t>业绩比较基准收益率③</w:t>
            </w:r>
          </w:p>
        </w:tc>
        <w:tc>
          <w:tcPr>
            <w:tcW w:w="1315" w:type="dxa"/>
          </w:tcPr>
          <w:p w:rsidR="00D952E6" w:rsidRPr="00D952E6" w:rsidRDefault="00D952E6" w:rsidP="00D952E6">
            <w:pPr>
              <w:jc w:val="center"/>
              <w:rPr>
                <w:b/>
              </w:rPr>
            </w:pPr>
            <w:r w:rsidRPr="00D952E6">
              <w:rPr>
                <w:rFonts w:hint="eastAsia"/>
                <w:b/>
              </w:rPr>
              <w:t>业绩比较基准收益率标准差④</w:t>
            </w:r>
          </w:p>
        </w:tc>
        <w:tc>
          <w:tcPr>
            <w:tcW w:w="907" w:type="dxa"/>
          </w:tcPr>
          <w:p w:rsidR="00D952E6" w:rsidRPr="00D952E6" w:rsidRDefault="00D952E6" w:rsidP="00D952E6">
            <w:pPr>
              <w:jc w:val="center"/>
              <w:rPr>
                <w:b/>
              </w:rPr>
            </w:pPr>
            <w:r w:rsidRPr="00D952E6">
              <w:rPr>
                <w:rFonts w:hint="eastAsia"/>
                <w:b/>
              </w:rPr>
              <w:t>①</w:t>
            </w:r>
            <w:r w:rsidRPr="00D952E6">
              <w:rPr>
                <w:rFonts w:hint="eastAsia"/>
                <w:b/>
              </w:rPr>
              <w:t>-</w:t>
            </w:r>
            <w:r w:rsidRPr="00D952E6">
              <w:rPr>
                <w:rFonts w:hint="eastAsia"/>
                <w:b/>
              </w:rPr>
              <w:t>③</w:t>
            </w:r>
          </w:p>
        </w:tc>
        <w:tc>
          <w:tcPr>
            <w:tcW w:w="907" w:type="dxa"/>
          </w:tcPr>
          <w:p w:rsidR="00D952E6" w:rsidRPr="00D952E6" w:rsidRDefault="00D952E6" w:rsidP="00D952E6">
            <w:pPr>
              <w:jc w:val="center"/>
              <w:rPr>
                <w:b/>
              </w:rPr>
            </w:pPr>
            <w:r w:rsidRPr="00D952E6">
              <w:rPr>
                <w:rFonts w:hint="eastAsia"/>
                <w:b/>
              </w:rPr>
              <w:t>②</w:t>
            </w:r>
            <w:r w:rsidRPr="00D952E6">
              <w:rPr>
                <w:rFonts w:hint="eastAsia"/>
                <w:b/>
              </w:rPr>
              <w:t>-</w:t>
            </w:r>
            <w:r w:rsidRPr="00D952E6">
              <w:rPr>
                <w:rFonts w:hint="eastAsia"/>
                <w:b/>
              </w:rPr>
              <w:t>④</w:t>
            </w:r>
          </w:p>
        </w:tc>
      </w:tr>
      <w:tr w:rsidR="00D952E6" w:rsidTr="00D952E6">
        <w:tc>
          <w:tcPr>
            <w:tcW w:w="1429" w:type="dxa"/>
          </w:tcPr>
          <w:p w:rsidR="00D952E6" w:rsidRDefault="00D952E6" w:rsidP="00D952E6">
            <w:pPr>
              <w:jc w:val="left"/>
            </w:pPr>
            <w:r>
              <w:rPr>
                <w:rFonts w:hint="eastAsia"/>
              </w:rPr>
              <w:t>过去三个月</w:t>
            </w:r>
          </w:p>
        </w:tc>
        <w:tc>
          <w:tcPr>
            <w:tcW w:w="1315" w:type="dxa"/>
          </w:tcPr>
          <w:p w:rsidR="00D952E6" w:rsidRDefault="00D952E6" w:rsidP="00D952E6">
            <w:pPr>
              <w:jc w:val="right"/>
            </w:pPr>
            <w:r>
              <w:t>2.05%</w:t>
            </w:r>
          </w:p>
        </w:tc>
        <w:tc>
          <w:tcPr>
            <w:tcW w:w="1315" w:type="dxa"/>
          </w:tcPr>
          <w:p w:rsidR="00D952E6" w:rsidRDefault="00D952E6" w:rsidP="00D952E6">
            <w:pPr>
              <w:jc w:val="right"/>
            </w:pPr>
            <w:r>
              <w:t>0.13%</w:t>
            </w:r>
          </w:p>
        </w:tc>
        <w:tc>
          <w:tcPr>
            <w:tcW w:w="1315" w:type="dxa"/>
          </w:tcPr>
          <w:p w:rsidR="00D952E6" w:rsidRDefault="00D952E6" w:rsidP="00D952E6">
            <w:pPr>
              <w:jc w:val="right"/>
            </w:pPr>
            <w:r>
              <w:t>0.66%</w:t>
            </w:r>
          </w:p>
        </w:tc>
        <w:tc>
          <w:tcPr>
            <w:tcW w:w="1315" w:type="dxa"/>
          </w:tcPr>
          <w:p w:rsidR="00D952E6" w:rsidRDefault="00D952E6" w:rsidP="00D952E6">
            <w:pPr>
              <w:jc w:val="right"/>
            </w:pPr>
            <w:r>
              <w:t>0.01%</w:t>
            </w:r>
          </w:p>
        </w:tc>
        <w:tc>
          <w:tcPr>
            <w:tcW w:w="907" w:type="dxa"/>
          </w:tcPr>
          <w:p w:rsidR="00D952E6" w:rsidRDefault="00D952E6" w:rsidP="00D952E6">
            <w:pPr>
              <w:jc w:val="right"/>
            </w:pPr>
            <w:r>
              <w:t>1.39%</w:t>
            </w:r>
          </w:p>
        </w:tc>
        <w:tc>
          <w:tcPr>
            <w:tcW w:w="907" w:type="dxa"/>
          </w:tcPr>
          <w:p w:rsidR="00D952E6" w:rsidRDefault="00D952E6" w:rsidP="00D952E6">
            <w:pPr>
              <w:jc w:val="right"/>
            </w:pPr>
            <w:r>
              <w:t>0.12%</w:t>
            </w:r>
          </w:p>
        </w:tc>
      </w:tr>
      <w:tr w:rsidR="00D952E6" w:rsidTr="00D952E6">
        <w:tc>
          <w:tcPr>
            <w:tcW w:w="1429" w:type="dxa"/>
          </w:tcPr>
          <w:p w:rsidR="00D952E6" w:rsidRDefault="00D952E6" w:rsidP="00D952E6">
            <w:pPr>
              <w:jc w:val="left"/>
            </w:pPr>
            <w:r>
              <w:rPr>
                <w:rFonts w:hint="eastAsia"/>
              </w:rPr>
              <w:t>过去六个月</w:t>
            </w:r>
          </w:p>
        </w:tc>
        <w:tc>
          <w:tcPr>
            <w:tcW w:w="1315" w:type="dxa"/>
          </w:tcPr>
          <w:p w:rsidR="00D952E6" w:rsidRDefault="00D952E6" w:rsidP="00D952E6">
            <w:pPr>
              <w:jc w:val="right"/>
            </w:pPr>
            <w:r>
              <w:t>2.34%</w:t>
            </w:r>
          </w:p>
        </w:tc>
        <w:tc>
          <w:tcPr>
            <w:tcW w:w="1315" w:type="dxa"/>
          </w:tcPr>
          <w:p w:rsidR="00D952E6" w:rsidRDefault="00D952E6" w:rsidP="00D952E6">
            <w:pPr>
              <w:jc w:val="right"/>
            </w:pPr>
            <w:r>
              <w:t>0.09%</w:t>
            </w:r>
          </w:p>
        </w:tc>
        <w:tc>
          <w:tcPr>
            <w:tcW w:w="1315" w:type="dxa"/>
          </w:tcPr>
          <w:p w:rsidR="00D952E6" w:rsidRDefault="00D952E6" w:rsidP="00D952E6">
            <w:pPr>
              <w:jc w:val="right"/>
            </w:pPr>
            <w:r>
              <w:t>1.33%</w:t>
            </w:r>
          </w:p>
        </w:tc>
        <w:tc>
          <w:tcPr>
            <w:tcW w:w="1315" w:type="dxa"/>
          </w:tcPr>
          <w:p w:rsidR="00D952E6" w:rsidRDefault="00D952E6" w:rsidP="00D952E6">
            <w:pPr>
              <w:jc w:val="right"/>
            </w:pPr>
            <w:r>
              <w:t>0.01%</w:t>
            </w:r>
          </w:p>
        </w:tc>
        <w:tc>
          <w:tcPr>
            <w:tcW w:w="907" w:type="dxa"/>
          </w:tcPr>
          <w:p w:rsidR="00D952E6" w:rsidRDefault="00D952E6" w:rsidP="00D952E6">
            <w:pPr>
              <w:jc w:val="right"/>
            </w:pPr>
            <w:r>
              <w:t>1.01%</w:t>
            </w:r>
          </w:p>
        </w:tc>
        <w:tc>
          <w:tcPr>
            <w:tcW w:w="907" w:type="dxa"/>
          </w:tcPr>
          <w:p w:rsidR="00D952E6" w:rsidRDefault="00D952E6" w:rsidP="00D952E6">
            <w:pPr>
              <w:jc w:val="right"/>
            </w:pPr>
            <w:r>
              <w:t>0.08%</w:t>
            </w:r>
          </w:p>
        </w:tc>
      </w:tr>
      <w:tr w:rsidR="00D952E6" w:rsidTr="00D952E6">
        <w:tc>
          <w:tcPr>
            <w:tcW w:w="1429" w:type="dxa"/>
          </w:tcPr>
          <w:p w:rsidR="00D952E6" w:rsidRDefault="00D952E6" w:rsidP="00D952E6">
            <w:pPr>
              <w:jc w:val="left"/>
            </w:pPr>
            <w:r>
              <w:rPr>
                <w:rFonts w:hint="eastAsia"/>
              </w:rPr>
              <w:t>过去一年</w:t>
            </w:r>
          </w:p>
        </w:tc>
        <w:tc>
          <w:tcPr>
            <w:tcW w:w="1315" w:type="dxa"/>
          </w:tcPr>
          <w:p w:rsidR="00D952E6" w:rsidRDefault="00D952E6" w:rsidP="00D952E6">
            <w:pPr>
              <w:jc w:val="right"/>
            </w:pPr>
            <w:r>
              <w:t>2.82%</w:t>
            </w:r>
          </w:p>
        </w:tc>
        <w:tc>
          <w:tcPr>
            <w:tcW w:w="1315" w:type="dxa"/>
          </w:tcPr>
          <w:p w:rsidR="00D952E6" w:rsidRDefault="00D952E6" w:rsidP="00D952E6">
            <w:pPr>
              <w:jc w:val="right"/>
            </w:pPr>
            <w:r>
              <w:t>0.07%</w:t>
            </w:r>
          </w:p>
        </w:tc>
        <w:tc>
          <w:tcPr>
            <w:tcW w:w="1315" w:type="dxa"/>
          </w:tcPr>
          <w:p w:rsidR="00D952E6" w:rsidRDefault="00D952E6" w:rsidP="00D952E6">
            <w:pPr>
              <w:jc w:val="right"/>
            </w:pPr>
            <w:r>
              <w:t>2.67%</w:t>
            </w:r>
          </w:p>
        </w:tc>
        <w:tc>
          <w:tcPr>
            <w:tcW w:w="1315" w:type="dxa"/>
          </w:tcPr>
          <w:p w:rsidR="00D952E6" w:rsidRDefault="00D952E6" w:rsidP="00D952E6">
            <w:pPr>
              <w:jc w:val="right"/>
            </w:pPr>
            <w:r>
              <w:t>0.01%</w:t>
            </w:r>
          </w:p>
        </w:tc>
        <w:tc>
          <w:tcPr>
            <w:tcW w:w="907" w:type="dxa"/>
          </w:tcPr>
          <w:p w:rsidR="00D952E6" w:rsidRDefault="00D952E6" w:rsidP="00D952E6">
            <w:pPr>
              <w:jc w:val="right"/>
            </w:pPr>
            <w:r>
              <w:t>0.15%</w:t>
            </w:r>
          </w:p>
        </w:tc>
        <w:tc>
          <w:tcPr>
            <w:tcW w:w="907" w:type="dxa"/>
          </w:tcPr>
          <w:p w:rsidR="00D952E6" w:rsidRDefault="00D952E6" w:rsidP="00D952E6">
            <w:pPr>
              <w:jc w:val="right"/>
            </w:pPr>
            <w:r>
              <w:t>0.06%</w:t>
            </w:r>
          </w:p>
        </w:tc>
      </w:tr>
      <w:tr w:rsidR="00D952E6" w:rsidTr="00D952E6">
        <w:tc>
          <w:tcPr>
            <w:tcW w:w="1429" w:type="dxa"/>
          </w:tcPr>
          <w:p w:rsidR="00D952E6" w:rsidRDefault="00D952E6" w:rsidP="00D952E6">
            <w:pPr>
              <w:jc w:val="left"/>
            </w:pPr>
            <w:r>
              <w:rPr>
                <w:rFonts w:hint="eastAsia"/>
              </w:rPr>
              <w:t>过去三年</w:t>
            </w:r>
          </w:p>
        </w:tc>
        <w:tc>
          <w:tcPr>
            <w:tcW w:w="1315" w:type="dxa"/>
          </w:tcPr>
          <w:p w:rsidR="00D952E6" w:rsidRDefault="00D952E6" w:rsidP="00D952E6">
            <w:pPr>
              <w:jc w:val="right"/>
            </w:pPr>
            <w:r>
              <w:t>7.73%</w:t>
            </w:r>
          </w:p>
        </w:tc>
        <w:tc>
          <w:tcPr>
            <w:tcW w:w="1315" w:type="dxa"/>
          </w:tcPr>
          <w:p w:rsidR="00D952E6" w:rsidRDefault="00D952E6" w:rsidP="00D952E6">
            <w:pPr>
              <w:jc w:val="right"/>
            </w:pPr>
            <w:r>
              <w:t>0.04%</w:t>
            </w:r>
          </w:p>
        </w:tc>
        <w:tc>
          <w:tcPr>
            <w:tcW w:w="1315" w:type="dxa"/>
          </w:tcPr>
          <w:p w:rsidR="00D952E6" w:rsidRDefault="00D952E6" w:rsidP="00D952E6">
            <w:pPr>
              <w:jc w:val="right"/>
            </w:pPr>
            <w:r>
              <w:t>8.47%</w:t>
            </w:r>
          </w:p>
        </w:tc>
        <w:tc>
          <w:tcPr>
            <w:tcW w:w="1315" w:type="dxa"/>
          </w:tcPr>
          <w:p w:rsidR="00D952E6" w:rsidRDefault="00D952E6" w:rsidP="00D952E6">
            <w:pPr>
              <w:jc w:val="right"/>
            </w:pPr>
            <w:r>
              <w:t>0.01%</w:t>
            </w:r>
          </w:p>
        </w:tc>
        <w:tc>
          <w:tcPr>
            <w:tcW w:w="907" w:type="dxa"/>
          </w:tcPr>
          <w:p w:rsidR="00D952E6" w:rsidRDefault="00D952E6" w:rsidP="00D952E6">
            <w:pPr>
              <w:jc w:val="right"/>
            </w:pPr>
            <w:r>
              <w:t>-0.74%</w:t>
            </w:r>
          </w:p>
        </w:tc>
        <w:tc>
          <w:tcPr>
            <w:tcW w:w="907" w:type="dxa"/>
          </w:tcPr>
          <w:p w:rsidR="00D952E6" w:rsidRDefault="00D952E6" w:rsidP="00D952E6">
            <w:pPr>
              <w:jc w:val="right"/>
            </w:pPr>
            <w:r>
              <w:t>0.03%</w:t>
            </w:r>
          </w:p>
        </w:tc>
      </w:tr>
      <w:tr w:rsidR="00D952E6" w:rsidTr="00D952E6">
        <w:tc>
          <w:tcPr>
            <w:tcW w:w="1429" w:type="dxa"/>
          </w:tcPr>
          <w:p w:rsidR="00D952E6" w:rsidRDefault="00D952E6" w:rsidP="00D952E6">
            <w:pPr>
              <w:jc w:val="left"/>
            </w:pPr>
            <w:r>
              <w:rPr>
                <w:rFonts w:hint="eastAsia"/>
              </w:rPr>
              <w:t>过去五年</w:t>
            </w:r>
          </w:p>
        </w:tc>
        <w:tc>
          <w:tcPr>
            <w:tcW w:w="1315" w:type="dxa"/>
          </w:tcPr>
          <w:p w:rsidR="00D952E6" w:rsidRDefault="00D952E6" w:rsidP="00D952E6">
            <w:pPr>
              <w:jc w:val="right"/>
            </w:pPr>
            <w:r>
              <w:t>10.12%</w:t>
            </w:r>
          </w:p>
        </w:tc>
        <w:tc>
          <w:tcPr>
            <w:tcW w:w="1315" w:type="dxa"/>
          </w:tcPr>
          <w:p w:rsidR="00D952E6" w:rsidRDefault="00D952E6" w:rsidP="00D952E6">
            <w:pPr>
              <w:jc w:val="right"/>
            </w:pPr>
            <w:r>
              <w:t>0.04%</w:t>
            </w:r>
          </w:p>
        </w:tc>
        <w:tc>
          <w:tcPr>
            <w:tcW w:w="1315" w:type="dxa"/>
          </w:tcPr>
          <w:p w:rsidR="00D952E6" w:rsidRDefault="00D952E6" w:rsidP="00D952E6">
            <w:pPr>
              <w:jc w:val="right"/>
            </w:pPr>
            <w:r>
              <w:t>10.90%</w:t>
            </w:r>
          </w:p>
        </w:tc>
        <w:tc>
          <w:tcPr>
            <w:tcW w:w="1315" w:type="dxa"/>
          </w:tcPr>
          <w:p w:rsidR="00D952E6" w:rsidRDefault="00D952E6" w:rsidP="00D952E6">
            <w:pPr>
              <w:jc w:val="right"/>
            </w:pPr>
            <w:r>
              <w:t>0.01%</w:t>
            </w:r>
          </w:p>
        </w:tc>
        <w:tc>
          <w:tcPr>
            <w:tcW w:w="907" w:type="dxa"/>
          </w:tcPr>
          <w:p w:rsidR="00D952E6" w:rsidRDefault="00D952E6" w:rsidP="00D952E6">
            <w:pPr>
              <w:jc w:val="right"/>
            </w:pPr>
            <w:r>
              <w:t>-0.78%</w:t>
            </w:r>
          </w:p>
        </w:tc>
        <w:tc>
          <w:tcPr>
            <w:tcW w:w="907" w:type="dxa"/>
          </w:tcPr>
          <w:p w:rsidR="00D952E6" w:rsidRDefault="00D952E6" w:rsidP="00D952E6">
            <w:pPr>
              <w:jc w:val="right"/>
            </w:pPr>
            <w:r>
              <w:t>0.03%</w:t>
            </w:r>
          </w:p>
        </w:tc>
      </w:tr>
      <w:tr w:rsidR="00D952E6" w:rsidTr="00D952E6">
        <w:tc>
          <w:tcPr>
            <w:tcW w:w="1429" w:type="dxa"/>
          </w:tcPr>
          <w:p w:rsidR="00D952E6" w:rsidRDefault="00D952E6" w:rsidP="00D952E6">
            <w:pPr>
              <w:jc w:val="left"/>
            </w:pPr>
            <w:r>
              <w:rPr>
                <w:rFonts w:hint="eastAsia"/>
              </w:rPr>
              <w:t>自基金合同生效起至今</w:t>
            </w:r>
          </w:p>
        </w:tc>
        <w:tc>
          <w:tcPr>
            <w:tcW w:w="1315" w:type="dxa"/>
          </w:tcPr>
          <w:p w:rsidR="00D952E6" w:rsidRDefault="00D952E6" w:rsidP="00D952E6">
            <w:pPr>
              <w:jc w:val="right"/>
            </w:pPr>
            <w:r>
              <w:t>14.85%</w:t>
            </w:r>
          </w:p>
        </w:tc>
        <w:tc>
          <w:tcPr>
            <w:tcW w:w="1315" w:type="dxa"/>
          </w:tcPr>
          <w:p w:rsidR="00D952E6" w:rsidRDefault="00D952E6" w:rsidP="00D952E6">
            <w:pPr>
              <w:jc w:val="right"/>
            </w:pPr>
            <w:r>
              <w:t>0.03%</w:t>
            </w:r>
          </w:p>
        </w:tc>
        <w:tc>
          <w:tcPr>
            <w:tcW w:w="1315" w:type="dxa"/>
          </w:tcPr>
          <w:p w:rsidR="00D952E6" w:rsidRDefault="00D952E6" w:rsidP="00D952E6">
            <w:pPr>
              <w:jc w:val="right"/>
            </w:pPr>
            <w:r>
              <w:t>15.39%</w:t>
            </w:r>
          </w:p>
        </w:tc>
        <w:tc>
          <w:tcPr>
            <w:tcW w:w="1315" w:type="dxa"/>
          </w:tcPr>
          <w:p w:rsidR="00D952E6" w:rsidRDefault="00D952E6" w:rsidP="00D952E6">
            <w:pPr>
              <w:jc w:val="right"/>
            </w:pPr>
            <w:r>
              <w:t>0.01%</w:t>
            </w:r>
          </w:p>
        </w:tc>
        <w:tc>
          <w:tcPr>
            <w:tcW w:w="907" w:type="dxa"/>
          </w:tcPr>
          <w:p w:rsidR="00D952E6" w:rsidRDefault="00D952E6" w:rsidP="00D952E6">
            <w:pPr>
              <w:jc w:val="right"/>
            </w:pPr>
            <w:r>
              <w:t>-0.54%</w:t>
            </w:r>
          </w:p>
        </w:tc>
        <w:tc>
          <w:tcPr>
            <w:tcW w:w="907" w:type="dxa"/>
          </w:tcPr>
          <w:p w:rsidR="00D952E6" w:rsidRDefault="00D952E6" w:rsidP="00D952E6">
            <w:pPr>
              <w:jc w:val="right"/>
            </w:pPr>
            <w:r>
              <w:t>0.02%</w:t>
            </w:r>
          </w:p>
        </w:tc>
      </w:tr>
    </w:tbl>
    <w:p w:rsidR="00D952E6" w:rsidRDefault="00D952E6" w:rsidP="00D952E6">
      <w:pPr>
        <w:pStyle w:val="-8"/>
        <w:rPr>
          <w:rFonts w:hint="eastAsia"/>
        </w:rPr>
      </w:pPr>
      <w:r>
        <w:rPr>
          <w:rFonts w:hint="eastAsia"/>
        </w:rPr>
        <w:t>注：净值表现按实际存续期计算。</w:t>
      </w:r>
    </w:p>
    <w:p w:rsidR="00D952E6" w:rsidRDefault="00D952E6" w:rsidP="00D952E6">
      <w:pPr>
        <w:pStyle w:val="-3"/>
        <w:spacing w:before="156" w:after="156"/>
        <w:rPr>
          <w:rFonts w:hint="eastAsia"/>
        </w:rPr>
      </w:pPr>
      <w:r>
        <w:rPr>
          <w:rFonts w:hint="eastAsia"/>
        </w:rPr>
        <w:t>自基金合同生效以来基金份额累计净值增长率变动及其与同期业绩比较基准收益率变动的比较</w:t>
      </w:r>
    </w:p>
    <w:p w:rsidR="00D952E6" w:rsidRDefault="00D952E6" w:rsidP="00D952E6">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D952E6" w:rsidRDefault="00D952E6" w:rsidP="00D952E6">
      <w:pPr>
        <w:pStyle w:val="-8"/>
        <w:rPr>
          <w:rFonts w:hint="eastAsia"/>
        </w:rPr>
      </w:pPr>
      <w:r>
        <w:rPr>
          <w:rFonts w:hint="eastAsia"/>
        </w:rPr>
        <w:t>注：净值表现按实际存续期计算。</w:t>
      </w:r>
    </w:p>
    <w:p w:rsidR="00D952E6" w:rsidRDefault="00D952E6" w:rsidP="00D952E6">
      <w:pPr>
        <w:pStyle w:val="-1"/>
        <w:ind w:left="281" w:hanging="281"/>
        <w:rPr>
          <w:rFonts w:hint="eastAsia"/>
        </w:rPr>
      </w:pPr>
      <w:r>
        <w:rPr>
          <w:rFonts w:hint="eastAsia"/>
        </w:rPr>
        <w:lastRenderedPageBreak/>
        <w:t>管理人报告</w:t>
      </w:r>
    </w:p>
    <w:p w:rsidR="00D952E6" w:rsidRDefault="00D952E6" w:rsidP="00D952E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952E6" w:rsidTr="0049729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952E6" w:rsidRPr="00D952E6" w:rsidRDefault="00D952E6" w:rsidP="00D952E6">
            <w:pPr>
              <w:jc w:val="center"/>
              <w:rPr>
                <w:b/>
              </w:rPr>
            </w:pPr>
            <w:r w:rsidRPr="00D952E6">
              <w:rPr>
                <w:rFonts w:hint="eastAsia"/>
                <w:b/>
              </w:rPr>
              <w:t>姓名</w:t>
            </w:r>
          </w:p>
        </w:tc>
        <w:tc>
          <w:tcPr>
            <w:tcW w:w="851" w:type="dxa"/>
            <w:vMerge w:val="restart"/>
          </w:tcPr>
          <w:p w:rsidR="00D952E6" w:rsidRPr="00D952E6" w:rsidRDefault="00D952E6" w:rsidP="00D952E6">
            <w:pPr>
              <w:jc w:val="center"/>
              <w:rPr>
                <w:b/>
              </w:rPr>
            </w:pPr>
            <w:r w:rsidRPr="00D952E6">
              <w:rPr>
                <w:rFonts w:hint="eastAsia"/>
                <w:b/>
              </w:rPr>
              <w:t>职务</w:t>
            </w:r>
          </w:p>
        </w:tc>
        <w:tc>
          <w:tcPr>
            <w:tcW w:w="2234" w:type="dxa"/>
            <w:gridSpan w:val="2"/>
            <w:tcBorders>
              <w:bottom w:val="single" w:sz="4" w:space="0" w:color="auto"/>
            </w:tcBorders>
          </w:tcPr>
          <w:p w:rsidR="00D952E6" w:rsidRPr="00D952E6" w:rsidRDefault="00D952E6" w:rsidP="00D952E6">
            <w:pPr>
              <w:jc w:val="center"/>
              <w:rPr>
                <w:b/>
              </w:rPr>
            </w:pPr>
            <w:r w:rsidRPr="00D952E6">
              <w:rPr>
                <w:rFonts w:hint="eastAsia"/>
                <w:b/>
              </w:rPr>
              <w:t>任本基金的基金经理期限</w:t>
            </w:r>
          </w:p>
        </w:tc>
        <w:tc>
          <w:tcPr>
            <w:tcW w:w="703" w:type="dxa"/>
            <w:vMerge w:val="restart"/>
          </w:tcPr>
          <w:p w:rsidR="00D952E6" w:rsidRPr="00D952E6" w:rsidRDefault="00D952E6" w:rsidP="00D952E6">
            <w:pPr>
              <w:jc w:val="center"/>
              <w:rPr>
                <w:b/>
              </w:rPr>
            </w:pPr>
            <w:r w:rsidRPr="00D952E6">
              <w:rPr>
                <w:rFonts w:hint="eastAsia"/>
                <w:b/>
              </w:rPr>
              <w:t>证券从业年限</w:t>
            </w:r>
          </w:p>
        </w:tc>
        <w:tc>
          <w:tcPr>
            <w:tcW w:w="3856" w:type="dxa"/>
            <w:vMerge w:val="restart"/>
          </w:tcPr>
          <w:p w:rsidR="00D952E6" w:rsidRPr="00D952E6" w:rsidRDefault="00D952E6" w:rsidP="00D952E6">
            <w:pPr>
              <w:jc w:val="center"/>
              <w:rPr>
                <w:b/>
              </w:rPr>
            </w:pPr>
            <w:r w:rsidRPr="00D952E6">
              <w:rPr>
                <w:rFonts w:hint="eastAsia"/>
                <w:b/>
              </w:rPr>
              <w:t>说明</w:t>
            </w:r>
          </w:p>
        </w:tc>
      </w:tr>
      <w:tr w:rsidR="00D952E6" w:rsidTr="00D952E6">
        <w:tc>
          <w:tcPr>
            <w:tcW w:w="862" w:type="dxa"/>
            <w:vMerge/>
          </w:tcPr>
          <w:p w:rsidR="00D952E6" w:rsidRDefault="00D952E6" w:rsidP="00D952E6">
            <w:pPr>
              <w:jc w:val="left"/>
            </w:pPr>
          </w:p>
        </w:tc>
        <w:tc>
          <w:tcPr>
            <w:tcW w:w="851" w:type="dxa"/>
            <w:vMerge/>
          </w:tcPr>
          <w:p w:rsidR="00D952E6" w:rsidRDefault="00D952E6" w:rsidP="00D952E6">
            <w:pPr>
              <w:jc w:val="left"/>
            </w:pPr>
          </w:p>
        </w:tc>
        <w:tc>
          <w:tcPr>
            <w:tcW w:w="1117" w:type="dxa"/>
            <w:shd w:val="clear" w:color="auto" w:fill="BFBFBF"/>
          </w:tcPr>
          <w:p w:rsidR="00D952E6" w:rsidRPr="00D952E6" w:rsidRDefault="00D952E6" w:rsidP="00D952E6">
            <w:pPr>
              <w:jc w:val="center"/>
              <w:rPr>
                <w:b/>
              </w:rPr>
            </w:pPr>
            <w:r w:rsidRPr="00D952E6">
              <w:rPr>
                <w:rFonts w:hint="eastAsia"/>
                <w:b/>
              </w:rPr>
              <w:t>任职日期</w:t>
            </w:r>
          </w:p>
        </w:tc>
        <w:tc>
          <w:tcPr>
            <w:tcW w:w="1117" w:type="dxa"/>
            <w:shd w:val="clear" w:color="auto" w:fill="BFBFBF"/>
          </w:tcPr>
          <w:p w:rsidR="00D952E6" w:rsidRPr="00D952E6" w:rsidRDefault="00D952E6" w:rsidP="00D952E6">
            <w:pPr>
              <w:jc w:val="center"/>
              <w:rPr>
                <w:b/>
              </w:rPr>
            </w:pPr>
            <w:r w:rsidRPr="00D952E6">
              <w:rPr>
                <w:rFonts w:hint="eastAsia"/>
                <w:b/>
              </w:rPr>
              <w:t>离任日期</w:t>
            </w:r>
          </w:p>
        </w:tc>
        <w:tc>
          <w:tcPr>
            <w:tcW w:w="703" w:type="dxa"/>
            <w:vMerge/>
          </w:tcPr>
          <w:p w:rsidR="00D952E6" w:rsidRDefault="00D952E6" w:rsidP="00D952E6">
            <w:pPr>
              <w:jc w:val="left"/>
            </w:pPr>
          </w:p>
        </w:tc>
        <w:tc>
          <w:tcPr>
            <w:tcW w:w="3856" w:type="dxa"/>
            <w:vMerge/>
          </w:tcPr>
          <w:p w:rsidR="00D952E6" w:rsidRDefault="00D952E6" w:rsidP="00D952E6">
            <w:pPr>
              <w:jc w:val="left"/>
            </w:pPr>
          </w:p>
        </w:tc>
      </w:tr>
      <w:tr w:rsidR="00D952E6" w:rsidTr="00D952E6">
        <w:tc>
          <w:tcPr>
            <w:tcW w:w="862" w:type="dxa"/>
          </w:tcPr>
          <w:p w:rsidR="00D952E6" w:rsidRDefault="00D952E6" w:rsidP="00D952E6">
            <w:pPr>
              <w:jc w:val="left"/>
            </w:pPr>
            <w:r>
              <w:rPr>
                <w:rFonts w:hint="eastAsia"/>
              </w:rPr>
              <w:t>黄河</w:t>
            </w:r>
          </w:p>
        </w:tc>
        <w:tc>
          <w:tcPr>
            <w:tcW w:w="851" w:type="dxa"/>
          </w:tcPr>
          <w:p w:rsidR="00D952E6" w:rsidRDefault="00D952E6" w:rsidP="00D952E6">
            <w:pPr>
              <w:jc w:val="left"/>
            </w:pPr>
            <w:r>
              <w:rPr>
                <w:rFonts w:hint="eastAsia"/>
              </w:rPr>
              <w:t>本基金基金经理</w:t>
            </w:r>
          </w:p>
        </w:tc>
        <w:tc>
          <w:tcPr>
            <w:tcW w:w="1117" w:type="dxa"/>
          </w:tcPr>
          <w:p w:rsidR="00D952E6" w:rsidRDefault="00D952E6" w:rsidP="00D952E6">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D952E6" w:rsidRDefault="00D952E6" w:rsidP="00D952E6">
            <w:pPr>
              <w:jc w:val="right"/>
            </w:pPr>
            <w:r>
              <w:t>-</w:t>
            </w:r>
          </w:p>
        </w:tc>
        <w:tc>
          <w:tcPr>
            <w:tcW w:w="703" w:type="dxa"/>
          </w:tcPr>
          <w:p w:rsidR="00D952E6" w:rsidRDefault="00D952E6" w:rsidP="00D952E6">
            <w:pPr>
              <w:jc w:val="left"/>
            </w:pPr>
            <w:r>
              <w:rPr>
                <w:rFonts w:hint="eastAsia"/>
              </w:rPr>
              <w:t>15</w:t>
            </w:r>
            <w:r>
              <w:rPr>
                <w:rFonts w:hint="eastAsia"/>
              </w:rPr>
              <w:t>年</w:t>
            </w:r>
          </w:p>
        </w:tc>
        <w:tc>
          <w:tcPr>
            <w:tcW w:w="3856" w:type="dxa"/>
          </w:tcPr>
          <w:p w:rsidR="00D952E6" w:rsidRDefault="00D952E6" w:rsidP="00D952E6">
            <w:r>
              <w:rPr>
                <w:rFonts w:hint="eastAsia"/>
              </w:rPr>
              <w:t>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D952E6" w:rsidRDefault="00D952E6" w:rsidP="00D952E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952E6" w:rsidRDefault="00D952E6" w:rsidP="00D952E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952E6" w:rsidRDefault="00D952E6" w:rsidP="00D952E6">
      <w:pPr>
        <w:pStyle w:val="-2"/>
        <w:spacing w:before="312"/>
        <w:rPr>
          <w:rFonts w:hint="eastAsia"/>
        </w:rPr>
      </w:pPr>
      <w:r>
        <w:rPr>
          <w:rFonts w:hint="eastAsia"/>
        </w:rPr>
        <w:t>管理人对报告期内本基金运作遵规守信情况的说明</w:t>
      </w:r>
    </w:p>
    <w:p w:rsidR="00D952E6" w:rsidRDefault="00D952E6" w:rsidP="00D952E6">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952E6" w:rsidRDefault="00D952E6" w:rsidP="00D952E6">
      <w:pPr>
        <w:pStyle w:val="-2"/>
        <w:spacing w:before="312"/>
        <w:rPr>
          <w:rFonts w:hint="eastAsia"/>
        </w:rPr>
      </w:pPr>
      <w:r>
        <w:rPr>
          <w:rFonts w:hint="eastAsia"/>
        </w:rPr>
        <w:t>公平交易专项说明</w:t>
      </w:r>
    </w:p>
    <w:p w:rsidR="00D952E6" w:rsidRDefault="00D952E6" w:rsidP="00D952E6">
      <w:pPr>
        <w:pStyle w:val="-3"/>
        <w:spacing w:before="156" w:after="156"/>
        <w:rPr>
          <w:rFonts w:hint="eastAsia"/>
        </w:rPr>
      </w:pPr>
      <w:r>
        <w:rPr>
          <w:rFonts w:hint="eastAsia"/>
        </w:rPr>
        <w:t>公平交易制度的执行情况</w:t>
      </w:r>
    </w:p>
    <w:p w:rsidR="00D952E6" w:rsidRDefault="00D952E6" w:rsidP="00D952E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952E6" w:rsidRDefault="00D952E6" w:rsidP="00D952E6">
      <w:pPr>
        <w:pStyle w:val="-3"/>
        <w:spacing w:before="156" w:after="156"/>
        <w:rPr>
          <w:rFonts w:hint="eastAsia"/>
        </w:rPr>
      </w:pPr>
      <w:r>
        <w:rPr>
          <w:rFonts w:hint="eastAsia"/>
        </w:rPr>
        <w:t>异常交易行为的专项说明</w:t>
      </w:r>
    </w:p>
    <w:p w:rsidR="00D952E6" w:rsidRDefault="00D952E6" w:rsidP="00D952E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952E6" w:rsidRDefault="00D952E6" w:rsidP="00D952E6">
      <w:pPr>
        <w:pStyle w:val="-2"/>
        <w:spacing w:before="312"/>
        <w:rPr>
          <w:rFonts w:hint="eastAsia"/>
        </w:rPr>
      </w:pPr>
      <w:r>
        <w:rPr>
          <w:rFonts w:hint="eastAsia"/>
        </w:rPr>
        <w:t>报告期内基金投资策略和运作分析</w:t>
      </w:r>
    </w:p>
    <w:p w:rsidR="00D952E6" w:rsidRDefault="00D952E6" w:rsidP="00D952E6">
      <w:pPr>
        <w:pStyle w:val="-"/>
        <w:ind w:firstLine="420"/>
        <w:rPr>
          <w:rFonts w:hint="eastAsia"/>
        </w:rPr>
      </w:pPr>
      <w:r>
        <w:rPr>
          <w:rFonts w:hint="eastAsia"/>
        </w:rPr>
        <w:t>四季度中国经济总体表现平稳，景气度有所回升，12月制造业 PMI及综合 PMI 产出指数均升至扩张区间。政策层面持续发力，推动工业利润改善，价格企稳，就业总体稳定。央行重启国债买卖操作，整体流动性维持合理充裕。市场层面，四季度利率先下后上，利率曲线总体陡峭化。</w:t>
      </w:r>
    </w:p>
    <w:p w:rsidR="00D952E6" w:rsidRDefault="00D952E6" w:rsidP="00D952E6">
      <w:pPr>
        <w:pStyle w:val="-"/>
        <w:ind w:firstLine="420"/>
        <w:rPr>
          <w:rFonts w:hint="eastAsia"/>
        </w:rPr>
      </w:pPr>
      <w:r>
        <w:rPr>
          <w:rFonts w:hint="eastAsia"/>
        </w:rPr>
        <w:t>投资运作上，四季度以持有短期金融债为主并陆续到期，风险暴露较低。</w:t>
      </w:r>
    </w:p>
    <w:p w:rsidR="00D952E6" w:rsidRDefault="00D952E6" w:rsidP="00D952E6">
      <w:pPr>
        <w:pStyle w:val="-"/>
        <w:ind w:firstLine="420"/>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收益率短期可能有所波动，但目前流动性水平依然充裕，配置需求仍在，同时利率曲线较为平坦，短端利率债有一定配置价值。</w:t>
      </w:r>
    </w:p>
    <w:p w:rsidR="00D952E6" w:rsidRDefault="00D952E6" w:rsidP="00D952E6">
      <w:pPr>
        <w:pStyle w:val="-2"/>
        <w:spacing w:before="312"/>
        <w:rPr>
          <w:rFonts w:hint="eastAsia"/>
        </w:rPr>
      </w:pPr>
      <w:r>
        <w:rPr>
          <w:rFonts w:hint="eastAsia"/>
        </w:rPr>
        <w:t>报告期内基金的业绩表现</w:t>
      </w:r>
    </w:p>
    <w:p w:rsidR="00D952E6" w:rsidRDefault="00D952E6" w:rsidP="00D952E6">
      <w:pPr>
        <w:pStyle w:val="-"/>
        <w:ind w:firstLine="420"/>
        <w:rPr>
          <w:rFonts w:hint="eastAsia"/>
        </w:rPr>
      </w:pPr>
      <w:r>
        <w:rPr>
          <w:rFonts w:hint="eastAsia"/>
        </w:rPr>
        <w:t>截至报告期末，本基金份额净值为1.0420元，报告期内，份额净值增长率为2.05%，同期业绩基准增长率为0.66%。</w:t>
      </w:r>
    </w:p>
    <w:p w:rsidR="00D952E6" w:rsidRDefault="00D952E6" w:rsidP="00D952E6">
      <w:pPr>
        <w:pStyle w:val="-2"/>
        <w:spacing w:before="312"/>
        <w:rPr>
          <w:rFonts w:hint="eastAsia"/>
        </w:rPr>
      </w:pPr>
      <w:r>
        <w:rPr>
          <w:rFonts w:hint="eastAsia"/>
        </w:rPr>
        <w:lastRenderedPageBreak/>
        <w:t>报告期内基金持有人数或基金资产净值预警说明</w:t>
      </w:r>
    </w:p>
    <w:p w:rsidR="00D952E6" w:rsidRDefault="00D952E6" w:rsidP="00D952E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952E6" w:rsidRDefault="00D952E6" w:rsidP="00D952E6">
      <w:pPr>
        <w:pStyle w:val="-1"/>
        <w:ind w:left="281" w:hanging="281"/>
        <w:rPr>
          <w:rFonts w:hint="eastAsia"/>
        </w:rPr>
      </w:pPr>
      <w:r>
        <w:rPr>
          <w:rFonts w:hint="eastAsia"/>
        </w:rPr>
        <w:t>投资组合报告</w:t>
      </w:r>
    </w:p>
    <w:p w:rsidR="00D952E6" w:rsidRDefault="00D952E6" w:rsidP="00D952E6">
      <w:pPr>
        <w:pStyle w:val="-2"/>
        <w:spacing w:before="312"/>
        <w:rPr>
          <w:rFonts w:hint="eastAsia"/>
        </w:rPr>
      </w:pPr>
      <w:r>
        <w:rPr>
          <w:rFonts w:hint="eastAsia"/>
        </w:rPr>
        <w:t>报告期末基金资产组合情况</w:t>
      </w:r>
    </w:p>
    <w:p w:rsidR="00D952E6" w:rsidRDefault="00D952E6" w:rsidP="00D952E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952E6" w:rsidTr="00D952E6">
        <w:trPr>
          <w:cnfStyle w:val="100000000000" w:firstRow="1" w:lastRow="0" w:firstColumn="0" w:lastColumn="0" w:oddVBand="0" w:evenVBand="0" w:oddHBand="0" w:evenHBand="0" w:firstRowFirstColumn="0" w:firstRowLastColumn="0" w:lastRowFirstColumn="0" w:lastRowLastColumn="0"/>
        </w:trPr>
        <w:tc>
          <w:tcPr>
            <w:tcW w:w="646" w:type="dxa"/>
          </w:tcPr>
          <w:p w:rsidR="00D952E6" w:rsidRPr="00D952E6" w:rsidRDefault="00D952E6" w:rsidP="00D952E6">
            <w:pPr>
              <w:jc w:val="center"/>
              <w:rPr>
                <w:b/>
              </w:rPr>
            </w:pPr>
            <w:r w:rsidRPr="00D952E6">
              <w:rPr>
                <w:rFonts w:hint="eastAsia"/>
                <w:b/>
              </w:rPr>
              <w:t>序号</w:t>
            </w:r>
          </w:p>
        </w:tc>
        <w:tc>
          <w:tcPr>
            <w:tcW w:w="2971" w:type="dxa"/>
          </w:tcPr>
          <w:p w:rsidR="00D952E6" w:rsidRPr="00D952E6" w:rsidRDefault="00D952E6" w:rsidP="00D952E6">
            <w:pPr>
              <w:jc w:val="center"/>
              <w:rPr>
                <w:b/>
              </w:rPr>
            </w:pPr>
            <w:r w:rsidRPr="00D952E6">
              <w:rPr>
                <w:rFonts w:hint="eastAsia"/>
                <w:b/>
              </w:rPr>
              <w:t>项目</w:t>
            </w:r>
          </w:p>
        </w:tc>
        <w:tc>
          <w:tcPr>
            <w:tcW w:w="2381" w:type="dxa"/>
          </w:tcPr>
          <w:p w:rsidR="00D952E6" w:rsidRPr="00D952E6" w:rsidRDefault="00D952E6" w:rsidP="00D952E6">
            <w:pPr>
              <w:jc w:val="center"/>
              <w:rPr>
                <w:b/>
              </w:rPr>
            </w:pPr>
            <w:r w:rsidRPr="00D952E6">
              <w:rPr>
                <w:rFonts w:hint="eastAsia"/>
                <w:b/>
              </w:rPr>
              <w:t>金额（元）</w:t>
            </w:r>
          </w:p>
        </w:tc>
        <w:tc>
          <w:tcPr>
            <w:tcW w:w="2506" w:type="dxa"/>
          </w:tcPr>
          <w:p w:rsidR="00D952E6" w:rsidRPr="00D952E6" w:rsidRDefault="00D952E6" w:rsidP="00D952E6">
            <w:pPr>
              <w:jc w:val="center"/>
              <w:rPr>
                <w:b/>
              </w:rPr>
            </w:pPr>
            <w:r w:rsidRPr="00D952E6">
              <w:rPr>
                <w:rFonts w:hint="eastAsia"/>
                <w:b/>
              </w:rPr>
              <w:t>占基金总资产的比例（</w:t>
            </w:r>
            <w:r w:rsidRPr="00D952E6">
              <w:rPr>
                <w:rFonts w:hint="eastAsia"/>
                <w:b/>
              </w:rPr>
              <w:t>%</w:t>
            </w:r>
            <w:r w:rsidRPr="00D952E6">
              <w:rPr>
                <w:rFonts w:hint="eastAsia"/>
                <w:b/>
              </w:rPr>
              <w:t>）</w:t>
            </w:r>
          </w:p>
        </w:tc>
      </w:tr>
      <w:tr w:rsidR="00D952E6" w:rsidTr="00D952E6">
        <w:tc>
          <w:tcPr>
            <w:tcW w:w="646" w:type="dxa"/>
          </w:tcPr>
          <w:p w:rsidR="00D952E6" w:rsidRDefault="00D952E6" w:rsidP="00D952E6">
            <w:pPr>
              <w:jc w:val="center"/>
            </w:pPr>
            <w:r>
              <w:t>1</w:t>
            </w:r>
          </w:p>
        </w:tc>
        <w:tc>
          <w:tcPr>
            <w:tcW w:w="2971" w:type="dxa"/>
          </w:tcPr>
          <w:p w:rsidR="00D952E6" w:rsidRDefault="00D952E6" w:rsidP="00D952E6">
            <w:pPr>
              <w:jc w:val="left"/>
            </w:pPr>
            <w:r>
              <w:rPr>
                <w:rFonts w:hint="eastAsia"/>
              </w:rPr>
              <w:t>权益投资</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p>
        </w:tc>
        <w:tc>
          <w:tcPr>
            <w:tcW w:w="2971" w:type="dxa"/>
          </w:tcPr>
          <w:p w:rsidR="00D952E6" w:rsidRDefault="00D952E6" w:rsidP="00D952E6">
            <w:pPr>
              <w:jc w:val="left"/>
            </w:pPr>
            <w:r>
              <w:rPr>
                <w:rFonts w:hint="eastAsia"/>
              </w:rPr>
              <w:t>其中：股票</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2</w:t>
            </w:r>
          </w:p>
        </w:tc>
        <w:tc>
          <w:tcPr>
            <w:tcW w:w="2971" w:type="dxa"/>
          </w:tcPr>
          <w:p w:rsidR="00D952E6" w:rsidRDefault="00D952E6" w:rsidP="00D952E6">
            <w:pPr>
              <w:jc w:val="left"/>
            </w:pPr>
            <w:r>
              <w:rPr>
                <w:rFonts w:hint="eastAsia"/>
              </w:rPr>
              <w:t>基金投资</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3</w:t>
            </w:r>
          </w:p>
        </w:tc>
        <w:tc>
          <w:tcPr>
            <w:tcW w:w="2971" w:type="dxa"/>
          </w:tcPr>
          <w:p w:rsidR="00D952E6" w:rsidRDefault="00D952E6" w:rsidP="00D952E6">
            <w:pPr>
              <w:jc w:val="left"/>
            </w:pPr>
            <w:r>
              <w:rPr>
                <w:rFonts w:hint="eastAsia"/>
              </w:rPr>
              <w:t>固定收益投资</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p>
        </w:tc>
        <w:tc>
          <w:tcPr>
            <w:tcW w:w="2971" w:type="dxa"/>
          </w:tcPr>
          <w:p w:rsidR="00D952E6" w:rsidRDefault="00D952E6" w:rsidP="00D952E6">
            <w:pPr>
              <w:jc w:val="left"/>
            </w:pPr>
            <w:r>
              <w:rPr>
                <w:rFonts w:hint="eastAsia"/>
              </w:rPr>
              <w:t>其中：债券</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p>
        </w:tc>
        <w:tc>
          <w:tcPr>
            <w:tcW w:w="2971" w:type="dxa"/>
          </w:tcPr>
          <w:p w:rsidR="00D952E6" w:rsidRDefault="00D952E6" w:rsidP="00D952E6">
            <w:pPr>
              <w:jc w:val="left"/>
            </w:pPr>
            <w:r>
              <w:rPr>
                <w:rFonts w:hint="eastAsia"/>
              </w:rPr>
              <w:t xml:space="preserve">      </w:t>
            </w:r>
            <w:r>
              <w:rPr>
                <w:rFonts w:hint="eastAsia"/>
              </w:rPr>
              <w:t>资产支持证券</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4</w:t>
            </w:r>
          </w:p>
        </w:tc>
        <w:tc>
          <w:tcPr>
            <w:tcW w:w="2971" w:type="dxa"/>
          </w:tcPr>
          <w:p w:rsidR="00D952E6" w:rsidRDefault="00D952E6" w:rsidP="00D952E6">
            <w:pPr>
              <w:jc w:val="left"/>
            </w:pPr>
            <w:r>
              <w:rPr>
                <w:rFonts w:hint="eastAsia"/>
              </w:rPr>
              <w:t>贵金属投资</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5</w:t>
            </w:r>
          </w:p>
        </w:tc>
        <w:tc>
          <w:tcPr>
            <w:tcW w:w="2971" w:type="dxa"/>
          </w:tcPr>
          <w:p w:rsidR="00D952E6" w:rsidRDefault="00D952E6" w:rsidP="00D952E6">
            <w:pPr>
              <w:jc w:val="left"/>
            </w:pPr>
            <w:r>
              <w:rPr>
                <w:rFonts w:hint="eastAsia"/>
              </w:rPr>
              <w:t>金融衍生品投资</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6</w:t>
            </w:r>
          </w:p>
        </w:tc>
        <w:tc>
          <w:tcPr>
            <w:tcW w:w="2971" w:type="dxa"/>
          </w:tcPr>
          <w:p w:rsidR="00D952E6" w:rsidRDefault="00D952E6" w:rsidP="00D952E6">
            <w:pPr>
              <w:jc w:val="left"/>
            </w:pPr>
            <w:r>
              <w:rPr>
                <w:rFonts w:hint="eastAsia"/>
              </w:rPr>
              <w:t>买入返售金融资产</w:t>
            </w:r>
          </w:p>
        </w:tc>
        <w:tc>
          <w:tcPr>
            <w:tcW w:w="2381" w:type="dxa"/>
          </w:tcPr>
          <w:p w:rsidR="00D952E6" w:rsidRDefault="00D952E6" w:rsidP="00D952E6">
            <w:pPr>
              <w:jc w:val="right"/>
            </w:pPr>
            <w:r>
              <w:t>30,003,791.44</w:t>
            </w:r>
          </w:p>
        </w:tc>
        <w:tc>
          <w:tcPr>
            <w:tcW w:w="2506" w:type="dxa"/>
          </w:tcPr>
          <w:p w:rsidR="00D952E6" w:rsidRDefault="00D952E6" w:rsidP="00D952E6">
            <w:pPr>
              <w:jc w:val="right"/>
            </w:pPr>
            <w:r>
              <w:t>83.63</w:t>
            </w:r>
          </w:p>
        </w:tc>
      </w:tr>
      <w:tr w:rsidR="00D952E6" w:rsidTr="00D952E6">
        <w:tc>
          <w:tcPr>
            <w:tcW w:w="646" w:type="dxa"/>
          </w:tcPr>
          <w:p w:rsidR="00D952E6" w:rsidRDefault="00D952E6" w:rsidP="00D952E6">
            <w:pPr>
              <w:jc w:val="center"/>
            </w:pPr>
          </w:p>
        </w:tc>
        <w:tc>
          <w:tcPr>
            <w:tcW w:w="2971" w:type="dxa"/>
          </w:tcPr>
          <w:p w:rsidR="00D952E6" w:rsidRDefault="00D952E6" w:rsidP="00D952E6">
            <w:pPr>
              <w:jc w:val="left"/>
            </w:pPr>
            <w:r>
              <w:rPr>
                <w:rFonts w:hint="eastAsia"/>
              </w:rPr>
              <w:t>其中：买断式回购的买入返售金融资产</w:t>
            </w:r>
          </w:p>
        </w:tc>
        <w:tc>
          <w:tcPr>
            <w:tcW w:w="2381" w:type="dxa"/>
          </w:tcPr>
          <w:p w:rsidR="00D952E6" w:rsidRDefault="00D952E6" w:rsidP="00D952E6">
            <w:pPr>
              <w:jc w:val="right"/>
            </w:pPr>
            <w:r>
              <w:t>-</w:t>
            </w:r>
          </w:p>
        </w:tc>
        <w:tc>
          <w:tcPr>
            <w:tcW w:w="2506" w:type="dxa"/>
          </w:tcPr>
          <w:p w:rsidR="00D952E6" w:rsidRDefault="00D952E6" w:rsidP="00D952E6">
            <w:pPr>
              <w:jc w:val="right"/>
            </w:pPr>
            <w:r>
              <w:t>-</w:t>
            </w:r>
          </w:p>
        </w:tc>
      </w:tr>
      <w:tr w:rsidR="00D952E6" w:rsidTr="00D952E6">
        <w:tc>
          <w:tcPr>
            <w:tcW w:w="646" w:type="dxa"/>
          </w:tcPr>
          <w:p w:rsidR="00D952E6" w:rsidRDefault="00D952E6" w:rsidP="00D952E6">
            <w:pPr>
              <w:jc w:val="center"/>
            </w:pPr>
            <w:r>
              <w:t>7</w:t>
            </w:r>
          </w:p>
        </w:tc>
        <w:tc>
          <w:tcPr>
            <w:tcW w:w="2971" w:type="dxa"/>
          </w:tcPr>
          <w:p w:rsidR="00D952E6" w:rsidRDefault="00D952E6" w:rsidP="00D952E6">
            <w:pPr>
              <w:jc w:val="left"/>
            </w:pPr>
            <w:r>
              <w:rPr>
                <w:rFonts w:hint="eastAsia"/>
              </w:rPr>
              <w:t>银行存款和结算备付金合计</w:t>
            </w:r>
          </w:p>
        </w:tc>
        <w:tc>
          <w:tcPr>
            <w:tcW w:w="2381" w:type="dxa"/>
          </w:tcPr>
          <w:p w:rsidR="00D952E6" w:rsidRDefault="00D952E6" w:rsidP="00D952E6">
            <w:pPr>
              <w:jc w:val="right"/>
            </w:pPr>
            <w:r>
              <w:t>5,872,599.25</w:t>
            </w:r>
          </w:p>
        </w:tc>
        <w:tc>
          <w:tcPr>
            <w:tcW w:w="2506" w:type="dxa"/>
          </w:tcPr>
          <w:p w:rsidR="00D952E6" w:rsidRDefault="00D952E6" w:rsidP="00D952E6">
            <w:pPr>
              <w:jc w:val="right"/>
            </w:pPr>
            <w:r>
              <w:t>16.37</w:t>
            </w:r>
          </w:p>
        </w:tc>
      </w:tr>
      <w:tr w:rsidR="00D952E6" w:rsidTr="00D952E6">
        <w:tc>
          <w:tcPr>
            <w:tcW w:w="646" w:type="dxa"/>
          </w:tcPr>
          <w:p w:rsidR="00D952E6" w:rsidRDefault="00D952E6" w:rsidP="00D952E6">
            <w:pPr>
              <w:jc w:val="center"/>
            </w:pPr>
            <w:r>
              <w:t>8</w:t>
            </w:r>
          </w:p>
        </w:tc>
        <w:tc>
          <w:tcPr>
            <w:tcW w:w="2971" w:type="dxa"/>
          </w:tcPr>
          <w:p w:rsidR="00D952E6" w:rsidRDefault="00D952E6" w:rsidP="00D952E6">
            <w:pPr>
              <w:jc w:val="left"/>
            </w:pPr>
            <w:r>
              <w:rPr>
                <w:rFonts w:hint="eastAsia"/>
              </w:rPr>
              <w:t>其他资产</w:t>
            </w:r>
          </w:p>
        </w:tc>
        <w:tc>
          <w:tcPr>
            <w:tcW w:w="2381" w:type="dxa"/>
          </w:tcPr>
          <w:p w:rsidR="00D952E6" w:rsidRDefault="00D952E6" w:rsidP="00D952E6">
            <w:pPr>
              <w:jc w:val="right"/>
            </w:pPr>
            <w:r>
              <w:t>609.92</w:t>
            </w:r>
          </w:p>
        </w:tc>
        <w:tc>
          <w:tcPr>
            <w:tcW w:w="2506" w:type="dxa"/>
          </w:tcPr>
          <w:p w:rsidR="00D952E6" w:rsidRDefault="00D952E6" w:rsidP="00D952E6">
            <w:pPr>
              <w:jc w:val="right"/>
            </w:pPr>
            <w:r>
              <w:t>0.00</w:t>
            </w:r>
          </w:p>
        </w:tc>
      </w:tr>
      <w:tr w:rsidR="00D952E6" w:rsidTr="00D952E6">
        <w:tc>
          <w:tcPr>
            <w:tcW w:w="646" w:type="dxa"/>
          </w:tcPr>
          <w:p w:rsidR="00D952E6" w:rsidRDefault="00D952E6" w:rsidP="00D952E6">
            <w:pPr>
              <w:jc w:val="center"/>
            </w:pPr>
            <w:r>
              <w:t>9</w:t>
            </w:r>
          </w:p>
        </w:tc>
        <w:tc>
          <w:tcPr>
            <w:tcW w:w="2971" w:type="dxa"/>
          </w:tcPr>
          <w:p w:rsidR="00D952E6" w:rsidRDefault="00D952E6" w:rsidP="00D952E6">
            <w:pPr>
              <w:jc w:val="left"/>
            </w:pPr>
            <w:r>
              <w:rPr>
                <w:rFonts w:hint="eastAsia"/>
              </w:rPr>
              <w:t>合计</w:t>
            </w:r>
          </w:p>
        </w:tc>
        <w:tc>
          <w:tcPr>
            <w:tcW w:w="2381" w:type="dxa"/>
          </w:tcPr>
          <w:p w:rsidR="00D952E6" w:rsidRDefault="00D952E6" w:rsidP="00D952E6">
            <w:pPr>
              <w:jc w:val="right"/>
            </w:pPr>
            <w:r>
              <w:t>35,877,000.61</w:t>
            </w:r>
          </w:p>
        </w:tc>
        <w:tc>
          <w:tcPr>
            <w:tcW w:w="2506" w:type="dxa"/>
          </w:tcPr>
          <w:p w:rsidR="00D952E6" w:rsidRDefault="00D952E6" w:rsidP="00D952E6">
            <w:pPr>
              <w:jc w:val="right"/>
            </w:pPr>
            <w:r>
              <w:t>100.00</w:t>
            </w:r>
          </w:p>
        </w:tc>
      </w:tr>
    </w:tbl>
    <w:p w:rsidR="00D952E6" w:rsidRDefault="00D952E6" w:rsidP="00D952E6">
      <w:pPr>
        <w:pStyle w:val="-2"/>
        <w:spacing w:before="312"/>
        <w:rPr>
          <w:rFonts w:hint="eastAsia"/>
        </w:rPr>
      </w:pPr>
      <w:r>
        <w:rPr>
          <w:rFonts w:hint="eastAsia"/>
        </w:rPr>
        <w:t>报告期末按行业分类的股票投资组合</w:t>
      </w:r>
    </w:p>
    <w:p w:rsidR="00D952E6" w:rsidRDefault="00D952E6" w:rsidP="00D952E6">
      <w:pPr>
        <w:pStyle w:val="-3"/>
        <w:spacing w:before="156" w:after="156"/>
        <w:rPr>
          <w:rFonts w:hint="eastAsia"/>
        </w:rPr>
      </w:pPr>
      <w:r>
        <w:rPr>
          <w:rFonts w:hint="eastAsia"/>
        </w:rPr>
        <w:t>报告期末按行业分类的境内股票投资组合</w:t>
      </w:r>
    </w:p>
    <w:p w:rsidR="00D952E6" w:rsidRDefault="00D952E6" w:rsidP="00D952E6">
      <w:pPr>
        <w:pStyle w:val="-"/>
        <w:ind w:firstLine="420"/>
        <w:rPr>
          <w:rFonts w:hint="eastAsia"/>
        </w:rPr>
      </w:pPr>
      <w:r>
        <w:rPr>
          <w:rFonts w:hint="eastAsia"/>
        </w:rPr>
        <w:t>无。</w:t>
      </w:r>
    </w:p>
    <w:p w:rsidR="00D952E6" w:rsidRDefault="00D952E6" w:rsidP="00D952E6">
      <w:pPr>
        <w:pStyle w:val="-3"/>
        <w:spacing w:before="156" w:after="156"/>
        <w:rPr>
          <w:rFonts w:hint="eastAsia"/>
        </w:rPr>
      </w:pPr>
      <w:r>
        <w:rPr>
          <w:rFonts w:hint="eastAsia"/>
        </w:rPr>
        <w:t>报告期末按行业分类的港股通投资股票投资组合</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期末按公允价值占基金资产净值比例大小排序的股票投资明细</w:t>
      </w:r>
    </w:p>
    <w:p w:rsidR="00D952E6" w:rsidRDefault="00D952E6" w:rsidP="00D952E6">
      <w:pPr>
        <w:pStyle w:val="-3"/>
        <w:spacing w:before="156" w:after="156"/>
        <w:rPr>
          <w:rFonts w:hint="eastAsia"/>
        </w:rPr>
      </w:pPr>
      <w:r>
        <w:rPr>
          <w:rFonts w:hint="eastAsia"/>
        </w:rPr>
        <w:t>报告期末按公允价值占基金资产净值比例大小排序的前十名股票投资明细</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报告期末按债券品种分类的债券投资组合</w:t>
      </w:r>
    </w:p>
    <w:p w:rsidR="00D952E6" w:rsidRDefault="00D952E6" w:rsidP="00D952E6">
      <w:pPr>
        <w:pStyle w:val="-"/>
        <w:ind w:firstLine="420"/>
        <w:rPr>
          <w:rFonts w:hint="eastAsia"/>
        </w:rPr>
      </w:pPr>
      <w:r>
        <w:rPr>
          <w:rFonts w:hint="eastAsia"/>
        </w:rPr>
        <w:lastRenderedPageBreak/>
        <w:t>无。</w:t>
      </w:r>
    </w:p>
    <w:p w:rsidR="00D952E6" w:rsidRDefault="00D952E6" w:rsidP="00D952E6">
      <w:pPr>
        <w:pStyle w:val="-2"/>
        <w:spacing w:before="312"/>
        <w:rPr>
          <w:rFonts w:hint="eastAsia"/>
        </w:rPr>
      </w:pPr>
      <w:r>
        <w:rPr>
          <w:rFonts w:hint="eastAsia"/>
        </w:rPr>
        <w:t>报告期末按公允价值占基金资产净值比例大小排名的前五名债券投资明细</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报告期末按公允价值占基金资产净值比例大小排名的前十名资产支持证券投资明细</w:t>
      </w:r>
    </w:p>
    <w:p w:rsidR="00D952E6" w:rsidRDefault="00D952E6" w:rsidP="00D952E6">
      <w:pPr>
        <w:pStyle w:val="-"/>
        <w:ind w:firstLine="420"/>
        <w:rPr>
          <w:rFonts w:hint="eastAsia"/>
        </w:rPr>
      </w:pPr>
      <w:r>
        <w:rPr>
          <w:rFonts w:hint="eastAsia"/>
        </w:rPr>
        <w:t>本基金本报告期末未持有资产支持证券。</w:t>
      </w:r>
    </w:p>
    <w:p w:rsidR="00D952E6" w:rsidRDefault="00D952E6" w:rsidP="00D952E6">
      <w:pPr>
        <w:pStyle w:val="-2"/>
        <w:spacing w:before="312"/>
        <w:rPr>
          <w:rFonts w:hint="eastAsia"/>
        </w:rPr>
      </w:pPr>
      <w:r>
        <w:rPr>
          <w:rFonts w:hint="eastAsia"/>
        </w:rPr>
        <w:t>报告期末按公允价值占基金资产净值比例大小排序的前五名贵金属投资明细</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报告期末按公允价值占基金资产净值比例大小排名的前五名权证投资明细</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报告期末本基金投资的股指期货交易情况说明</w:t>
      </w:r>
    </w:p>
    <w:p w:rsidR="00D952E6" w:rsidRDefault="00D952E6" w:rsidP="00D952E6">
      <w:pPr>
        <w:pStyle w:val="-3"/>
        <w:spacing w:before="156" w:after="156"/>
        <w:rPr>
          <w:rFonts w:hint="eastAsia"/>
        </w:rPr>
      </w:pPr>
      <w:r>
        <w:rPr>
          <w:rFonts w:hint="eastAsia"/>
        </w:rPr>
        <w:t>报告期末本基金投资的股指期货持仓和损益明细</w:t>
      </w:r>
    </w:p>
    <w:p w:rsidR="00D952E6" w:rsidRDefault="00D952E6" w:rsidP="00D952E6">
      <w:pPr>
        <w:pStyle w:val="-"/>
        <w:ind w:firstLine="420"/>
        <w:rPr>
          <w:rFonts w:hint="eastAsia"/>
        </w:rPr>
      </w:pPr>
      <w:r>
        <w:rPr>
          <w:rFonts w:hint="eastAsia"/>
        </w:rPr>
        <w:t>无。</w:t>
      </w:r>
    </w:p>
    <w:p w:rsidR="00D952E6" w:rsidRDefault="00D952E6" w:rsidP="00D952E6">
      <w:pPr>
        <w:pStyle w:val="-3"/>
        <w:spacing w:before="156" w:after="156"/>
        <w:rPr>
          <w:rFonts w:hint="eastAsia"/>
        </w:rPr>
      </w:pPr>
      <w:r>
        <w:rPr>
          <w:rFonts w:hint="eastAsia"/>
        </w:rPr>
        <w:t>本基金投资股指期货的投资政策</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报告期末本基金投资的国债期货交易情况说明</w:t>
      </w:r>
    </w:p>
    <w:p w:rsidR="00D952E6" w:rsidRDefault="00D952E6" w:rsidP="00D952E6">
      <w:pPr>
        <w:pStyle w:val="-3"/>
        <w:spacing w:before="156" w:after="156"/>
        <w:rPr>
          <w:rFonts w:hint="eastAsia"/>
        </w:rPr>
      </w:pPr>
      <w:r>
        <w:rPr>
          <w:rFonts w:hint="eastAsia"/>
        </w:rPr>
        <w:t>本期国债期货投资政策</w:t>
      </w:r>
    </w:p>
    <w:p w:rsidR="00D952E6" w:rsidRDefault="00D952E6" w:rsidP="00D952E6">
      <w:pPr>
        <w:pStyle w:val="-"/>
        <w:ind w:firstLine="420"/>
        <w:rPr>
          <w:rFonts w:hint="eastAsia"/>
        </w:rPr>
      </w:pPr>
      <w:r>
        <w:rPr>
          <w:rFonts w:hint="eastAsia"/>
        </w:rPr>
        <w:t>无。</w:t>
      </w:r>
    </w:p>
    <w:p w:rsidR="00D952E6" w:rsidRDefault="00D952E6" w:rsidP="00D952E6">
      <w:pPr>
        <w:pStyle w:val="-3"/>
        <w:spacing w:before="156" w:after="156"/>
        <w:rPr>
          <w:rFonts w:hint="eastAsia"/>
        </w:rPr>
      </w:pPr>
      <w:r>
        <w:rPr>
          <w:rFonts w:hint="eastAsia"/>
        </w:rPr>
        <w:t>报告期末本基金投资的国债期货持仓和损益明细</w:t>
      </w:r>
    </w:p>
    <w:p w:rsidR="00D952E6" w:rsidRDefault="00D952E6" w:rsidP="00D952E6">
      <w:pPr>
        <w:pStyle w:val="-"/>
        <w:ind w:firstLine="420"/>
        <w:rPr>
          <w:rFonts w:hint="eastAsia"/>
        </w:rPr>
      </w:pPr>
      <w:r>
        <w:rPr>
          <w:rFonts w:hint="eastAsia"/>
        </w:rPr>
        <w:t>无。</w:t>
      </w:r>
    </w:p>
    <w:p w:rsidR="00D952E6" w:rsidRDefault="00D952E6" w:rsidP="00D952E6">
      <w:pPr>
        <w:pStyle w:val="-3"/>
        <w:spacing w:before="156" w:after="156"/>
        <w:rPr>
          <w:rFonts w:hint="eastAsia"/>
        </w:rPr>
      </w:pPr>
      <w:r>
        <w:rPr>
          <w:rFonts w:hint="eastAsia"/>
        </w:rPr>
        <w:t>本期国债期货投资评价</w:t>
      </w:r>
    </w:p>
    <w:p w:rsidR="00D952E6" w:rsidRDefault="00D952E6" w:rsidP="00D952E6">
      <w:pPr>
        <w:pStyle w:val="-"/>
        <w:ind w:firstLine="420"/>
        <w:rPr>
          <w:rFonts w:hint="eastAsia"/>
        </w:rPr>
      </w:pPr>
      <w:r>
        <w:rPr>
          <w:rFonts w:hint="eastAsia"/>
        </w:rPr>
        <w:t>无。</w:t>
      </w:r>
    </w:p>
    <w:p w:rsidR="00D952E6" w:rsidRDefault="00D952E6" w:rsidP="00D952E6">
      <w:pPr>
        <w:pStyle w:val="-2"/>
        <w:spacing w:before="312"/>
        <w:rPr>
          <w:rFonts w:hint="eastAsia"/>
        </w:rPr>
      </w:pPr>
      <w:r>
        <w:rPr>
          <w:rFonts w:hint="eastAsia"/>
        </w:rPr>
        <w:t>投资组合报告附注</w:t>
      </w:r>
    </w:p>
    <w:p w:rsidR="00D952E6" w:rsidRDefault="00D952E6" w:rsidP="00D952E6">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D952E6" w:rsidRDefault="00D952E6" w:rsidP="00D952E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952E6" w:rsidRDefault="00D952E6" w:rsidP="00D952E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952E6" w:rsidRDefault="00D952E6" w:rsidP="00D952E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952E6" w:rsidRDefault="00D952E6" w:rsidP="00D952E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952E6" w:rsidTr="00D952E6">
        <w:trPr>
          <w:cnfStyle w:val="100000000000" w:firstRow="1" w:lastRow="0" w:firstColumn="0" w:lastColumn="0" w:oddVBand="0" w:evenVBand="0" w:oddHBand="0" w:evenHBand="0" w:firstRowFirstColumn="0" w:firstRowLastColumn="0" w:lastRowFirstColumn="0" w:lastRowLastColumn="0"/>
        </w:trPr>
        <w:tc>
          <w:tcPr>
            <w:tcW w:w="743" w:type="dxa"/>
          </w:tcPr>
          <w:p w:rsidR="00D952E6" w:rsidRPr="00D952E6" w:rsidRDefault="00D952E6" w:rsidP="00D952E6">
            <w:pPr>
              <w:jc w:val="center"/>
              <w:rPr>
                <w:b/>
              </w:rPr>
            </w:pPr>
            <w:r w:rsidRPr="00D952E6">
              <w:rPr>
                <w:rFonts w:hint="eastAsia"/>
                <w:b/>
              </w:rPr>
              <w:t>序号</w:t>
            </w:r>
          </w:p>
        </w:tc>
        <w:tc>
          <w:tcPr>
            <w:tcW w:w="2977" w:type="dxa"/>
          </w:tcPr>
          <w:p w:rsidR="00D952E6" w:rsidRPr="00D952E6" w:rsidRDefault="00D952E6" w:rsidP="00D952E6">
            <w:pPr>
              <w:jc w:val="center"/>
              <w:rPr>
                <w:b/>
              </w:rPr>
            </w:pPr>
            <w:r w:rsidRPr="00D952E6">
              <w:rPr>
                <w:rFonts w:hint="eastAsia"/>
                <w:b/>
              </w:rPr>
              <w:t>名称</w:t>
            </w:r>
          </w:p>
        </w:tc>
        <w:tc>
          <w:tcPr>
            <w:tcW w:w="4785" w:type="dxa"/>
          </w:tcPr>
          <w:p w:rsidR="00D952E6" w:rsidRPr="00D952E6" w:rsidRDefault="00D952E6" w:rsidP="00D952E6">
            <w:pPr>
              <w:jc w:val="center"/>
              <w:rPr>
                <w:b/>
              </w:rPr>
            </w:pPr>
            <w:r w:rsidRPr="00D952E6">
              <w:rPr>
                <w:rFonts w:hint="eastAsia"/>
                <w:b/>
              </w:rPr>
              <w:t>金额（元）</w:t>
            </w:r>
          </w:p>
        </w:tc>
      </w:tr>
      <w:tr w:rsidR="00D952E6" w:rsidTr="00D952E6">
        <w:tc>
          <w:tcPr>
            <w:tcW w:w="743" w:type="dxa"/>
          </w:tcPr>
          <w:p w:rsidR="00D952E6" w:rsidRDefault="00D952E6" w:rsidP="00D952E6">
            <w:pPr>
              <w:jc w:val="center"/>
            </w:pPr>
            <w:r>
              <w:t>1</w:t>
            </w:r>
          </w:p>
        </w:tc>
        <w:tc>
          <w:tcPr>
            <w:tcW w:w="2977" w:type="dxa"/>
          </w:tcPr>
          <w:p w:rsidR="00D952E6" w:rsidRDefault="00D952E6" w:rsidP="00D952E6">
            <w:pPr>
              <w:jc w:val="left"/>
            </w:pPr>
            <w:r>
              <w:rPr>
                <w:rFonts w:hint="eastAsia"/>
              </w:rPr>
              <w:t>存出保证金</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2</w:t>
            </w:r>
          </w:p>
        </w:tc>
        <w:tc>
          <w:tcPr>
            <w:tcW w:w="2977" w:type="dxa"/>
          </w:tcPr>
          <w:p w:rsidR="00D952E6" w:rsidRDefault="00D952E6" w:rsidP="00D952E6">
            <w:pPr>
              <w:jc w:val="left"/>
            </w:pPr>
            <w:r>
              <w:rPr>
                <w:rFonts w:hint="eastAsia"/>
              </w:rPr>
              <w:t>应收证券清算款</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3</w:t>
            </w:r>
          </w:p>
        </w:tc>
        <w:tc>
          <w:tcPr>
            <w:tcW w:w="2977" w:type="dxa"/>
          </w:tcPr>
          <w:p w:rsidR="00D952E6" w:rsidRDefault="00D952E6" w:rsidP="00D952E6">
            <w:pPr>
              <w:jc w:val="left"/>
            </w:pPr>
            <w:r>
              <w:rPr>
                <w:rFonts w:hint="eastAsia"/>
              </w:rPr>
              <w:t>应收股利</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4</w:t>
            </w:r>
          </w:p>
        </w:tc>
        <w:tc>
          <w:tcPr>
            <w:tcW w:w="2977" w:type="dxa"/>
          </w:tcPr>
          <w:p w:rsidR="00D952E6" w:rsidRDefault="00D952E6" w:rsidP="00D952E6">
            <w:pPr>
              <w:jc w:val="left"/>
            </w:pPr>
            <w:r>
              <w:rPr>
                <w:rFonts w:hint="eastAsia"/>
              </w:rPr>
              <w:t>应收利息</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5</w:t>
            </w:r>
          </w:p>
        </w:tc>
        <w:tc>
          <w:tcPr>
            <w:tcW w:w="2977" w:type="dxa"/>
          </w:tcPr>
          <w:p w:rsidR="00D952E6" w:rsidRDefault="00D952E6" w:rsidP="00D952E6">
            <w:pPr>
              <w:jc w:val="left"/>
            </w:pPr>
            <w:r>
              <w:rPr>
                <w:rFonts w:hint="eastAsia"/>
              </w:rPr>
              <w:t>应收申购款</w:t>
            </w:r>
          </w:p>
        </w:tc>
        <w:tc>
          <w:tcPr>
            <w:tcW w:w="4785" w:type="dxa"/>
          </w:tcPr>
          <w:p w:rsidR="00D952E6" w:rsidRDefault="00D952E6" w:rsidP="00D952E6">
            <w:pPr>
              <w:jc w:val="right"/>
            </w:pPr>
            <w:r>
              <w:t>609.92</w:t>
            </w:r>
          </w:p>
        </w:tc>
      </w:tr>
      <w:tr w:rsidR="00D952E6" w:rsidTr="00D952E6">
        <w:tc>
          <w:tcPr>
            <w:tcW w:w="743" w:type="dxa"/>
          </w:tcPr>
          <w:p w:rsidR="00D952E6" w:rsidRDefault="00D952E6" w:rsidP="00D952E6">
            <w:pPr>
              <w:jc w:val="center"/>
            </w:pPr>
            <w:r>
              <w:t>6</w:t>
            </w:r>
          </w:p>
        </w:tc>
        <w:tc>
          <w:tcPr>
            <w:tcW w:w="2977" w:type="dxa"/>
          </w:tcPr>
          <w:p w:rsidR="00D952E6" w:rsidRDefault="00D952E6" w:rsidP="00D952E6">
            <w:pPr>
              <w:jc w:val="left"/>
            </w:pPr>
            <w:r>
              <w:rPr>
                <w:rFonts w:hint="eastAsia"/>
              </w:rPr>
              <w:t>其他应收款</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7</w:t>
            </w:r>
          </w:p>
        </w:tc>
        <w:tc>
          <w:tcPr>
            <w:tcW w:w="2977" w:type="dxa"/>
          </w:tcPr>
          <w:p w:rsidR="00D952E6" w:rsidRDefault="00D952E6" w:rsidP="00D952E6">
            <w:pPr>
              <w:jc w:val="left"/>
            </w:pPr>
            <w:r>
              <w:rPr>
                <w:rFonts w:hint="eastAsia"/>
              </w:rPr>
              <w:t>待摊费用</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8</w:t>
            </w:r>
          </w:p>
        </w:tc>
        <w:tc>
          <w:tcPr>
            <w:tcW w:w="2977" w:type="dxa"/>
          </w:tcPr>
          <w:p w:rsidR="00D952E6" w:rsidRDefault="00D952E6" w:rsidP="00D952E6">
            <w:pPr>
              <w:jc w:val="left"/>
            </w:pPr>
            <w:r>
              <w:rPr>
                <w:rFonts w:hint="eastAsia"/>
              </w:rPr>
              <w:t>其他</w:t>
            </w:r>
          </w:p>
        </w:tc>
        <w:tc>
          <w:tcPr>
            <w:tcW w:w="4785" w:type="dxa"/>
          </w:tcPr>
          <w:p w:rsidR="00D952E6" w:rsidRDefault="00D952E6" w:rsidP="00D952E6">
            <w:pPr>
              <w:jc w:val="right"/>
            </w:pPr>
            <w:r>
              <w:t>-</w:t>
            </w:r>
          </w:p>
        </w:tc>
      </w:tr>
      <w:tr w:rsidR="00D952E6" w:rsidTr="00D952E6">
        <w:tc>
          <w:tcPr>
            <w:tcW w:w="743" w:type="dxa"/>
          </w:tcPr>
          <w:p w:rsidR="00D952E6" w:rsidRDefault="00D952E6" w:rsidP="00D952E6">
            <w:pPr>
              <w:jc w:val="center"/>
            </w:pPr>
            <w:r>
              <w:t>9</w:t>
            </w:r>
          </w:p>
        </w:tc>
        <w:tc>
          <w:tcPr>
            <w:tcW w:w="2977" w:type="dxa"/>
          </w:tcPr>
          <w:p w:rsidR="00D952E6" w:rsidRDefault="00D952E6" w:rsidP="00D952E6">
            <w:pPr>
              <w:jc w:val="left"/>
            </w:pPr>
            <w:r>
              <w:rPr>
                <w:rFonts w:hint="eastAsia"/>
              </w:rPr>
              <w:t>合计</w:t>
            </w:r>
          </w:p>
        </w:tc>
        <w:tc>
          <w:tcPr>
            <w:tcW w:w="4785" w:type="dxa"/>
          </w:tcPr>
          <w:p w:rsidR="00D952E6" w:rsidRDefault="00D952E6" w:rsidP="00D952E6">
            <w:pPr>
              <w:jc w:val="right"/>
            </w:pPr>
            <w:r>
              <w:t>609.92</w:t>
            </w:r>
          </w:p>
        </w:tc>
      </w:tr>
    </w:tbl>
    <w:p w:rsidR="00D952E6" w:rsidRDefault="00D952E6" w:rsidP="00D952E6">
      <w:pPr>
        <w:pStyle w:val="-3"/>
        <w:spacing w:before="156" w:after="156"/>
        <w:rPr>
          <w:rFonts w:hint="eastAsia"/>
        </w:rPr>
      </w:pPr>
      <w:r>
        <w:rPr>
          <w:rFonts w:hint="eastAsia"/>
        </w:rPr>
        <w:t>报告期末持有的处于转股期的可转换债券明细</w:t>
      </w:r>
    </w:p>
    <w:p w:rsidR="00D952E6" w:rsidRDefault="00D952E6" w:rsidP="00D952E6">
      <w:pPr>
        <w:pStyle w:val="-"/>
        <w:ind w:firstLine="420"/>
        <w:rPr>
          <w:rFonts w:hint="eastAsia"/>
        </w:rPr>
      </w:pPr>
      <w:r>
        <w:rPr>
          <w:rFonts w:hint="eastAsia"/>
        </w:rPr>
        <w:t>本基金本报告期末未持有处于转股期的可转换债券。</w:t>
      </w:r>
    </w:p>
    <w:p w:rsidR="00D952E6" w:rsidRDefault="00D952E6" w:rsidP="00D952E6">
      <w:pPr>
        <w:pStyle w:val="-3"/>
        <w:spacing w:before="156" w:after="156"/>
        <w:rPr>
          <w:rFonts w:hint="eastAsia"/>
        </w:rPr>
      </w:pPr>
      <w:r>
        <w:rPr>
          <w:rFonts w:hint="eastAsia"/>
        </w:rPr>
        <w:t>报告期末前十名股票中存在流通受限情况的说明</w:t>
      </w:r>
    </w:p>
    <w:p w:rsidR="00D952E6" w:rsidRDefault="00D952E6" w:rsidP="00D952E6">
      <w:pPr>
        <w:pStyle w:val="-"/>
        <w:ind w:firstLine="420"/>
        <w:rPr>
          <w:rFonts w:hint="eastAsia"/>
        </w:rPr>
      </w:pPr>
      <w:r>
        <w:rPr>
          <w:rFonts w:hint="eastAsia"/>
        </w:rPr>
        <w:t>无。</w:t>
      </w:r>
    </w:p>
    <w:p w:rsidR="00D952E6" w:rsidRDefault="00D952E6" w:rsidP="00D952E6">
      <w:pPr>
        <w:pStyle w:val="-1"/>
        <w:ind w:left="281" w:hanging="281"/>
        <w:rPr>
          <w:rFonts w:hint="eastAsia"/>
        </w:rPr>
      </w:pPr>
      <w:r>
        <w:rPr>
          <w:rFonts w:hint="eastAsia"/>
        </w:rPr>
        <w:t>开放式基金份额变动</w:t>
      </w:r>
    </w:p>
    <w:p w:rsidR="00D952E6" w:rsidRDefault="00D952E6" w:rsidP="00D952E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952E6" w:rsidTr="00D952E6">
        <w:tc>
          <w:tcPr>
            <w:tcW w:w="5670" w:type="dxa"/>
          </w:tcPr>
          <w:p w:rsidR="00D952E6" w:rsidRDefault="00D952E6" w:rsidP="00D952E6">
            <w:pPr>
              <w:jc w:val="left"/>
            </w:pPr>
            <w:r>
              <w:rPr>
                <w:rFonts w:hint="eastAsia"/>
              </w:rPr>
              <w:t>报告期期初基金份额总额</w:t>
            </w:r>
          </w:p>
        </w:tc>
        <w:tc>
          <w:tcPr>
            <w:tcW w:w="2835" w:type="dxa"/>
          </w:tcPr>
          <w:p w:rsidR="00D952E6" w:rsidRDefault="00D952E6" w:rsidP="00D952E6">
            <w:pPr>
              <w:jc w:val="right"/>
            </w:pPr>
            <w:r>
              <w:t>4,511,718,215.35</w:t>
            </w:r>
          </w:p>
        </w:tc>
      </w:tr>
      <w:tr w:rsidR="00D952E6" w:rsidTr="00D952E6">
        <w:tc>
          <w:tcPr>
            <w:tcW w:w="5670" w:type="dxa"/>
          </w:tcPr>
          <w:p w:rsidR="00D952E6" w:rsidRDefault="00D952E6" w:rsidP="00D952E6">
            <w:pPr>
              <w:jc w:val="left"/>
            </w:pPr>
            <w:r>
              <w:rPr>
                <w:rFonts w:hint="eastAsia"/>
              </w:rPr>
              <w:t>报告期期间基金总申购份额</w:t>
            </w:r>
          </w:p>
        </w:tc>
        <w:tc>
          <w:tcPr>
            <w:tcW w:w="2835" w:type="dxa"/>
          </w:tcPr>
          <w:p w:rsidR="00D952E6" w:rsidRDefault="00D952E6" w:rsidP="00D952E6">
            <w:pPr>
              <w:jc w:val="right"/>
            </w:pPr>
            <w:r>
              <w:t>8,010.20</w:t>
            </w:r>
          </w:p>
        </w:tc>
      </w:tr>
      <w:tr w:rsidR="00D952E6" w:rsidTr="00D952E6">
        <w:tc>
          <w:tcPr>
            <w:tcW w:w="5670" w:type="dxa"/>
          </w:tcPr>
          <w:p w:rsidR="00D952E6" w:rsidRDefault="00D952E6" w:rsidP="00D952E6">
            <w:pPr>
              <w:jc w:val="left"/>
            </w:pPr>
            <w:r>
              <w:rPr>
                <w:rFonts w:hint="eastAsia"/>
              </w:rPr>
              <w:t>减：报告期期间基金总赎回份额</w:t>
            </w:r>
          </w:p>
        </w:tc>
        <w:tc>
          <w:tcPr>
            <w:tcW w:w="2835" w:type="dxa"/>
          </w:tcPr>
          <w:p w:rsidR="00D952E6" w:rsidRDefault="00D952E6" w:rsidP="00D952E6">
            <w:pPr>
              <w:jc w:val="right"/>
            </w:pPr>
            <w:r>
              <w:t>4,478,274,921.92</w:t>
            </w:r>
          </w:p>
        </w:tc>
      </w:tr>
      <w:tr w:rsidR="00D952E6" w:rsidTr="00D952E6">
        <w:tc>
          <w:tcPr>
            <w:tcW w:w="5670" w:type="dxa"/>
          </w:tcPr>
          <w:p w:rsidR="00D952E6" w:rsidRDefault="00D952E6" w:rsidP="00D952E6">
            <w:pPr>
              <w:jc w:val="left"/>
            </w:pPr>
            <w:r>
              <w:rPr>
                <w:rFonts w:hint="eastAsia"/>
              </w:rPr>
              <w:t>报告期期间基金拆分变动份额（份额减少以</w:t>
            </w:r>
            <w:r>
              <w:rPr>
                <w:rFonts w:hint="eastAsia"/>
              </w:rPr>
              <w:t>"-"</w:t>
            </w:r>
            <w:r>
              <w:rPr>
                <w:rFonts w:hint="eastAsia"/>
              </w:rPr>
              <w:t>填列）</w:t>
            </w:r>
          </w:p>
        </w:tc>
        <w:tc>
          <w:tcPr>
            <w:tcW w:w="2835" w:type="dxa"/>
          </w:tcPr>
          <w:p w:rsidR="00D952E6" w:rsidRDefault="00D952E6" w:rsidP="00D952E6">
            <w:pPr>
              <w:jc w:val="right"/>
            </w:pPr>
            <w:r>
              <w:t>-</w:t>
            </w:r>
          </w:p>
        </w:tc>
      </w:tr>
      <w:tr w:rsidR="00D952E6" w:rsidTr="00D952E6">
        <w:tc>
          <w:tcPr>
            <w:tcW w:w="5670" w:type="dxa"/>
          </w:tcPr>
          <w:p w:rsidR="00D952E6" w:rsidRDefault="00D952E6" w:rsidP="00D952E6">
            <w:pPr>
              <w:jc w:val="left"/>
            </w:pPr>
            <w:r>
              <w:rPr>
                <w:rFonts w:hint="eastAsia"/>
              </w:rPr>
              <w:t>报告期期末基金份额总额</w:t>
            </w:r>
          </w:p>
        </w:tc>
        <w:tc>
          <w:tcPr>
            <w:tcW w:w="2835" w:type="dxa"/>
          </w:tcPr>
          <w:p w:rsidR="00D952E6" w:rsidRDefault="00D952E6" w:rsidP="00D952E6">
            <w:pPr>
              <w:jc w:val="right"/>
            </w:pPr>
            <w:r>
              <w:t>33,451,303.63</w:t>
            </w:r>
          </w:p>
        </w:tc>
      </w:tr>
    </w:tbl>
    <w:p w:rsidR="00D952E6" w:rsidRDefault="00D952E6" w:rsidP="00D952E6">
      <w:pPr>
        <w:pStyle w:val="-1"/>
        <w:ind w:left="281" w:hanging="281"/>
        <w:rPr>
          <w:rFonts w:hint="eastAsia"/>
        </w:rPr>
      </w:pPr>
      <w:r>
        <w:rPr>
          <w:rFonts w:hint="eastAsia"/>
        </w:rPr>
        <w:t>基金管理人运用固有资金投资本基金情况</w:t>
      </w:r>
    </w:p>
    <w:p w:rsidR="00D952E6" w:rsidRDefault="00D952E6" w:rsidP="00D952E6">
      <w:pPr>
        <w:pStyle w:val="-2"/>
        <w:spacing w:before="312"/>
        <w:rPr>
          <w:rFonts w:hint="eastAsia"/>
        </w:rPr>
      </w:pPr>
      <w:r>
        <w:rPr>
          <w:rFonts w:hint="eastAsia"/>
        </w:rPr>
        <w:t>基金管理人持有本基金份额变动情况</w:t>
      </w:r>
    </w:p>
    <w:p w:rsidR="00D952E6" w:rsidRDefault="00D952E6" w:rsidP="00D952E6">
      <w:pPr>
        <w:pStyle w:val="-"/>
        <w:ind w:firstLine="420"/>
        <w:rPr>
          <w:rFonts w:hint="eastAsia"/>
        </w:rPr>
      </w:pPr>
      <w:r>
        <w:rPr>
          <w:rFonts w:hint="eastAsia"/>
        </w:rPr>
        <w:lastRenderedPageBreak/>
        <w:t>本报告期末，基金管理人未持有本基金份额。</w:t>
      </w:r>
    </w:p>
    <w:p w:rsidR="00D952E6" w:rsidRDefault="00D952E6" w:rsidP="00D952E6">
      <w:pPr>
        <w:pStyle w:val="-2"/>
        <w:spacing w:before="312"/>
        <w:rPr>
          <w:rFonts w:hint="eastAsia"/>
        </w:rPr>
      </w:pPr>
      <w:r>
        <w:rPr>
          <w:rFonts w:hint="eastAsia"/>
        </w:rPr>
        <w:t>基金管理人运用固有资金投资本基金交易明细</w:t>
      </w:r>
    </w:p>
    <w:p w:rsidR="00D952E6" w:rsidRDefault="00D952E6" w:rsidP="00D952E6">
      <w:pPr>
        <w:pStyle w:val="-"/>
        <w:ind w:firstLine="420"/>
        <w:rPr>
          <w:rFonts w:hint="eastAsia"/>
        </w:rPr>
      </w:pPr>
      <w:r>
        <w:rPr>
          <w:rFonts w:hint="eastAsia"/>
        </w:rPr>
        <w:t>本报告期内，基金管理人不存在申购、赎回或买卖本基金的情况。</w:t>
      </w:r>
    </w:p>
    <w:p w:rsidR="00D952E6" w:rsidRDefault="00D952E6" w:rsidP="00D952E6">
      <w:pPr>
        <w:pStyle w:val="-1"/>
        <w:ind w:left="281" w:hanging="281"/>
        <w:rPr>
          <w:rFonts w:hint="eastAsia"/>
        </w:rPr>
      </w:pPr>
      <w:r>
        <w:rPr>
          <w:rFonts w:hint="eastAsia"/>
        </w:rPr>
        <w:t>影响投资者决策的其他重要信息</w:t>
      </w:r>
    </w:p>
    <w:p w:rsidR="00D952E6" w:rsidRDefault="00D952E6" w:rsidP="00D952E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952E6" w:rsidTr="00D952E6">
        <w:tc>
          <w:tcPr>
            <w:tcW w:w="11283" w:type="nil"/>
            <w:vMerge w:val="restart"/>
          </w:tcPr>
          <w:p w:rsidR="00D952E6" w:rsidRDefault="00D952E6" w:rsidP="00D952E6">
            <w:pPr>
              <w:jc w:val="left"/>
            </w:pPr>
            <w:r>
              <w:rPr>
                <w:rFonts w:hint="eastAsia"/>
              </w:rPr>
              <w:t>投资者类别</w:t>
            </w:r>
          </w:p>
        </w:tc>
        <w:tc>
          <w:tcPr>
            <w:tcW w:w="11283" w:type="nil"/>
            <w:gridSpan w:val="5"/>
          </w:tcPr>
          <w:p w:rsidR="00D952E6" w:rsidRDefault="00D952E6" w:rsidP="00D952E6">
            <w:pPr>
              <w:jc w:val="left"/>
            </w:pPr>
            <w:r>
              <w:rPr>
                <w:rFonts w:hint="eastAsia"/>
              </w:rPr>
              <w:t>报告期内持有基金份额变化情况</w:t>
            </w:r>
          </w:p>
        </w:tc>
        <w:tc>
          <w:tcPr>
            <w:tcW w:w="11283" w:type="nil"/>
            <w:gridSpan w:val="2"/>
          </w:tcPr>
          <w:p w:rsidR="00D952E6" w:rsidRDefault="00D952E6" w:rsidP="00D952E6">
            <w:pPr>
              <w:jc w:val="left"/>
            </w:pPr>
            <w:r>
              <w:rPr>
                <w:rFonts w:hint="eastAsia"/>
              </w:rPr>
              <w:t>报告期末持有基金情况</w:t>
            </w:r>
          </w:p>
        </w:tc>
      </w:tr>
      <w:tr w:rsidR="00D952E6" w:rsidTr="00D952E6">
        <w:tc>
          <w:tcPr>
            <w:tcW w:w="11283" w:type="nil"/>
            <w:vMerge/>
          </w:tcPr>
          <w:p w:rsidR="00D952E6" w:rsidRDefault="00D952E6" w:rsidP="00D952E6">
            <w:pPr>
              <w:jc w:val="left"/>
            </w:pPr>
          </w:p>
        </w:tc>
        <w:tc>
          <w:tcPr>
            <w:tcW w:w="11283" w:type="nil"/>
          </w:tcPr>
          <w:p w:rsidR="00D952E6" w:rsidRDefault="00D952E6" w:rsidP="00D952E6">
            <w:pPr>
              <w:jc w:val="left"/>
            </w:pPr>
            <w:r>
              <w:rPr>
                <w:rFonts w:hint="eastAsia"/>
              </w:rPr>
              <w:t>序号</w:t>
            </w:r>
          </w:p>
        </w:tc>
        <w:tc>
          <w:tcPr>
            <w:tcW w:w="11283" w:type="nil"/>
          </w:tcPr>
          <w:p w:rsidR="00D952E6" w:rsidRDefault="00D952E6" w:rsidP="00D952E6">
            <w:pPr>
              <w:jc w:val="left"/>
            </w:pPr>
            <w:r>
              <w:rPr>
                <w:rFonts w:hint="eastAsia"/>
              </w:rPr>
              <w:t>持有基金份额比例达到或者超过</w:t>
            </w:r>
            <w:r>
              <w:rPr>
                <w:rFonts w:hint="eastAsia"/>
              </w:rPr>
              <w:t>20%</w:t>
            </w:r>
            <w:r>
              <w:rPr>
                <w:rFonts w:hint="eastAsia"/>
              </w:rPr>
              <w:t>的时间区间</w:t>
            </w:r>
          </w:p>
        </w:tc>
        <w:tc>
          <w:tcPr>
            <w:tcW w:w="11283" w:type="nil"/>
          </w:tcPr>
          <w:p w:rsidR="00D952E6" w:rsidRDefault="00D952E6" w:rsidP="00D952E6">
            <w:pPr>
              <w:jc w:val="left"/>
            </w:pPr>
            <w:r>
              <w:rPr>
                <w:rFonts w:hint="eastAsia"/>
              </w:rPr>
              <w:t>期初份额</w:t>
            </w:r>
          </w:p>
        </w:tc>
        <w:tc>
          <w:tcPr>
            <w:tcW w:w="11283" w:type="nil"/>
          </w:tcPr>
          <w:p w:rsidR="00D952E6" w:rsidRDefault="00D952E6" w:rsidP="00D952E6">
            <w:pPr>
              <w:jc w:val="left"/>
            </w:pPr>
            <w:r>
              <w:rPr>
                <w:rFonts w:hint="eastAsia"/>
              </w:rPr>
              <w:t>申购份额</w:t>
            </w:r>
          </w:p>
        </w:tc>
        <w:tc>
          <w:tcPr>
            <w:tcW w:w="11283" w:type="nil"/>
          </w:tcPr>
          <w:p w:rsidR="00D952E6" w:rsidRDefault="00D952E6" w:rsidP="00D952E6">
            <w:pPr>
              <w:jc w:val="left"/>
            </w:pPr>
            <w:r>
              <w:rPr>
                <w:rFonts w:hint="eastAsia"/>
              </w:rPr>
              <w:t>赎回份额</w:t>
            </w:r>
          </w:p>
        </w:tc>
        <w:tc>
          <w:tcPr>
            <w:tcW w:w="11283" w:type="nil"/>
          </w:tcPr>
          <w:p w:rsidR="00D952E6" w:rsidRDefault="00D952E6" w:rsidP="00D952E6">
            <w:pPr>
              <w:jc w:val="left"/>
            </w:pPr>
            <w:r>
              <w:rPr>
                <w:rFonts w:hint="eastAsia"/>
              </w:rPr>
              <w:t>持有份额</w:t>
            </w:r>
          </w:p>
        </w:tc>
        <w:tc>
          <w:tcPr>
            <w:tcW w:w="11283" w:type="nil"/>
          </w:tcPr>
          <w:p w:rsidR="00D952E6" w:rsidRDefault="00D952E6" w:rsidP="00D952E6">
            <w:pPr>
              <w:jc w:val="left"/>
            </w:pPr>
            <w:r>
              <w:rPr>
                <w:rFonts w:hint="eastAsia"/>
              </w:rPr>
              <w:t>份额占比</w:t>
            </w:r>
          </w:p>
        </w:tc>
      </w:tr>
      <w:tr w:rsidR="00D952E6" w:rsidTr="00D952E6">
        <w:tc>
          <w:tcPr>
            <w:tcW w:w="11283" w:type="nil"/>
          </w:tcPr>
          <w:p w:rsidR="00D952E6" w:rsidRDefault="00D952E6" w:rsidP="00D952E6">
            <w:pPr>
              <w:jc w:val="left"/>
            </w:pPr>
            <w:r>
              <w:rPr>
                <w:rFonts w:hint="eastAsia"/>
              </w:rPr>
              <w:t>机构</w:t>
            </w:r>
          </w:p>
        </w:tc>
        <w:tc>
          <w:tcPr>
            <w:tcW w:w="11283" w:type="nil"/>
          </w:tcPr>
          <w:p w:rsidR="00D952E6" w:rsidRDefault="00D952E6" w:rsidP="00D952E6">
            <w:pPr>
              <w:jc w:val="right"/>
            </w:pPr>
            <w:r>
              <w:t>1</w:t>
            </w:r>
          </w:p>
        </w:tc>
        <w:tc>
          <w:tcPr>
            <w:tcW w:w="11283" w:type="nil"/>
          </w:tcPr>
          <w:p w:rsidR="00D952E6" w:rsidRDefault="00D952E6" w:rsidP="00D952E6">
            <w:pPr>
              <w:jc w:val="left"/>
            </w:pPr>
            <w:r>
              <w:t>20251226-20251231</w:t>
            </w:r>
          </w:p>
        </w:tc>
        <w:tc>
          <w:tcPr>
            <w:tcW w:w="11283" w:type="nil"/>
          </w:tcPr>
          <w:p w:rsidR="00D952E6" w:rsidRDefault="00D952E6" w:rsidP="00D952E6">
            <w:pPr>
              <w:jc w:val="right"/>
            </w:pPr>
            <w:r>
              <w:t>29,241,641.49</w:t>
            </w:r>
          </w:p>
        </w:tc>
        <w:tc>
          <w:tcPr>
            <w:tcW w:w="11283" w:type="nil"/>
          </w:tcPr>
          <w:p w:rsidR="00D952E6" w:rsidRDefault="00D952E6" w:rsidP="00D952E6">
            <w:pPr>
              <w:jc w:val="right"/>
            </w:pPr>
            <w:r>
              <w:t>-</w:t>
            </w:r>
          </w:p>
        </w:tc>
        <w:tc>
          <w:tcPr>
            <w:tcW w:w="11283" w:type="nil"/>
          </w:tcPr>
          <w:p w:rsidR="00D952E6" w:rsidRDefault="00D952E6" w:rsidP="00D952E6">
            <w:pPr>
              <w:jc w:val="right"/>
            </w:pPr>
            <w:r>
              <w:t>-</w:t>
            </w:r>
          </w:p>
        </w:tc>
        <w:tc>
          <w:tcPr>
            <w:tcW w:w="11283" w:type="nil"/>
          </w:tcPr>
          <w:p w:rsidR="00D952E6" w:rsidRDefault="00D952E6" w:rsidP="00D952E6">
            <w:pPr>
              <w:jc w:val="right"/>
            </w:pPr>
            <w:r>
              <w:t>29,241,641.49</w:t>
            </w:r>
          </w:p>
        </w:tc>
        <w:tc>
          <w:tcPr>
            <w:tcW w:w="11283" w:type="nil"/>
          </w:tcPr>
          <w:p w:rsidR="00D952E6" w:rsidRDefault="00D952E6" w:rsidP="00D952E6">
            <w:pPr>
              <w:jc w:val="right"/>
            </w:pPr>
            <w:r>
              <w:t>87.42%</w:t>
            </w:r>
          </w:p>
        </w:tc>
      </w:tr>
      <w:tr w:rsidR="00D952E6" w:rsidTr="00D952E6">
        <w:tc>
          <w:tcPr>
            <w:tcW w:w="11283" w:type="nil"/>
          </w:tcPr>
          <w:p w:rsidR="00D952E6" w:rsidRDefault="00D952E6" w:rsidP="00D952E6">
            <w:pPr>
              <w:jc w:val="left"/>
            </w:pPr>
            <w:r>
              <w:rPr>
                <w:rFonts w:hint="eastAsia"/>
              </w:rPr>
              <w:t>机构</w:t>
            </w:r>
          </w:p>
        </w:tc>
        <w:tc>
          <w:tcPr>
            <w:tcW w:w="11283" w:type="nil"/>
          </w:tcPr>
          <w:p w:rsidR="00D952E6" w:rsidRDefault="00D952E6" w:rsidP="00D952E6">
            <w:pPr>
              <w:jc w:val="right"/>
            </w:pPr>
            <w:r>
              <w:t>2</w:t>
            </w:r>
          </w:p>
        </w:tc>
        <w:tc>
          <w:tcPr>
            <w:tcW w:w="11283" w:type="nil"/>
          </w:tcPr>
          <w:p w:rsidR="00D952E6" w:rsidRDefault="00D952E6" w:rsidP="00D952E6">
            <w:pPr>
              <w:jc w:val="left"/>
            </w:pPr>
            <w:r>
              <w:t>20251223-20251225</w:t>
            </w:r>
          </w:p>
        </w:tc>
        <w:tc>
          <w:tcPr>
            <w:tcW w:w="11283" w:type="nil"/>
          </w:tcPr>
          <w:p w:rsidR="00D952E6" w:rsidRDefault="00D952E6" w:rsidP="00D952E6">
            <w:pPr>
              <w:jc w:val="right"/>
            </w:pPr>
            <w:r>
              <w:t>699,999,900.00</w:t>
            </w:r>
          </w:p>
        </w:tc>
        <w:tc>
          <w:tcPr>
            <w:tcW w:w="11283" w:type="nil"/>
          </w:tcPr>
          <w:p w:rsidR="00D952E6" w:rsidRDefault="00D952E6" w:rsidP="00D952E6">
            <w:pPr>
              <w:jc w:val="right"/>
            </w:pPr>
            <w:r>
              <w:t>-</w:t>
            </w:r>
          </w:p>
        </w:tc>
        <w:tc>
          <w:tcPr>
            <w:tcW w:w="11283" w:type="nil"/>
          </w:tcPr>
          <w:p w:rsidR="00D952E6" w:rsidRDefault="00D952E6" w:rsidP="00D952E6">
            <w:pPr>
              <w:jc w:val="right"/>
            </w:pPr>
            <w:r>
              <w:t>699,999,900.00</w:t>
            </w:r>
          </w:p>
        </w:tc>
        <w:tc>
          <w:tcPr>
            <w:tcW w:w="11283" w:type="nil"/>
          </w:tcPr>
          <w:p w:rsidR="00D952E6" w:rsidRDefault="00D952E6" w:rsidP="00D952E6">
            <w:pPr>
              <w:jc w:val="right"/>
            </w:pPr>
            <w:r>
              <w:t>-</w:t>
            </w:r>
          </w:p>
        </w:tc>
        <w:tc>
          <w:tcPr>
            <w:tcW w:w="11283" w:type="nil"/>
          </w:tcPr>
          <w:p w:rsidR="00D952E6" w:rsidRDefault="00D952E6" w:rsidP="00D952E6">
            <w:pPr>
              <w:jc w:val="right"/>
            </w:pPr>
            <w:r>
              <w:t>-</w:t>
            </w:r>
          </w:p>
        </w:tc>
      </w:tr>
      <w:tr w:rsidR="00D952E6" w:rsidTr="00D952E6">
        <w:tc>
          <w:tcPr>
            <w:tcW w:w="11283" w:type="nil"/>
          </w:tcPr>
          <w:p w:rsidR="00D952E6" w:rsidRDefault="00D952E6" w:rsidP="00D952E6">
            <w:pPr>
              <w:jc w:val="left"/>
            </w:pPr>
            <w:r>
              <w:rPr>
                <w:rFonts w:hint="eastAsia"/>
              </w:rPr>
              <w:t>机构</w:t>
            </w:r>
          </w:p>
        </w:tc>
        <w:tc>
          <w:tcPr>
            <w:tcW w:w="11283" w:type="nil"/>
          </w:tcPr>
          <w:p w:rsidR="00D952E6" w:rsidRDefault="00D952E6" w:rsidP="00D952E6">
            <w:pPr>
              <w:jc w:val="right"/>
            </w:pPr>
            <w:r>
              <w:t>3</w:t>
            </w:r>
          </w:p>
        </w:tc>
        <w:tc>
          <w:tcPr>
            <w:tcW w:w="11283" w:type="nil"/>
          </w:tcPr>
          <w:p w:rsidR="00D952E6" w:rsidRDefault="00D952E6" w:rsidP="00D952E6">
            <w:pPr>
              <w:jc w:val="left"/>
            </w:pPr>
            <w:r>
              <w:t>20251001-20251222</w:t>
            </w:r>
          </w:p>
        </w:tc>
        <w:tc>
          <w:tcPr>
            <w:tcW w:w="11283" w:type="nil"/>
          </w:tcPr>
          <w:p w:rsidR="00D952E6" w:rsidRDefault="00D952E6" w:rsidP="00D952E6">
            <w:pPr>
              <w:jc w:val="right"/>
            </w:pPr>
            <w:r>
              <w:t>974,753,874.65</w:t>
            </w:r>
          </w:p>
        </w:tc>
        <w:tc>
          <w:tcPr>
            <w:tcW w:w="11283" w:type="nil"/>
          </w:tcPr>
          <w:p w:rsidR="00D952E6" w:rsidRDefault="00D952E6" w:rsidP="00D952E6">
            <w:pPr>
              <w:jc w:val="right"/>
            </w:pPr>
            <w:r>
              <w:t>-</w:t>
            </w:r>
          </w:p>
        </w:tc>
        <w:tc>
          <w:tcPr>
            <w:tcW w:w="11283" w:type="nil"/>
          </w:tcPr>
          <w:p w:rsidR="00D952E6" w:rsidRDefault="00D952E6" w:rsidP="00D952E6">
            <w:pPr>
              <w:jc w:val="right"/>
            </w:pPr>
            <w:r>
              <w:t>974,753,874.65</w:t>
            </w:r>
          </w:p>
        </w:tc>
        <w:tc>
          <w:tcPr>
            <w:tcW w:w="11283" w:type="nil"/>
          </w:tcPr>
          <w:p w:rsidR="00D952E6" w:rsidRDefault="00D952E6" w:rsidP="00D952E6">
            <w:pPr>
              <w:jc w:val="right"/>
            </w:pPr>
            <w:r>
              <w:t>-</w:t>
            </w:r>
          </w:p>
        </w:tc>
        <w:tc>
          <w:tcPr>
            <w:tcW w:w="11283" w:type="nil"/>
          </w:tcPr>
          <w:p w:rsidR="00D952E6" w:rsidRDefault="00D952E6" w:rsidP="00D952E6">
            <w:pPr>
              <w:jc w:val="right"/>
            </w:pPr>
            <w:r>
              <w:t>-</w:t>
            </w:r>
          </w:p>
        </w:tc>
      </w:tr>
      <w:tr w:rsidR="00D952E6" w:rsidTr="00D952E6">
        <w:tc>
          <w:tcPr>
            <w:tcW w:w="11283" w:type="nil"/>
          </w:tcPr>
          <w:p w:rsidR="00D952E6" w:rsidRDefault="00D952E6" w:rsidP="00D952E6">
            <w:pPr>
              <w:jc w:val="left"/>
            </w:pPr>
            <w:r>
              <w:rPr>
                <w:rFonts w:hint="eastAsia"/>
              </w:rPr>
              <w:t>机构</w:t>
            </w:r>
          </w:p>
        </w:tc>
        <w:tc>
          <w:tcPr>
            <w:tcW w:w="11283" w:type="nil"/>
          </w:tcPr>
          <w:p w:rsidR="00D952E6" w:rsidRDefault="00D952E6" w:rsidP="00D952E6">
            <w:pPr>
              <w:jc w:val="right"/>
            </w:pPr>
            <w:r>
              <w:t>4</w:t>
            </w:r>
          </w:p>
        </w:tc>
        <w:tc>
          <w:tcPr>
            <w:tcW w:w="11283" w:type="nil"/>
          </w:tcPr>
          <w:p w:rsidR="00D952E6" w:rsidRDefault="00D952E6" w:rsidP="00D952E6">
            <w:pPr>
              <w:jc w:val="left"/>
            </w:pPr>
            <w:r>
              <w:t>20251001-20251225</w:t>
            </w:r>
          </w:p>
        </w:tc>
        <w:tc>
          <w:tcPr>
            <w:tcW w:w="11283" w:type="nil"/>
          </w:tcPr>
          <w:p w:rsidR="00D952E6" w:rsidRDefault="00D952E6" w:rsidP="00D952E6">
            <w:pPr>
              <w:jc w:val="right"/>
            </w:pPr>
            <w:r>
              <w:t>2,022,295,031.80</w:t>
            </w:r>
          </w:p>
        </w:tc>
        <w:tc>
          <w:tcPr>
            <w:tcW w:w="11283" w:type="nil"/>
          </w:tcPr>
          <w:p w:rsidR="00D952E6" w:rsidRDefault="00D952E6" w:rsidP="00D952E6">
            <w:pPr>
              <w:jc w:val="right"/>
            </w:pPr>
            <w:r>
              <w:t>-</w:t>
            </w:r>
          </w:p>
        </w:tc>
        <w:tc>
          <w:tcPr>
            <w:tcW w:w="11283" w:type="nil"/>
          </w:tcPr>
          <w:p w:rsidR="00D952E6" w:rsidRDefault="00D952E6" w:rsidP="00D952E6">
            <w:pPr>
              <w:jc w:val="right"/>
            </w:pPr>
            <w:r>
              <w:t>2,022,295,031.80</w:t>
            </w:r>
          </w:p>
        </w:tc>
        <w:tc>
          <w:tcPr>
            <w:tcW w:w="11283" w:type="nil"/>
          </w:tcPr>
          <w:p w:rsidR="00D952E6" w:rsidRDefault="00D952E6" w:rsidP="00D952E6">
            <w:pPr>
              <w:jc w:val="right"/>
            </w:pPr>
            <w:r>
              <w:t>-</w:t>
            </w:r>
          </w:p>
        </w:tc>
        <w:tc>
          <w:tcPr>
            <w:tcW w:w="11283" w:type="nil"/>
          </w:tcPr>
          <w:p w:rsidR="00D952E6" w:rsidRDefault="00D952E6" w:rsidP="00D952E6">
            <w:pPr>
              <w:jc w:val="right"/>
            </w:pPr>
            <w:r>
              <w:t>-</w:t>
            </w:r>
          </w:p>
        </w:tc>
      </w:tr>
      <w:tr w:rsidR="00D952E6" w:rsidTr="00D952E6">
        <w:tc>
          <w:tcPr>
            <w:tcW w:w="11283" w:type="nil"/>
            <w:gridSpan w:val="8"/>
          </w:tcPr>
          <w:p w:rsidR="00D952E6" w:rsidRDefault="00D952E6" w:rsidP="00D952E6">
            <w:pPr>
              <w:jc w:val="left"/>
            </w:pPr>
            <w:r>
              <w:rPr>
                <w:rFonts w:hint="eastAsia"/>
              </w:rPr>
              <w:t>产品特有风险</w:t>
            </w:r>
          </w:p>
        </w:tc>
      </w:tr>
      <w:tr w:rsidR="00D952E6" w:rsidTr="00D952E6">
        <w:tc>
          <w:tcPr>
            <w:tcW w:w="11283" w:type="nil"/>
            <w:gridSpan w:val="8"/>
          </w:tcPr>
          <w:p w:rsidR="00D952E6" w:rsidRDefault="00D952E6" w:rsidP="00D952E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952E6" w:rsidRDefault="00D952E6" w:rsidP="00D952E6">
      <w:pPr>
        <w:pStyle w:val="-2"/>
        <w:spacing w:before="312"/>
        <w:rPr>
          <w:rFonts w:hint="eastAsia"/>
        </w:rPr>
      </w:pPr>
      <w:r>
        <w:rPr>
          <w:rFonts w:hint="eastAsia"/>
        </w:rPr>
        <w:t>影响投资者决策的其他重要信息</w:t>
      </w:r>
    </w:p>
    <w:p w:rsidR="00D952E6" w:rsidRDefault="00D952E6" w:rsidP="00D952E6">
      <w:pPr>
        <w:pStyle w:val="-"/>
        <w:ind w:firstLine="420"/>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rsidR="00D952E6" w:rsidRDefault="00D952E6" w:rsidP="00D952E6">
      <w:pPr>
        <w:pStyle w:val="-1"/>
        <w:ind w:left="281" w:hanging="281"/>
        <w:rPr>
          <w:rFonts w:hint="eastAsia"/>
        </w:rPr>
      </w:pPr>
      <w:r>
        <w:rPr>
          <w:rFonts w:hint="eastAsia"/>
        </w:rPr>
        <w:t>备查文件目录</w:t>
      </w:r>
    </w:p>
    <w:p w:rsidR="00D952E6" w:rsidRDefault="00D952E6" w:rsidP="00D952E6">
      <w:pPr>
        <w:pStyle w:val="-2"/>
        <w:spacing w:before="312"/>
        <w:rPr>
          <w:rFonts w:hint="eastAsia"/>
        </w:rPr>
      </w:pPr>
      <w:r>
        <w:rPr>
          <w:rFonts w:hint="eastAsia"/>
        </w:rPr>
        <w:t>备查文件目录</w:t>
      </w:r>
    </w:p>
    <w:p w:rsidR="00D952E6" w:rsidRDefault="00D952E6" w:rsidP="00D952E6">
      <w:pPr>
        <w:pStyle w:val="-"/>
        <w:ind w:firstLine="420"/>
        <w:rPr>
          <w:rFonts w:hint="eastAsia"/>
        </w:rPr>
      </w:pPr>
      <w:r>
        <w:rPr>
          <w:rFonts w:hint="eastAsia"/>
        </w:rPr>
        <w:t>1、《南方恒庆一年定期开放债券型证券投资基金基金合同》；</w:t>
      </w:r>
    </w:p>
    <w:p w:rsidR="00D952E6" w:rsidRDefault="00D952E6" w:rsidP="00D952E6">
      <w:pPr>
        <w:pStyle w:val="-"/>
        <w:ind w:firstLine="420"/>
        <w:rPr>
          <w:rFonts w:hint="eastAsia"/>
        </w:rPr>
      </w:pPr>
      <w:r>
        <w:rPr>
          <w:rFonts w:hint="eastAsia"/>
        </w:rPr>
        <w:t>2、《南方恒庆一年定期开放债券型证券投资基金托管协议》；</w:t>
      </w:r>
    </w:p>
    <w:p w:rsidR="00D952E6" w:rsidRDefault="00D952E6" w:rsidP="00D952E6">
      <w:pPr>
        <w:pStyle w:val="-"/>
        <w:ind w:firstLine="420"/>
        <w:rPr>
          <w:rFonts w:hint="eastAsia"/>
        </w:rPr>
      </w:pPr>
      <w:r>
        <w:rPr>
          <w:rFonts w:hint="eastAsia"/>
        </w:rPr>
        <w:lastRenderedPageBreak/>
        <w:t>3、南方恒庆一年定期开放债券型证券投资基金2025年4季度报告原文。</w:t>
      </w:r>
    </w:p>
    <w:p w:rsidR="00D952E6" w:rsidRDefault="00D952E6" w:rsidP="00D952E6">
      <w:pPr>
        <w:pStyle w:val="-2"/>
        <w:spacing w:before="312"/>
        <w:rPr>
          <w:rFonts w:hint="eastAsia"/>
        </w:rPr>
      </w:pPr>
      <w:r>
        <w:rPr>
          <w:rFonts w:hint="eastAsia"/>
        </w:rPr>
        <w:t>存放地点</w:t>
      </w:r>
    </w:p>
    <w:p w:rsidR="00D952E6" w:rsidRDefault="00D952E6" w:rsidP="00D952E6">
      <w:pPr>
        <w:pStyle w:val="-"/>
        <w:ind w:firstLine="420"/>
        <w:rPr>
          <w:rFonts w:hint="eastAsia"/>
        </w:rPr>
      </w:pPr>
      <w:r>
        <w:rPr>
          <w:rFonts w:hint="eastAsia"/>
        </w:rPr>
        <w:t>深圳市福田区莲花街道益田路5999号基金大厦32-42楼。</w:t>
      </w:r>
    </w:p>
    <w:p w:rsidR="00D952E6" w:rsidRDefault="00D952E6" w:rsidP="00D952E6">
      <w:pPr>
        <w:pStyle w:val="-2"/>
        <w:spacing w:before="312"/>
        <w:rPr>
          <w:rFonts w:hint="eastAsia"/>
        </w:rPr>
      </w:pPr>
      <w:r>
        <w:rPr>
          <w:rFonts w:hint="eastAsia"/>
        </w:rPr>
        <w:t>查阅方式</w:t>
      </w:r>
    </w:p>
    <w:p w:rsidR="00D952E6" w:rsidRDefault="00D952E6" w:rsidP="00D952E6">
      <w:pPr>
        <w:pStyle w:val="-"/>
        <w:ind w:firstLine="420"/>
        <w:rPr>
          <w:rFonts w:hint="eastAsia"/>
        </w:rPr>
      </w:pPr>
      <w:r>
        <w:rPr>
          <w:rFonts w:hint="eastAsia"/>
        </w:rPr>
        <w:t>网站：http://www.nffund.com</w:t>
      </w:r>
    </w:p>
    <w:p w:rsidR="003C7DC3" w:rsidRDefault="00D952E6" w:rsidP="00D952E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2E6" w:rsidRDefault="00D952E6" w:rsidP="00D17C56">
      <w:r>
        <w:separator/>
      </w:r>
    </w:p>
  </w:endnote>
  <w:endnote w:type="continuationSeparator" w:id="0">
    <w:p w:rsidR="00D952E6" w:rsidRDefault="00D952E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E6" w:rsidRDefault="00D952E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952E6" w:rsidRPr="00D952E6">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952E6">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952E6">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E6" w:rsidRDefault="00D952E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2E6" w:rsidRDefault="00D952E6" w:rsidP="00D17C56">
      <w:r>
        <w:separator/>
      </w:r>
    </w:p>
  </w:footnote>
  <w:footnote w:type="continuationSeparator" w:id="0">
    <w:p w:rsidR="00D952E6" w:rsidRDefault="00D952E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E6" w:rsidRDefault="00D952E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952E6" w:rsidP="00AE3F5B">
    <w:pPr>
      <w:pStyle w:val="a7"/>
      <w:pBdr>
        <w:bottom w:val="single" w:sz="4" w:space="1" w:color="auto"/>
      </w:pBdr>
      <w:jc w:val="right"/>
    </w:pPr>
    <w:r>
      <w:rPr>
        <w:rFonts w:hint="eastAsia"/>
      </w:rPr>
      <w:t>南方恒庆一年定期开放债券型证券投资基金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952E6"/>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615F9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367B9-3975-448B-B518-360F717E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964</Words>
  <Characters>5495</Characters>
  <Application>Microsoft Office Word</Application>
  <DocSecurity>0</DocSecurity>
  <Lines>45</Lines>
  <Paragraphs>12</Paragraphs>
  <ScaleCrop>false</ScaleCrop>
  <Company>MC SYSTEM</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