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1B1D6">
      <w:pPr>
        <w:pStyle w:val="18"/>
        <w:ind w:firstLine="420"/>
      </w:pPr>
      <w:bookmarkStart w:id="210" w:name="_GoBack"/>
      <w:bookmarkEnd w:id="210"/>
    </w:p>
    <w:p w14:paraId="3F0CE3A3">
      <w:pPr>
        <w:jc w:val="center"/>
        <w:rPr>
          <w:rFonts w:ascii="宋体" w:hAnsi="宋体"/>
          <w:b/>
          <w:bCs/>
          <w:sz w:val="28"/>
          <w:szCs w:val="30"/>
        </w:rPr>
      </w:pPr>
    </w:p>
    <w:p w14:paraId="3C6F293F">
      <w:pPr>
        <w:jc w:val="center"/>
        <w:rPr>
          <w:rFonts w:ascii="宋体" w:hAnsi="宋体"/>
          <w:b/>
          <w:bCs/>
          <w:sz w:val="48"/>
          <w:szCs w:val="30"/>
        </w:rPr>
      </w:pPr>
      <w:r>
        <w:rPr>
          <w:rFonts w:ascii="宋体" w:hAnsi="宋体"/>
          <w:b/>
          <w:bCs/>
          <w:sz w:val="48"/>
          <w:szCs w:val="30"/>
        </w:rPr>
        <w:t>南方恒生生物科技交易型开放式指数证券投资基金发起式联接基金（QDII）2025年年度报告</w:t>
      </w:r>
    </w:p>
    <w:p w14:paraId="73CAF9AF">
      <w:pPr>
        <w:jc w:val="center"/>
        <w:rPr>
          <w:rFonts w:ascii="宋体" w:hAnsi="宋体"/>
          <w:b/>
          <w:bCs/>
          <w:sz w:val="48"/>
          <w:szCs w:val="30"/>
        </w:rPr>
      </w:pPr>
      <w:bookmarkStart w:id="0" w:name="OLE_LINK1"/>
      <w:bookmarkStart w:id="1" w:name="OLE_LINK2"/>
    </w:p>
    <w:p w14:paraId="30A78C21">
      <w:pPr>
        <w:jc w:val="center"/>
        <w:rPr>
          <w:rFonts w:ascii="宋体" w:hAnsi="宋体"/>
          <w:b/>
          <w:bCs/>
          <w:sz w:val="28"/>
          <w:szCs w:val="30"/>
        </w:rPr>
      </w:pPr>
    </w:p>
    <w:bookmarkEnd w:id="0"/>
    <w:bookmarkEnd w:id="1"/>
    <w:p w14:paraId="05325528">
      <w:pPr>
        <w:jc w:val="center"/>
        <w:rPr>
          <w:rFonts w:ascii="宋体" w:hAnsi="宋体"/>
          <w:b/>
          <w:bCs/>
          <w:sz w:val="28"/>
          <w:szCs w:val="30"/>
        </w:rPr>
      </w:pPr>
      <w:r>
        <w:rPr>
          <w:rFonts w:ascii="宋体" w:hAnsi="宋体"/>
          <w:b/>
          <w:bCs/>
          <w:sz w:val="28"/>
          <w:szCs w:val="30"/>
        </w:rPr>
        <w:t>2025年12月31日</w:t>
      </w:r>
    </w:p>
    <w:p w14:paraId="7809187A">
      <w:pPr>
        <w:jc w:val="center"/>
        <w:rPr>
          <w:rFonts w:ascii="宋体" w:hAnsi="宋体"/>
          <w:sz w:val="28"/>
          <w:szCs w:val="30"/>
        </w:rPr>
      </w:pPr>
    </w:p>
    <w:p w14:paraId="6ECC7D7E">
      <w:pPr>
        <w:jc w:val="center"/>
        <w:rPr>
          <w:rFonts w:ascii="宋体" w:hAnsi="宋体"/>
          <w:sz w:val="28"/>
          <w:szCs w:val="30"/>
        </w:rPr>
      </w:pPr>
    </w:p>
    <w:p w14:paraId="2116C912">
      <w:pPr>
        <w:jc w:val="center"/>
        <w:rPr>
          <w:rFonts w:ascii="宋体" w:hAnsi="宋体"/>
          <w:sz w:val="28"/>
          <w:szCs w:val="30"/>
        </w:rPr>
      </w:pPr>
    </w:p>
    <w:p w14:paraId="2DF8E1BA">
      <w:pPr>
        <w:jc w:val="center"/>
        <w:rPr>
          <w:rFonts w:ascii="宋体" w:hAnsi="宋体"/>
          <w:sz w:val="28"/>
          <w:szCs w:val="30"/>
        </w:rPr>
      </w:pPr>
    </w:p>
    <w:p w14:paraId="758AF6C2">
      <w:pPr>
        <w:jc w:val="center"/>
        <w:rPr>
          <w:rFonts w:ascii="宋体" w:hAnsi="宋体"/>
          <w:sz w:val="28"/>
          <w:szCs w:val="30"/>
        </w:rPr>
      </w:pPr>
    </w:p>
    <w:p w14:paraId="7FFE10AA">
      <w:pPr>
        <w:jc w:val="center"/>
        <w:rPr>
          <w:rFonts w:ascii="宋体" w:hAnsi="宋体"/>
          <w:sz w:val="28"/>
          <w:szCs w:val="30"/>
        </w:rPr>
      </w:pPr>
    </w:p>
    <w:p w14:paraId="5BEC6D8B">
      <w:pPr>
        <w:jc w:val="center"/>
        <w:rPr>
          <w:rFonts w:ascii="宋体" w:hAnsi="宋体"/>
          <w:sz w:val="28"/>
          <w:szCs w:val="30"/>
        </w:rPr>
      </w:pPr>
    </w:p>
    <w:p w14:paraId="61601652">
      <w:pPr>
        <w:jc w:val="center"/>
        <w:rPr>
          <w:rFonts w:ascii="宋体" w:hAnsi="宋体"/>
          <w:sz w:val="28"/>
          <w:szCs w:val="30"/>
        </w:rPr>
      </w:pPr>
    </w:p>
    <w:p w14:paraId="42D6C684">
      <w:pPr>
        <w:jc w:val="center"/>
        <w:rPr>
          <w:rFonts w:ascii="宋体" w:hAnsi="宋体"/>
          <w:sz w:val="28"/>
          <w:szCs w:val="30"/>
        </w:rPr>
      </w:pPr>
    </w:p>
    <w:p w14:paraId="022C0727">
      <w:pPr>
        <w:jc w:val="center"/>
        <w:rPr>
          <w:rFonts w:ascii="宋体" w:hAnsi="宋体"/>
          <w:sz w:val="28"/>
          <w:szCs w:val="30"/>
        </w:rPr>
      </w:pPr>
    </w:p>
    <w:p w14:paraId="495C193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22382CA">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5AB9203B">
      <w:pPr>
        <w:ind w:firstLine="1687" w:firstLineChars="600"/>
        <w:rPr>
          <w:rFonts w:ascii="宋体" w:hAnsi="宋体"/>
          <w:b/>
          <w:bCs/>
          <w:sz w:val="28"/>
          <w:szCs w:val="30"/>
        </w:rPr>
      </w:pPr>
      <w:r>
        <w:rPr>
          <w:rFonts w:hint="eastAsia" w:ascii="宋体" w:hAnsi="宋体"/>
          <w:b/>
          <w:bCs/>
          <w:sz w:val="28"/>
          <w:szCs w:val="30"/>
        </w:rPr>
        <w:t>送出日期：2026年3月31日</w:t>
      </w:r>
    </w:p>
    <w:p w14:paraId="688197EE">
      <w:pPr>
        <w:ind w:firstLine="1687" w:firstLineChars="600"/>
        <w:rPr>
          <w:rFonts w:ascii="宋体" w:hAnsi="宋体"/>
          <w:b/>
          <w:bCs/>
          <w:sz w:val="28"/>
          <w:szCs w:val="30"/>
        </w:rPr>
      </w:pPr>
    </w:p>
    <w:p w14:paraId="26AA2127">
      <w:pPr>
        <w:snapToGrid w:val="0"/>
        <w:spacing w:line="360" w:lineRule="auto"/>
        <w:jc w:val="left"/>
      </w:pPr>
      <w:r>
        <w:br w:type="page"/>
      </w:r>
    </w:p>
    <w:p w14:paraId="106FF770"/>
    <w:p w14:paraId="45E0D446">
      <w:pPr>
        <w:pStyle w:val="26"/>
      </w:pPr>
      <w:bookmarkStart w:id="2" w:name="_Toc22390"/>
      <w:r>
        <w:t>重要提示及目录</w:t>
      </w:r>
      <w:bookmarkEnd w:id="2"/>
    </w:p>
    <w:p w14:paraId="3CEA877B">
      <w:pPr>
        <w:pStyle w:val="23"/>
      </w:pPr>
      <w:bookmarkStart w:id="3" w:name="_Toc12533"/>
      <w:r>
        <w:t>重要提示</w:t>
      </w:r>
      <w:bookmarkEnd w:id="3"/>
    </w:p>
    <w:p w14:paraId="5FF6F96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6BF96D1">
      <w:pPr>
        <w:pStyle w:val="18"/>
        <w:rPr>
          <w:rFonts w:hint="eastAsia"/>
        </w:rPr>
      </w:pPr>
      <w:r>
        <w:rPr>
          <w:rFonts w:hint="eastAsia"/>
        </w:rPr>
        <w:t>本年度报告已经三分之二以上独立董事签字同意，并由董事长签发。</w:t>
      </w:r>
    </w:p>
    <w:p w14:paraId="7184F1FA">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4E2207BB">
      <w:pPr>
        <w:pStyle w:val="18"/>
        <w:rPr>
          <w:rFonts w:hint="eastAsia"/>
        </w:rPr>
      </w:pPr>
      <w:r>
        <w:rPr>
          <w:rFonts w:hint="eastAsia"/>
        </w:rPr>
        <w:t>基金管理人承诺以诚实信用、勤勉尽责的原则管理和运用基金资产，但不保证基金一定盈利。</w:t>
      </w:r>
    </w:p>
    <w:p w14:paraId="23BF01A5">
      <w:pPr>
        <w:pStyle w:val="18"/>
        <w:rPr>
          <w:rFonts w:hint="eastAsia"/>
        </w:rPr>
      </w:pPr>
      <w:r>
        <w:rPr>
          <w:rFonts w:hint="eastAsia"/>
        </w:rPr>
        <w:t>基金的过往业绩并不代表其未来表现。投资有风险，投资者在作出投资决策前应仔细阅读本基金的招募说明书及其更新。</w:t>
      </w:r>
    </w:p>
    <w:p w14:paraId="208F7F68">
      <w:pPr>
        <w:pStyle w:val="18"/>
        <w:rPr>
          <w:rFonts w:hint="eastAsia"/>
        </w:rPr>
      </w:pPr>
      <w:r>
        <w:rPr>
          <w:rFonts w:hint="eastAsia"/>
        </w:rPr>
        <w:t>本报告期自2025年1月1日起至12月31日止。</w:t>
      </w:r>
    </w:p>
    <w:p w14:paraId="676923DC">
      <w:pPr>
        <w:pStyle w:val="23"/>
        <w:pageBreakBefore/>
      </w:pPr>
      <w:bookmarkStart w:id="4" w:name="_Toc3139"/>
      <w:r>
        <w:t>目录</w:t>
      </w:r>
      <w:bookmarkEnd w:id="4"/>
    </w:p>
    <w:sdt>
      <w:sdtPr>
        <w:rPr>
          <w:rFonts w:ascii="宋体" w:hAnsi="宋体" w:eastAsia="宋体"/>
          <w:color w:val="DBDBDB"/>
          <w:sz w:val="21"/>
          <w:szCs w:val="24"/>
          <w:lang w:val="en-US" w:eastAsia="zh-CN" w:bidi="ar-SA"/>
        </w:rPr>
        <w:id w:val="36615"/>
        <w:docPartObj>
          <w:docPartGallery w:val="Table of Contents"/>
          <w:docPartUnique/>
        </w:docPartObj>
      </w:sdtPr>
      <w:sdtEndPr>
        <w:rPr>
          <w:rFonts w:ascii="宋体" w:hAnsi="宋体" w:eastAsia="宋体"/>
          <w:b/>
          <w:color w:val="DBDBDB"/>
          <w:sz w:val="21"/>
          <w:szCs w:val="24"/>
          <w:lang w:val="en-US" w:eastAsia="zh-CN" w:bidi="ar-SA"/>
        </w:rPr>
      </w:sdtEndPr>
      <w:sdtContent>
        <w:p w14:paraId="689ED073">
          <w:pPr>
            <w:pStyle w:val="61"/>
            <w:spacing w:before="0" w:beforeLines="0" w:after="0" w:afterLines="0" w:line="240" w:lineRule="auto"/>
            <w:ind w:left="0" w:leftChars="0" w:right="0" w:rightChars="0" w:firstLine="0" w:firstLineChars="0"/>
            <w:jc w:val="center"/>
            <w:rPr>
              <w:b/>
            </w:rPr>
          </w:pPr>
          <w:r>
            <w:rPr>
              <w:b/>
              <w:lang w:val="zh-CN"/>
            </w:rPr>
            <w:t>目录</w:t>
          </w:r>
        </w:p>
        <w:p w14:paraId="1D66369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_Toc22390 </w:instrText>
          </w:r>
          <w:r>
            <w:fldChar w:fldCharType="separate"/>
          </w:r>
          <w:r>
            <w:rPr>
              <w:rFonts w:hint="eastAsia"/>
            </w:rPr>
            <w:t xml:space="preserve">§1 </w:t>
          </w:r>
          <w:r>
            <w:t>重要提示及目录</w:t>
          </w:r>
          <w:r>
            <w:tab/>
          </w:r>
          <w:r>
            <w:fldChar w:fldCharType="begin"/>
          </w:r>
          <w:r>
            <w:instrText xml:space="preserve"> PAGEREF _Toc22390 \h </w:instrText>
          </w:r>
          <w:r>
            <w:fldChar w:fldCharType="separate"/>
          </w:r>
          <w:r>
            <w:t>1</w:t>
          </w:r>
          <w:r>
            <w:fldChar w:fldCharType="end"/>
          </w:r>
          <w:r>
            <w:fldChar w:fldCharType="end"/>
          </w:r>
        </w:p>
        <w:p w14:paraId="3537A19E">
          <w:pPr>
            <w:pStyle w:val="10"/>
            <w:tabs>
              <w:tab w:val="right" w:leader="dot" w:pos="8306"/>
            </w:tabs>
          </w:pPr>
          <w:r>
            <w:fldChar w:fldCharType="begin"/>
          </w:r>
          <w:r>
            <w:instrText xml:space="preserve"> HYPERLINK \l _Toc12533 </w:instrText>
          </w:r>
          <w:r>
            <w:fldChar w:fldCharType="separate"/>
          </w:r>
          <w:r>
            <w:rPr>
              <w:rFonts w:hint="eastAsia"/>
            </w:rPr>
            <w:t xml:space="preserve">1.1 </w:t>
          </w:r>
          <w:r>
            <w:t>重要提示</w:t>
          </w:r>
          <w:r>
            <w:tab/>
          </w:r>
          <w:r>
            <w:fldChar w:fldCharType="begin"/>
          </w:r>
          <w:r>
            <w:instrText xml:space="preserve"> PAGEREF _Toc12533 \h </w:instrText>
          </w:r>
          <w:r>
            <w:fldChar w:fldCharType="separate"/>
          </w:r>
          <w:r>
            <w:t>1</w:t>
          </w:r>
          <w:r>
            <w:fldChar w:fldCharType="end"/>
          </w:r>
          <w:r>
            <w:fldChar w:fldCharType="end"/>
          </w:r>
        </w:p>
        <w:p w14:paraId="0476EE64">
          <w:pPr>
            <w:pStyle w:val="10"/>
            <w:tabs>
              <w:tab w:val="right" w:leader="dot" w:pos="8306"/>
            </w:tabs>
          </w:pPr>
          <w:r>
            <w:fldChar w:fldCharType="begin"/>
          </w:r>
          <w:r>
            <w:instrText xml:space="preserve"> HYPERLINK \l _Toc3139 </w:instrText>
          </w:r>
          <w:r>
            <w:fldChar w:fldCharType="separate"/>
          </w:r>
          <w:r>
            <w:rPr>
              <w:rFonts w:hint="eastAsia"/>
            </w:rPr>
            <w:t xml:space="preserve">1.2 </w:t>
          </w:r>
          <w:r>
            <w:t>目录</w:t>
          </w:r>
          <w:r>
            <w:tab/>
          </w:r>
          <w:r>
            <w:fldChar w:fldCharType="begin"/>
          </w:r>
          <w:r>
            <w:instrText xml:space="preserve"> PAGEREF _Toc3139 \h </w:instrText>
          </w:r>
          <w:r>
            <w:fldChar w:fldCharType="separate"/>
          </w:r>
          <w:r>
            <w:t>2</w:t>
          </w:r>
          <w:r>
            <w:fldChar w:fldCharType="end"/>
          </w:r>
          <w:r>
            <w:fldChar w:fldCharType="end"/>
          </w:r>
        </w:p>
        <w:p w14:paraId="35DAC63B">
          <w:pPr>
            <w:pStyle w:val="8"/>
            <w:tabs>
              <w:tab w:val="right" w:leader="dot" w:pos="8306"/>
            </w:tabs>
          </w:pPr>
          <w:r>
            <w:fldChar w:fldCharType="begin"/>
          </w:r>
          <w:r>
            <w:instrText xml:space="preserve"> HYPERLINK \l _Toc5294 </w:instrText>
          </w:r>
          <w:r>
            <w:fldChar w:fldCharType="separate"/>
          </w:r>
          <w:r>
            <w:rPr>
              <w:rFonts w:hint="eastAsia"/>
            </w:rPr>
            <w:t xml:space="preserve">§2 </w:t>
          </w:r>
          <w:r>
            <w:t>基金简介</w:t>
          </w:r>
          <w:r>
            <w:tab/>
          </w:r>
          <w:r>
            <w:fldChar w:fldCharType="begin"/>
          </w:r>
          <w:r>
            <w:instrText xml:space="preserve"> PAGEREF _Toc5294 \h </w:instrText>
          </w:r>
          <w:r>
            <w:fldChar w:fldCharType="separate"/>
          </w:r>
          <w:r>
            <w:t>4</w:t>
          </w:r>
          <w:r>
            <w:fldChar w:fldCharType="end"/>
          </w:r>
          <w:r>
            <w:fldChar w:fldCharType="end"/>
          </w:r>
        </w:p>
        <w:p w14:paraId="2C4907F1">
          <w:pPr>
            <w:pStyle w:val="10"/>
            <w:tabs>
              <w:tab w:val="right" w:leader="dot" w:pos="8306"/>
            </w:tabs>
          </w:pPr>
          <w:r>
            <w:fldChar w:fldCharType="begin"/>
          </w:r>
          <w:r>
            <w:instrText xml:space="preserve"> HYPERLINK \l _Toc30554 </w:instrText>
          </w:r>
          <w:r>
            <w:fldChar w:fldCharType="separate"/>
          </w:r>
          <w:r>
            <w:rPr>
              <w:rFonts w:hint="eastAsia"/>
            </w:rPr>
            <w:t xml:space="preserve">2.1 </w:t>
          </w:r>
          <w:r>
            <w:t>基金基本情况</w:t>
          </w:r>
          <w:r>
            <w:tab/>
          </w:r>
          <w:r>
            <w:fldChar w:fldCharType="begin"/>
          </w:r>
          <w:r>
            <w:instrText xml:space="preserve"> PAGEREF _Toc30554 \h </w:instrText>
          </w:r>
          <w:r>
            <w:fldChar w:fldCharType="separate"/>
          </w:r>
          <w:r>
            <w:t>4</w:t>
          </w:r>
          <w:r>
            <w:fldChar w:fldCharType="end"/>
          </w:r>
          <w:r>
            <w:fldChar w:fldCharType="end"/>
          </w:r>
        </w:p>
        <w:p w14:paraId="44FEB75A">
          <w:pPr>
            <w:pStyle w:val="10"/>
            <w:tabs>
              <w:tab w:val="right" w:leader="dot" w:pos="8306"/>
            </w:tabs>
          </w:pPr>
          <w:r>
            <w:fldChar w:fldCharType="begin"/>
          </w:r>
          <w:r>
            <w:instrText xml:space="preserve"> HYPERLINK \l _Toc15035 </w:instrText>
          </w:r>
          <w:r>
            <w:fldChar w:fldCharType="separate"/>
          </w:r>
          <w:r>
            <w:rPr>
              <w:rFonts w:hint="eastAsia"/>
            </w:rPr>
            <w:t xml:space="preserve">2.2 </w:t>
          </w:r>
          <w:r>
            <w:t>基金产品说明</w:t>
          </w:r>
          <w:r>
            <w:tab/>
          </w:r>
          <w:r>
            <w:fldChar w:fldCharType="begin"/>
          </w:r>
          <w:r>
            <w:instrText xml:space="preserve"> PAGEREF _Toc15035 \h </w:instrText>
          </w:r>
          <w:r>
            <w:fldChar w:fldCharType="separate"/>
          </w:r>
          <w:r>
            <w:t>4</w:t>
          </w:r>
          <w:r>
            <w:fldChar w:fldCharType="end"/>
          </w:r>
          <w:r>
            <w:fldChar w:fldCharType="end"/>
          </w:r>
        </w:p>
        <w:p w14:paraId="7BC18955">
          <w:pPr>
            <w:pStyle w:val="10"/>
            <w:tabs>
              <w:tab w:val="right" w:leader="dot" w:pos="8306"/>
            </w:tabs>
          </w:pPr>
          <w:r>
            <w:fldChar w:fldCharType="begin"/>
          </w:r>
          <w:r>
            <w:instrText xml:space="preserve"> HYPERLINK \l _Toc20696 </w:instrText>
          </w:r>
          <w:r>
            <w:fldChar w:fldCharType="separate"/>
          </w:r>
          <w:r>
            <w:rPr>
              <w:rFonts w:hint="eastAsia"/>
            </w:rPr>
            <w:t xml:space="preserve">2.3 </w:t>
          </w:r>
          <w:r>
            <w:t>目标基金基本情况</w:t>
          </w:r>
          <w:r>
            <w:tab/>
          </w:r>
          <w:r>
            <w:fldChar w:fldCharType="begin"/>
          </w:r>
          <w:r>
            <w:instrText xml:space="preserve"> PAGEREF _Toc20696 \h </w:instrText>
          </w:r>
          <w:r>
            <w:fldChar w:fldCharType="separate"/>
          </w:r>
          <w:r>
            <w:t>5</w:t>
          </w:r>
          <w:r>
            <w:fldChar w:fldCharType="end"/>
          </w:r>
          <w:r>
            <w:fldChar w:fldCharType="end"/>
          </w:r>
        </w:p>
        <w:p w14:paraId="5AA5E982">
          <w:pPr>
            <w:pStyle w:val="10"/>
            <w:tabs>
              <w:tab w:val="right" w:leader="dot" w:pos="8306"/>
            </w:tabs>
          </w:pPr>
          <w:r>
            <w:fldChar w:fldCharType="begin"/>
          </w:r>
          <w:r>
            <w:instrText xml:space="preserve"> HYPERLINK \l _Toc18036 </w:instrText>
          </w:r>
          <w:r>
            <w:fldChar w:fldCharType="separate"/>
          </w:r>
          <w:r>
            <w:rPr>
              <w:rFonts w:hint="eastAsia"/>
            </w:rPr>
            <w:t xml:space="preserve">2.4 </w:t>
          </w:r>
          <w:r>
            <w:t>目标基金产品说明</w:t>
          </w:r>
          <w:r>
            <w:tab/>
          </w:r>
          <w:r>
            <w:fldChar w:fldCharType="begin"/>
          </w:r>
          <w:r>
            <w:instrText xml:space="preserve"> PAGEREF _Toc18036 \h </w:instrText>
          </w:r>
          <w:r>
            <w:fldChar w:fldCharType="separate"/>
          </w:r>
          <w:r>
            <w:t>5</w:t>
          </w:r>
          <w:r>
            <w:fldChar w:fldCharType="end"/>
          </w:r>
          <w:r>
            <w:fldChar w:fldCharType="end"/>
          </w:r>
        </w:p>
        <w:p w14:paraId="23DB683F">
          <w:pPr>
            <w:pStyle w:val="10"/>
            <w:tabs>
              <w:tab w:val="right" w:leader="dot" w:pos="8306"/>
            </w:tabs>
          </w:pPr>
          <w:r>
            <w:fldChar w:fldCharType="begin"/>
          </w:r>
          <w:r>
            <w:instrText xml:space="preserve"> HYPERLINK \l _Toc29618 </w:instrText>
          </w:r>
          <w:r>
            <w:fldChar w:fldCharType="separate"/>
          </w:r>
          <w:r>
            <w:rPr>
              <w:rFonts w:hint="eastAsia"/>
            </w:rPr>
            <w:t xml:space="preserve">2.5 </w:t>
          </w:r>
          <w:r>
            <w:t>基金管理人和基金托管人</w:t>
          </w:r>
          <w:r>
            <w:tab/>
          </w:r>
          <w:r>
            <w:fldChar w:fldCharType="begin"/>
          </w:r>
          <w:r>
            <w:instrText xml:space="preserve"> PAGEREF _Toc29618 \h </w:instrText>
          </w:r>
          <w:r>
            <w:fldChar w:fldCharType="separate"/>
          </w:r>
          <w:r>
            <w:t>6</w:t>
          </w:r>
          <w:r>
            <w:fldChar w:fldCharType="end"/>
          </w:r>
          <w:r>
            <w:fldChar w:fldCharType="end"/>
          </w:r>
        </w:p>
        <w:p w14:paraId="6DE7A4E4">
          <w:pPr>
            <w:pStyle w:val="10"/>
            <w:tabs>
              <w:tab w:val="right" w:leader="dot" w:pos="8306"/>
            </w:tabs>
          </w:pPr>
          <w:r>
            <w:fldChar w:fldCharType="begin"/>
          </w:r>
          <w:r>
            <w:instrText xml:space="preserve"> HYPERLINK \l _Toc24563 </w:instrText>
          </w:r>
          <w:r>
            <w:fldChar w:fldCharType="separate"/>
          </w:r>
          <w:r>
            <w:rPr>
              <w:rFonts w:hint="eastAsia"/>
            </w:rPr>
            <w:t xml:space="preserve">2.6 </w:t>
          </w:r>
          <w:r>
            <w:t>境外投资顾问和境外资产托管人</w:t>
          </w:r>
          <w:r>
            <w:tab/>
          </w:r>
          <w:r>
            <w:fldChar w:fldCharType="begin"/>
          </w:r>
          <w:r>
            <w:instrText xml:space="preserve"> PAGEREF _Toc24563 \h </w:instrText>
          </w:r>
          <w:r>
            <w:fldChar w:fldCharType="separate"/>
          </w:r>
          <w:r>
            <w:t>6</w:t>
          </w:r>
          <w:r>
            <w:fldChar w:fldCharType="end"/>
          </w:r>
          <w:r>
            <w:fldChar w:fldCharType="end"/>
          </w:r>
        </w:p>
        <w:p w14:paraId="10953BD5">
          <w:pPr>
            <w:pStyle w:val="10"/>
            <w:tabs>
              <w:tab w:val="right" w:leader="dot" w:pos="8306"/>
            </w:tabs>
          </w:pPr>
          <w:r>
            <w:fldChar w:fldCharType="begin"/>
          </w:r>
          <w:r>
            <w:instrText xml:space="preserve"> HYPERLINK \l _Toc9394 </w:instrText>
          </w:r>
          <w:r>
            <w:fldChar w:fldCharType="separate"/>
          </w:r>
          <w:r>
            <w:rPr>
              <w:rFonts w:hint="eastAsia"/>
            </w:rPr>
            <w:t xml:space="preserve">2.7 </w:t>
          </w:r>
          <w:r>
            <w:t>信息披露方式</w:t>
          </w:r>
          <w:r>
            <w:tab/>
          </w:r>
          <w:r>
            <w:fldChar w:fldCharType="begin"/>
          </w:r>
          <w:r>
            <w:instrText xml:space="preserve"> PAGEREF _Toc9394 \h </w:instrText>
          </w:r>
          <w:r>
            <w:fldChar w:fldCharType="separate"/>
          </w:r>
          <w:r>
            <w:t>6</w:t>
          </w:r>
          <w:r>
            <w:fldChar w:fldCharType="end"/>
          </w:r>
          <w:r>
            <w:fldChar w:fldCharType="end"/>
          </w:r>
        </w:p>
        <w:p w14:paraId="3902276B">
          <w:pPr>
            <w:pStyle w:val="10"/>
            <w:tabs>
              <w:tab w:val="right" w:leader="dot" w:pos="8306"/>
            </w:tabs>
          </w:pPr>
          <w:r>
            <w:fldChar w:fldCharType="begin"/>
          </w:r>
          <w:r>
            <w:instrText xml:space="preserve"> HYPERLINK \l _Toc18851 </w:instrText>
          </w:r>
          <w:r>
            <w:fldChar w:fldCharType="separate"/>
          </w:r>
          <w:r>
            <w:rPr>
              <w:rFonts w:hint="eastAsia"/>
            </w:rPr>
            <w:t xml:space="preserve">2.8 </w:t>
          </w:r>
          <w:r>
            <w:t>其他相关资料</w:t>
          </w:r>
          <w:r>
            <w:tab/>
          </w:r>
          <w:r>
            <w:fldChar w:fldCharType="begin"/>
          </w:r>
          <w:r>
            <w:instrText xml:space="preserve"> PAGEREF _Toc18851 \h </w:instrText>
          </w:r>
          <w:r>
            <w:fldChar w:fldCharType="separate"/>
          </w:r>
          <w:r>
            <w:t>6</w:t>
          </w:r>
          <w:r>
            <w:fldChar w:fldCharType="end"/>
          </w:r>
          <w:r>
            <w:fldChar w:fldCharType="end"/>
          </w:r>
        </w:p>
        <w:p w14:paraId="68364964">
          <w:pPr>
            <w:pStyle w:val="8"/>
            <w:tabs>
              <w:tab w:val="right" w:leader="dot" w:pos="8306"/>
            </w:tabs>
          </w:pPr>
          <w:r>
            <w:fldChar w:fldCharType="begin"/>
          </w:r>
          <w:r>
            <w:instrText xml:space="preserve"> HYPERLINK \l _Toc4659 </w:instrText>
          </w:r>
          <w:r>
            <w:fldChar w:fldCharType="separate"/>
          </w:r>
          <w:r>
            <w:rPr>
              <w:rFonts w:hint="eastAsia"/>
            </w:rPr>
            <w:t xml:space="preserve">§3 </w:t>
          </w:r>
          <w:r>
            <w:t>主要财务指标、基金净值表现及利润分配情况</w:t>
          </w:r>
          <w:r>
            <w:tab/>
          </w:r>
          <w:r>
            <w:fldChar w:fldCharType="begin"/>
          </w:r>
          <w:r>
            <w:instrText xml:space="preserve"> PAGEREF _Toc4659 \h </w:instrText>
          </w:r>
          <w:r>
            <w:fldChar w:fldCharType="separate"/>
          </w:r>
          <w:r>
            <w:t>8</w:t>
          </w:r>
          <w:r>
            <w:fldChar w:fldCharType="end"/>
          </w:r>
          <w:r>
            <w:fldChar w:fldCharType="end"/>
          </w:r>
        </w:p>
        <w:p w14:paraId="3C2DAC59">
          <w:pPr>
            <w:pStyle w:val="10"/>
            <w:tabs>
              <w:tab w:val="right" w:leader="dot" w:pos="8306"/>
            </w:tabs>
          </w:pPr>
          <w:r>
            <w:fldChar w:fldCharType="begin"/>
          </w:r>
          <w:r>
            <w:instrText xml:space="preserve"> HYPERLINK \l _Toc8078 </w:instrText>
          </w:r>
          <w:r>
            <w:fldChar w:fldCharType="separate"/>
          </w:r>
          <w:r>
            <w:rPr>
              <w:rFonts w:hint="eastAsia"/>
            </w:rPr>
            <w:t xml:space="preserve">3.1 </w:t>
          </w:r>
          <w:r>
            <w:t>主要会计数据和财务指标</w:t>
          </w:r>
          <w:r>
            <w:tab/>
          </w:r>
          <w:r>
            <w:fldChar w:fldCharType="begin"/>
          </w:r>
          <w:r>
            <w:instrText xml:space="preserve"> PAGEREF _Toc8078 \h </w:instrText>
          </w:r>
          <w:r>
            <w:fldChar w:fldCharType="separate"/>
          </w:r>
          <w:r>
            <w:t>8</w:t>
          </w:r>
          <w:r>
            <w:fldChar w:fldCharType="end"/>
          </w:r>
          <w:r>
            <w:fldChar w:fldCharType="end"/>
          </w:r>
        </w:p>
        <w:p w14:paraId="2F1D2538">
          <w:pPr>
            <w:pStyle w:val="10"/>
            <w:tabs>
              <w:tab w:val="right" w:leader="dot" w:pos="8306"/>
            </w:tabs>
          </w:pPr>
          <w:r>
            <w:fldChar w:fldCharType="begin"/>
          </w:r>
          <w:r>
            <w:instrText xml:space="preserve"> HYPERLINK \l _Toc23243 </w:instrText>
          </w:r>
          <w:r>
            <w:fldChar w:fldCharType="separate"/>
          </w:r>
          <w:r>
            <w:rPr>
              <w:rFonts w:hint="eastAsia"/>
            </w:rPr>
            <w:t xml:space="preserve">3.2 </w:t>
          </w:r>
          <w:r>
            <w:t>基金净值表现</w:t>
          </w:r>
          <w:r>
            <w:tab/>
          </w:r>
          <w:r>
            <w:fldChar w:fldCharType="begin"/>
          </w:r>
          <w:r>
            <w:instrText xml:space="preserve"> PAGEREF _Toc23243 \h </w:instrText>
          </w:r>
          <w:r>
            <w:fldChar w:fldCharType="separate"/>
          </w:r>
          <w:r>
            <w:t>9</w:t>
          </w:r>
          <w:r>
            <w:fldChar w:fldCharType="end"/>
          </w:r>
          <w:r>
            <w:fldChar w:fldCharType="end"/>
          </w:r>
        </w:p>
        <w:p w14:paraId="0ED27A28">
          <w:pPr>
            <w:pStyle w:val="10"/>
            <w:tabs>
              <w:tab w:val="right" w:leader="dot" w:pos="8306"/>
            </w:tabs>
          </w:pPr>
          <w:r>
            <w:fldChar w:fldCharType="begin"/>
          </w:r>
          <w:r>
            <w:instrText xml:space="preserve"> HYPERLINK \l _Toc30169 </w:instrText>
          </w:r>
          <w:r>
            <w:fldChar w:fldCharType="separate"/>
          </w:r>
          <w:r>
            <w:rPr>
              <w:rFonts w:hint="eastAsia"/>
            </w:rPr>
            <w:t xml:space="preserve">3.3 </w:t>
          </w:r>
          <w:r>
            <w:t>过去三年基金的利润分配情况</w:t>
          </w:r>
          <w:r>
            <w:tab/>
          </w:r>
          <w:r>
            <w:fldChar w:fldCharType="begin"/>
          </w:r>
          <w:r>
            <w:instrText xml:space="preserve"> PAGEREF _Toc30169 \h </w:instrText>
          </w:r>
          <w:r>
            <w:fldChar w:fldCharType="separate"/>
          </w:r>
          <w:r>
            <w:t>13</w:t>
          </w:r>
          <w:r>
            <w:fldChar w:fldCharType="end"/>
          </w:r>
          <w:r>
            <w:fldChar w:fldCharType="end"/>
          </w:r>
        </w:p>
        <w:p w14:paraId="73A10CBA">
          <w:pPr>
            <w:pStyle w:val="8"/>
            <w:tabs>
              <w:tab w:val="right" w:leader="dot" w:pos="8306"/>
            </w:tabs>
          </w:pPr>
          <w:r>
            <w:fldChar w:fldCharType="begin"/>
          </w:r>
          <w:r>
            <w:instrText xml:space="preserve"> HYPERLINK \l _Toc6734 </w:instrText>
          </w:r>
          <w:r>
            <w:fldChar w:fldCharType="separate"/>
          </w:r>
          <w:r>
            <w:rPr>
              <w:rFonts w:hint="eastAsia"/>
            </w:rPr>
            <w:t xml:space="preserve">§4 </w:t>
          </w:r>
          <w:r>
            <w:t>管理人报告</w:t>
          </w:r>
          <w:r>
            <w:tab/>
          </w:r>
          <w:r>
            <w:fldChar w:fldCharType="begin"/>
          </w:r>
          <w:r>
            <w:instrText xml:space="preserve"> PAGEREF _Toc6734 \h </w:instrText>
          </w:r>
          <w:r>
            <w:fldChar w:fldCharType="separate"/>
          </w:r>
          <w:r>
            <w:t>13</w:t>
          </w:r>
          <w:r>
            <w:fldChar w:fldCharType="end"/>
          </w:r>
          <w:r>
            <w:fldChar w:fldCharType="end"/>
          </w:r>
        </w:p>
        <w:p w14:paraId="0990FD0C">
          <w:pPr>
            <w:pStyle w:val="10"/>
            <w:tabs>
              <w:tab w:val="right" w:leader="dot" w:pos="8306"/>
            </w:tabs>
          </w:pPr>
          <w:r>
            <w:fldChar w:fldCharType="begin"/>
          </w:r>
          <w:r>
            <w:instrText xml:space="preserve"> HYPERLINK \l _Toc30790 </w:instrText>
          </w:r>
          <w:r>
            <w:fldChar w:fldCharType="separate"/>
          </w:r>
          <w:r>
            <w:rPr>
              <w:rFonts w:hint="eastAsia"/>
            </w:rPr>
            <w:t xml:space="preserve">4.1 </w:t>
          </w:r>
          <w:r>
            <w:t>基金管理人及基金经理情况</w:t>
          </w:r>
          <w:r>
            <w:tab/>
          </w:r>
          <w:r>
            <w:fldChar w:fldCharType="begin"/>
          </w:r>
          <w:r>
            <w:instrText xml:space="preserve"> PAGEREF _Toc30790 \h </w:instrText>
          </w:r>
          <w:r>
            <w:fldChar w:fldCharType="separate"/>
          </w:r>
          <w:r>
            <w:t>13</w:t>
          </w:r>
          <w:r>
            <w:fldChar w:fldCharType="end"/>
          </w:r>
          <w:r>
            <w:fldChar w:fldCharType="end"/>
          </w:r>
        </w:p>
        <w:p w14:paraId="0DE3E691">
          <w:pPr>
            <w:pStyle w:val="10"/>
            <w:tabs>
              <w:tab w:val="right" w:leader="dot" w:pos="8306"/>
            </w:tabs>
          </w:pPr>
          <w:r>
            <w:fldChar w:fldCharType="begin"/>
          </w:r>
          <w:r>
            <w:instrText xml:space="preserve"> HYPERLINK \l _Toc14278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_Toc14278 \h </w:instrText>
          </w:r>
          <w:r>
            <w:fldChar w:fldCharType="separate"/>
          </w:r>
          <w:r>
            <w:t>15</w:t>
          </w:r>
          <w:r>
            <w:fldChar w:fldCharType="end"/>
          </w:r>
          <w:r>
            <w:fldChar w:fldCharType="end"/>
          </w:r>
        </w:p>
        <w:p w14:paraId="3C9FF447">
          <w:pPr>
            <w:pStyle w:val="10"/>
            <w:tabs>
              <w:tab w:val="right" w:leader="dot" w:pos="8306"/>
            </w:tabs>
          </w:pPr>
          <w:r>
            <w:fldChar w:fldCharType="begin"/>
          </w:r>
          <w:r>
            <w:instrText xml:space="preserve"> HYPERLINK \l _Toc31424 </w:instrText>
          </w:r>
          <w:r>
            <w:fldChar w:fldCharType="separate"/>
          </w:r>
          <w:r>
            <w:rPr>
              <w:rFonts w:hint="eastAsia"/>
            </w:rPr>
            <w:t xml:space="preserve">4.3 </w:t>
          </w:r>
          <w:r>
            <w:t>管理人对报告期内本基金运作遵规守信情况的说明</w:t>
          </w:r>
          <w:r>
            <w:tab/>
          </w:r>
          <w:r>
            <w:fldChar w:fldCharType="begin"/>
          </w:r>
          <w:r>
            <w:instrText xml:space="preserve"> PAGEREF _Toc31424 \h </w:instrText>
          </w:r>
          <w:r>
            <w:fldChar w:fldCharType="separate"/>
          </w:r>
          <w:r>
            <w:t>15</w:t>
          </w:r>
          <w:r>
            <w:fldChar w:fldCharType="end"/>
          </w:r>
          <w:r>
            <w:fldChar w:fldCharType="end"/>
          </w:r>
        </w:p>
        <w:p w14:paraId="517F87B2">
          <w:pPr>
            <w:pStyle w:val="10"/>
            <w:tabs>
              <w:tab w:val="right" w:leader="dot" w:pos="8306"/>
            </w:tabs>
          </w:pPr>
          <w:r>
            <w:fldChar w:fldCharType="begin"/>
          </w:r>
          <w:r>
            <w:instrText xml:space="preserve"> HYPERLINK \l _Toc17495 </w:instrText>
          </w:r>
          <w:r>
            <w:fldChar w:fldCharType="separate"/>
          </w:r>
          <w:r>
            <w:rPr>
              <w:rFonts w:hint="eastAsia"/>
            </w:rPr>
            <w:t xml:space="preserve">4.4 </w:t>
          </w:r>
          <w:r>
            <w:t>管理人对报告期内公平交易情况的专项说明</w:t>
          </w:r>
          <w:r>
            <w:tab/>
          </w:r>
          <w:r>
            <w:fldChar w:fldCharType="begin"/>
          </w:r>
          <w:r>
            <w:instrText xml:space="preserve"> PAGEREF _Toc17495 \h </w:instrText>
          </w:r>
          <w:r>
            <w:fldChar w:fldCharType="separate"/>
          </w:r>
          <w:r>
            <w:t>15</w:t>
          </w:r>
          <w:r>
            <w:fldChar w:fldCharType="end"/>
          </w:r>
          <w:r>
            <w:fldChar w:fldCharType="end"/>
          </w:r>
        </w:p>
        <w:p w14:paraId="41C73237">
          <w:pPr>
            <w:pStyle w:val="10"/>
            <w:tabs>
              <w:tab w:val="right" w:leader="dot" w:pos="8306"/>
            </w:tabs>
          </w:pPr>
          <w:r>
            <w:fldChar w:fldCharType="begin"/>
          </w:r>
          <w:r>
            <w:instrText xml:space="preserve"> HYPERLINK \l _Toc11058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_Toc11058 \h </w:instrText>
          </w:r>
          <w:r>
            <w:fldChar w:fldCharType="separate"/>
          </w:r>
          <w:r>
            <w:t>16</w:t>
          </w:r>
          <w:r>
            <w:fldChar w:fldCharType="end"/>
          </w:r>
          <w:r>
            <w:fldChar w:fldCharType="end"/>
          </w:r>
        </w:p>
        <w:p w14:paraId="397C7604">
          <w:pPr>
            <w:pStyle w:val="10"/>
            <w:tabs>
              <w:tab w:val="right" w:leader="dot" w:pos="8306"/>
            </w:tabs>
          </w:pPr>
          <w:r>
            <w:fldChar w:fldCharType="begin"/>
          </w:r>
          <w:r>
            <w:instrText xml:space="preserve"> HYPERLINK \l _Toc31279 </w:instrText>
          </w:r>
          <w:r>
            <w:fldChar w:fldCharType="separate"/>
          </w:r>
          <w:r>
            <w:rPr>
              <w:rFonts w:hint="eastAsia"/>
            </w:rPr>
            <w:t xml:space="preserve">4.6 </w:t>
          </w:r>
          <w:r>
            <w:t>管理人对宏观经济、证券市场及行业走势的简要展望</w:t>
          </w:r>
          <w:r>
            <w:tab/>
          </w:r>
          <w:r>
            <w:fldChar w:fldCharType="begin"/>
          </w:r>
          <w:r>
            <w:instrText xml:space="preserve"> PAGEREF _Toc31279 \h </w:instrText>
          </w:r>
          <w:r>
            <w:fldChar w:fldCharType="separate"/>
          </w:r>
          <w:r>
            <w:t>17</w:t>
          </w:r>
          <w:r>
            <w:fldChar w:fldCharType="end"/>
          </w:r>
          <w:r>
            <w:fldChar w:fldCharType="end"/>
          </w:r>
        </w:p>
        <w:p w14:paraId="2EDE40C7">
          <w:pPr>
            <w:pStyle w:val="10"/>
            <w:tabs>
              <w:tab w:val="right" w:leader="dot" w:pos="8306"/>
            </w:tabs>
          </w:pPr>
          <w:r>
            <w:fldChar w:fldCharType="begin"/>
          </w:r>
          <w:r>
            <w:instrText xml:space="preserve"> HYPERLINK \l _Toc22335 </w:instrText>
          </w:r>
          <w:r>
            <w:fldChar w:fldCharType="separate"/>
          </w:r>
          <w:r>
            <w:rPr>
              <w:rFonts w:hint="eastAsia"/>
            </w:rPr>
            <w:t xml:space="preserve">4.7 </w:t>
          </w:r>
          <w:r>
            <w:t>管理人内部有关本基金的监察稽核工作情况</w:t>
          </w:r>
          <w:r>
            <w:tab/>
          </w:r>
          <w:r>
            <w:fldChar w:fldCharType="begin"/>
          </w:r>
          <w:r>
            <w:instrText xml:space="preserve"> PAGEREF _Toc22335 \h </w:instrText>
          </w:r>
          <w:r>
            <w:fldChar w:fldCharType="separate"/>
          </w:r>
          <w:r>
            <w:t>17</w:t>
          </w:r>
          <w:r>
            <w:fldChar w:fldCharType="end"/>
          </w:r>
          <w:r>
            <w:fldChar w:fldCharType="end"/>
          </w:r>
        </w:p>
        <w:p w14:paraId="238E0DC6">
          <w:pPr>
            <w:pStyle w:val="10"/>
            <w:tabs>
              <w:tab w:val="right" w:leader="dot" w:pos="8306"/>
            </w:tabs>
          </w:pPr>
          <w:r>
            <w:fldChar w:fldCharType="begin"/>
          </w:r>
          <w:r>
            <w:instrText xml:space="preserve"> HYPERLINK \l _Toc9190 </w:instrText>
          </w:r>
          <w:r>
            <w:fldChar w:fldCharType="separate"/>
          </w:r>
          <w:r>
            <w:rPr>
              <w:rFonts w:hint="eastAsia"/>
            </w:rPr>
            <w:t xml:space="preserve">4.8 </w:t>
          </w:r>
          <w:r>
            <w:t>管理人对报告期内基金估值程序等事项的说明</w:t>
          </w:r>
          <w:r>
            <w:tab/>
          </w:r>
          <w:r>
            <w:fldChar w:fldCharType="begin"/>
          </w:r>
          <w:r>
            <w:instrText xml:space="preserve"> PAGEREF _Toc9190 \h </w:instrText>
          </w:r>
          <w:r>
            <w:fldChar w:fldCharType="separate"/>
          </w:r>
          <w:r>
            <w:t>18</w:t>
          </w:r>
          <w:r>
            <w:fldChar w:fldCharType="end"/>
          </w:r>
          <w:r>
            <w:fldChar w:fldCharType="end"/>
          </w:r>
        </w:p>
        <w:p w14:paraId="07061338">
          <w:pPr>
            <w:pStyle w:val="10"/>
            <w:tabs>
              <w:tab w:val="right" w:leader="dot" w:pos="8306"/>
            </w:tabs>
          </w:pPr>
          <w:r>
            <w:fldChar w:fldCharType="begin"/>
          </w:r>
          <w:r>
            <w:instrText xml:space="preserve"> HYPERLINK \l _Toc3223 </w:instrText>
          </w:r>
          <w:r>
            <w:fldChar w:fldCharType="separate"/>
          </w:r>
          <w:r>
            <w:rPr>
              <w:rFonts w:hint="eastAsia"/>
            </w:rPr>
            <w:t xml:space="preserve">4.9 </w:t>
          </w:r>
          <w:r>
            <w:t>管理人对报告期内基金利润分配情况的说明</w:t>
          </w:r>
          <w:r>
            <w:tab/>
          </w:r>
          <w:r>
            <w:fldChar w:fldCharType="begin"/>
          </w:r>
          <w:r>
            <w:instrText xml:space="preserve"> PAGEREF _Toc3223 \h </w:instrText>
          </w:r>
          <w:r>
            <w:fldChar w:fldCharType="separate"/>
          </w:r>
          <w:r>
            <w:t>19</w:t>
          </w:r>
          <w:r>
            <w:fldChar w:fldCharType="end"/>
          </w:r>
          <w:r>
            <w:fldChar w:fldCharType="end"/>
          </w:r>
        </w:p>
        <w:p w14:paraId="2354D3C6">
          <w:pPr>
            <w:pStyle w:val="10"/>
            <w:tabs>
              <w:tab w:val="right" w:leader="dot" w:pos="8306"/>
            </w:tabs>
          </w:pPr>
          <w:r>
            <w:fldChar w:fldCharType="begin"/>
          </w:r>
          <w:r>
            <w:instrText xml:space="preserve"> HYPERLINK \l _Toc14339 </w:instrText>
          </w:r>
          <w:r>
            <w:fldChar w:fldCharType="separate"/>
          </w:r>
          <w:r>
            <w:rPr>
              <w:rFonts w:hint="eastAsia"/>
            </w:rPr>
            <w:t xml:space="preserve">4.10 </w:t>
          </w:r>
          <w:r>
            <w:t>报告期内基金持有人数或基金资产净值预警说明</w:t>
          </w:r>
          <w:r>
            <w:tab/>
          </w:r>
          <w:r>
            <w:fldChar w:fldCharType="begin"/>
          </w:r>
          <w:r>
            <w:instrText xml:space="preserve"> PAGEREF _Toc14339 \h </w:instrText>
          </w:r>
          <w:r>
            <w:fldChar w:fldCharType="separate"/>
          </w:r>
          <w:r>
            <w:t>19</w:t>
          </w:r>
          <w:r>
            <w:fldChar w:fldCharType="end"/>
          </w:r>
          <w:r>
            <w:fldChar w:fldCharType="end"/>
          </w:r>
        </w:p>
        <w:p w14:paraId="2DC6017E">
          <w:pPr>
            <w:pStyle w:val="8"/>
            <w:tabs>
              <w:tab w:val="right" w:leader="dot" w:pos="8306"/>
            </w:tabs>
          </w:pPr>
          <w:r>
            <w:fldChar w:fldCharType="begin"/>
          </w:r>
          <w:r>
            <w:instrText xml:space="preserve"> HYPERLINK \l _Toc20722 </w:instrText>
          </w:r>
          <w:r>
            <w:fldChar w:fldCharType="separate"/>
          </w:r>
          <w:r>
            <w:rPr>
              <w:rFonts w:hint="eastAsia"/>
            </w:rPr>
            <w:t xml:space="preserve">§5 </w:t>
          </w:r>
          <w:r>
            <w:t>托管人报告</w:t>
          </w:r>
          <w:r>
            <w:tab/>
          </w:r>
          <w:r>
            <w:fldChar w:fldCharType="begin"/>
          </w:r>
          <w:r>
            <w:instrText xml:space="preserve"> PAGEREF _Toc20722 \h </w:instrText>
          </w:r>
          <w:r>
            <w:fldChar w:fldCharType="separate"/>
          </w:r>
          <w:r>
            <w:t>19</w:t>
          </w:r>
          <w:r>
            <w:fldChar w:fldCharType="end"/>
          </w:r>
          <w:r>
            <w:fldChar w:fldCharType="end"/>
          </w:r>
        </w:p>
        <w:p w14:paraId="42972F01">
          <w:pPr>
            <w:pStyle w:val="10"/>
            <w:tabs>
              <w:tab w:val="right" w:leader="dot" w:pos="8306"/>
            </w:tabs>
          </w:pPr>
          <w:r>
            <w:fldChar w:fldCharType="begin"/>
          </w:r>
          <w:r>
            <w:instrText xml:space="preserve"> HYPERLINK \l _Toc4478 </w:instrText>
          </w:r>
          <w:r>
            <w:fldChar w:fldCharType="separate"/>
          </w:r>
          <w:r>
            <w:rPr>
              <w:rFonts w:hint="eastAsia"/>
            </w:rPr>
            <w:t xml:space="preserve">5.1 </w:t>
          </w:r>
          <w:r>
            <w:t>报告期内本基金托管人遵规守信情况声明</w:t>
          </w:r>
          <w:r>
            <w:tab/>
          </w:r>
          <w:r>
            <w:fldChar w:fldCharType="begin"/>
          </w:r>
          <w:r>
            <w:instrText xml:space="preserve"> PAGEREF _Toc4478 \h </w:instrText>
          </w:r>
          <w:r>
            <w:fldChar w:fldCharType="separate"/>
          </w:r>
          <w:r>
            <w:t>19</w:t>
          </w:r>
          <w:r>
            <w:fldChar w:fldCharType="end"/>
          </w:r>
          <w:r>
            <w:fldChar w:fldCharType="end"/>
          </w:r>
        </w:p>
        <w:p w14:paraId="498FC7EB">
          <w:pPr>
            <w:pStyle w:val="10"/>
            <w:tabs>
              <w:tab w:val="right" w:leader="dot" w:pos="8306"/>
            </w:tabs>
          </w:pPr>
          <w:r>
            <w:fldChar w:fldCharType="begin"/>
          </w:r>
          <w:r>
            <w:instrText xml:space="preserve"> HYPERLINK \l _Toc22274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_Toc22274 \h </w:instrText>
          </w:r>
          <w:r>
            <w:fldChar w:fldCharType="separate"/>
          </w:r>
          <w:r>
            <w:t>19</w:t>
          </w:r>
          <w:r>
            <w:fldChar w:fldCharType="end"/>
          </w:r>
          <w:r>
            <w:fldChar w:fldCharType="end"/>
          </w:r>
        </w:p>
        <w:p w14:paraId="181610A8">
          <w:pPr>
            <w:pStyle w:val="10"/>
            <w:tabs>
              <w:tab w:val="right" w:leader="dot" w:pos="8306"/>
            </w:tabs>
          </w:pPr>
          <w:r>
            <w:fldChar w:fldCharType="begin"/>
          </w:r>
          <w:r>
            <w:instrText xml:space="preserve"> HYPERLINK \l _Toc13683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_Toc13683 \h </w:instrText>
          </w:r>
          <w:r>
            <w:fldChar w:fldCharType="separate"/>
          </w:r>
          <w:r>
            <w:t>19</w:t>
          </w:r>
          <w:r>
            <w:fldChar w:fldCharType="end"/>
          </w:r>
          <w:r>
            <w:fldChar w:fldCharType="end"/>
          </w:r>
        </w:p>
        <w:p w14:paraId="09801D1D">
          <w:pPr>
            <w:pStyle w:val="8"/>
            <w:tabs>
              <w:tab w:val="right" w:leader="dot" w:pos="8306"/>
            </w:tabs>
          </w:pPr>
          <w:r>
            <w:fldChar w:fldCharType="begin"/>
          </w:r>
          <w:r>
            <w:instrText xml:space="preserve"> HYPERLINK \l _Toc32728 </w:instrText>
          </w:r>
          <w:r>
            <w:fldChar w:fldCharType="separate"/>
          </w:r>
          <w:r>
            <w:rPr>
              <w:rFonts w:hint="eastAsia"/>
            </w:rPr>
            <w:t xml:space="preserve">§6 </w:t>
          </w:r>
          <w:r>
            <w:t>审计报告</w:t>
          </w:r>
          <w:r>
            <w:tab/>
          </w:r>
          <w:r>
            <w:fldChar w:fldCharType="begin"/>
          </w:r>
          <w:r>
            <w:instrText xml:space="preserve"> PAGEREF _Toc32728 \h </w:instrText>
          </w:r>
          <w:r>
            <w:fldChar w:fldCharType="separate"/>
          </w:r>
          <w:r>
            <w:t>20</w:t>
          </w:r>
          <w:r>
            <w:fldChar w:fldCharType="end"/>
          </w:r>
          <w:r>
            <w:fldChar w:fldCharType="end"/>
          </w:r>
        </w:p>
        <w:p w14:paraId="150CB504">
          <w:pPr>
            <w:pStyle w:val="10"/>
            <w:tabs>
              <w:tab w:val="right" w:leader="dot" w:pos="8306"/>
            </w:tabs>
          </w:pPr>
          <w:r>
            <w:fldChar w:fldCharType="begin"/>
          </w:r>
          <w:r>
            <w:instrText xml:space="preserve"> HYPERLINK \l _Toc22380 </w:instrText>
          </w:r>
          <w:r>
            <w:fldChar w:fldCharType="separate"/>
          </w:r>
          <w:r>
            <w:rPr>
              <w:rFonts w:hint="eastAsia"/>
            </w:rPr>
            <w:t xml:space="preserve">6.1 </w:t>
          </w:r>
          <w:r>
            <w:t>审计报告基本信息</w:t>
          </w:r>
          <w:r>
            <w:tab/>
          </w:r>
          <w:r>
            <w:fldChar w:fldCharType="begin"/>
          </w:r>
          <w:r>
            <w:instrText xml:space="preserve"> PAGEREF _Toc22380 \h </w:instrText>
          </w:r>
          <w:r>
            <w:fldChar w:fldCharType="separate"/>
          </w:r>
          <w:r>
            <w:t>20</w:t>
          </w:r>
          <w:r>
            <w:fldChar w:fldCharType="end"/>
          </w:r>
          <w:r>
            <w:fldChar w:fldCharType="end"/>
          </w:r>
        </w:p>
        <w:p w14:paraId="11605771">
          <w:pPr>
            <w:pStyle w:val="10"/>
            <w:tabs>
              <w:tab w:val="right" w:leader="dot" w:pos="8306"/>
            </w:tabs>
          </w:pPr>
          <w:r>
            <w:fldChar w:fldCharType="begin"/>
          </w:r>
          <w:r>
            <w:instrText xml:space="preserve"> HYPERLINK \l _Toc13459 </w:instrText>
          </w:r>
          <w:r>
            <w:fldChar w:fldCharType="separate"/>
          </w:r>
          <w:r>
            <w:rPr>
              <w:rFonts w:hint="eastAsia"/>
            </w:rPr>
            <w:t xml:space="preserve">6.2 </w:t>
          </w:r>
          <w:r>
            <w:t>审计报告的基本内容</w:t>
          </w:r>
          <w:r>
            <w:tab/>
          </w:r>
          <w:r>
            <w:fldChar w:fldCharType="begin"/>
          </w:r>
          <w:r>
            <w:instrText xml:space="preserve"> PAGEREF _Toc13459 \h </w:instrText>
          </w:r>
          <w:r>
            <w:fldChar w:fldCharType="separate"/>
          </w:r>
          <w:r>
            <w:t>20</w:t>
          </w:r>
          <w:r>
            <w:fldChar w:fldCharType="end"/>
          </w:r>
          <w:r>
            <w:fldChar w:fldCharType="end"/>
          </w:r>
        </w:p>
        <w:p w14:paraId="13D1E01D">
          <w:pPr>
            <w:pStyle w:val="8"/>
            <w:tabs>
              <w:tab w:val="right" w:leader="dot" w:pos="8306"/>
            </w:tabs>
          </w:pPr>
          <w:r>
            <w:fldChar w:fldCharType="begin"/>
          </w:r>
          <w:r>
            <w:instrText xml:space="preserve"> HYPERLINK \l _Toc6373 </w:instrText>
          </w:r>
          <w:r>
            <w:fldChar w:fldCharType="separate"/>
          </w:r>
          <w:r>
            <w:rPr>
              <w:rFonts w:hint="eastAsia"/>
            </w:rPr>
            <w:t xml:space="preserve">§7 </w:t>
          </w:r>
          <w:r>
            <w:t>年度财务报表</w:t>
          </w:r>
          <w:r>
            <w:tab/>
          </w:r>
          <w:r>
            <w:fldChar w:fldCharType="begin"/>
          </w:r>
          <w:r>
            <w:instrText xml:space="preserve"> PAGEREF _Toc6373 \h </w:instrText>
          </w:r>
          <w:r>
            <w:fldChar w:fldCharType="separate"/>
          </w:r>
          <w:r>
            <w:t>22</w:t>
          </w:r>
          <w:r>
            <w:fldChar w:fldCharType="end"/>
          </w:r>
          <w:r>
            <w:fldChar w:fldCharType="end"/>
          </w:r>
        </w:p>
        <w:p w14:paraId="14AF87D9">
          <w:pPr>
            <w:pStyle w:val="10"/>
            <w:tabs>
              <w:tab w:val="right" w:leader="dot" w:pos="8306"/>
            </w:tabs>
          </w:pPr>
          <w:r>
            <w:fldChar w:fldCharType="begin"/>
          </w:r>
          <w:r>
            <w:instrText xml:space="preserve"> HYPERLINK \l _Toc16972 </w:instrText>
          </w:r>
          <w:r>
            <w:fldChar w:fldCharType="separate"/>
          </w:r>
          <w:r>
            <w:rPr>
              <w:rFonts w:hint="eastAsia"/>
            </w:rPr>
            <w:t xml:space="preserve">7.1 </w:t>
          </w:r>
          <w:r>
            <w:t>资产负债表</w:t>
          </w:r>
          <w:r>
            <w:tab/>
          </w:r>
          <w:r>
            <w:fldChar w:fldCharType="begin"/>
          </w:r>
          <w:r>
            <w:instrText xml:space="preserve"> PAGEREF _Toc16972 \h </w:instrText>
          </w:r>
          <w:r>
            <w:fldChar w:fldCharType="separate"/>
          </w:r>
          <w:r>
            <w:t>22</w:t>
          </w:r>
          <w:r>
            <w:fldChar w:fldCharType="end"/>
          </w:r>
          <w:r>
            <w:fldChar w:fldCharType="end"/>
          </w:r>
        </w:p>
        <w:p w14:paraId="3285ADB8">
          <w:pPr>
            <w:pStyle w:val="10"/>
            <w:tabs>
              <w:tab w:val="right" w:leader="dot" w:pos="8306"/>
            </w:tabs>
          </w:pPr>
          <w:r>
            <w:fldChar w:fldCharType="begin"/>
          </w:r>
          <w:r>
            <w:instrText xml:space="preserve"> HYPERLINK \l _Toc9714 </w:instrText>
          </w:r>
          <w:r>
            <w:fldChar w:fldCharType="separate"/>
          </w:r>
          <w:r>
            <w:rPr>
              <w:rFonts w:hint="eastAsia"/>
            </w:rPr>
            <w:t xml:space="preserve">7.2 </w:t>
          </w:r>
          <w:r>
            <w:t>利润表</w:t>
          </w:r>
          <w:r>
            <w:tab/>
          </w:r>
          <w:r>
            <w:fldChar w:fldCharType="begin"/>
          </w:r>
          <w:r>
            <w:instrText xml:space="preserve"> PAGEREF _Toc9714 \h </w:instrText>
          </w:r>
          <w:r>
            <w:fldChar w:fldCharType="separate"/>
          </w:r>
          <w:r>
            <w:t>23</w:t>
          </w:r>
          <w:r>
            <w:fldChar w:fldCharType="end"/>
          </w:r>
          <w:r>
            <w:fldChar w:fldCharType="end"/>
          </w:r>
        </w:p>
        <w:p w14:paraId="12BC0BA1">
          <w:pPr>
            <w:pStyle w:val="10"/>
            <w:tabs>
              <w:tab w:val="right" w:leader="dot" w:pos="8306"/>
            </w:tabs>
          </w:pPr>
          <w:r>
            <w:fldChar w:fldCharType="begin"/>
          </w:r>
          <w:r>
            <w:instrText xml:space="preserve"> HYPERLINK \l _Toc29340 </w:instrText>
          </w:r>
          <w:r>
            <w:fldChar w:fldCharType="separate"/>
          </w:r>
          <w:r>
            <w:rPr>
              <w:rFonts w:hint="eastAsia"/>
            </w:rPr>
            <w:t xml:space="preserve">7.3 </w:t>
          </w:r>
          <w:r>
            <w:t>净资产变动表</w:t>
          </w:r>
          <w:r>
            <w:tab/>
          </w:r>
          <w:r>
            <w:fldChar w:fldCharType="begin"/>
          </w:r>
          <w:r>
            <w:instrText xml:space="preserve"> PAGEREF _Toc29340 \h </w:instrText>
          </w:r>
          <w:r>
            <w:fldChar w:fldCharType="separate"/>
          </w:r>
          <w:r>
            <w:t>25</w:t>
          </w:r>
          <w:r>
            <w:fldChar w:fldCharType="end"/>
          </w:r>
          <w:r>
            <w:fldChar w:fldCharType="end"/>
          </w:r>
        </w:p>
        <w:p w14:paraId="3EB7AB09">
          <w:pPr>
            <w:pStyle w:val="10"/>
            <w:tabs>
              <w:tab w:val="right" w:leader="dot" w:pos="8306"/>
            </w:tabs>
          </w:pPr>
          <w:r>
            <w:fldChar w:fldCharType="begin"/>
          </w:r>
          <w:r>
            <w:instrText xml:space="preserve"> HYPERLINK \l _Toc8252 </w:instrText>
          </w:r>
          <w:r>
            <w:fldChar w:fldCharType="separate"/>
          </w:r>
          <w:r>
            <w:rPr>
              <w:rFonts w:hint="eastAsia"/>
            </w:rPr>
            <w:t xml:space="preserve">7.4 </w:t>
          </w:r>
          <w:r>
            <w:t>报表附注</w:t>
          </w:r>
          <w:r>
            <w:tab/>
          </w:r>
          <w:r>
            <w:fldChar w:fldCharType="begin"/>
          </w:r>
          <w:r>
            <w:instrText xml:space="preserve"> PAGEREF _Toc8252 \h </w:instrText>
          </w:r>
          <w:r>
            <w:fldChar w:fldCharType="separate"/>
          </w:r>
          <w:r>
            <w:t>27</w:t>
          </w:r>
          <w:r>
            <w:fldChar w:fldCharType="end"/>
          </w:r>
          <w:r>
            <w:fldChar w:fldCharType="end"/>
          </w:r>
        </w:p>
        <w:p w14:paraId="5166F9A2">
          <w:pPr>
            <w:pStyle w:val="8"/>
            <w:tabs>
              <w:tab w:val="right" w:leader="dot" w:pos="8306"/>
            </w:tabs>
          </w:pPr>
          <w:r>
            <w:fldChar w:fldCharType="begin"/>
          </w:r>
          <w:r>
            <w:instrText xml:space="preserve"> HYPERLINK \l _Toc11575 </w:instrText>
          </w:r>
          <w:r>
            <w:fldChar w:fldCharType="separate"/>
          </w:r>
          <w:r>
            <w:rPr>
              <w:rFonts w:hint="eastAsia"/>
            </w:rPr>
            <w:t xml:space="preserve">§8 </w:t>
          </w:r>
          <w:r>
            <w:t>投资组合报告</w:t>
          </w:r>
          <w:r>
            <w:tab/>
          </w:r>
          <w:r>
            <w:fldChar w:fldCharType="begin"/>
          </w:r>
          <w:r>
            <w:instrText xml:space="preserve"> PAGEREF _Toc11575 \h </w:instrText>
          </w:r>
          <w:r>
            <w:fldChar w:fldCharType="separate"/>
          </w:r>
          <w:r>
            <w:t>55</w:t>
          </w:r>
          <w:r>
            <w:fldChar w:fldCharType="end"/>
          </w:r>
          <w:r>
            <w:fldChar w:fldCharType="end"/>
          </w:r>
        </w:p>
        <w:p w14:paraId="49E7EFC3">
          <w:pPr>
            <w:pStyle w:val="10"/>
            <w:tabs>
              <w:tab w:val="right" w:leader="dot" w:pos="8306"/>
            </w:tabs>
          </w:pPr>
          <w:r>
            <w:fldChar w:fldCharType="begin"/>
          </w:r>
          <w:r>
            <w:instrText xml:space="preserve"> HYPERLINK \l _Toc4773 </w:instrText>
          </w:r>
          <w:r>
            <w:fldChar w:fldCharType="separate"/>
          </w:r>
          <w:r>
            <w:rPr>
              <w:rFonts w:hint="eastAsia"/>
            </w:rPr>
            <w:t xml:space="preserve">8.1 </w:t>
          </w:r>
          <w:r>
            <w:t>期末基金资产组合情况</w:t>
          </w:r>
          <w:r>
            <w:tab/>
          </w:r>
          <w:r>
            <w:fldChar w:fldCharType="begin"/>
          </w:r>
          <w:r>
            <w:instrText xml:space="preserve"> PAGEREF _Toc4773 \h </w:instrText>
          </w:r>
          <w:r>
            <w:fldChar w:fldCharType="separate"/>
          </w:r>
          <w:r>
            <w:t>55</w:t>
          </w:r>
          <w:r>
            <w:fldChar w:fldCharType="end"/>
          </w:r>
          <w:r>
            <w:fldChar w:fldCharType="end"/>
          </w:r>
        </w:p>
        <w:p w14:paraId="37A34B30">
          <w:pPr>
            <w:pStyle w:val="10"/>
            <w:tabs>
              <w:tab w:val="right" w:leader="dot" w:pos="8306"/>
            </w:tabs>
          </w:pPr>
          <w:r>
            <w:fldChar w:fldCharType="begin"/>
          </w:r>
          <w:r>
            <w:instrText xml:space="preserve"> HYPERLINK \l _Toc4971 </w:instrText>
          </w:r>
          <w:r>
            <w:fldChar w:fldCharType="separate"/>
          </w:r>
          <w:r>
            <w:rPr>
              <w:rFonts w:hint="eastAsia"/>
            </w:rPr>
            <w:t xml:space="preserve">8.2 </w:t>
          </w:r>
          <w:r>
            <w:t>期末在各个国家（地区）证券市场的权益投资分布</w:t>
          </w:r>
          <w:r>
            <w:tab/>
          </w:r>
          <w:r>
            <w:fldChar w:fldCharType="begin"/>
          </w:r>
          <w:r>
            <w:instrText xml:space="preserve"> PAGEREF _Toc4971 \h </w:instrText>
          </w:r>
          <w:r>
            <w:fldChar w:fldCharType="separate"/>
          </w:r>
          <w:r>
            <w:t>56</w:t>
          </w:r>
          <w:r>
            <w:fldChar w:fldCharType="end"/>
          </w:r>
          <w:r>
            <w:fldChar w:fldCharType="end"/>
          </w:r>
        </w:p>
        <w:p w14:paraId="5D752FD8">
          <w:pPr>
            <w:pStyle w:val="10"/>
            <w:tabs>
              <w:tab w:val="right" w:leader="dot" w:pos="8306"/>
            </w:tabs>
          </w:pPr>
          <w:r>
            <w:fldChar w:fldCharType="begin"/>
          </w:r>
          <w:r>
            <w:instrText xml:space="preserve"> HYPERLINK \l _Toc15193 </w:instrText>
          </w:r>
          <w:r>
            <w:fldChar w:fldCharType="separate"/>
          </w:r>
          <w:r>
            <w:rPr>
              <w:rFonts w:hint="eastAsia"/>
            </w:rPr>
            <w:t xml:space="preserve">8.3 </w:t>
          </w:r>
          <w:r>
            <w:t>期末按行业分类的权益投资组合</w:t>
          </w:r>
          <w:r>
            <w:tab/>
          </w:r>
          <w:r>
            <w:fldChar w:fldCharType="begin"/>
          </w:r>
          <w:r>
            <w:instrText xml:space="preserve"> PAGEREF _Toc15193 \h </w:instrText>
          </w:r>
          <w:r>
            <w:fldChar w:fldCharType="separate"/>
          </w:r>
          <w:r>
            <w:t>56</w:t>
          </w:r>
          <w:r>
            <w:fldChar w:fldCharType="end"/>
          </w:r>
          <w:r>
            <w:fldChar w:fldCharType="end"/>
          </w:r>
        </w:p>
        <w:p w14:paraId="03E7E38F">
          <w:pPr>
            <w:pStyle w:val="10"/>
            <w:tabs>
              <w:tab w:val="right" w:leader="dot" w:pos="8306"/>
            </w:tabs>
          </w:pPr>
          <w:r>
            <w:fldChar w:fldCharType="begin"/>
          </w:r>
          <w:r>
            <w:instrText xml:space="preserve"> HYPERLINK \l _Toc19587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_Toc19587 \h </w:instrText>
          </w:r>
          <w:r>
            <w:fldChar w:fldCharType="separate"/>
          </w:r>
          <w:r>
            <w:t>56</w:t>
          </w:r>
          <w:r>
            <w:fldChar w:fldCharType="end"/>
          </w:r>
          <w:r>
            <w:fldChar w:fldCharType="end"/>
          </w:r>
        </w:p>
        <w:p w14:paraId="19729AC0">
          <w:pPr>
            <w:pStyle w:val="10"/>
            <w:tabs>
              <w:tab w:val="right" w:leader="dot" w:pos="8306"/>
            </w:tabs>
          </w:pPr>
          <w:r>
            <w:fldChar w:fldCharType="begin"/>
          </w:r>
          <w:r>
            <w:instrText xml:space="preserve"> HYPERLINK \l _Toc10004 </w:instrText>
          </w:r>
          <w:r>
            <w:fldChar w:fldCharType="separate"/>
          </w:r>
          <w:r>
            <w:rPr>
              <w:rFonts w:hint="eastAsia"/>
            </w:rPr>
            <w:t xml:space="preserve">8.5 </w:t>
          </w:r>
          <w:r>
            <w:t>报告期内权益投资组合的重大变动</w:t>
          </w:r>
          <w:r>
            <w:tab/>
          </w:r>
          <w:r>
            <w:fldChar w:fldCharType="begin"/>
          </w:r>
          <w:r>
            <w:instrText xml:space="preserve"> PAGEREF _Toc10004 \h </w:instrText>
          </w:r>
          <w:r>
            <w:fldChar w:fldCharType="separate"/>
          </w:r>
          <w:r>
            <w:t>56</w:t>
          </w:r>
          <w:r>
            <w:fldChar w:fldCharType="end"/>
          </w:r>
          <w:r>
            <w:fldChar w:fldCharType="end"/>
          </w:r>
        </w:p>
        <w:p w14:paraId="1E9CCE6D">
          <w:pPr>
            <w:pStyle w:val="10"/>
            <w:tabs>
              <w:tab w:val="right" w:leader="dot" w:pos="8306"/>
            </w:tabs>
          </w:pPr>
          <w:r>
            <w:fldChar w:fldCharType="begin"/>
          </w:r>
          <w:r>
            <w:instrText xml:space="preserve"> HYPERLINK \l _Toc12899 </w:instrText>
          </w:r>
          <w:r>
            <w:fldChar w:fldCharType="separate"/>
          </w:r>
          <w:r>
            <w:rPr>
              <w:rFonts w:hint="eastAsia"/>
            </w:rPr>
            <w:t xml:space="preserve">8.6 </w:t>
          </w:r>
          <w:r>
            <w:t>期末按债券信用等级分类的债券投资组合</w:t>
          </w:r>
          <w:r>
            <w:tab/>
          </w:r>
          <w:r>
            <w:fldChar w:fldCharType="begin"/>
          </w:r>
          <w:r>
            <w:instrText xml:space="preserve"> PAGEREF _Toc12899 \h </w:instrText>
          </w:r>
          <w:r>
            <w:fldChar w:fldCharType="separate"/>
          </w:r>
          <w:r>
            <w:t>57</w:t>
          </w:r>
          <w:r>
            <w:fldChar w:fldCharType="end"/>
          </w:r>
          <w:r>
            <w:fldChar w:fldCharType="end"/>
          </w:r>
        </w:p>
        <w:p w14:paraId="02CCAAC4">
          <w:pPr>
            <w:pStyle w:val="10"/>
            <w:tabs>
              <w:tab w:val="right" w:leader="dot" w:pos="8306"/>
            </w:tabs>
          </w:pPr>
          <w:r>
            <w:fldChar w:fldCharType="begin"/>
          </w:r>
          <w:r>
            <w:instrText xml:space="preserve"> HYPERLINK \l _Toc12257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_Toc12257 \h </w:instrText>
          </w:r>
          <w:r>
            <w:fldChar w:fldCharType="separate"/>
          </w:r>
          <w:r>
            <w:t>57</w:t>
          </w:r>
          <w:r>
            <w:fldChar w:fldCharType="end"/>
          </w:r>
          <w:r>
            <w:fldChar w:fldCharType="end"/>
          </w:r>
        </w:p>
        <w:p w14:paraId="3182C6A5">
          <w:pPr>
            <w:pStyle w:val="10"/>
            <w:tabs>
              <w:tab w:val="right" w:leader="dot" w:pos="8306"/>
            </w:tabs>
          </w:pPr>
          <w:r>
            <w:fldChar w:fldCharType="begin"/>
          </w:r>
          <w:r>
            <w:instrText xml:space="preserve"> HYPERLINK \l _Toc18387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_Toc18387 \h </w:instrText>
          </w:r>
          <w:r>
            <w:fldChar w:fldCharType="separate"/>
          </w:r>
          <w:r>
            <w:t>57</w:t>
          </w:r>
          <w:r>
            <w:fldChar w:fldCharType="end"/>
          </w:r>
          <w:r>
            <w:fldChar w:fldCharType="end"/>
          </w:r>
        </w:p>
        <w:p w14:paraId="70134E8F">
          <w:pPr>
            <w:pStyle w:val="10"/>
            <w:tabs>
              <w:tab w:val="right" w:leader="dot" w:pos="8306"/>
            </w:tabs>
          </w:pPr>
          <w:r>
            <w:fldChar w:fldCharType="begin"/>
          </w:r>
          <w:r>
            <w:instrText xml:space="preserve"> HYPERLINK \l _Toc17066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_Toc17066 \h </w:instrText>
          </w:r>
          <w:r>
            <w:fldChar w:fldCharType="separate"/>
          </w:r>
          <w:r>
            <w:t>57</w:t>
          </w:r>
          <w:r>
            <w:fldChar w:fldCharType="end"/>
          </w:r>
          <w:r>
            <w:fldChar w:fldCharType="end"/>
          </w:r>
        </w:p>
        <w:p w14:paraId="1FBB6A28">
          <w:pPr>
            <w:pStyle w:val="10"/>
            <w:tabs>
              <w:tab w:val="right" w:leader="dot" w:pos="8306"/>
            </w:tabs>
          </w:pPr>
          <w:r>
            <w:fldChar w:fldCharType="begin"/>
          </w:r>
          <w:r>
            <w:instrText xml:space="preserve"> HYPERLINK \l _Toc28242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_Toc28242 \h </w:instrText>
          </w:r>
          <w:r>
            <w:fldChar w:fldCharType="separate"/>
          </w:r>
          <w:r>
            <w:t>57</w:t>
          </w:r>
          <w:r>
            <w:fldChar w:fldCharType="end"/>
          </w:r>
          <w:r>
            <w:fldChar w:fldCharType="end"/>
          </w:r>
        </w:p>
        <w:p w14:paraId="7EDED1BC">
          <w:pPr>
            <w:pStyle w:val="10"/>
            <w:tabs>
              <w:tab w:val="right" w:leader="dot" w:pos="8306"/>
            </w:tabs>
          </w:pPr>
          <w:r>
            <w:fldChar w:fldCharType="begin"/>
          </w:r>
          <w:r>
            <w:instrText xml:space="preserve"> HYPERLINK \l _Toc10817 </w:instrText>
          </w:r>
          <w:r>
            <w:fldChar w:fldCharType="separate"/>
          </w:r>
          <w:r>
            <w:rPr>
              <w:rFonts w:hint="eastAsia"/>
            </w:rPr>
            <w:t xml:space="preserve">8.11 </w:t>
          </w:r>
          <w:r>
            <w:t>投资组合报告附注</w:t>
          </w:r>
          <w:r>
            <w:tab/>
          </w:r>
          <w:r>
            <w:fldChar w:fldCharType="begin"/>
          </w:r>
          <w:r>
            <w:instrText xml:space="preserve"> PAGEREF _Toc10817 \h </w:instrText>
          </w:r>
          <w:r>
            <w:fldChar w:fldCharType="separate"/>
          </w:r>
          <w:r>
            <w:t>58</w:t>
          </w:r>
          <w:r>
            <w:fldChar w:fldCharType="end"/>
          </w:r>
          <w:r>
            <w:fldChar w:fldCharType="end"/>
          </w:r>
        </w:p>
        <w:p w14:paraId="3D12AB7E">
          <w:pPr>
            <w:pStyle w:val="8"/>
            <w:tabs>
              <w:tab w:val="right" w:leader="dot" w:pos="8306"/>
            </w:tabs>
          </w:pPr>
          <w:r>
            <w:fldChar w:fldCharType="begin"/>
          </w:r>
          <w:r>
            <w:instrText xml:space="preserve"> HYPERLINK \l _Toc16241 </w:instrText>
          </w:r>
          <w:r>
            <w:fldChar w:fldCharType="separate"/>
          </w:r>
          <w:r>
            <w:rPr>
              <w:rFonts w:hint="eastAsia"/>
            </w:rPr>
            <w:t xml:space="preserve">§9 </w:t>
          </w:r>
          <w:r>
            <w:t>基金份额持有人信息</w:t>
          </w:r>
          <w:r>
            <w:tab/>
          </w:r>
          <w:r>
            <w:fldChar w:fldCharType="begin"/>
          </w:r>
          <w:r>
            <w:instrText xml:space="preserve"> PAGEREF _Toc16241 \h </w:instrText>
          </w:r>
          <w:r>
            <w:fldChar w:fldCharType="separate"/>
          </w:r>
          <w:r>
            <w:t>58</w:t>
          </w:r>
          <w:r>
            <w:fldChar w:fldCharType="end"/>
          </w:r>
          <w:r>
            <w:fldChar w:fldCharType="end"/>
          </w:r>
        </w:p>
        <w:p w14:paraId="2192A897">
          <w:pPr>
            <w:pStyle w:val="10"/>
            <w:tabs>
              <w:tab w:val="right" w:leader="dot" w:pos="8306"/>
            </w:tabs>
          </w:pPr>
          <w:r>
            <w:fldChar w:fldCharType="begin"/>
          </w:r>
          <w:r>
            <w:instrText xml:space="preserve"> HYPERLINK \l _Toc21462 </w:instrText>
          </w:r>
          <w:r>
            <w:fldChar w:fldCharType="separate"/>
          </w:r>
          <w:r>
            <w:rPr>
              <w:rFonts w:hint="eastAsia"/>
            </w:rPr>
            <w:t xml:space="preserve">9.1 </w:t>
          </w:r>
          <w:r>
            <w:t>期末基金份额持有人户数及持有人结构</w:t>
          </w:r>
          <w:r>
            <w:tab/>
          </w:r>
          <w:r>
            <w:fldChar w:fldCharType="begin"/>
          </w:r>
          <w:r>
            <w:instrText xml:space="preserve"> PAGEREF _Toc21462 \h </w:instrText>
          </w:r>
          <w:r>
            <w:fldChar w:fldCharType="separate"/>
          </w:r>
          <w:r>
            <w:t>58</w:t>
          </w:r>
          <w:r>
            <w:fldChar w:fldCharType="end"/>
          </w:r>
          <w:r>
            <w:fldChar w:fldCharType="end"/>
          </w:r>
        </w:p>
        <w:p w14:paraId="469AAE9D">
          <w:pPr>
            <w:pStyle w:val="10"/>
            <w:tabs>
              <w:tab w:val="right" w:leader="dot" w:pos="8306"/>
            </w:tabs>
          </w:pPr>
          <w:r>
            <w:fldChar w:fldCharType="begin"/>
          </w:r>
          <w:r>
            <w:instrText xml:space="preserve"> HYPERLINK \l _Toc19966 </w:instrText>
          </w:r>
          <w:r>
            <w:fldChar w:fldCharType="separate"/>
          </w:r>
          <w:r>
            <w:rPr>
              <w:rFonts w:hint="eastAsia"/>
            </w:rPr>
            <w:t xml:space="preserve">9.2 </w:t>
          </w:r>
          <w:r>
            <w:t>期末基金管理人的从业人员持有本基金的情况</w:t>
          </w:r>
          <w:r>
            <w:tab/>
          </w:r>
          <w:r>
            <w:fldChar w:fldCharType="begin"/>
          </w:r>
          <w:r>
            <w:instrText xml:space="preserve"> PAGEREF _Toc19966 \h </w:instrText>
          </w:r>
          <w:r>
            <w:fldChar w:fldCharType="separate"/>
          </w:r>
          <w:r>
            <w:t>59</w:t>
          </w:r>
          <w:r>
            <w:fldChar w:fldCharType="end"/>
          </w:r>
          <w:r>
            <w:fldChar w:fldCharType="end"/>
          </w:r>
        </w:p>
        <w:p w14:paraId="001E7421">
          <w:pPr>
            <w:pStyle w:val="10"/>
            <w:tabs>
              <w:tab w:val="right" w:leader="dot" w:pos="8306"/>
            </w:tabs>
          </w:pPr>
          <w:r>
            <w:fldChar w:fldCharType="begin"/>
          </w:r>
          <w:r>
            <w:instrText xml:space="preserve"> HYPERLINK \l _Toc24560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_Toc24560 \h </w:instrText>
          </w:r>
          <w:r>
            <w:fldChar w:fldCharType="separate"/>
          </w:r>
          <w:r>
            <w:t>59</w:t>
          </w:r>
          <w:r>
            <w:fldChar w:fldCharType="end"/>
          </w:r>
          <w:r>
            <w:fldChar w:fldCharType="end"/>
          </w:r>
        </w:p>
        <w:p w14:paraId="6B95F0F9">
          <w:pPr>
            <w:pStyle w:val="10"/>
            <w:tabs>
              <w:tab w:val="right" w:leader="dot" w:pos="8306"/>
            </w:tabs>
          </w:pPr>
          <w:r>
            <w:fldChar w:fldCharType="begin"/>
          </w:r>
          <w:r>
            <w:instrText xml:space="preserve"> HYPERLINK \l _Toc30087 </w:instrText>
          </w:r>
          <w:r>
            <w:fldChar w:fldCharType="separate"/>
          </w:r>
          <w:r>
            <w:rPr>
              <w:rFonts w:hint="eastAsia"/>
            </w:rPr>
            <w:t xml:space="preserve">9.4 </w:t>
          </w:r>
          <w:r>
            <w:t>报告期末发起式基金发起资金持有份额情况</w:t>
          </w:r>
          <w:r>
            <w:tab/>
          </w:r>
          <w:r>
            <w:fldChar w:fldCharType="begin"/>
          </w:r>
          <w:r>
            <w:instrText xml:space="preserve"> PAGEREF _Toc30087 \h </w:instrText>
          </w:r>
          <w:r>
            <w:fldChar w:fldCharType="separate"/>
          </w:r>
          <w:r>
            <w:t>60</w:t>
          </w:r>
          <w:r>
            <w:fldChar w:fldCharType="end"/>
          </w:r>
          <w:r>
            <w:fldChar w:fldCharType="end"/>
          </w:r>
        </w:p>
        <w:p w14:paraId="69A07E0D">
          <w:pPr>
            <w:pStyle w:val="8"/>
            <w:tabs>
              <w:tab w:val="right" w:leader="dot" w:pos="8306"/>
            </w:tabs>
          </w:pPr>
          <w:r>
            <w:fldChar w:fldCharType="begin"/>
          </w:r>
          <w:r>
            <w:instrText xml:space="preserve"> HYPERLINK \l _Toc11368 </w:instrText>
          </w:r>
          <w:r>
            <w:fldChar w:fldCharType="separate"/>
          </w:r>
          <w:r>
            <w:rPr>
              <w:rFonts w:hint="eastAsia"/>
            </w:rPr>
            <w:t xml:space="preserve">§10 </w:t>
          </w:r>
          <w:r>
            <w:t>开放式基金份额变动</w:t>
          </w:r>
          <w:r>
            <w:tab/>
          </w:r>
          <w:r>
            <w:fldChar w:fldCharType="begin"/>
          </w:r>
          <w:r>
            <w:instrText xml:space="preserve"> PAGEREF _Toc11368 \h </w:instrText>
          </w:r>
          <w:r>
            <w:fldChar w:fldCharType="separate"/>
          </w:r>
          <w:r>
            <w:t>60</w:t>
          </w:r>
          <w:r>
            <w:fldChar w:fldCharType="end"/>
          </w:r>
          <w:r>
            <w:fldChar w:fldCharType="end"/>
          </w:r>
        </w:p>
        <w:p w14:paraId="4CA78064">
          <w:pPr>
            <w:pStyle w:val="8"/>
            <w:tabs>
              <w:tab w:val="right" w:leader="dot" w:pos="8306"/>
            </w:tabs>
          </w:pPr>
          <w:r>
            <w:fldChar w:fldCharType="begin"/>
          </w:r>
          <w:r>
            <w:instrText xml:space="preserve"> HYPERLINK \l _Toc21249 </w:instrText>
          </w:r>
          <w:r>
            <w:fldChar w:fldCharType="separate"/>
          </w:r>
          <w:r>
            <w:rPr>
              <w:rFonts w:hint="eastAsia"/>
            </w:rPr>
            <w:t xml:space="preserve">§11 </w:t>
          </w:r>
          <w:r>
            <w:t>重大事件揭示</w:t>
          </w:r>
          <w:r>
            <w:tab/>
          </w:r>
          <w:r>
            <w:fldChar w:fldCharType="begin"/>
          </w:r>
          <w:r>
            <w:instrText xml:space="preserve"> PAGEREF _Toc21249 \h </w:instrText>
          </w:r>
          <w:r>
            <w:fldChar w:fldCharType="separate"/>
          </w:r>
          <w:r>
            <w:t>61</w:t>
          </w:r>
          <w:r>
            <w:fldChar w:fldCharType="end"/>
          </w:r>
          <w:r>
            <w:fldChar w:fldCharType="end"/>
          </w:r>
        </w:p>
        <w:p w14:paraId="5FC46FCD">
          <w:pPr>
            <w:pStyle w:val="10"/>
            <w:tabs>
              <w:tab w:val="right" w:leader="dot" w:pos="8306"/>
            </w:tabs>
          </w:pPr>
          <w:r>
            <w:fldChar w:fldCharType="begin"/>
          </w:r>
          <w:r>
            <w:instrText xml:space="preserve"> HYPERLINK \l _Toc9972 </w:instrText>
          </w:r>
          <w:r>
            <w:fldChar w:fldCharType="separate"/>
          </w:r>
          <w:r>
            <w:rPr>
              <w:rFonts w:hint="eastAsia"/>
            </w:rPr>
            <w:t xml:space="preserve">11.1 </w:t>
          </w:r>
          <w:r>
            <w:t>基金份额持有人大会决议</w:t>
          </w:r>
          <w:r>
            <w:tab/>
          </w:r>
          <w:r>
            <w:fldChar w:fldCharType="begin"/>
          </w:r>
          <w:r>
            <w:instrText xml:space="preserve"> PAGEREF _Toc9972 \h </w:instrText>
          </w:r>
          <w:r>
            <w:fldChar w:fldCharType="separate"/>
          </w:r>
          <w:r>
            <w:t>61</w:t>
          </w:r>
          <w:r>
            <w:fldChar w:fldCharType="end"/>
          </w:r>
          <w:r>
            <w:fldChar w:fldCharType="end"/>
          </w:r>
        </w:p>
        <w:p w14:paraId="581D1B84">
          <w:pPr>
            <w:pStyle w:val="10"/>
            <w:tabs>
              <w:tab w:val="right" w:leader="dot" w:pos="8306"/>
            </w:tabs>
          </w:pPr>
          <w:r>
            <w:fldChar w:fldCharType="begin"/>
          </w:r>
          <w:r>
            <w:instrText xml:space="preserve"> HYPERLINK \l _Toc6035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_Toc6035 \h </w:instrText>
          </w:r>
          <w:r>
            <w:fldChar w:fldCharType="separate"/>
          </w:r>
          <w:r>
            <w:t>61</w:t>
          </w:r>
          <w:r>
            <w:fldChar w:fldCharType="end"/>
          </w:r>
          <w:r>
            <w:fldChar w:fldCharType="end"/>
          </w:r>
        </w:p>
        <w:p w14:paraId="0A9419BD">
          <w:pPr>
            <w:pStyle w:val="10"/>
            <w:tabs>
              <w:tab w:val="right" w:leader="dot" w:pos="8306"/>
            </w:tabs>
          </w:pPr>
          <w:r>
            <w:fldChar w:fldCharType="begin"/>
          </w:r>
          <w:r>
            <w:instrText xml:space="preserve"> HYPERLINK \l _Toc30015 </w:instrText>
          </w:r>
          <w:r>
            <w:fldChar w:fldCharType="separate"/>
          </w:r>
          <w:r>
            <w:rPr>
              <w:rFonts w:hint="eastAsia"/>
            </w:rPr>
            <w:t xml:space="preserve">11.3 </w:t>
          </w:r>
          <w:r>
            <w:t>涉及基金管理人、基金财产、基金托管业务的诉讼</w:t>
          </w:r>
          <w:r>
            <w:tab/>
          </w:r>
          <w:r>
            <w:fldChar w:fldCharType="begin"/>
          </w:r>
          <w:r>
            <w:instrText xml:space="preserve"> PAGEREF _Toc30015 \h </w:instrText>
          </w:r>
          <w:r>
            <w:fldChar w:fldCharType="separate"/>
          </w:r>
          <w:r>
            <w:t>61</w:t>
          </w:r>
          <w:r>
            <w:fldChar w:fldCharType="end"/>
          </w:r>
          <w:r>
            <w:fldChar w:fldCharType="end"/>
          </w:r>
        </w:p>
        <w:p w14:paraId="3C5BE2BB">
          <w:pPr>
            <w:pStyle w:val="10"/>
            <w:tabs>
              <w:tab w:val="right" w:leader="dot" w:pos="8306"/>
            </w:tabs>
          </w:pPr>
          <w:r>
            <w:fldChar w:fldCharType="begin"/>
          </w:r>
          <w:r>
            <w:instrText xml:space="preserve"> HYPERLINK \l _Toc11991 </w:instrText>
          </w:r>
          <w:r>
            <w:fldChar w:fldCharType="separate"/>
          </w:r>
          <w:r>
            <w:rPr>
              <w:rFonts w:hint="eastAsia"/>
            </w:rPr>
            <w:t xml:space="preserve">11.4 </w:t>
          </w:r>
          <w:r>
            <w:t>基金投资策略的改变</w:t>
          </w:r>
          <w:r>
            <w:tab/>
          </w:r>
          <w:r>
            <w:fldChar w:fldCharType="begin"/>
          </w:r>
          <w:r>
            <w:instrText xml:space="preserve"> PAGEREF _Toc11991 \h </w:instrText>
          </w:r>
          <w:r>
            <w:fldChar w:fldCharType="separate"/>
          </w:r>
          <w:r>
            <w:t>61</w:t>
          </w:r>
          <w:r>
            <w:fldChar w:fldCharType="end"/>
          </w:r>
          <w:r>
            <w:fldChar w:fldCharType="end"/>
          </w:r>
        </w:p>
        <w:p w14:paraId="3AD957B3">
          <w:pPr>
            <w:pStyle w:val="10"/>
            <w:tabs>
              <w:tab w:val="right" w:leader="dot" w:pos="8306"/>
            </w:tabs>
          </w:pPr>
          <w:r>
            <w:fldChar w:fldCharType="begin"/>
          </w:r>
          <w:r>
            <w:instrText xml:space="preserve"> HYPERLINK \l _Toc9896 </w:instrText>
          </w:r>
          <w:r>
            <w:fldChar w:fldCharType="separate"/>
          </w:r>
          <w:r>
            <w:rPr>
              <w:rFonts w:hint="eastAsia"/>
            </w:rPr>
            <w:t xml:space="preserve">11.5 </w:t>
          </w:r>
          <w:r>
            <w:t>为基金进行审计的会计师事务所情况</w:t>
          </w:r>
          <w:r>
            <w:tab/>
          </w:r>
          <w:r>
            <w:fldChar w:fldCharType="begin"/>
          </w:r>
          <w:r>
            <w:instrText xml:space="preserve"> PAGEREF _Toc9896 \h </w:instrText>
          </w:r>
          <w:r>
            <w:fldChar w:fldCharType="separate"/>
          </w:r>
          <w:r>
            <w:t>61</w:t>
          </w:r>
          <w:r>
            <w:fldChar w:fldCharType="end"/>
          </w:r>
          <w:r>
            <w:fldChar w:fldCharType="end"/>
          </w:r>
        </w:p>
        <w:p w14:paraId="70921DEC">
          <w:pPr>
            <w:pStyle w:val="10"/>
            <w:tabs>
              <w:tab w:val="right" w:leader="dot" w:pos="8306"/>
            </w:tabs>
          </w:pPr>
          <w:r>
            <w:fldChar w:fldCharType="begin"/>
          </w:r>
          <w:r>
            <w:instrText xml:space="preserve"> HYPERLINK \l _Toc15381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_Toc15381 \h </w:instrText>
          </w:r>
          <w:r>
            <w:fldChar w:fldCharType="separate"/>
          </w:r>
          <w:r>
            <w:t>62</w:t>
          </w:r>
          <w:r>
            <w:fldChar w:fldCharType="end"/>
          </w:r>
          <w:r>
            <w:fldChar w:fldCharType="end"/>
          </w:r>
        </w:p>
        <w:p w14:paraId="417E5CD8">
          <w:pPr>
            <w:pStyle w:val="10"/>
            <w:tabs>
              <w:tab w:val="right" w:leader="dot" w:pos="8306"/>
            </w:tabs>
          </w:pPr>
          <w:r>
            <w:fldChar w:fldCharType="begin"/>
          </w:r>
          <w:r>
            <w:instrText xml:space="preserve"> HYPERLINK \l _Toc1313 </w:instrText>
          </w:r>
          <w:r>
            <w:fldChar w:fldCharType="separate"/>
          </w:r>
          <w:r>
            <w:rPr>
              <w:rFonts w:hint="eastAsia"/>
            </w:rPr>
            <w:t xml:space="preserve">11.7 </w:t>
          </w:r>
          <w:r>
            <w:t>基金租用证券公司交易单元的有关情况</w:t>
          </w:r>
          <w:r>
            <w:tab/>
          </w:r>
          <w:r>
            <w:fldChar w:fldCharType="begin"/>
          </w:r>
          <w:r>
            <w:instrText xml:space="preserve"> PAGEREF _Toc1313 \h </w:instrText>
          </w:r>
          <w:r>
            <w:fldChar w:fldCharType="separate"/>
          </w:r>
          <w:r>
            <w:t>63</w:t>
          </w:r>
          <w:r>
            <w:fldChar w:fldCharType="end"/>
          </w:r>
          <w:r>
            <w:fldChar w:fldCharType="end"/>
          </w:r>
        </w:p>
        <w:p w14:paraId="29EBE214">
          <w:pPr>
            <w:pStyle w:val="10"/>
            <w:tabs>
              <w:tab w:val="right" w:leader="dot" w:pos="8306"/>
            </w:tabs>
          </w:pPr>
          <w:r>
            <w:fldChar w:fldCharType="begin"/>
          </w:r>
          <w:r>
            <w:instrText xml:space="preserve"> HYPERLINK \l _Toc20022 </w:instrText>
          </w:r>
          <w:r>
            <w:fldChar w:fldCharType="separate"/>
          </w:r>
          <w:r>
            <w:rPr>
              <w:rFonts w:hint="eastAsia"/>
            </w:rPr>
            <w:t xml:space="preserve">11.8 </w:t>
          </w:r>
          <w:r>
            <w:t>其他重大事件</w:t>
          </w:r>
          <w:r>
            <w:tab/>
          </w:r>
          <w:r>
            <w:fldChar w:fldCharType="begin"/>
          </w:r>
          <w:r>
            <w:instrText xml:space="preserve"> PAGEREF _Toc20022 \h </w:instrText>
          </w:r>
          <w:r>
            <w:fldChar w:fldCharType="separate"/>
          </w:r>
          <w:r>
            <w:t>64</w:t>
          </w:r>
          <w:r>
            <w:fldChar w:fldCharType="end"/>
          </w:r>
          <w:r>
            <w:fldChar w:fldCharType="end"/>
          </w:r>
        </w:p>
        <w:p w14:paraId="426898B3">
          <w:pPr>
            <w:pStyle w:val="8"/>
            <w:tabs>
              <w:tab w:val="right" w:leader="dot" w:pos="8306"/>
            </w:tabs>
          </w:pPr>
          <w:r>
            <w:fldChar w:fldCharType="begin"/>
          </w:r>
          <w:r>
            <w:instrText xml:space="preserve"> HYPERLINK \l _Toc1468 </w:instrText>
          </w:r>
          <w:r>
            <w:fldChar w:fldCharType="separate"/>
          </w:r>
          <w:r>
            <w:rPr>
              <w:rFonts w:hint="eastAsia"/>
            </w:rPr>
            <w:t xml:space="preserve">§12 </w:t>
          </w:r>
          <w:r>
            <w:t>影响投资者决策的其他重要信息</w:t>
          </w:r>
          <w:r>
            <w:tab/>
          </w:r>
          <w:r>
            <w:fldChar w:fldCharType="begin"/>
          </w:r>
          <w:r>
            <w:instrText xml:space="preserve"> PAGEREF _Toc1468 \h </w:instrText>
          </w:r>
          <w:r>
            <w:fldChar w:fldCharType="separate"/>
          </w:r>
          <w:r>
            <w:t>64</w:t>
          </w:r>
          <w:r>
            <w:fldChar w:fldCharType="end"/>
          </w:r>
          <w:r>
            <w:fldChar w:fldCharType="end"/>
          </w:r>
        </w:p>
        <w:p w14:paraId="13E8F615">
          <w:pPr>
            <w:pStyle w:val="10"/>
            <w:tabs>
              <w:tab w:val="right" w:leader="dot" w:pos="8306"/>
            </w:tabs>
          </w:pPr>
          <w:r>
            <w:fldChar w:fldCharType="begin"/>
          </w:r>
          <w:r>
            <w:instrText xml:space="preserve"> HYPERLINK \l _Toc26762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_Toc26762 \h </w:instrText>
          </w:r>
          <w:r>
            <w:fldChar w:fldCharType="separate"/>
          </w:r>
          <w:r>
            <w:t>64</w:t>
          </w:r>
          <w:r>
            <w:fldChar w:fldCharType="end"/>
          </w:r>
          <w:r>
            <w:fldChar w:fldCharType="end"/>
          </w:r>
        </w:p>
        <w:p w14:paraId="1CFD4F57">
          <w:pPr>
            <w:pStyle w:val="10"/>
            <w:tabs>
              <w:tab w:val="right" w:leader="dot" w:pos="8306"/>
            </w:tabs>
          </w:pPr>
          <w:r>
            <w:fldChar w:fldCharType="begin"/>
          </w:r>
          <w:r>
            <w:instrText xml:space="preserve"> HYPERLINK \l _Toc7914 </w:instrText>
          </w:r>
          <w:r>
            <w:fldChar w:fldCharType="separate"/>
          </w:r>
          <w:r>
            <w:rPr>
              <w:rFonts w:hint="eastAsia"/>
            </w:rPr>
            <w:t xml:space="preserve">12.2 </w:t>
          </w:r>
          <w:r>
            <w:t>影响投资者决策的其他重要信息</w:t>
          </w:r>
          <w:r>
            <w:tab/>
          </w:r>
          <w:r>
            <w:fldChar w:fldCharType="begin"/>
          </w:r>
          <w:r>
            <w:instrText xml:space="preserve"> PAGEREF _Toc7914 \h </w:instrText>
          </w:r>
          <w:r>
            <w:fldChar w:fldCharType="separate"/>
          </w:r>
          <w:r>
            <w:t>65</w:t>
          </w:r>
          <w:r>
            <w:fldChar w:fldCharType="end"/>
          </w:r>
          <w:r>
            <w:fldChar w:fldCharType="end"/>
          </w:r>
        </w:p>
        <w:p w14:paraId="55F95146">
          <w:pPr>
            <w:pStyle w:val="8"/>
            <w:tabs>
              <w:tab w:val="right" w:leader="dot" w:pos="8306"/>
            </w:tabs>
          </w:pPr>
          <w:r>
            <w:fldChar w:fldCharType="begin"/>
          </w:r>
          <w:r>
            <w:instrText xml:space="preserve"> HYPERLINK \l _Toc11933 </w:instrText>
          </w:r>
          <w:r>
            <w:fldChar w:fldCharType="separate"/>
          </w:r>
          <w:r>
            <w:rPr>
              <w:rFonts w:hint="eastAsia"/>
            </w:rPr>
            <w:t xml:space="preserve">§13 </w:t>
          </w:r>
          <w:r>
            <w:t>备查文件目录</w:t>
          </w:r>
          <w:r>
            <w:tab/>
          </w:r>
          <w:r>
            <w:fldChar w:fldCharType="begin"/>
          </w:r>
          <w:r>
            <w:instrText xml:space="preserve"> PAGEREF _Toc11933 \h </w:instrText>
          </w:r>
          <w:r>
            <w:fldChar w:fldCharType="separate"/>
          </w:r>
          <w:r>
            <w:t>65</w:t>
          </w:r>
          <w:r>
            <w:fldChar w:fldCharType="end"/>
          </w:r>
          <w:r>
            <w:fldChar w:fldCharType="end"/>
          </w:r>
        </w:p>
        <w:p w14:paraId="15507FC5">
          <w:pPr>
            <w:pStyle w:val="10"/>
            <w:tabs>
              <w:tab w:val="right" w:leader="dot" w:pos="8306"/>
            </w:tabs>
          </w:pPr>
          <w:r>
            <w:fldChar w:fldCharType="begin"/>
          </w:r>
          <w:r>
            <w:instrText xml:space="preserve"> HYPERLINK \l _Toc14717 </w:instrText>
          </w:r>
          <w:r>
            <w:fldChar w:fldCharType="separate"/>
          </w:r>
          <w:r>
            <w:rPr>
              <w:rFonts w:hint="eastAsia"/>
            </w:rPr>
            <w:t xml:space="preserve">13.1 </w:t>
          </w:r>
          <w:r>
            <w:t>备查文件目录</w:t>
          </w:r>
          <w:r>
            <w:tab/>
          </w:r>
          <w:r>
            <w:fldChar w:fldCharType="begin"/>
          </w:r>
          <w:r>
            <w:instrText xml:space="preserve"> PAGEREF _Toc14717 \h </w:instrText>
          </w:r>
          <w:r>
            <w:fldChar w:fldCharType="separate"/>
          </w:r>
          <w:r>
            <w:t>65</w:t>
          </w:r>
          <w:r>
            <w:fldChar w:fldCharType="end"/>
          </w:r>
          <w:r>
            <w:fldChar w:fldCharType="end"/>
          </w:r>
        </w:p>
        <w:p w14:paraId="615461C7">
          <w:pPr>
            <w:pStyle w:val="10"/>
            <w:tabs>
              <w:tab w:val="right" w:leader="dot" w:pos="8306"/>
            </w:tabs>
          </w:pPr>
          <w:r>
            <w:fldChar w:fldCharType="begin"/>
          </w:r>
          <w:r>
            <w:instrText xml:space="preserve"> HYPERLINK \l _Toc13214 </w:instrText>
          </w:r>
          <w:r>
            <w:fldChar w:fldCharType="separate"/>
          </w:r>
          <w:r>
            <w:rPr>
              <w:rFonts w:hint="eastAsia"/>
            </w:rPr>
            <w:t xml:space="preserve">13.2 </w:t>
          </w:r>
          <w:r>
            <w:t>存放地点</w:t>
          </w:r>
          <w:r>
            <w:tab/>
          </w:r>
          <w:r>
            <w:fldChar w:fldCharType="begin"/>
          </w:r>
          <w:r>
            <w:instrText xml:space="preserve"> PAGEREF _Toc13214 \h </w:instrText>
          </w:r>
          <w:r>
            <w:fldChar w:fldCharType="separate"/>
          </w:r>
          <w:r>
            <w:t>65</w:t>
          </w:r>
          <w:r>
            <w:fldChar w:fldCharType="end"/>
          </w:r>
          <w:r>
            <w:fldChar w:fldCharType="end"/>
          </w:r>
        </w:p>
        <w:p w14:paraId="743C7A30">
          <w:pPr>
            <w:pStyle w:val="10"/>
            <w:tabs>
              <w:tab w:val="right" w:leader="dot" w:pos="8306"/>
            </w:tabs>
          </w:pPr>
          <w:r>
            <w:fldChar w:fldCharType="begin"/>
          </w:r>
          <w:r>
            <w:instrText xml:space="preserve"> HYPERLINK \l _Toc23273 </w:instrText>
          </w:r>
          <w:r>
            <w:fldChar w:fldCharType="separate"/>
          </w:r>
          <w:r>
            <w:rPr>
              <w:rFonts w:hint="eastAsia"/>
            </w:rPr>
            <w:t xml:space="preserve">13.3 </w:t>
          </w:r>
          <w:r>
            <w:t>查阅方式</w:t>
          </w:r>
          <w:r>
            <w:tab/>
          </w:r>
          <w:r>
            <w:fldChar w:fldCharType="begin"/>
          </w:r>
          <w:r>
            <w:instrText xml:space="preserve"> PAGEREF _Toc23273 \h </w:instrText>
          </w:r>
          <w:r>
            <w:fldChar w:fldCharType="separate"/>
          </w:r>
          <w:r>
            <w:t>65</w:t>
          </w:r>
          <w:r>
            <w:fldChar w:fldCharType="end"/>
          </w:r>
          <w:r>
            <w:fldChar w:fldCharType="end"/>
          </w:r>
        </w:p>
        <w:p w14:paraId="1ADB5F25">
          <w:r>
            <w:fldChar w:fldCharType="end"/>
          </w:r>
        </w:p>
      </w:sdtContent>
    </w:sdt>
    <w:p w14:paraId="4AAA0142">
      <w:pPr>
        <w:pStyle w:val="26"/>
        <w:pageBreakBefore/>
      </w:pPr>
      <w:bookmarkStart w:id="5" w:name="_Toc5294"/>
      <w:r>
        <w:t>基金简介</w:t>
      </w:r>
      <w:bookmarkEnd w:id="5"/>
    </w:p>
    <w:p w14:paraId="133D0783">
      <w:pPr>
        <w:pStyle w:val="23"/>
      </w:pPr>
      <w:bookmarkStart w:id="6" w:name="_Toc3055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02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6AD3D7">
            <w:r>
              <w:rPr>
                <w:rFonts w:hint="eastAsia"/>
              </w:rPr>
              <w:t>基金名称</w:t>
            </w:r>
          </w:p>
        </w:tc>
        <w:tc>
          <w:tcPr>
            <w:tcW w:w="2076" w:type="dxa"/>
            <w:gridSpan w:val="3"/>
            <w:vAlign w:val="center"/>
          </w:tcPr>
          <w:p w14:paraId="55B57469">
            <w:r>
              <w:rPr>
                <w:rFonts w:hint="eastAsia"/>
              </w:rPr>
              <w:t>南方恒生生物科技交易型开放式指数证券投资基金发起式联接基金（QDII）</w:t>
            </w:r>
          </w:p>
        </w:tc>
      </w:tr>
      <w:tr w14:paraId="4D20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59030">
            <w:r>
              <w:rPr>
                <w:rFonts w:hint="eastAsia"/>
              </w:rPr>
              <w:t>基金简称</w:t>
            </w:r>
          </w:p>
        </w:tc>
        <w:tc>
          <w:tcPr>
            <w:tcW w:w="2076" w:type="dxa"/>
            <w:gridSpan w:val="3"/>
            <w:vAlign w:val="center"/>
          </w:tcPr>
          <w:p w14:paraId="0FEF21E6">
            <w:r>
              <w:rPr>
                <w:rFonts w:hint="eastAsia"/>
              </w:rPr>
              <w:t>南方恒生生物科技ETF发起联接（QDII）</w:t>
            </w:r>
          </w:p>
        </w:tc>
      </w:tr>
      <w:tr w14:paraId="1D93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551769">
            <w:r>
              <w:rPr>
                <w:rFonts w:hint="eastAsia"/>
              </w:rPr>
              <w:t>基金主代码</w:t>
            </w:r>
          </w:p>
        </w:tc>
        <w:tc>
          <w:tcPr>
            <w:tcW w:w="2076" w:type="dxa"/>
            <w:gridSpan w:val="3"/>
            <w:vAlign w:val="center"/>
          </w:tcPr>
          <w:p w14:paraId="4A8787D2">
            <w:r>
              <w:rPr>
                <w:rFonts w:hint="eastAsia"/>
              </w:rPr>
              <w:t>018078</w:t>
            </w:r>
          </w:p>
        </w:tc>
      </w:tr>
      <w:tr w14:paraId="6B38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336F0">
            <w:r>
              <w:rPr>
                <w:rFonts w:hint="eastAsia"/>
              </w:rPr>
              <w:t>交易代码</w:t>
            </w:r>
          </w:p>
        </w:tc>
        <w:tc>
          <w:tcPr>
            <w:tcW w:w="2076" w:type="dxa"/>
            <w:gridSpan w:val="3"/>
            <w:vAlign w:val="center"/>
          </w:tcPr>
          <w:p w14:paraId="76C421F1">
            <w:r>
              <w:rPr>
                <w:rFonts w:hint="eastAsia"/>
              </w:rPr>
              <w:t>018078</w:t>
            </w:r>
          </w:p>
        </w:tc>
      </w:tr>
      <w:tr w14:paraId="6EAB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083B6">
            <w:r>
              <w:rPr>
                <w:rFonts w:hint="eastAsia"/>
              </w:rPr>
              <w:t>基金运作方式</w:t>
            </w:r>
          </w:p>
        </w:tc>
        <w:tc>
          <w:tcPr>
            <w:tcW w:w="2076" w:type="dxa"/>
            <w:gridSpan w:val="3"/>
            <w:vAlign w:val="center"/>
          </w:tcPr>
          <w:p w14:paraId="2CD697C6">
            <w:r>
              <w:rPr>
                <w:rFonts w:hint="eastAsia"/>
              </w:rPr>
              <w:t>契约型开放式</w:t>
            </w:r>
          </w:p>
        </w:tc>
      </w:tr>
      <w:tr w14:paraId="1B12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3D24E">
            <w:r>
              <w:rPr>
                <w:rFonts w:hint="eastAsia"/>
              </w:rPr>
              <w:t>基金合同生效日</w:t>
            </w:r>
          </w:p>
        </w:tc>
        <w:tc>
          <w:tcPr>
            <w:tcW w:w="2076" w:type="dxa"/>
            <w:gridSpan w:val="3"/>
            <w:vAlign w:val="center"/>
          </w:tcPr>
          <w:p w14:paraId="42582507">
            <w:r>
              <w:rPr>
                <w:rFonts w:hint="eastAsia"/>
              </w:rPr>
              <w:t>2023年5月30日</w:t>
            </w:r>
          </w:p>
        </w:tc>
      </w:tr>
      <w:tr w14:paraId="2BF9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D4438">
            <w:r>
              <w:rPr>
                <w:rFonts w:hint="eastAsia"/>
              </w:rPr>
              <w:t>基金管理人</w:t>
            </w:r>
          </w:p>
        </w:tc>
        <w:tc>
          <w:tcPr>
            <w:tcW w:w="2076" w:type="dxa"/>
            <w:gridSpan w:val="3"/>
            <w:vAlign w:val="center"/>
          </w:tcPr>
          <w:p w14:paraId="7ED9F343">
            <w:r>
              <w:rPr>
                <w:rFonts w:hint="eastAsia"/>
              </w:rPr>
              <w:t>南方基金管理股份有限公司</w:t>
            </w:r>
          </w:p>
        </w:tc>
      </w:tr>
      <w:tr w14:paraId="318D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7042F">
            <w:r>
              <w:rPr>
                <w:rFonts w:hint="eastAsia"/>
              </w:rPr>
              <w:t>基金托管人</w:t>
            </w:r>
          </w:p>
        </w:tc>
        <w:tc>
          <w:tcPr>
            <w:tcW w:w="2076" w:type="dxa"/>
            <w:gridSpan w:val="3"/>
            <w:vAlign w:val="center"/>
          </w:tcPr>
          <w:p w14:paraId="21FC02EC">
            <w:r>
              <w:rPr>
                <w:rFonts w:hint="eastAsia"/>
              </w:rPr>
              <w:t>中国农业银行股份有限公司</w:t>
            </w:r>
          </w:p>
        </w:tc>
      </w:tr>
      <w:tr w14:paraId="3AB4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A4B1B">
            <w:r>
              <w:rPr>
                <w:rFonts w:hint="eastAsia"/>
              </w:rPr>
              <w:t>报告期末基金份额总额</w:t>
            </w:r>
          </w:p>
        </w:tc>
        <w:tc>
          <w:tcPr>
            <w:tcW w:w="2076" w:type="dxa"/>
            <w:gridSpan w:val="3"/>
            <w:vAlign w:val="center"/>
          </w:tcPr>
          <w:p w14:paraId="42D98A9F">
            <w:r>
              <w:rPr>
                <w:rFonts w:hint="eastAsia"/>
              </w:rPr>
              <w:t>149,757,462.57份</w:t>
            </w:r>
          </w:p>
        </w:tc>
      </w:tr>
      <w:tr w14:paraId="68CE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7D977">
            <w:r>
              <w:rPr>
                <w:rFonts w:hint="eastAsia"/>
              </w:rPr>
              <w:t>基金合同存续期</w:t>
            </w:r>
          </w:p>
        </w:tc>
        <w:tc>
          <w:tcPr>
            <w:tcW w:w="2076" w:type="dxa"/>
            <w:gridSpan w:val="3"/>
            <w:vAlign w:val="center"/>
          </w:tcPr>
          <w:p w14:paraId="67A55373">
            <w:r>
              <w:rPr>
                <w:rFonts w:hint="eastAsia"/>
              </w:rPr>
              <w:t>不定期</w:t>
            </w:r>
          </w:p>
        </w:tc>
      </w:tr>
      <w:tr w14:paraId="3D52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65BEF">
            <w:r>
              <w:rPr>
                <w:rFonts w:hint="eastAsia"/>
              </w:rPr>
              <w:t>下属分级基金的基金简称</w:t>
            </w:r>
          </w:p>
        </w:tc>
        <w:tc>
          <w:tcPr>
            <w:tcW w:w="2076" w:type="dxa"/>
            <w:vAlign w:val="center"/>
          </w:tcPr>
          <w:p w14:paraId="45869926">
            <w:r>
              <w:rPr>
                <w:rFonts w:hint="eastAsia"/>
              </w:rPr>
              <w:t>南方恒生生物科技ETF发起联接（QDII）A</w:t>
            </w:r>
          </w:p>
        </w:tc>
        <w:tc>
          <w:tcPr>
            <w:tcW w:w="2076" w:type="dxa"/>
            <w:vAlign w:val="center"/>
          </w:tcPr>
          <w:p w14:paraId="2696EB62">
            <w:r>
              <w:rPr>
                <w:rFonts w:hint="eastAsia"/>
              </w:rPr>
              <w:t>南方恒生生物科技ETF发起联接（QDII）C</w:t>
            </w:r>
          </w:p>
        </w:tc>
        <w:tc>
          <w:tcPr>
            <w:tcW w:w="2076" w:type="dxa"/>
            <w:vAlign w:val="center"/>
          </w:tcPr>
          <w:p w14:paraId="1FA0F185">
            <w:r>
              <w:rPr>
                <w:rFonts w:hint="eastAsia"/>
              </w:rPr>
              <w:t>南方恒生生物科技ETF发起联接（QDII）I</w:t>
            </w:r>
          </w:p>
        </w:tc>
      </w:tr>
      <w:tr w14:paraId="210F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3534B">
            <w:r>
              <w:rPr>
                <w:rFonts w:hint="eastAsia"/>
              </w:rPr>
              <w:t>下属分级基金的交易代码</w:t>
            </w:r>
          </w:p>
        </w:tc>
        <w:tc>
          <w:tcPr>
            <w:tcW w:w="2076" w:type="dxa"/>
            <w:vAlign w:val="center"/>
          </w:tcPr>
          <w:p w14:paraId="58880CA3">
            <w:r>
              <w:rPr>
                <w:rFonts w:hint="eastAsia"/>
              </w:rPr>
              <w:t>018078</w:t>
            </w:r>
          </w:p>
        </w:tc>
        <w:tc>
          <w:tcPr>
            <w:tcW w:w="2076" w:type="dxa"/>
            <w:vAlign w:val="center"/>
          </w:tcPr>
          <w:p w14:paraId="61B51EFF">
            <w:r>
              <w:rPr>
                <w:rFonts w:hint="eastAsia"/>
              </w:rPr>
              <w:t>018079</w:t>
            </w:r>
          </w:p>
        </w:tc>
        <w:tc>
          <w:tcPr>
            <w:tcW w:w="2076" w:type="dxa"/>
            <w:vAlign w:val="center"/>
          </w:tcPr>
          <w:p w14:paraId="6F3F5701">
            <w:r>
              <w:rPr>
                <w:rFonts w:hint="eastAsia"/>
              </w:rPr>
              <w:t>021053</w:t>
            </w:r>
          </w:p>
        </w:tc>
      </w:tr>
      <w:tr w14:paraId="784D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ACED5">
            <w:r>
              <w:rPr>
                <w:rFonts w:hint="eastAsia"/>
              </w:rPr>
              <w:t>报告期末下属分级基金的份额总额</w:t>
            </w:r>
          </w:p>
        </w:tc>
        <w:tc>
          <w:tcPr>
            <w:tcW w:w="2076" w:type="dxa"/>
            <w:vAlign w:val="center"/>
          </w:tcPr>
          <w:p w14:paraId="69FC85A1">
            <w:r>
              <w:rPr>
                <w:rFonts w:hint="eastAsia"/>
              </w:rPr>
              <w:t>53,494,501.15份</w:t>
            </w:r>
          </w:p>
        </w:tc>
        <w:tc>
          <w:tcPr>
            <w:tcW w:w="2076" w:type="dxa"/>
            <w:vAlign w:val="center"/>
          </w:tcPr>
          <w:p w14:paraId="38F0E378">
            <w:r>
              <w:rPr>
                <w:rFonts w:hint="eastAsia"/>
              </w:rPr>
              <w:t>82,076,521.42份</w:t>
            </w:r>
          </w:p>
        </w:tc>
        <w:tc>
          <w:tcPr>
            <w:tcW w:w="2076" w:type="dxa"/>
            <w:vAlign w:val="center"/>
          </w:tcPr>
          <w:p w14:paraId="6D39E674">
            <w:r>
              <w:rPr>
                <w:rFonts w:hint="eastAsia"/>
              </w:rPr>
              <w:t>14,186,440.00份</w:t>
            </w:r>
          </w:p>
        </w:tc>
      </w:tr>
    </w:tbl>
    <w:p w14:paraId="0A02B1EB">
      <w:pPr>
        <w:pStyle w:val="47"/>
        <w:rPr>
          <w:rFonts w:hint="eastAsia"/>
        </w:rPr>
      </w:pPr>
      <w:r>
        <w:rPr>
          <w:rFonts w:hint="eastAsia"/>
        </w:rPr>
        <w:t>注：根据南方基金管理股份有限公司2024年12月6日发布的《关于南方恒生香港上市生物科技交易型开放式指数证券投资基金发起式联接基金（QDII）变更基金名称并修改相关法律文件的公告》，本基金于2024年12月9日由南方恒生香港上市生物科技交易型开放式指数证券投资基金发起式联接基金（QDII）变更为南方恒生生物科技交易型开放式指数证券投资基金发起式联接基金（QDII）。</w:t>
      </w:r>
    </w:p>
    <w:p w14:paraId="62CCB97E">
      <w:pPr>
        <w:pStyle w:val="23"/>
      </w:pPr>
      <w:bookmarkStart w:id="7" w:name="_Toc1503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CF0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86BB7">
            <w:r>
              <w:rPr>
                <w:rFonts w:hint="eastAsia"/>
              </w:rPr>
              <w:t>投资目标</w:t>
            </w:r>
          </w:p>
        </w:tc>
        <w:tc>
          <w:tcPr>
            <w:tcW w:w="6644" w:type="dxa"/>
            <w:vAlign w:val="center"/>
          </w:tcPr>
          <w:p w14:paraId="4269DC6C">
            <w:r>
              <w:rPr>
                <w:rFonts w:hint="eastAsia"/>
              </w:rPr>
              <w:t>本基金通过投资于目标ETF，紧密跟踪标的指数，追求与业绩比较基准相似的回报。</w:t>
            </w:r>
          </w:p>
        </w:tc>
      </w:tr>
      <w:tr w14:paraId="4BC3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DB0C0">
            <w:r>
              <w:rPr>
                <w:rFonts w:hint="eastAsia"/>
              </w:rPr>
              <w:t>投资策略</w:t>
            </w:r>
          </w:p>
        </w:tc>
        <w:tc>
          <w:tcPr>
            <w:tcW w:w="6644" w:type="dxa"/>
            <w:vAlign w:val="center"/>
          </w:tcPr>
          <w:p w14:paraId="06134FFE">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主要投资策略包括：资产配置策略、目标ETF投资策略、成份股、备选成份股投资策略、金融衍生品投资策略、债券投资策略、资产支持证券投资策略、存托凭证投资策略等以更好的跟踪标的指数，实现基金投资目标。</w:t>
            </w:r>
          </w:p>
        </w:tc>
      </w:tr>
      <w:tr w14:paraId="2A9A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23FEB">
            <w:r>
              <w:rPr>
                <w:rFonts w:hint="eastAsia"/>
              </w:rPr>
              <w:t>业绩比较基准</w:t>
            </w:r>
          </w:p>
        </w:tc>
        <w:tc>
          <w:tcPr>
            <w:tcW w:w="6644" w:type="dxa"/>
            <w:vAlign w:val="center"/>
          </w:tcPr>
          <w:p w14:paraId="08307110">
            <w:r>
              <w:rPr>
                <w:rFonts w:hint="eastAsia"/>
              </w:rPr>
              <w:t>经估值汇率调整后的恒生生物科技指数收益率×95%+银行活期存款利率（税后）×5%</w:t>
            </w:r>
          </w:p>
        </w:tc>
      </w:tr>
      <w:tr w14:paraId="6FBE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1A154">
            <w:r>
              <w:rPr>
                <w:rFonts w:hint="eastAsia"/>
              </w:rPr>
              <w:t>风险收益特征</w:t>
            </w:r>
          </w:p>
        </w:tc>
        <w:tc>
          <w:tcPr>
            <w:tcW w:w="6644" w:type="dxa"/>
            <w:vAlign w:val="center"/>
          </w:tcPr>
          <w:p w14:paraId="28462C46">
            <w:pPr>
              <w:jc w:val="both"/>
              <w:rPr>
                <w:rFonts w:hint="eastAsia"/>
              </w:rPr>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r>
              <w:rPr>
                <w:rFonts w:hint="eastAsia"/>
              </w:rPr>
              <w:br w:type="textWrapping"/>
            </w: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r>
              <w:rPr>
                <w:rFonts w:hint="eastAsia"/>
              </w:rPr>
              <w:br w:type="textWrapping"/>
            </w:r>
            <w:r>
              <w:rPr>
                <w:rFonts w:hint="eastAsia"/>
              </w:rPr>
              <w:t>本基金可投资于境外证券，除了需要承担与境内证券投资基金类似的市场波动风险等一般投资风险之外，本基金还面临汇率风险等境外证券市场投资所面临的特别投资风险。</w:t>
            </w:r>
          </w:p>
        </w:tc>
      </w:tr>
    </w:tbl>
    <w:p w14:paraId="2C79BB6F">
      <w:pPr>
        <w:pStyle w:val="23"/>
      </w:pPr>
      <w:bookmarkStart w:id="8" w:name="_Toc20696"/>
      <w:r>
        <w:t>目标基金基本情况</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37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41BE9F">
            <w:r>
              <w:rPr>
                <w:rFonts w:hint="eastAsia"/>
              </w:rPr>
              <w:t>基金名称</w:t>
            </w:r>
          </w:p>
        </w:tc>
        <w:tc>
          <w:tcPr>
            <w:tcW w:w="4153" w:type="dxa"/>
            <w:vAlign w:val="center"/>
          </w:tcPr>
          <w:p w14:paraId="72FE469D">
            <w:r>
              <w:rPr>
                <w:rFonts w:hint="eastAsia"/>
              </w:rPr>
              <w:t>南方恒生生物科技交易型开放式指数证券投资基金（QDII）</w:t>
            </w:r>
          </w:p>
        </w:tc>
      </w:tr>
      <w:tr w14:paraId="23FF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AF943">
            <w:r>
              <w:rPr>
                <w:rFonts w:hint="eastAsia"/>
              </w:rPr>
              <w:t>基金主代码</w:t>
            </w:r>
          </w:p>
        </w:tc>
        <w:tc>
          <w:tcPr>
            <w:tcW w:w="4153" w:type="dxa"/>
            <w:vAlign w:val="center"/>
          </w:tcPr>
          <w:p w14:paraId="6AA3CA49">
            <w:r>
              <w:rPr>
                <w:rFonts w:hint="eastAsia"/>
              </w:rPr>
              <w:t>159615</w:t>
            </w:r>
          </w:p>
        </w:tc>
      </w:tr>
      <w:tr w14:paraId="47D2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0F9D5F">
            <w:r>
              <w:rPr>
                <w:rFonts w:hint="eastAsia"/>
              </w:rPr>
              <w:t>基金运作方式</w:t>
            </w:r>
          </w:p>
        </w:tc>
        <w:tc>
          <w:tcPr>
            <w:tcW w:w="4153" w:type="dxa"/>
            <w:vAlign w:val="center"/>
          </w:tcPr>
          <w:p w14:paraId="260372FF">
            <w:r>
              <w:rPr>
                <w:rFonts w:hint="eastAsia"/>
              </w:rPr>
              <w:t>交易型开放式</w:t>
            </w:r>
          </w:p>
        </w:tc>
      </w:tr>
      <w:tr w14:paraId="262D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A31620">
            <w:r>
              <w:rPr>
                <w:rFonts w:hint="eastAsia"/>
              </w:rPr>
              <w:t>基金合同生效日</w:t>
            </w:r>
          </w:p>
        </w:tc>
        <w:tc>
          <w:tcPr>
            <w:tcW w:w="4153" w:type="dxa"/>
            <w:vAlign w:val="center"/>
          </w:tcPr>
          <w:p w14:paraId="6FA5ACE6">
            <w:r>
              <w:rPr>
                <w:rFonts w:hint="eastAsia"/>
              </w:rPr>
              <w:t>2022年6月17日</w:t>
            </w:r>
          </w:p>
        </w:tc>
      </w:tr>
      <w:tr w14:paraId="6A24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F9227">
            <w:r>
              <w:rPr>
                <w:rFonts w:hint="eastAsia"/>
              </w:rPr>
              <w:t>基金份额上市的证券交易所</w:t>
            </w:r>
          </w:p>
        </w:tc>
        <w:tc>
          <w:tcPr>
            <w:tcW w:w="4153" w:type="dxa"/>
            <w:vAlign w:val="center"/>
          </w:tcPr>
          <w:p w14:paraId="62FE5E00">
            <w:r>
              <w:rPr>
                <w:rFonts w:hint="eastAsia"/>
              </w:rPr>
              <w:t>深圳证券交易所</w:t>
            </w:r>
          </w:p>
        </w:tc>
      </w:tr>
      <w:tr w14:paraId="48C2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4AB35">
            <w:r>
              <w:rPr>
                <w:rFonts w:hint="eastAsia"/>
              </w:rPr>
              <w:t>上市日期</w:t>
            </w:r>
          </w:p>
        </w:tc>
        <w:tc>
          <w:tcPr>
            <w:tcW w:w="4153" w:type="dxa"/>
            <w:vAlign w:val="center"/>
          </w:tcPr>
          <w:p w14:paraId="3F949C43">
            <w:r>
              <w:rPr>
                <w:rFonts w:hint="eastAsia"/>
              </w:rPr>
              <w:t>2022年6月28日</w:t>
            </w:r>
          </w:p>
        </w:tc>
      </w:tr>
      <w:tr w14:paraId="0471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C9A96">
            <w:r>
              <w:rPr>
                <w:rFonts w:hint="eastAsia"/>
              </w:rPr>
              <w:t>基金管理人名称</w:t>
            </w:r>
          </w:p>
        </w:tc>
        <w:tc>
          <w:tcPr>
            <w:tcW w:w="4153" w:type="dxa"/>
            <w:vAlign w:val="center"/>
          </w:tcPr>
          <w:p w14:paraId="6F7C0341">
            <w:r>
              <w:rPr>
                <w:rFonts w:hint="eastAsia"/>
              </w:rPr>
              <w:t>南方基金管理股份有限公司</w:t>
            </w:r>
          </w:p>
        </w:tc>
      </w:tr>
      <w:tr w14:paraId="5C59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7ACD5">
            <w:r>
              <w:rPr>
                <w:rFonts w:hint="eastAsia"/>
              </w:rPr>
              <w:t>基金托管人名称</w:t>
            </w:r>
          </w:p>
        </w:tc>
        <w:tc>
          <w:tcPr>
            <w:tcW w:w="4153" w:type="dxa"/>
            <w:vAlign w:val="center"/>
          </w:tcPr>
          <w:p w14:paraId="45B70338">
            <w:r>
              <w:rPr>
                <w:rFonts w:hint="eastAsia"/>
              </w:rPr>
              <w:t>中国农业银行股份有限公司</w:t>
            </w:r>
          </w:p>
        </w:tc>
      </w:tr>
    </w:tbl>
    <w:p w14:paraId="64444D5F">
      <w:pPr>
        <w:pStyle w:val="23"/>
      </w:pPr>
      <w:bookmarkStart w:id="9" w:name="_Toc18036"/>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5B42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BCA19">
            <w:r>
              <w:rPr>
                <w:rFonts w:hint="eastAsia"/>
              </w:rPr>
              <w:t>投资目标</w:t>
            </w:r>
          </w:p>
        </w:tc>
        <w:tc>
          <w:tcPr>
            <w:tcW w:w="6921" w:type="dxa"/>
            <w:vAlign w:val="center"/>
          </w:tcPr>
          <w:p w14:paraId="4FA41C49">
            <w:r>
              <w:rPr>
                <w:rFonts w:hint="eastAsia"/>
              </w:rPr>
              <w:t>紧密跟踪标的指数，追求跟踪偏离度和跟踪误差最小化。</w:t>
            </w:r>
          </w:p>
        </w:tc>
      </w:tr>
      <w:tr w14:paraId="0871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893A2">
            <w:r>
              <w:rPr>
                <w:rFonts w:hint="eastAsia"/>
              </w:rPr>
              <w:t>投资策略</w:t>
            </w:r>
          </w:p>
        </w:tc>
        <w:tc>
          <w:tcPr>
            <w:tcW w:w="6921" w:type="dxa"/>
            <w:vAlign w:val="center"/>
          </w:tcPr>
          <w:p w14:paraId="6366546D">
            <w:pPr>
              <w:jc w:val="both"/>
            </w:pPr>
            <w:r>
              <w:rPr>
                <w:rFonts w:hint="eastAsia"/>
              </w:rPr>
              <w:t>本基金主要采用完全复制策略、替代策略及其他适当的策略以更好的跟踪标的指数，实现基金投资目标。本基金力争将年化跟踪误差控制在4%以内。主要投资策略包括：完全复制策略、替代策略、金融衍生品投资策略、债券投资策略、资产支持证券投资策略、存托凭证投资策略等以更好的跟踪标的指数，实现基金投资目标。</w:t>
            </w:r>
          </w:p>
        </w:tc>
      </w:tr>
      <w:tr w14:paraId="663C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B4054">
            <w:r>
              <w:rPr>
                <w:rFonts w:hint="eastAsia"/>
              </w:rPr>
              <w:t>业绩比较基准</w:t>
            </w:r>
          </w:p>
        </w:tc>
        <w:tc>
          <w:tcPr>
            <w:tcW w:w="6921" w:type="dxa"/>
            <w:vAlign w:val="center"/>
          </w:tcPr>
          <w:p w14:paraId="144D4177">
            <w:r>
              <w:rPr>
                <w:rFonts w:hint="eastAsia"/>
              </w:rPr>
              <w:t>本基金的业绩比较基准为经估值汇率调整的标的指数收益率。本基金标的指数为恒生生物科技指数，及其未来可能发生的变更。</w:t>
            </w:r>
          </w:p>
        </w:tc>
      </w:tr>
      <w:tr w14:paraId="2491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8B93E">
            <w:r>
              <w:rPr>
                <w:rFonts w:hint="eastAsia"/>
              </w:rPr>
              <w:t>风险收益特征</w:t>
            </w:r>
          </w:p>
        </w:tc>
        <w:tc>
          <w:tcPr>
            <w:tcW w:w="6921" w:type="dxa"/>
            <w:vAlign w:val="center"/>
          </w:tcPr>
          <w:p w14:paraId="5B752C6A">
            <w:pPr>
              <w:jc w:val="both"/>
              <w:rPr>
                <w:rFonts w:hint="eastAsia"/>
              </w:rPr>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
</w:t>
            </w:r>
            <w:r>
              <w:rPr>
                <w:rFonts w:hint="eastAsia"/>
              </w:rPr>
              <w:br w:type="textWrapping"/>
            </w: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
</w:t>
            </w:r>
            <w:r>
              <w:rPr>
                <w:rFonts w:hint="eastAsia"/>
              </w:rPr>
              <w:br w:type="textWrapping"/>
            </w:r>
            <w:r>
              <w:rPr>
                <w:rFonts w:hint="eastAsia"/>
              </w:rPr>
              <w:t>本基金可投资于境外证券，除了需要承担与境内证券投资基金类似的市场波动风险等一般投资风险之外，本基金还面临汇率风险等境外证券市场投资所面临的特别投资风险。</w:t>
            </w:r>
          </w:p>
        </w:tc>
      </w:tr>
    </w:tbl>
    <w:p w14:paraId="09A6327A">
      <w:pPr>
        <w:pStyle w:val="23"/>
      </w:pPr>
      <w:bookmarkStart w:id="10" w:name="_Toc29618"/>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FAF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8FAB82">
            <w:r>
              <w:rPr>
                <w:rFonts w:hint="eastAsia"/>
              </w:rPr>
              <w:t>项目</w:t>
            </w:r>
          </w:p>
        </w:tc>
        <w:tc>
          <w:tcPr>
            <w:tcW w:w="2270" w:type="dxa"/>
            <w:vAlign w:val="center"/>
          </w:tcPr>
          <w:p w14:paraId="437C9B53">
            <w:r>
              <w:rPr>
                <w:rFonts w:hint="eastAsia"/>
              </w:rPr>
              <w:t>基金管理人</w:t>
            </w:r>
          </w:p>
        </w:tc>
        <w:tc>
          <w:tcPr>
            <w:tcW w:w="2990" w:type="dxa"/>
            <w:vAlign w:val="center"/>
          </w:tcPr>
          <w:p w14:paraId="39AA1637">
            <w:r>
              <w:rPr>
                <w:rFonts w:hint="eastAsia"/>
              </w:rPr>
              <w:t>基金托管人</w:t>
            </w:r>
          </w:p>
        </w:tc>
      </w:tr>
      <w:tr w14:paraId="1144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15439C">
            <w:r>
              <w:rPr>
                <w:rFonts w:hint="eastAsia"/>
              </w:rPr>
              <w:t>名称</w:t>
            </w:r>
          </w:p>
        </w:tc>
        <w:tc>
          <w:tcPr>
            <w:tcW w:w="2270" w:type="dxa"/>
            <w:vAlign w:val="center"/>
          </w:tcPr>
          <w:p w14:paraId="7D1993C1">
            <w:r>
              <w:rPr>
                <w:rFonts w:hint="eastAsia"/>
              </w:rPr>
              <w:t>南方基金管理股份有限公司</w:t>
            </w:r>
          </w:p>
        </w:tc>
        <w:tc>
          <w:tcPr>
            <w:tcW w:w="2990" w:type="dxa"/>
            <w:vAlign w:val="center"/>
          </w:tcPr>
          <w:p w14:paraId="68B9FF55">
            <w:r>
              <w:rPr>
                <w:rFonts w:hint="eastAsia"/>
              </w:rPr>
              <w:t>中国农业银行股份有限公司</w:t>
            </w:r>
          </w:p>
        </w:tc>
      </w:tr>
      <w:tr w14:paraId="78CE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A7D71D">
            <w:r>
              <w:rPr>
                <w:rFonts w:hint="eastAsia"/>
              </w:rPr>
              <w:t>信息披露负责人</w:t>
            </w:r>
          </w:p>
        </w:tc>
        <w:tc>
          <w:tcPr>
            <w:tcW w:w="1384" w:type="dxa"/>
            <w:vAlign w:val="center"/>
          </w:tcPr>
          <w:p w14:paraId="0E5591F0">
            <w:r>
              <w:rPr>
                <w:rFonts w:hint="eastAsia"/>
              </w:rPr>
              <w:t>姓名</w:t>
            </w:r>
          </w:p>
        </w:tc>
        <w:tc>
          <w:tcPr>
            <w:tcW w:w="2270" w:type="dxa"/>
            <w:vAlign w:val="center"/>
          </w:tcPr>
          <w:p w14:paraId="7F6B13DF">
            <w:r>
              <w:rPr>
                <w:rFonts w:hint="eastAsia"/>
              </w:rPr>
              <w:t>鲍文革</w:t>
            </w:r>
          </w:p>
        </w:tc>
        <w:tc>
          <w:tcPr>
            <w:tcW w:w="2990" w:type="dxa"/>
            <w:vAlign w:val="center"/>
          </w:tcPr>
          <w:p w14:paraId="4AD8882E">
            <w:r>
              <w:rPr>
                <w:rFonts w:hint="eastAsia"/>
              </w:rPr>
              <w:t>任航</w:t>
            </w:r>
          </w:p>
        </w:tc>
      </w:tr>
      <w:tr w14:paraId="0624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ED3DCF"/>
        </w:tc>
        <w:tc>
          <w:tcPr>
            <w:tcW w:w="1384" w:type="dxa"/>
            <w:vAlign w:val="center"/>
          </w:tcPr>
          <w:p w14:paraId="295FD109">
            <w:r>
              <w:rPr>
                <w:rFonts w:hint="eastAsia"/>
              </w:rPr>
              <w:t>联系电话</w:t>
            </w:r>
          </w:p>
        </w:tc>
        <w:tc>
          <w:tcPr>
            <w:tcW w:w="2270" w:type="dxa"/>
            <w:vAlign w:val="center"/>
          </w:tcPr>
          <w:p w14:paraId="65BA3564">
            <w:r>
              <w:rPr>
                <w:rFonts w:hint="eastAsia"/>
              </w:rPr>
              <w:t>0755-82763888</w:t>
            </w:r>
          </w:p>
        </w:tc>
        <w:tc>
          <w:tcPr>
            <w:tcW w:w="2990" w:type="dxa"/>
            <w:vAlign w:val="center"/>
          </w:tcPr>
          <w:p w14:paraId="7DA090C3">
            <w:r>
              <w:rPr>
                <w:rFonts w:hint="eastAsia"/>
              </w:rPr>
              <w:t>010-66060069</w:t>
            </w:r>
          </w:p>
        </w:tc>
      </w:tr>
      <w:tr w14:paraId="50F1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832755"/>
        </w:tc>
        <w:tc>
          <w:tcPr>
            <w:tcW w:w="1384" w:type="dxa"/>
            <w:vAlign w:val="center"/>
          </w:tcPr>
          <w:p w14:paraId="6E0EBCA3">
            <w:r>
              <w:rPr>
                <w:rFonts w:hint="eastAsia"/>
              </w:rPr>
              <w:t>电子邮箱</w:t>
            </w:r>
          </w:p>
        </w:tc>
        <w:tc>
          <w:tcPr>
            <w:tcW w:w="2270" w:type="dxa"/>
            <w:vAlign w:val="center"/>
          </w:tcPr>
          <w:p w14:paraId="2F6E0F5A">
            <w:r>
              <w:rPr>
                <w:rFonts w:hint="eastAsia"/>
              </w:rPr>
              <w:t>manager@southernfund.com</w:t>
            </w:r>
          </w:p>
        </w:tc>
        <w:tc>
          <w:tcPr>
            <w:tcW w:w="2990" w:type="dxa"/>
            <w:vAlign w:val="center"/>
          </w:tcPr>
          <w:p w14:paraId="53506A38">
            <w:r>
              <w:rPr>
                <w:rFonts w:hint="eastAsia"/>
              </w:rPr>
              <w:t>tgxxpl@abchina.com</w:t>
            </w:r>
          </w:p>
        </w:tc>
      </w:tr>
      <w:tr w14:paraId="5E7D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F60034">
            <w:r>
              <w:rPr>
                <w:rFonts w:hint="eastAsia"/>
              </w:rPr>
              <w:t>客户服务电话</w:t>
            </w:r>
          </w:p>
        </w:tc>
        <w:tc>
          <w:tcPr>
            <w:tcW w:w="2270" w:type="dxa"/>
            <w:vAlign w:val="center"/>
          </w:tcPr>
          <w:p w14:paraId="287E9B60">
            <w:r>
              <w:rPr>
                <w:rFonts w:hint="eastAsia"/>
              </w:rPr>
              <w:t>400-889-8899</w:t>
            </w:r>
          </w:p>
        </w:tc>
        <w:tc>
          <w:tcPr>
            <w:tcW w:w="2990" w:type="dxa"/>
            <w:vAlign w:val="center"/>
          </w:tcPr>
          <w:p w14:paraId="4DE1B700">
            <w:r>
              <w:rPr>
                <w:rFonts w:hint="eastAsia"/>
              </w:rPr>
              <w:t>95599</w:t>
            </w:r>
          </w:p>
        </w:tc>
      </w:tr>
      <w:tr w14:paraId="3CF4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253F2C">
            <w:r>
              <w:rPr>
                <w:rFonts w:hint="eastAsia"/>
              </w:rPr>
              <w:t>传真</w:t>
            </w:r>
          </w:p>
        </w:tc>
        <w:tc>
          <w:tcPr>
            <w:tcW w:w="2270" w:type="dxa"/>
            <w:vAlign w:val="center"/>
          </w:tcPr>
          <w:p w14:paraId="26F9EAED">
            <w:r>
              <w:rPr>
                <w:rFonts w:hint="eastAsia"/>
              </w:rPr>
              <w:t>0755-82763889</w:t>
            </w:r>
          </w:p>
        </w:tc>
        <w:tc>
          <w:tcPr>
            <w:tcW w:w="2990" w:type="dxa"/>
            <w:vAlign w:val="center"/>
          </w:tcPr>
          <w:p w14:paraId="658D2F96">
            <w:r>
              <w:rPr>
                <w:rFonts w:hint="eastAsia"/>
              </w:rPr>
              <w:t>010-68121816</w:t>
            </w:r>
          </w:p>
        </w:tc>
      </w:tr>
      <w:tr w14:paraId="4AB1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D07772">
            <w:r>
              <w:rPr>
                <w:rFonts w:hint="eastAsia"/>
              </w:rPr>
              <w:t>注册地址</w:t>
            </w:r>
          </w:p>
        </w:tc>
        <w:tc>
          <w:tcPr>
            <w:tcW w:w="2270" w:type="dxa"/>
            <w:vAlign w:val="center"/>
          </w:tcPr>
          <w:p w14:paraId="731329E4">
            <w:r>
              <w:rPr>
                <w:rFonts w:hint="eastAsia"/>
              </w:rPr>
              <w:t>深圳市福田区莲花街道益田路5999号基金大厦32-42楼</w:t>
            </w:r>
          </w:p>
        </w:tc>
        <w:tc>
          <w:tcPr>
            <w:tcW w:w="2990" w:type="dxa"/>
            <w:vAlign w:val="center"/>
          </w:tcPr>
          <w:p w14:paraId="5C4A937A">
            <w:r>
              <w:rPr>
                <w:rFonts w:hint="eastAsia"/>
              </w:rPr>
              <w:t>北京市东城区建国门内大街69号</w:t>
            </w:r>
          </w:p>
        </w:tc>
      </w:tr>
      <w:tr w14:paraId="79CD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E54465">
            <w:r>
              <w:rPr>
                <w:rFonts w:hint="eastAsia"/>
              </w:rPr>
              <w:t>办公地址</w:t>
            </w:r>
          </w:p>
        </w:tc>
        <w:tc>
          <w:tcPr>
            <w:tcW w:w="2270" w:type="dxa"/>
            <w:vAlign w:val="center"/>
          </w:tcPr>
          <w:p w14:paraId="2F4B4276">
            <w:r>
              <w:rPr>
                <w:rFonts w:hint="eastAsia"/>
              </w:rPr>
              <w:t>深圳市福田区莲花街道益田路5999号基金大厦32-42楼</w:t>
            </w:r>
          </w:p>
        </w:tc>
        <w:tc>
          <w:tcPr>
            <w:tcW w:w="2990" w:type="dxa"/>
            <w:vAlign w:val="center"/>
          </w:tcPr>
          <w:p w14:paraId="2F61857E">
            <w:r>
              <w:rPr>
                <w:rFonts w:hint="eastAsia"/>
              </w:rPr>
              <w:t>北京市西城区复兴门内大街28号凯晨世贸中心东座F9</w:t>
            </w:r>
          </w:p>
        </w:tc>
      </w:tr>
      <w:tr w14:paraId="4C38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580505">
            <w:r>
              <w:rPr>
                <w:rFonts w:hint="eastAsia"/>
              </w:rPr>
              <w:t>邮政编码</w:t>
            </w:r>
          </w:p>
        </w:tc>
        <w:tc>
          <w:tcPr>
            <w:tcW w:w="2270" w:type="dxa"/>
            <w:vAlign w:val="center"/>
          </w:tcPr>
          <w:p w14:paraId="61322EA7">
            <w:r>
              <w:rPr>
                <w:rFonts w:hint="eastAsia"/>
              </w:rPr>
              <w:t>518017</w:t>
            </w:r>
          </w:p>
        </w:tc>
        <w:tc>
          <w:tcPr>
            <w:tcW w:w="2990" w:type="dxa"/>
            <w:vAlign w:val="center"/>
          </w:tcPr>
          <w:p w14:paraId="3F27D955">
            <w:r>
              <w:rPr>
                <w:rFonts w:hint="eastAsia"/>
              </w:rPr>
              <w:t>100031</w:t>
            </w:r>
          </w:p>
        </w:tc>
      </w:tr>
      <w:tr w14:paraId="1394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593F96">
            <w:r>
              <w:rPr>
                <w:rFonts w:hint="eastAsia"/>
              </w:rPr>
              <w:t>法定代表人</w:t>
            </w:r>
          </w:p>
        </w:tc>
        <w:tc>
          <w:tcPr>
            <w:tcW w:w="2270" w:type="dxa"/>
            <w:vAlign w:val="center"/>
          </w:tcPr>
          <w:p w14:paraId="3AA78394">
            <w:r>
              <w:rPr>
                <w:rFonts w:hint="eastAsia"/>
              </w:rPr>
              <w:t>周易</w:t>
            </w:r>
          </w:p>
        </w:tc>
        <w:tc>
          <w:tcPr>
            <w:tcW w:w="2990" w:type="dxa"/>
            <w:vAlign w:val="center"/>
          </w:tcPr>
          <w:p w14:paraId="1FFE1A31">
            <w:r>
              <w:rPr>
                <w:rFonts w:hint="eastAsia"/>
              </w:rPr>
              <w:t>谷澍</w:t>
            </w:r>
          </w:p>
        </w:tc>
      </w:tr>
    </w:tbl>
    <w:p w14:paraId="096F9580">
      <w:pPr>
        <w:pStyle w:val="23"/>
      </w:pPr>
      <w:bookmarkStart w:id="11" w:name="_Toc24563"/>
      <w:r>
        <w:t>境外投资顾问和境外资产托管人</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65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2233428E">
            <w:r>
              <w:rPr>
                <w:rFonts w:hint="eastAsia"/>
              </w:rPr>
              <w:t>项目</w:t>
            </w:r>
          </w:p>
        </w:tc>
        <w:tc>
          <w:tcPr>
            <w:tcW w:w="2076" w:type="dxa"/>
            <w:vAlign w:val="center"/>
          </w:tcPr>
          <w:p w14:paraId="05C62ECB">
            <w:r>
              <w:rPr>
                <w:rFonts w:hint="eastAsia"/>
              </w:rPr>
              <w:t>境外投资顾问</w:t>
            </w:r>
          </w:p>
        </w:tc>
        <w:tc>
          <w:tcPr>
            <w:tcW w:w="2076" w:type="dxa"/>
            <w:vAlign w:val="center"/>
          </w:tcPr>
          <w:p w14:paraId="032BE8D7">
            <w:r>
              <w:rPr>
                <w:rFonts w:hint="eastAsia"/>
              </w:rPr>
              <w:t>境外资产托管人</w:t>
            </w:r>
          </w:p>
        </w:tc>
      </w:tr>
      <w:tr w14:paraId="6BE0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E39EE8">
            <w:r>
              <w:rPr>
                <w:rFonts w:hint="eastAsia"/>
              </w:rPr>
              <w:t>名称</w:t>
            </w:r>
          </w:p>
        </w:tc>
        <w:tc>
          <w:tcPr>
            <w:tcW w:w="2076" w:type="dxa"/>
            <w:vAlign w:val="center"/>
          </w:tcPr>
          <w:p w14:paraId="0395E2F7">
            <w:r>
              <w:rPr>
                <w:rFonts w:hint="eastAsia"/>
              </w:rPr>
              <w:t>中文</w:t>
            </w:r>
          </w:p>
        </w:tc>
        <w:tc>
          <w:tcPr>
            <w:tcW w:w="2076" w:type="dxa"/>
            <w:vAlign w:val="center"/>
          </w:tcPr>
          <w:p w14:paraId="4D125F81">
            <w:pPr>
              <w:jc w:val="right"/>
            </w:pPr>
            <w:r>
              <w:rPr>
                <w:rFonts w:hint="eastAsia"/>
              </w:rPr>
              <w:t>-</w:t>
            </w:r>
          </w:p>
        </w:tc>
        <w:tc>
          <w:tcPr>
            <w:tcW w:w="2076" w:type="dxa"/>
            <w:vAlign w:val="center"/>
          </w:tcPr>
          <w:p w14:paraId="54F70B91">
            <w:r>
              <w:rPr>
                <w:rFonts w:hint="eastAsia"/>
              </w:rPr>
              <w:t>花旗银行</w:t>
            </w:r>
          </w:p>
        </w:tc>
      </w:tr>
      <w:tr w14:paraId="5F4D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BCCC09"/>
        </w:tc>
        <w:tc>
          <w:tcPr>
            <w:tcW w:w="2076" w:type="dxa"/>
            <w:vAlign w:val="center"/>
          </w:tcPr>
          <w:p w14:paraId="79D9A431">
            <w:r>
              <w:rPr>
                <w:rFonts w:hint="eastAsia"/>
              </w:rPr>
              <w:t>英文</w:t>
            </w:r>
          </w:p>
        </w:tc>
        <w:tc>
          <w:tcPr>
            <w:tcW w:w="2076" w:type="dxa"/>
            <w:vAlign w:val="center"/>
          </w:tcPr>
          <w:p w14:paraId="6A1AA07F">
            <w:pPr>
              <w:jc w:val="right"/>
            </w:pPr>
            <w:r>
              <w:rPr>
                <w:rFonts w:hint="eastAsia"/>
              </w:rPr>
              <w:t>-</w:t>
            </w:r>
          </w:p>
        </w:tc>
        <w:tc>
          <w:tcPr>
            <w:tcW w:w="2076" w:type="dxa"/>
            <w:vAlign w:val="center"/>
          </w:tcPr>
          <w:p w14:paraId="6DE85B4F">
            <w:r>
              <w:rPr>
                <w:rFonts w:hint="eastAsia"/>
              </w:rPr>
              <w:t>Citibank, N.A.</w:t>
            </w:r>
          </w:p>
        </w:tc>
      </w:tr>
      <w:tr w14:paraId="4FBD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13F10FF5">
            <w:r>
              <w:rPr>
                <w:rFonts w:hint="eastAsia"/>
              </w:rPr>
              <w:t>注册地址</w:t>
            </w:r>
          </w:p>
        </w:tc>
        <w:tc>
          <w:tcPr>
            <w:tcW w:w="2076" w:type="dxa"/>
            <w:vAlign w:val="center"/>
          </w:tcPr>
          <w:p w14:paraId="3B08B94F">
            <w:pPr>
              <w:jc w:val="right"/>
            </w:pPr>
            <w:r>
              <w:rPr>
                <w:rFonts w:hint="eastAsia"/>
              </w:rPr>
              <w:t>-</w:t>
            </w:r>
          </w:p>
        </w:tc>
        <w:tc>
          <w:tcPr>
            <w:tcW w:w="2076" w:type="dxa"/>
            <w:vAlign w:val="center"/>
          </w:tcPr>
          <w:p w14:paraId="6CA07A20">
            <w:r>
              <w:rPr>
                <w:rFonts w:hint="eastAsia"/>
              </w:rPr>
              <w:t>701 East 60th Street North, Sioux Falls, SD57104, USA</w:t>
            </w:r>
          </w:p>
        </w:tc>
      </w:tr>
      <w:tr w14:paraId="5B2C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3E8FABE">
            <w:r>
              <w:rPr>
                <w:rFonts w:hint="eastAsia"/>
              </w:rPr>
              <w:t>办公地址</w:t>
            </w:r>
          </w:p>
        </w:tc>
        <w:tc>
          <w:tcPr>
            <w:tcW w:w="2076" w:type="dxa"/>
            <w:vAlign w:val="center"/>
          </w:tcPr>
          <w:p w14:paraId="7D4CE2ED">
            <w:pPr>
              <w:jc w:val="right"/>
            </w:pPr>
            <w:r>
              <w:rPr>
                <w:rFonts w:hint="eastAsia"/>
              </w:rPr>
              <w:t>-</w:t>
            </w:r>
          </w:p>
        </w:tc>
        <w:tc>
          <w:tcPr>
            <w:tcW w:w="2076" w:type="dxa"/>
            <w:vAlign w:val="center"/>
          </w:tcPr>
          <w:p w14:paraId="405C7B74">
            <w:r>
              <w:rPr>
                <w:rFonts w:hint="eastAsia"/>
              </w:rPr>
              <w:t>50/F Champion Tower, Three Garden Road Central, HK</w:t>
            </w:r>
          </w:p>
        </w:tc>
      </w:tr>
      <w:tr w14:paraId="2B88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26E4F0A">
            <w:r>
              <w:rPr>
                <w:rFonts w:hint="eastAsia"/>
              </w:rPr>
              <w:t>邮政编码</w:t>
            </w:r>
          </w:p>
        </w:tc>
        <w:tc>
          <w:tcPr>
            <w:tcW w:w="2076" w:type="dxa"/>
            <w:vAlign w:val="center"/>
          </w:tcPr>
          <w:p w14:paraId="68B19331">
            <w:pPr>
              <w:jc w:val="right"/>
            </w:pPr>
            <w:r>
              <w:rPr>
                <w:rFonts w:hint="eastAsia"/>
              </w:rPr>
              <w:t>-</w:t>
            </w:r>
          </w:p>
        </w:tc>
        <w:tc>
          <w:tcPr>
            <w:tcW w:w="2076" w:type="dxa"/>
            <w:vAlign w:val="center"/>
          </w:tcPr>
          <w:p w14:paraId="7715D076">
            <w:pPr>
              <w:jc w:val="right"/>
            </w:pPr>
            <w:r>
              <w:rPr>
                <w:rFonts w:hint="eastAsia"/>
              </w:rPr>
              <w:t>-</w:t>
            </w:r>
          </w:p>
        </w:tc>
      </w:tr>
    </w:tbl>
    <w:p w14:paraId="03B3CF17">
      <w:pPr>
        <w:pStyle w:val="23"/>
      </w:pPr>
      <w:bookmarkStart w:id="12" w:name="_Toc9394"/>
      <w:r>
        <w:t>信息披露方式</w:t>
      </w:r>
      <w:bookmarkEnd w:id="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7EF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26B399">
            <w:r>
              <w:rPr>
                <w:rFonts w:hint="eastAsia"/>
              </w:rPr>
              <w:t>本基金选定的信息披露报纸名称</w:t>
            </w:r>
          </w:p>
        </w:tc>
        <w:tc>
          <w:tcPr>
            <w:tcW w:w="3322" w:type="dxa"/>
            <w:vAlign w:val="center"/>
          </w:tcPr>
          <w:p w14:paraId="7F658D18">
            <w:r>
              <w:rPr>
                <w:rFonts w:hint="eastAsia"/>
              </w:rPr>
              <w:t>证券时报</w:t>
            </w:r>
          </w:p>
        </w:tc>
      </w:tr>
      <w:tr w14:paraId="293E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41C98F">
            <w:r>
              <w:rPr>
                <w:rFonts w:hint="eastAsia"/>
              </w:rPr>
              <w:t>登载基金年度报告正文的管理人互联网网址</w:t>
            </w:r>
          </w:p>
        </w:tc>
        <w:tc>
          <w:tcPr>
            <w:tcW w:w="3322" w:type="dxa"/>
            <w:vAlign w:val="center"/>
          </w:tcPr>
          <w:p w14:paraId="2F1606B3">
            <w:r>
              <w:rPr>
                <w:rFonts w:hint="eastAsia"/>
              </w:rPr>
              <w:t>http://www.nffund.com</w:t>
            </w:r>
          </w:p>
        </w:tc>
      </w:tr>
      <w:tr w14:paraId="7AE6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FE1E63">
            <w:r>
              <w:rPr>
                <w:rFonts w:hint="eastAsia"/>
              </w:rPr>
              <w:t>基金年度报告备置地点</w:t>
            </w:r>
          </w:p>
        </w:tc>
        <w:tc>
          <w:tcPr>
            <w:tcW w:w="3322" w:type="dxa"/>
            <w:vAlign w:val="center"/>
          </w:tcPr>
          <w:p w14:paraId="412A52CA">
            <w:r>
              <w:rPr>
                <w:rFonts w:hint="eastAsia"/>
              </w:rPr>
              <w:t>基金管理人、基金托管人的办公地址、基金上市交易的证券交易所（如有）</w:t>
            </w:r>
          </w:p>
        </w:tc>
      </w:tr>
    </w:tbl>
    <w:p w14:paraId="5A469843">
      <w:pPr>
        <w:pStyle w:val="23"/>
      </w:pPr>
      <w:bookmarkStart w:id="13" w:name="_Toc18851"/>
      <w:r>
        <w:t>其他相关资料</w:t>
      </w:r>
      <w:bookmarkEnd w:id="1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1D5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26E51D8">
            <w:pPr>
              <w:jc w:val="center"/>
            </w:pPr>
            <w:r>
              <w:rPr>
                <w:rFonts w:hint="eastAsia"/>
                <w:b/>
              </w:rPr>
              <w:t>项目</w:t>
            </w:r>
          </w:p>
        </w:tc>
        <w:tc>
          <w:tcPr>
            <w:tcW w:w="2907" w:type="dxa"/>
            <w:shd w:val="clear" w:color="auto" w:fill="BFBFBF"/>
            <w:vAlign w:val="center"/>
          </w:tcPr>
          <w:p w14:paraId="2F21206D">
            <w:pPr>
              <w:jc w:val="center"/>
            </w:pPr>
            <w:r>
              <w:rPr>
                <w:rFonts w:hint="eastAsia"/>
                <w:b/>
              </w:rPr>
              <w:t>名称</w:t>
            </w:r>
          </w:p>
        </w:tc>
        <w:tc>
          <w:tcPr>
            <w:tcW w:w="3876" w:type="dxa"/>
            <w:shd w:val="clear" w:color="auto" w:fill="BFBFBF"/>
            <w:vAlign w:val="center"/>
          </w:tcPr>
          <w:p w14:paraId="4BB07A0E">
            <w:pPr>
              <w:jc w:val="center"/>
            </w:pPr>
            <w:r>
              <w:rPr>
                <w:rFonts w:hint="eastAsia"/>
                <w:b/>
              </w:rPr>
              <w:t>办公地址</w:t>
            </w:r>
          </w:p>
        </w:tc>
      </w:tr>
      <w:tr w14:paraId="6190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78455BF">
            <w:r>
              <w:rPr>
                <w:rFonts w:hint="eastAsia"/>
              </w:rPr>
              <w:t>会计师事务所</w:t>
            </w:r>
          </w:p>
        </w:tc>
        <w:tc>
          <w:tcPr>
            <w:tcW w:w="2907" w:type="dxa"/>
            <w:vAlign w:val="center"/>
          </w:tcPr>
          <w:p w14:paraId="6957B0FE">
            <w:r>
              <w:rPr>
                <w:rFonts w:hint="eastAsia"/>
              </w:rPr>
              <w:t>容诚会计师事务所（特殊普通合伙）</w:t>
            </w:r>
          </w:p>
        </w:tc>
        <w:tc>
          <w:tcPr>
            <w:tcW w:w="3876" w:type="dxa"/>
            <w:vAlign w:val="center"/>
          </w:tcPr>
          <w:p w14:paraId="43555A8B">
            <w:r>
              <w:rPr>
                <w:rFonts w:hint="eastAsia"/>
              </w:rPr>
              <w:t>北京市西城区阜成门外大街22号1幢10层1001-1至1001-26</w:t>
            </w:r>
          </w:p>
        </w:tc>
      </w:tr>
      <w:tr w14:paraId="4B78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08CD7B">
            <w:r>
              <w:rPr>
                <w:rFonts w:hint="eastAsia"/>
              </w:rPr>
              <w:t>注册登记机构</w:t>
            </w:r>
          </w:p>
        </w:tc>
        <w:tc>
          <w:tcPr>
            <w:tcW w:w="2907" w:type="dxa"/>
            <w:vAlign w:val="center"/>
          </w:tcPr>
          <w:p w14:paraId="17211256">
            <w:r>
              <w:rPr>
                <w:rFonts w:hint="eastAsia"/>
              </w:rPr>
              <w:t>南方基金管理股份有限公司</w:t>
            </w:r>
          </w:p>
        </w:tc>
        <w:tc>
          <w:tcPr>
            <w:tcW w:w="3876" w:type="dxa"/>
            <w:vAlign w:val="center"/>
          </w:tcPr>
          <w:p w14:paraId="1F36E8BC">
            <w:r>
              <w:rPr>
                <w:rFonts w:hint="eastAsia"/>
              </w:rPr>
              <w:t>深圳市福田区莲花街道益田路5999号基金大厦32-42楼</w:t>
            </w:r>
          </w:p>
        </w:tc>
      </w:tr>
    </w:tbl>
    <w:p w14:paraId="487A87AC">
      <w:pPr>
        <w:pStyle w:val="26"/>
        <w:pageBreakBefore/>
      </w:pPr>
      <w:bookmarkStart w:id="14" w:name="_Toc4659"/>
      <w:r>
        <w:t>主要财务指标、基金净值表现及利润分配情况</w:t>
      </w:r>
      <w:bookmarkEnd w:id="14"/>
    </w:p>
    <w:p w14:paraId="77D95300">
      <w:pPr>
        <w:pStyle w:val="23"/>
      </w:pPr>
      <w:bookmarkStart w:id="15" w:name="_Toc8078"/>
      <w:r>
        <w:t>主要会计数据和财务指标</w:t>
      </w:r>
      <w:bookmarkEnd w:id="15"/>
    </w:p>
    <w:p w14:paraId="2EA65F1F">
      <w:pPr>
        <w:jc w:val="right"/>
        <w:rPr>
          <w:rFonts w:hint="eastAsia"/>
        </w:rPr>
      </w:pPr>
      <w:r>
        <w:rPr>
          <w:rFonts w:hint="eastAsia"/>
        </w:rPr>
        <w:t>单位：人民币元</w:t>
      </w:r>
    </w:p>
    <w:p w14:paraId="20E7B8C0">
      <w:pPr>
        <w:pStyle w:val="18"/>
        <w:rPr>
          <w:rFonts w:hint="eastAsia"/>
        </w:rPr>
      </w:pPr>
      <w:r>
        <w:rPr>
          <w:rFonts w:hint="eastAsia"/>
        </w:rPr>
        <w:t>1、南方恒生生物科技ETF发起联接（QDII）A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A11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D2BDE6">
            <w:r>
              <w:rPr>
                <w:rFonts w:hint="eastAsia"/>
              </w:rPr>
              <w:t>3.1.1 期间数据和指标</w:t>
            </w:r>
          </w:p>
        </w:tc>
        <w:tc>
          <w:tcPr>
            <w:tcW w:w="1771" w:type="dxa"/>
            <w:vAlign w:val="center"/>
          </w:tcPr>
          <w:p w14:paraId="5B1711B6">
            <w:r>
              <w:rPr>
                <w:rFonts w:hint="eastAsia"/>
              </w:rPr>
              <w:t>2025年</w:t>
            </w:r>
          </w:p>
        </w:tc>
        <w:tc>
          <w:tcPr>
            <w:tcW w:w="1949" w:type="dxa"/>
            <w:vAlign w:val="center"/>
          </w:tcPr>
          <w:p w14:paraId="5BCC0F25">
            <w:r>
              <w:rPr>
                <w:rFonts w:hint="eastAsia"/>
              </w:rPr>
              <w:t>2024年</w:t>
            </w:r>
          </w:p>
        </w:tc>
        <w:tc>
          <w:tcPr>
            <w:tcW w:w="1827" w:type="dxa"/>
            <w:vAlign w:val="center"/>
          </w:tcPr>
          <w:p w14:paraId="7875EC47">
            <w:r>
              <w:rPr>
                <w:rFonts w:hint="eastAsia"/>
              </w:rPr>
              <w:t>2023年5月30日-2023年12月31日</w:t>
            </w:r>
          </w:p>
        </w:tc>
      </w:tr>
      <w:tr w14:paraId="3ACC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1010C">
            <w:r>
              <w:rPr>
                <w:rFonts w:hint="eastAsia"/>
              </w:rPr>
              <w:t>本期已实现收益</w:t>
            </w:r>
          </w:p>
        </w:tc>
        <w:tc>
          <w:tcPr>
            <w:tcW w:w="1771" w:type="dxa"/>
            <w:vAlign w:val="center"/>
          </w:tcPr>
          <w:p w14:paraId="76018BE3">
            <w:pPr>
              <w:jc w:val="right"/>
            </w:pPr>
            <w:r>
              <w:rPr>
                <w:rFonts w:hint="eastAsia"/>
              </w:rPr>
              <w:t>4,158,472.72</w:t>
            </w:r>
          </w:p>
        </w:tc>
        <w:tc>
          <w:tcPr>
            <w:tcW w:w="1949" w:type="dxa"/>
            <w:vAlign w:val="center"/>
          </w:tcPr>
          <w:p w14:paraId="7E4E1CEC">
            <w:pPr>
              <w:jc w:val="right"/>
            </w:pPr>
            <w:r>
              <w:rPr>
                <w:rFonts w:hint="eastAsia"/>
              </w:rPr>
              <w:t>-1,758,465.12</w:t>
            </w:r>
          </w:p>
        </w:tc>
        <w:tc>
          <w:tcPr>
            <w:tcW w:w="1827" w:type="dxa"/>
            <w:vAlign w:val="center"/>
          </w:tcPr>
          <w:p w14:paraId="01BD3C50">
            <w:pPr>
              <w:jc w:val="right"/>
            </w:pPr>
            <w:r>
              <w:rPr>
                <w:rFonts w:hint="eastAsia"/>
              </w:rPr>
              <w:t>-61,413.38</w:t>
            </w:r>
          </w:p>
        </w:tc>
      </w:tr>
      <w:tr w14:paraId="6482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EC037E">
            <w:r>
              <w:rPr>
                <w:rFonts w:hint="eastAsia"/>
              </w:rPr>
              <w:t>本期利润</w:t>
            </w:r>
          </w:p>
        </w:tc>
        <w:tc>
          <w:tcPr>
            <w:tcW w:w="1771" w:type="dxa"/>
            <w:vAlign w:val="center"/>
          </w:tcPr>
          <w:p w14:paraId="2A25A78B">
            <w:pPr>
              <w:jc w:val="right"/>
            </w:pPr>
            <w:r>
              <w:rPr>
                <w:rFonts w:hint="eastAsia"/>
              </w:rPr>
              <w:t>4,779,736.98</w:t>
            </w:r>
          </w:p>
        </w:tc>
        <w:tc>
          <w:tcPr>
            <w:tcW w:w="1949" w:type="dxa"/>
            <w:vAlign w:val="center"/>
          </w:tcPr>
          <w:p w14:paraId="55B9A1C4">
            <w:pPr>
              <w:jc w:val="right"/>
            </w:pPr>
            <w:r>
              <w:rPr>
                <w:rFonts w:hint="eastAsia"/>
              </w:rPr>
              <w:t>-1,716,683.81</w:t>
            </w:r>
          </w:p>
        </w:tc>
        <w:tc>
          <w:tcPr>
            <w:tcW w:w="1827" w:type="dxa"/>
            <w:vAlign w:val="center"/>
          </w:tcPr>
          <w:p w14:paraId="29B1F7D3">
            <w:pPr>
              <w:jc w:val="right"/>
            </w:pPr>
            <w:r>
              <w:rPr>
                <w:rFonts w:hint="eastAsia"/>
              </w:rPr>
              <w:t>-948,000.80</w:t>
            </w:r>
          </w:p>
        </w:tc>
      </w:tr>
      <w:tr w14:paraId="26E5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7D1D1A">
            <w:r>
              <w:rPr>
                <w:rFonts w:hint="eastAsia"/>
              </w:rPr>
              <w:t>加权平均基金份额本期利润</w:t>
            </w:r>
          </w:p>
        </w:tc>
        <w:tc>
          <w:tcPr>
            <w:tcW w:w="1771" w:type="dxa"/>
            <w:vAlign w:val="center"/>
          </w:tcPr>
          <w:p w14:paraId="59BC506D">
            <w:pPr>
              <w:jc w:val="right"/>
            </w:pPr>
            <w:r>
              <w:rPr>
                <w:rFonts w:hint="eastAsia"/>
              </w:rPr>
              <w:t>0.1359</w:t>
            </w:r>
          </w:p>
        </w:tc>
        <w:tc>
          <w:tcPr>
            <w:tcW w:w="1949" w:type="dxa"/>
            <w:vAlign w:val="center"/>
          </w:tcPr>
          <w:p w14:paraId="32574933">
            <w:pPr>
              <w:jc w:val="right"/>
            </w:pPr>
            <w:r>
              <w:rPr>
                <w:rFonts w:hint="eastAsia"/>
              </w:rPr>
              <w:t>-0.1074</w:t>
            </w:r>
          </w:p>
        </w:tc>
        <w:tc>
          <w:tcPr>
            <w:tcW w:w="1827" w:type="dxa"/>
            <w:vAlign w:val="center"/>
          </w:tcPr>
          <w:p w14:paraId="1F6EA36C">
            <w:pPr>
              <w:jc w:val="right"/>
            </w:pPr>
            <w:r>
              <w:rPr>
                <w:rFonts w:hint="eastAsia"/>
              </w:rPr>
              <w:t>-0.0726</w:t>
            </w:r>
          </w:p>
        </w:tc>
      </w:tr>
      <w:tr w14:paraId="13B9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2E555E">
            <w:r>
              <w:rPr>
                <w:rFonts w:hint="eastAsia"/>
              </w:rPr>
              <w:t>本期加权平均净值利润率</w:t>
            </w:r>
          </w:p>
        </w:tc>
        <w:tc>
          <w:tcPr>
            <w:tcW w:w="1771" w:type="dxa"/>
            <w:vAlign w:val="center"/>
          </w:tcPr>
          <w:p w14:paraId="44BAE710">
            <w:pPr>
              <w:jc w:val="right"/>
            </w:pPr>
            <w:r>
              <w:rPr>
                <w:rFonts w:hint="eastAsia"/>
              </w:rPr>
              <w:t>10.73%</w:t>
            </w:r>
          </w:p>
        </w:tc>
        <w:tc>
          <w:tcPr>
            <w:tcW w:w="1949" w:type="dxa"/>
            <w:vAlign w:val="center"/>
          </w:tcPr>
          <w:p w14:paraId="0ED9D633">
            <w:pPr>
              <w:jc w:val="right"/>
            </w:pPr>
            <w:r>
              <w:rPr>
                <w:rFonts w:hint="eastAsia"/>
              </w:rPr>
              <w:t>-14.02%</w:t>
            </w:r>
          </w:p>
        </w:tc>
        <w:tc>
          <w:tcPr>
            <w:tcW w:w="1827" w:type="dxa"/>
            <w:vAlign w:val="center"/>
          </w:tcPr>
          <w:p w14:paraId="145EFED2">
            <w:pPr>
              <w:jc w:val="right"/>
            </w:pPr>
            <w:r>
              <w:rPr>
                <w:rFonts w:hint="eastAsia"/>
              </w:rPr>
              <w:t>-7.52%</w:t>
            </w:r>
          </w:p>
        </w:tc>
      </w:tr>
      <w:tr w14:paraId="50C9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6E896">
            <w:r>
              <w:rPr>
                <w:rFonts w:hint="eastAsia"/>
              </w:rPr>
              <w:t>本期基金份额净值增长率</w:t>
            </w:r>
          </w:p>
        </w:tc>
        <w:tc>
          <w:tcPr>
            <w:tcW w:w="1771" w:type="dxa"/>
            <w:vAlign w:val="center"/>
          </w:tcPr>
          <w:p w14:paraId="1BDFDA29">
            <w:pPr>
              <w:jc w:val="right"/>
            </w:pPr>
            <w:r>
              <w:rPr>
                <w:rFonts w:hint="eastAsia"/>
              </w:rPr>
              <w:t>54.48%</w:t>
            </w:r>
          </w:p>
        </w:tc>
        <w:tc>
          <w:tcPr>
            <w:tcW w:w="1949" w:type="dxa"/>
            <w:vAlign w:val="center"/>
          </w:tcPr>
          <w:p w14:paraId="061986DD">
            <w:pPr>
              <w:jc w:val="right"/>
            </w:pPr>
            <w:r>
              <w:rPr>
                <w:rFonts w:hint="eastAsia"/>
              </w:rPr>
              <w:t>-15.20%</w:t>
            </w:r>
          </w:p>
        </w:tc>
        <w:tc>
          <w:tcPr>
            <w:tcW w:w="1827" w:type="dxa"/>
            <w:vAlign w:val="center"/>
          </w:tcPr>
          <w:p w14:paraId="5E4BA9A3">
            <w:pPr>
              <w:jc w:val="right"/>
            </w:pPr>
            <w:r>
              <w:rPr>
                <w:rFonts w:hint="eastAsia"/>
              </w:rPr>
              <w:t>-6.95%</w:t>
            </w:r>
          </w:p>
        </w:tc>
      </w:tr>
      <w:tr w14:paraId="7879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51639E">
            <w:r>
              <w:rPr>
                <w:rFonts w:hint="eastAsia"/>
              </w:rPr>
              <w:t>3.1.2 期末数据和指标</w:t>
            </w:r>
          </w:p>
        </w:tc>
        <w:tc>
          <w:tcPr>
            <w:tcW w:w="1771" w:type="dxa"/>
            <w:vAlign w:val="center"/>
          </w:tcPr>
          <w:p w14:paraId="077C3617">
            <w:r>
              <w:rPr>
                <w:rFonts w:hint="eastAsia"/>
              </w:rPr>
              <w:t>2025年末</w:t>
            </w:r>
          </w:p>
        </w:tc>
        <w:tc>
          <w:tcPr>
            <w:tcW w:w="1949" w:type="dxa"/>
            <w:vAlign w:val="center"/>
          </w:tcPr>
          <w:p w14:paraId="239DC4FF">
            <w:r>
              <w:rPr>
                <w:rFonts w:hint="eastAsia"/>
              </w:rPr>
              <w:t>2024年末</w:t>
            </w:r>
          </w:p>
        </w:tc>
        <w:tc>
          <w:tcPr>
            <w:tcW w:w="1827" w:type="dxa"/>
            <w:vAlign w:val="center"/>
          </w:tcPr>
          <w:p w14:paraId="1AC47F89">
            <w:r>
              <w:rPr>
                <w:rFonts w:hint="eastAsia"/>
              </w:rPr>
              <w:t>2023年末</w:t>
            </w:r>
          </w:p>
        </w:tc>
      </w:tr>
      <w:tr w14:paraId="1544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D6DEA0">
            <w:r>
              <w:rPr>
                <w:rFonts w:hint="eastAsia"/>
              </w:rPr>
              <w:t>期末可供分配利润</w:t>
            </w:r>
          </w:p>
        </w:tc>
        <w:tc>
          <w:tcPr>
            <w:tcW w:w="1771" w:type="dxa"/>
            <w:vAlign w:val="center"/>
          </w:tcPr>
          <w:p w14:paraId="4F32B367">
            <w:pPr>
              <w:jc w:val="right"/>
            </w:pPr>
            <w:r>
              <w:rPr>
                <w:rFonts w:hint="eastAsia"/>
              </w:rPr>
              <w:t>376,450.77</w:t>
            </w:r>
          </w:p>
        </w:tc>
        <w:tc>
          <w:tcPr>
            <w:tcW w:w="1949" w:type="dxa"/>
            <w:vAlign w:val="center"/>
          </w:tcPr>
          <w:p w14:paraId="615A73A4">
            <w:pPr>
              <w:jc w:val="right"/>
            </w:pPr>
            <w:r>
              <w:rPr>
                <w:rFonts w:hint="eastAsia"/>
              </w:rPr>
              <w:t>-3,642,989.09</w:t>
            </w:r>
          </w:p>
        </w:tc>
        <w:tc>
          <w:tcPr>
            <w:tcW w:w="1827" w:type="dxa"/>
            <w:vAlign w:val="center"/>
          </w:tcPr>
          <w:p w14:paraId="4FDE046D">
            <w:pPr>
              <w:jc w:val="right"/>
            </w:pPr>
            <w:r>
              <w:rPr>
                <w:rFonts w:hint="eastAsia"/>
              </w:rPr>
              <w:t>-998,906.77</w:t>
            </w:r>
          </w:p>
        </w:tc>
      </w:tr>
      <w:tr w14:paraId="4DA5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592284">
            <w:r>
              <w:rPr>
                <w:rFonts w:hint="eastAsia"/>
              </w:rPr>
              <w:t>期末可供分配基金份额利润</w:t>
            </w:r>
          </w:p>
        </w:tc>
        <w:tc>
          <w:tcPr>
            <w:tcW w:w="1771" w:type="dxa"/>
            <w:vAlign w:val="center"/>
          </w:tcPr>
          <w:p w14:paraId="2CA94859">
            <w:pPr>
              <w:jc w:val="right"/>
            </w:pPr>
            <w:r>
              <w:rPr>
                <w:rFonts w:hint="eastAsia"/>
              </w:rPr>
              <w:t>0.0070</w:t>
            </w:r>
          </w:p>
        </w:tc>
        <w:tc>
          <w:tcPr>
            <w:tcW w:w="1949" w:type="dxa"/>
            <w:vAlign w:val="center"/>
          </w:tcPr>
          <w:p w14:paraId="6BD7C405">
            <w:pPr>
              <w:jc w:val="right"/>
            </w:pPr>
            <w:r>
              <w:rPr>
                <w:rFonts w:hint="eastAsia"/>
              </w:rPr>
              <w:t>-0.2109</w:t>
            </w:r>
          </w:p>
        </w:tc>
        <w:tc>
          <w:tcPr>
            <w:tcW w:w="1827" w:type="dxa"/>
            <w:vAlign w:val="center"/>
          </w:tcPr>
          <w:p w14:paraId="6BD69F63">
            <w:pPr>
              <w:jc w:val="right"/>
            </w:pPr>
            <w:r>
              <w:rPr>
                <w:rFonts w:hint="eastAsia"/>
              </w:rPr>
              <w:t>-0.0695</w:t>
            </w:r>
          </w:p>
        </w:tc>
      </w:tr>
      <w:tr w14:paraId="47BC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038DC9">
            <w:r>
              <w:rPr>
                <w:rFonts w:hint="eastAsia"/>
              </w:rPr>
              <w:t>期末基金资产净值</w:t>
            </w:r>
          </w:p>
        </w:tc>
        <w:tc>
          <w:tcPr>
            <w:tcW w:w="1771" w:type="dxa"/>
            <w:vAlign w:val="center"/>
          </w:tcPr>
          <w:p w14:paraId="62EC437A">
            <w:pPr>
              <w:jc w:val="right"/>
            </w:pPr>
            <w:r>
              <w:rPr>
                <w:rFonts w:hint="eastAsia"/>
              </w:rPr>
              <w:t>65,210,964.14</w:t>
            </w:r>
          </w:p>
        </w:tc>
        <w:tc>
          <w:tcPr>
            <w:tcW w:w="1949" w:type="dxa"/>
            <w:vAlign w:val="center"/>
          </w:tcPr>
          <w:p w14:paraId="19C18079">
            <w:pPr>
              <w:jc w:val="right"/>
            </w:pPr>
            <w:r>
              <w:rPr>
                <w:rFonts w:hint="eastAsia"/>
              </w:rPr>
              <w:t>13,634,029.72</w:t>
            </w:r>
          </w:p>
        </w:tc>
        <w:tc>
          <w:tcPr>
            <w:tcW w:w="1827" w:type="dxa"/>
            <w:vAlign w:val="center"/>
          </w:tcPr>
          <w:p w14:paraId="7CD23F90">
            <w:pPr>
              <w:jc w:val="right"/>
            </w:pPr>
            <w:r>
              <w:rPr>
                <w:rFonts w:hint="eastAsia"/>
              </w:rPr>
              <w:t>13,375,151.51</w:t>
            </w:r>
          </w:p>
        </w:tc>
      </w:tr>
      <w:tr w14:paraId="41B5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38FB7D">
            <w:r>
              <w:rPr>
                <w:rFonts w:hint="eastAsia"/>
              </w:rPr>
              <w:t>期末基金份额净值</w:t>
            </w:r>
          </w:p>
        </w:tc>
        <w:tc>
          <w:tcPr>
            <w:tcW w:w="1771" w:type="dxa"/>
            <w:vAlign w:val="center"/>
          </w:tcPr>
          <w:p w14:paraId="01DBAC3A">
            <w:pPr>
              <w:jc w:val="right"/>
            </w:pPr>
            <w:r>
              <w:rPr>
                <w:rFonts w:hint="eastAsia"/>
              </w:rPr>
              <w:t>1.2190</w:t>
            </w:r>
          </w:p>
        </w:tc>
        <w:tc>
          <w:tcPr>
            <w:tcW w:w="1949" w:type="dxa"/>
            <w:vAlign w:val="center"/>
          </w:tcPr>
          <w:p w14:paraId="17B1DDCA">
            <w:pPr>
              <w:jc w:val="right"/>
            </w:pPr>
            <w:r>
              <w:rPr>
                <w:rFonts w:hint="eastAsia"/>
              </w:rPr>
              <w:t>0.7891</w:t>
            </w:r>
          </w:p>
        </w:tc>
        <w:tc>
          <w:tcPr>
            <w:tcW w:w="1827" w:type="dxa"/>
            <w:vAlign w:val="center"/>
          </w:tcPr>
          <w:p w14:paraId="74C37D7B">
            <w:pPr>
              <w:jc w:val="right"/>
            </w:pPr>
            <w:r>
              <w:rPr>
                <w:rFonts w:hint="eastAsia"/>
              </w:rPr>
              <w:t>0.9305</w:t>
            </w:r>
          </w:p>
        </w:tc>
      </w:tr>
      <w:tr w14:paraId="71D5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503C06">
            <w:r>
              <w:rPr>
                <w:rFonts w:hint="eastAsia"/>
              </w:rPr>
              <w:t>3.1.3 累计期末指标</w:t>
            </w:r>
          </w:p>
        </w:tc>
        <w:tc>
          <w:tcPr>
            <w:tcW w:w="1771" w:type="dxa"/>
            <w:vAlign w:val="center"/>
          </w:tcPr>
          <w:p w14:paraId="1206DD65">
            <w:r>
              <w:rPr>
                <w:rFonts w:hint="eastAsia"/>
              </w:rPr>
              <w:t>2025年末</w:t>
            </w:r>
          </w:p>
        </w:tc>
        <w:tc>
          <w:tcPr>
            <w:tcW w:w="1949" w:type="dxa"/>
            <w:vAlign w:val="center"/>
          </w:tcPr>
          <w:p w14:paraId="7019B9B1">
            <w:r>
              <w:rPr>
                <w:rFonts w:hint="eastAsia"/>
              </w:rPr>
              <w:t>2024年末</w:t>
            </w:r>
          </w:p>
        </w:tc>
        <w:tc>
          <w:tcPr>
            <w:tcW w:w="1827" w:type="dxa"/>
            <w:vAlign w:val="center"/>
          </w:tcPr>
          <w:p w14:paraId="4171DCBA">
            <w:r>
              <w:rPr>
                <w:rFonts w:hint="eastAsia"/>
              </w:rPr>
              <w:t>2023年末</w:t>
            </w:r>
          </w:p>
        </w:tc>
      </w:tr>
      <w:tr w14:paraId="3A33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B43076">
            <w:r>
              <w:rPr>
                <w:rFonts w:hint="eastAsia"/>
              </w:rPr>
              <w:t>基金份额累计净值增长率</w:t>
            </w:r>
          </w:p>
        </w:tc>
        <w:tc>
          <w:tcPr>
            <w:tcW w:w="1771" w:type="dxa"/>
            <w:vAlign w:val="center"/>
          </w:tcPr>
          <w:p w14:paraId="2EABD299">
            <w:pPr>
              <w:jc w:val="right"/>
            </w:pPr>
            <w:r>
              <w:rPr>
                <w:rFonts w:hint="eastAsia"/>
              </w:rPr>
              <w:t>21.90%</w:t>
            </w:r>
          </w:p>
        </w:tc>
        <w:tc>
          <w:tcPr>
            <w:tcW w:w="1949" w:type="dxa"/>
            <w:vAlign w:val="center"/>
          </w:tcPr>
          <w:p w14:paraId="05C7FC9B">
            <w:pPr>
              <w:jc w:val="right"/>
            </w:pPr>
            <w:r>
              <w:rPr>
                <w:rFonts w:hint="eastAsia"/>
              </w:rPr>
              <w:t>-21.09%</w:t>
            </w:r>
          </w:p>
        </w:tc>
        <w:tc>
          <w:tcPr>
            <w:tcW w:w="1827" w:type="dxa"/>
            <w:vAlign w:val="center"/>
          </w:tcPr>
          <w:p w14:paraId="67548CBE">
            <w:pPr>
              <w:jc w:val="right"/>
            </w:pPr>
            <w:r>
              <w:rPr>
                <w:rFonts w:hint="eastAsia"/>
              </w:rPr>
              <w:t>-6.95%</w:t>
            </w:r>
          </w:p>
        </w:tc>
      </w:tr>
    </w:tbl>
    <w:p w14:paraId="29D520C4">
      <w:pPr>
        <w:pStyle w:val="18"/>
        <w:rPr>
          <w:rFonts w:hint="eastAsia"/>
        </w:rPr>
      </w:pPr>
      <w:r>
        <w:rPr>
          <w:rFonts w:hint="eastAsia"/>
        </w:rPr>
        <w:t>2、南方恒生生物科技ETF发起联接（QDII）C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63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0DFB3">
            <w:r>
              <w:rPr>
                <w:rFonts w:hint="eastAsia"/>
              </w:rPr>
              <w:t>3.1.1 期间数据和指标</w:t>
            </w:r>
          </w:p>
        </w:tc>
        <w:tc>
          <w:tcPr>
            <w:tcW w:w="1771" w:type="dxa"/>
            <w:vAlign w:val="center"/>
          </w:tcPr>
          <w:p w14:paraId="34322B7F">
            <w:r>
              <w:rPr>
                <w:rFonts w:hint="eastAsia"/>
              </w:rPr>
              <w:t>2025年</w:t>
            </w:r>
          </w:p>
        </w:tc>
        <w:tc>
          <w:tcPr>
            <w:tcW w:w="1949" w:type="dxa"/>
            <w:vAlign w:val="center"/>
          </w:tcPr>
          <w:p w14:paraId="34B165AC">
            <w:r>
              <w:rPr>
                <w:rFonts w:hint="eastAsia"/>
              </w:rPr>
              <w:t>2024年</w:t>
            </w:r>
          </w:p>
        </w:tc>
        <w:tc>
          <w:tcPr>
            <w:tcW w:w="1827" w:type="dxa"/>
            <w:vAlign w:val="center"/>
          </w:tcPr>
          <w:p w14:paraId="04701FBD">
            <w:r>
              <w:rPr>
                <w:rFonts w:hint="eastAsia"/>
              </w:rPr>
              <w:t>2023年5月30日-2023年12月31日</w:t>
            </w:r>
          </w:p>
        </w:tc>
      </w:tr>
      <w:tr w14:paraId="345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387302">
            <w:r>
              <w:rPr>
                <w:rFonts w:hint="eastAsia"/>
              </w:rPr>
              <w:t>本期已实现收益</w:t>
            </w:r>
          </w:p>
        </w:tc>
        <w:tc>
          <w:tcPr>
            <w:tcW w:w="1771" w:type="dxa"/>
            <w:vAlign w:val="center"/>
          </w:tcPr>
          <w:p w14:paraId="649885CA">
            <w:pPr>
              <w:jc w:val="right"/>
            </w:pPr>
            <w:r>
              <w:rPr>
                <w:rFonts w:hint="eastAsia"/>
              </w:rPr>
              <w:t>3,336,646.66</w:t>
            </w:r>
          </w:p>
        </w:tc>
        <w:tc>
          <w:tcPr>
            <w:tcW w:w="1949" w:type="dxa"/>
            <w:vAlign w:val="center"/>
          </w:tcPr>
          <w:p w14:paraId="4FAEB186">
            <w:pPr>
              <w:jc w:val="right"/>
            </w:pPr>
            <w:r>
              <w:rPr>
                <w:rFonts w:hint="eastAsia"/>
              </w:rPr>
              <w:t>-1,043,602.08</w:t>
            </w:r>
          </w:p>
        </w:tc>
        <w:tc>
          <w:tcPr>
            <w:tcW w:w="1827" w:type="dxa"/>
            <w:vAlign w:val="center"/>
          </w:tcPr>
          <w:p w14:paraId="67DBD72B">
            <w:pPr>
              <w:jc w:val="right"/>
            </w:pPr>
            <w:r>
              <w:rPr>
                <w:rFonts w:hint="eastAsia"/>
              </w:rPr>
              <w:t>-20,293.92</w:t>
            </w:r>
          </w:p>
        </w:tc>
      </w:tr>
      <w:tr w14:paraId="3CAD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2A150F">
            <w:r>
              <w:rPr>
                <w:rFonts w:hint="eastAsia"/>
              </w:rPr>
              <w:t>本期利润</w:t>
            </w:r>
          </w:p>
        </w:tc>
        <w:tc>
          <w:tcPr>
            <w:tcW w:w="1771" w:type="dxa"/>
            <w:vAlign w:val="center"/>
          </w:tcPr>
          <w:p w14:paraId="296DAF81">
            <w:pPr>
              <w:jc w:val="right"/>
            </w:pPr>
            <w:r>
              <w:rPr>
                <w:rFonts w:hint="eastAsia"/>
              </w:rPr>
              <w:t>-7,677,986.06</w:t>
            </w:r>
          </w:p>
        </w:tc>
        <w:tc>
          <w:tcPr>
            <w:tcW w:w="1949" w:type="dxa"/>
            <w:vAlign w:val="center"/>
          </w:tcPr>
          <w:p w14:paraId="0F77EDC3">
            <w:pPr>
              <w:jc w:val="right"/>
            </w:pPr>
            <w:r>
              <w:rPr>
                <w:rFonts w:hint="eastAsia"/>
              </w:rPr>
              <w:t>-1,510,052.24</w:t>
            </w:r>
          </w:p>
        </w:tc>
        <w:tc>
          <w:tcPr>
            <w:tcW w:w="1827" w:type="dxa"/>
            <w:vAlign w:val="center"/>
          </w:tcPr>
          <w:p w14:paraId="2D32F35C">
            <w:pPr>
              <w:jc w:val="right"/>
            </w:pPr>
            <w:r>
              <w:rPr>
                <w:rFonts w:hint="eastAsia"/>
              </w:rPr>
              <w:t>-672,141.02</w:t>
            </w:r>
          </w:p>
        </w:tc>
      </w:tr>
      <w:tr w14:paraId="3275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19F7FB">
            <w:r>
              <w:rPr>
                <w:rFonts w:hint="eastAsia"/>
              </w:rPr>
              <w:t>加权平均基金份额本期利润</w:t>
            </w:r>
          </w:p>
        </w:tc>
        <w:tc>
          <w:tcPr>
            <w:tcW w:w="1771" w:type="dxa"/>
            <w:vAlign w:val="center"/>
          </w:tcPr>
          <w:p w14:paraId="2EF2835A">
            <w:pPr>
              <w:jc w:val="right"/>
            </w:pPr>
            <w:r>
              <w:rPr>
                <w:rFonts w:hint="eastAsia"/>
              </w:rPr>
              <w:t>-0.2012</w:t>
            </w:r>
          </w:p>
        </w:tc>
        <w:tc>
          <w:tcPr>
            <w:tcW w:w="1949" w:type="dxa"/>
            <w:vAlign w:val="center"/>
          </w:tcPr>
          <w:p w14:paraId="3EE3F550">
            <w:pPr>
              <w:jc w:val="right"/>
            </w:pPr>
            <w:r>
              <w:rPr>
                <w:rFonts w:hint="eastAsia"/>
              </w:rPr>
              <w:t>-0.1511</w:t>
            </w:r>
          </w:p>
        </w:tc>
        <w:tc>
          <w:tcPr>
            <w:tcW w:w="1827" w:type="dxa"/>
            <w:vAlign w:val="center"/>
          </w:tcPr>
          <w:p w14:paraId="4A39D947">
            <w:pPr>
              <w:jc w:val="right"/>
            </w:pPr>
            <w:r>
              <w:rPr>
                <w:rFonts w:hint="eastAsia"/>
              </w:rPr>
              <w:t>-0.1980</w:t>
            </w:r>
          </w:p>
        </w:tc>
      </w:tr>
      <w:tr w14:paraId="3888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062CEE">
            <w:r>
              <w:rPr>
                <w:rFonts w:hint="eastAsia"/>
              </w:rPr>
              <w:t>本期加权平均净值利润率</w:t>
            </w:r>
          </w:p>
        </w:tc>
        <w:tc>
          <w:tcPr>
            <w:tcW w:w="1771" w:type="dxa"/>
            <w:vAlign w:val="center"/>
          </w:tcPr>
          <w:p w14:paraId="6E2370FF">
            <w:pPr>
              <w:jc w:val="right"/>
            </w:pPr>
            <w:r>
              <w:rPr>
                <w:rFonts w:hint="eastAsia"/>
              </w:rPr>
              <w:t>-15.64%</w:t>
            </w:r>
          </w:p>
        </w:tc>
        <w:tc>
          <w:tcPr>
            <w:tcW w:w="1949" w:type="dxa"/>
            <w:vAlign w:val="center"/>
          </w:tcPr>
          <w:p w14:paraId="773DE7B3">
            <w:pPr>
              <w:jc w:val="right"/>
            </w:pPr>
            <w:r>
              <w:rPr>
                <w:rFonts w:hint="eastAsia"/>
              </w:rPr>
              <w:t>-19.73%</w:t>
            </w:r>
          </w:p>
        </w:tc>
        <w:tc>
          <w:tcPr>
            <w:tcW w:w="1827" w:type="dxa"/>
            <w:vAlign w:val="center"/>
          </w:tcPr>
          <w:p w14:paraId="6B9E5407">
            <w:pPr>
              <w:jc w:val="right"/>
            </w:pPr>
            <w:r>
              <w:rPr>
                <w:rFonts w:hint="eastAsia"/>
              </w:rPr>
              <w:t>-20.60%</w:t>
            </w:r>
          </w:p>
        </w:tc>
      </w:tr>
      <w:tr w14:paraId="11BF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C678D1">
            <w:r>
              <w:rPr>
                <w:rFonts w:hint="eastAsia"/>
              </w:rPr>
              <w:t>本期基金份额净值增长率</w:t>
            </w:r>
          </w:p>
        </w:tc>
        <w:tc>
          <w:tcPr>
            <w:tcW w:w="1771" w:type="dxa"/>
            <w:vAlign w:val="center"/>
          </w:tcPr>
          <w:p w14:paraId="43826EDE">
            <w:pPr>
              <w:jc w:val="right"/>
            </w:pPr>
            <w:r>
              <w:rPr>
                <w:rFonts w:hint="eastAsia"/>
              </w:rPr>
              <w:t>54.02%</w:t>
            </w:r>
          </w:p>
        </w:tc>
        <w:tc>
          <w:tcPr>
            <w:tcW w:w="1949" w:type="dxa"/>
            <w:vAlign w:val="center"/>
          </w:tcPr>
          <w:p w14:paraId="032D13B6">
            <w:pPr>
              <w:jc w:val="right"/>
            </w:pPr>
            <w:r>
              <w:rPr>
                <w:rFonts w:hint="eastAsia"/>
              </w:rPr>
              <w:t>-15.44%</w:t>
            </w:r>
          </w:p>
        </w:tc>
        <w:tc>
          <w:tcPr>
            <w:tcW w:w="1827" w:type="dxa"/>
            <w:vAlign w:val="center"/>
          </w:tcPr>
          <w:p w14:paraId="7A494134">
            <w:pPr>
              <w:jc w:val="right"/>
            </w:pPr>
            <w:r>
              <w:rPr>
                <w:rFonts w:hint="eastAsia"/>
              </w:rPr>
              <w:t>-7.11%</w:t>
            </w:r>
          </w:p>
        </w:tc>
      </w:tr>
      <w:tr w14:paraId="518F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70984E">
            <w:r>
              <w:rPr>
                <w:rFonts w:hint="eastAsia"/>
              </w:rPr>
              <w:t>3.1.2 期末数据和指标</w:t>
            </w:r>
          </w:p>
        </w:tc>
        <w:tc>
          <w:tcPr>
            <w:tcW w:w="1771" w:type="dxa"/>
            <w:vAlign w:val="center"/>
          </w:tcPr>
          <w:p w14:paraId="0846B01D">
            <w:r>
              <w:rPr>
                <w:rFonts w:hint="eastAsia"/>
              </w:rPr>
              <w:t>2025年末</w:t>
            </w:r>
          </w:p>
        </w:tc>
        <w:tc>
          <w:tcPr>
            <w:tcW w:w="1949" w:type="dxa"/>
            <w:vAlign w:val="center"/>
          </w:tcPr>
          <w:p w14:paraId="7E03A5BA">
            <w:r>
              <w:rPr>
                <w:rFonts w:hint="eastAsia"/>
              </w:rPr>
              <w:t>2024年末</w:t>
            </w:r>
          </w:p>
        </w:tc>
        <w:tc>
          <w:tcPr>
            <w:tcW w:w="1827" w:type="dxa"/>
            <w:vAlign w:val="center"/>
          </w:tcPr>
          <w:p w14:paraId="1B8426F2">
            <w:r>
              <w:rPr>
                <w:rFonts w:hint="eastAsia"/>
              </w:rPr>
              <w:t>2023年末</w:t>
            </w:r>
          </w:p>
        </w:tc>
      </w:tr>
      <w:tr w14:paraId="019E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698CD">
            <w:r>
              <w:rPr>
                <w:rFonts w:hint="eastAsia"/>
              </w:rPr>
              <w:t>期末可供分配利润</w:t>
            </w:r>
          </w:p>
        </w:tc>
        <w:tc>
          <w:tcPr>
            <w:tcW w:w="1771" w:type="dxa"/>
            <w:vAlign w:val="center"/>
          </w:tcPr>
          <w:p w14:paraId="187EB625">
            <w:pPr>
              <w:jc w:val="right"/>
            </w:pPr>
            <w:r>
              <w:rPr>
                <w:rFonts w:hint="eastAsia"/>
              </w:rPr>
              <w:t>-61,782.39</w:t>
            </w:r>
          </w:p>
        </w:tc>
        <w:tc>
          <w:tcPr>
            <w:tcW w:w="1949" w:type="dxa"/>
            <w:vAlign w:val="center"/>
          </w:tcPr>
          <w:p w14:paraId="7FDDC780">
            <w:pPr>
              <w:jc w:val="right"/>
            </w:pPr>
            <w:r>
              <w:rPr>
                <w:rFonts w:hint="eastAsia"/>
              </w:rPr>
              <w:t>-3,443,765.15</w:t>
            </w:r>
          </w:p>
        </w:tc>
        <w:tc>
          <w:tcPr>
            <w:tcW w:w="1827" w:type="dxa"/>
            <w:vAlign w:val="center"/>
          </w:tcPr>
          <w:p w14:paraId="2C5EAC32">
            <w:pPr>
              <w:jc w:val="right"/>
            </w:pPr>
            <w:r>
              <w:rPr>
                <w:rFonts w:hint="eastAsia"/>
              </w:rPr>
              <w:t>-690,757.88</w:t>
            </w:r>
          </w:p>
        </w:tc>
      </w:tr>
      <w:tr w14:paraId="4CA6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5760A9">
            <w:r>
              <w:rPr>
                <w:rFonts w:hint="eastAsia"/>
              </w:rPr>
              <w:t>期末可供分配基金份额利润</w:t>
            </w:r>
          </w:p>
        </w:tc>
        <w:tc>
          <w:tcPr>
            <w:tcW w:w="1771" w:type="dxa"/>
            <w:vAlign w:val="center"/>
          </w:tcPr>
          <w:p w14:paraId="2E9C3826">
            <w:pPr>
              <w:jc w:val="right"/>
            </w:pPr>
            <w:r>
              <w:rPr>
                <w:rFonts w:hint="eastAsia"/>
              </w:rPr>
              <w:t>-0.0008</w:t>
            </w:r>
          </w:p>
        </w:tc>
        <w:tc>
          <w:tcPr>
            <w:tcW w:w="1949" w:type="dxa"/>
            <w:vAlign w:val="center"/>
          </w:tcPr>
          <w:p w14:paraId="01C4B119">
            <w:pPr>
              <w:jc w:val="right"/>
            </w:pPr>
            <w:r>
              <w:rPr>
                <w:rFonts w:hint="eastAsia"/>
              </w:rPr>
              <w:t>-0.2145</w:t>
            </w:r>
          </w:p>
        </w:tc>
        <w:tc>
          <w:tcPr>
            <w:tcW w:w="1827" w:type="dxa"/>
            <w:vAlign w:val="center"/>
          </w:tcPr>
          <w:p w14:paraId="5EA62E86">
            <w:pPr>
              <w:jc w:val="right"/>
            </w:pPr>
            <w:r>
              <w:rPr>
                <w:rFonts w:hint="eastAsia"/>
              </w:rPr>
              <w:t>-0.0711</w:t>
            </w:r>
          </w:p>
        </w:tc>
      </w:tr>
      <w:tr w14:paraId="62FA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694768">
            <w:r>
              <w:rPr>
                <w:rFonts w:hint="eastAsia"/>
              </w:rPr>
              <w:t>期末基金资产净值</w:t>
            </w:r>
          </w:p>
        </w:tc>
        <w:tc>
          <w:tcPr>
            <w:tcW w:w="1771" w:type="dxa"/>
            <w:vAlign w:val="center"/>
          </w:tcPr>
          <w:p w14:paraId="39845D5E">
            <w:pPr>
              <w:jc w:val="right"/>
            </w:pPr>
            <w:r>
              <w:rPr>
                <w:rFonts w:hint="eastAsia"/>
              </w:rPr>
              <w:t>99,292,361.84</w:t>
            </w:r>
          </w:p>
        </w:tc>
        <w:tc>
          <w:tcPr>
            <w:tcW w:w="1949" w:type="dxa"/>
            <w:vAlign w:val="center"/>
          </w:tcPr>
          <w:p w14:paraId="79322CC4">
            <w:pPr>
              <w:jc w:val="right"/>
            </w:pPr>
            <w:r>
              <w:rPr>
                <w:rFonts w:hint="eastAsia"/>
              </w:rPr>
              <w:t>12,610,376.71</w:t>
            </w:r>
          </w:p>
        </w:tc>
        <w:tc>
          <w:tcPr>
            <w:tcW w:w="1827" w:type="dxa"/>
            <w:vAlign w:val="center"/>
          </w:tcPr>
          <w:p w14:paraId="32B49667">
            <w:pPr>
              <w:jc w:val="right"/>
            </w:pPr>
            <w:r>
              <w:rPr>
                <w:rFonts w:hint="eastAsia"/>
              </w:rPr>
              <w:t>9,028,125.16</w:t>
            </w:r>
          </w:p>
        </w:tc>
      </w:tr>
      <w:tr w14:paraId="4B41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88593B">
            <w:r>
              <w:rPr>
                <w:rFonts w:hint="eastAsia"/>
              </w:rPr>
              <w:t>期末基金份额净值</w:t>
            </w:r>
          </w:p>
        </w:tc>
        <w:tc>
          <w:tcPr>
            <w:tcW w:w="1771" w:type="dxa"/>
            <w:vAlign w:val="center"/>
          </w:tcPr>
          <w:p w14:paraId="5834B98E">
            <w:pPr>
              <w:jc w:val="right"/>
            </w:pPr>
            <w:r>
              <w:rPr>
                <w:rFonts w:hint="eastAsia"/>
              </w:rPr>
              <w:t>1.2098</w:t>
            </w:r>
          </w:p>
        </w:tc>
        <w:tc>
          <w:tcPr>
            <w:tcW w:w="1949" w:type="dxa"/>
            <w:vAlign w:val="center"/>
          </w:tcPr>
          <w:p w14:paraId="6EF26D72">
            <w:pPr>
              <w:jc w:val="right"/>
            </w:pPr>
            <w:r>
              <w:rPr>
                <w:rFonts w:hint="eastAsia"/>
              </w:rPr>
              <w:t>0.7855</w:t>
            </w:r>
          </w:p>
        </w:tc>
        <w:tc>
          <w:tcPr>
            <w:tcW w:w="1827" w:type="dxa"/>
            <w:vAlign w:val="center"/>
          </w:tcPr>
          <w:p w14:paraId="6C1C65D3">
            <w:pPr>
              <w:jc w:val="right"/>
            </w:pPr>
            <w:r>
              <w:rPr>
                <w:rFonts w:hint="eastAsia"/>
              </w:rPr>
              <w:t>0.9289</w:t>
            </w:r>
          </w:p>
        </w:tc>
      </w:tr>
      <w:tr w14:paraId="68ED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5C5E45">
            <w:r>
              <w:rPr>
                <w:rFonts w:hint="eastAsia"/>
              </w:rPr>
              <w:t>3.1.3 累计期末指标</w:t>
            </w:r>
          </w:p>
        </w:tc>
        <w:tc>
          <w:tcPr>
            <w:tcW w:w="1771" w:type="dxa"/>
            <w:vAlign w:val="center"/>
          </w:tcPr>
          <w:p w14:paraId="0CAC9D22">
            <w:r>
              <w:rPr>
                <w:rFonts w:hint="eastAsia"/>
              </w:rPr>
              <w:t>2025年末</w:t>
            </w:r>
          </w:p>
        </w:tc>
        <w:tc>
          <w:tcPr>
            <w:tcW w:w="1949" w:type="dxa"/>
            <w:vAlign w:val="center"/>
          </w:tcPr>
          <w:p w14:paraId="36635190">
            <w:r>
              <w:rPr>
                <w:rFonts w:hint="eastAsia"/>
              </w:rPr>
              <w:t>2024年末</w:t>
            </w:r>
          </w:p>
        </w:tc>
        <w:tc>
          <w:tcPr>
            <w:tcW w:w="1827" w:type="dxa"/>
            <w:vAlign w:val="center"/>
          </w:tcPr>
          <w:p w14:paraId="15362ECE">
            <w:r>
              <w:rPr>
                <w:rFonts w:hint="eastAsia"/>
              </w:rPr>
              <w:t>2023年末</w:t>
            </w:r>
          </w:p>
        </w:tc>
      </w:tr>
      <w:tr w14:paraId="4FD3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D7F7D3">
            <w:r>
              <w:rPr>
                <w:rFonts w:hint="eastAsia"/>
              </w:rPr>
              <w:t>基金份额累计净值增长率</w:t>
            </w:r>
          </w:p>
        </w:tc>
        <w:tc>
          <w:tcPr>
            <w:tcW w:w="1771" w:type="dxa"/>
            <w:vAlign w:val="center"/>
          </w:tcPr>
          <w:p w14:paraId="44ACAFD9">
            <w:pPr>
              <w:jc w:val="right"/>
            </w:pPr>
            <w:r>
              <w:rPr>
                <w:rFonts w:hint="eastAsia"/>
              </w:rPr>
              <w:t>20.98%</w:t>
            </w:r>
          </w:p>
        </w:tc>
        <w:tc>
          <w:tcPr>
            <w:tcW w:w="1949" w:type="dxa"/>
            <w:vAlign w:val="center"/>
          </w:tcPr>
          <w:p w14:paraId="28C4BD01">
            <w:pPr>
              <w:jc w:val="right"/>
            </w:pPr>
            <w:r>
              <w:rPr>
                <w:rFonts w:hint="eastAsia"/>
              </w:rPr>
              <w:t>-21.45%</w:t>
            </w:r>
          </w:p>
        </w:tc>
        <w:tc>
          <w:tcPr>
            <w:tcW w:w="1827" w:type="dxa"/>
            <w:vAlign w:val="center"/>
          </w:tcPr>
          <w:p w14:paraId="2B90730C">
            <w:pPr>
              <w:jc w:val="right"/>
            </w:pPr>
            <w:r>
              <w:rPr>
                <w:rFonts w:hint="eastAsia"/>
              </w:rPr>
              <w:t>-7.11%</w:t>
            </w:r>
          </w:p>
        </w:tc>
      </w:tr>
    </w:tbl>
    <w:p w14:paraId="70C62072">
      <w:pPr>
        <w:pStyle w:val="18"/>
        <w:rPr>
          <w:rFonts w:hint="eastAsia"/>
        </w:rPr>
      </w:pPr>
      <w:r>
        <w:rPr>
          <w:rFonts w:hint="eastAsia"/>
        </w:rPr>
        <w:t>3、南方恒生生物科技ETF发起联接（QDII）I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F7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31E07">
            <w:r>
              <w:rPr>
                <w:rFonts w:hint="eastAsia"/>
              </w:rPr>
              <w:t>3.1.1 期间数据和指标</w:t>
            </w:r>
          </w:p>
        </w:tc>
        <w:tc>
          <w:tcPr>
            <w:tcW w:w="2768" w:type="dxa"/>
            <w:vAlign w:val="center"/>
          </w:tcPr>
          <w:p w14:paraId="74ED4E7A">
            <w:r>
              <w:rPr>
                <w:rFonts w:hint="eastAsia"/>
              </w:rPr>
              <w:t>2025年</w:t>
            </w:r>
          </w:p>
        </w:tc>
        <w:tc>
          <w:tcPr>
            <w:tcW w:w="2768" w:type="dxa"/>
            <w:vAlign w:val="center"/>
          </w:tcPr>
          <w:p w14:paraId="60108686">
            <w:r>
              <w:rPr>
                <w:rFonts w:hint="eastAsia"/>
              </w:rPr>
              <w:t>2024年4月25日-2024年12月31日</w:t>
            </w:r>
          </w:p>
        </w:tc>
      </w:tr>
      <w:tr w14:paraId="799B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2EFB5">
            <w:r>
              <w:rPr>
                <w:rFonts w:hint="eastAsia"/>
              </w:rPr>
              <w:t>本期已实现收益</w:t>
            </w:r>
          </w:p>
        </w:tc>
        <w:tc>
          <w:tcPr>
            <w:tcW w:w="2768" w:type="dxa"/>
            <w:vAlign w:val="center"/>
          </w:tcPr>
          <w:p w14:paraId="3405CB80">
            <w:pPr>
              <w:jc w:val="right"/>
            </w:pPr>
            <w:r>
              <w:rPr>
                <w:rFonts w:hint="eastAsia"/>
              </w:rPr>
              <w:t>447,773.81</w:t>
            </w:r>
          </w:p>
        </w:tc>
        <w:tc>
          <w:tcPr>
            <w:tcW w:w="2768" w:type="dxa"/>
            <w:vAlign w:val="center"/>
          </w:tcPr>
          <w:p w14:paraId="2B257C45">
            <w:pPr>
              <w:jc w:val="right"/>
            </w:pPr>
            <w:r>
              <w:rPr>
                <w:rFonts w:hint="eastAsia"/>
              </w:rPr>
              <w:t>-19,893.58</w:t>
            </w:r>
          </w:p>
        </w:tc>
      </w:tr>
      <w:tr w14:paraId="1EB1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467B7">
            <w:r>
              <w:rPr>
                <w:rFonts w:hint="eastAsia"/>
              </w:rPr>
              <w:t>本期利润</w:t>
            </w:r>
          </w:p>
        </w:tc>
        <w:tc>
          <w:tcPr>
            <w:tcW w:w="2768" w:type="dxa"/>
            <w:vAlign w:val="center"/>
          </w:tcPr>
          <w:p w14:paraId="0AE86FE5">
            <w:pPr>
              <w:jc w:val="right"/>
            </w:pPr>
            <w:r>
              <w:rPr>
                <w:rFonts w:hint="eastAsia"/>
              </w:rPr>
              <w:t>-239,287.43</w:t>
            </w:r>
          </w:p>
        </w:tc>
        <w:tc>
          <w:tcPr>
            <w:tcW w:w="2768" w:type="dxa"/>
            <w:vAlign w:val="center"/>
          </w:tcPr>
          <w:p w14:paraId="3D5196DA">
            <w:pPr>
              <w:jc w:val="right"/>
            </w:pPr>
            <w:r>
              <w:rPr>
                <w:rFonts w:hint="eastAsia"/>
              </w:rPr>
              <w:t>-96,345.71</w:t>
            </w:r>
          </w:p>
        </w:tc>
      </w:tr>
      <w:tr w14:paraId="41E5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02CB8">
            <w:r>
              <w:rPr>
                <w:rFonts w:hint="eastAsia"/>
              </w:rPr>
              <w:t>加权平均基金份额本期利润</w:t>
            </w:r>
          </w:p>
        </w:tc>
        <w:tc>
          <w:tcPr>
            <w:tcW w:w="2768" w:type="dxa"/>
            <w:vAlign w:val="center"/>
          </w:tcPr>
          <w:p w14:paraId="16277E09">
            <w:pPr>
              <w:jc w:val="right"/>
            </w:pPr>
            <w:r>
              <w:rPr>
                <w:rFonts w:hint="eastAsia"/>
              </w:rPr>
              <w:t>-0.0474</w:t>
            </w:r>
          </w:p>
        </w:tc>
        <w:tc>
          <w:tcPr>
            <w:tcW w:w="2768" w:type="dxa"/>
            <w:vAlign w:val="center"/>
          </w:tcPr>
          <w:p w14:paraId="1E1DD733">
            <w:pPr>
              <w:jc w:val="right"/>
            </w:pPr>
            <w:r>
              <w:rPr>
                <w:rFonts w:hint="eastAsia"/>
              </w:rPr>
              <w:t>-0.1692</w:t>
            </w:r>
          </w:p>
        </w:tc>
      </w:tr>
      <w:tr w14:paraId="7888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CA452">
            <w:r>
              <w:rPr>
                <w:rFonts w:hint="eastAsia"/>
              </w:rPr>
              <w:t>本期加权平均净值利润率</w:t>
            </w:r>
          </w:p>
        </w:tc>
        <w:tc>
          <w:tcPr>
            <w:tcW w:w="2768" w:type="dxa"/>
            <w:vAlign w:val="center"/>
          </w:tcPr>
          <w:p w14:paraId="1038753D">
            <w:pPr>
              <w:jc w:val="right"/>
            </w:pPr>
            <w:r>
              <w:rPr>
                <w:rFonts w:hint="eastAsia"/>
              </w:rPr>
              <w:t>-3.70%</w:t>
            </w:r>
          </w:p>
        </w:tc>
        <w:tc>
          <w:tcPr>
            <w:tcW w:w="2768" w:type="dxa"/>
            <w:vAlign w:val="center"/>
          </w:tcPr>
          <w:p w14:paraId="0719B21E">
            <w:pPr>
              <w:jc w:val="right"/>
            </w:pPr>
            <w:r>
              <w:rPr>
                <w:rFonts w:hint="eastAsia"/>
              </w:rPr>
              <w:t>-21.32%</w:t>
            </w:r>
          </w:p>
        </w:tc>
      </w:tr>
      <w:tr w14:paraId="040F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72364">
            <w:r>
              <w:rPr>
                <w:rFonts w:hint="eastAsia"/>
              </w:rPr>
              <w:t>本期基金份额净值增长率</w:t>
            </w:r>
          </w:p>
        </w:tc>
        <w:tc>
          <w:tcPr>
            <w:tcW w:w="2768" w:type="dxa"/>
            <w:vAlign w:val="center"/>
          </w:tcPr>
          <w:p w14:paraId="3F738F7C">
            <w:pPr>
              <w:jc w:val="right"/>
            </w:pPr>
            <w:r>
              <w:rPr>
                <w:rFonts w:hint="eastAsia"/>
              </w:rPr>
              <w:t>54.44%</w:t>
            </w:r>
          </w:p>
        </w:tc>
        <w:tc>
          <w:tcPr>
            <w:tcW w:w="2768" w:type="dxa"/>
            <w:vAlign w:val="center"/>
          </w:tcPr>
          <w:p w14:paraId="5FAD871B">
            <w:pPr>
              <w:jc w:val="right"/>
            </w:pPr>
            <w:r>
              <w:rPr>
                <w:rFonts w:hint="eastAsia"/>
              </w:rPr>
              <w:t>10.80%</w:t>
            </w:r>
          </w:p>
        </w:tc>
      </w:tr>
      <w:tr w14:paraId="1435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CD896">
            <w:r>
              <w:rPr>
                <w:rFonts w:hint="eastAsia"/>
              </w:rPr>
              <w:t>3.1.2 期末数据和指标</w:t>
            </w:r>
          </w:p>
        </w:tc>
        <w:tc>
          <w:tcPr>
            <w:tcW w:w="2768" w:type="dxa"/>
            <w:vAlign w:val="center"/>
          </w:tcPr>
          <w:p w14:paraId="6277CAD2">
            <w:r>
              <w:rPr>
                <w:rFonts w:hint="eastAsia"/>
              </w:rPr>
              <w:t>2025年末</w:t>
            </w:r>
          </w:p>
        </w:tc>
        <w:tc>
          <w:tcPr>
            <w:tcW w:w="2768" w:type="dxa"/>
            <w:vAlign w:val="center"/>
          </w:tcPr>
          <w:p w14:paraId="38F7CA9B">
            <w:r>
              <w:rPr>
                <w:rFonts w:hint="eastAsia"/>
              </w:rPr>
              <w:t>2024年末</w:t>
            </w:r>
          </w:p>
        </w:tc>
      </w:tr>
      <w:tr w14:paraId="7E32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D3339">
            <w:r>
              <w:rPr>
                <w:rFonts w:hint="eastAsia"/>
              </w:rPr>
              <w:t>期末可供分配利润</w:t>
            </w:r>
          </w:p>
        </w:tc>
        <w:tc>
          <w:tcPr>
            <w:tcW w:w="2768" w:type="dxa"/>
            <w:vAlign w:val="center"/>
          </w:tcPr>
          <w:p w14:paraId="0D2CFD1F">
            <w:pPr>
              <w:jc w:val="right"/>
            </w:pPr>
            <w:r>
              <w:rPr>
                <w:rFonts w:hint="eastAsia"/>
              </w:rPr>
              <w:t>133,079.34</w:t>
            </w:r>
          </w:p>
        </w:tc>
        <w:tc>
          <w:tcPr>
            <w:tcW w:w="2768" w:type="dxa"/>
            <w:vAlign w:val="center"/>
          </w:tcPr>
          <w:p w14:paraId="3DCC0B66">
            <w:pPr>
              <w:jc w:val="right"/>
            </w:pPr>
            <w:r>
              <w:rPr>
                <w:rFonts w:hint="eastAsia"/>
              </w:rPr>
              <w:t>-174,519.44</w:t>
            </w:r>
          </w:p>
        </w:tc>
      </w:tr>
      <w:tr w14:paraId="6BCF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F8904">
            <w:r>
              <w:rPr>
                <w:rFonts w:hint="eastAsia"/>
              </w:rPr>
              <w:t>期末可供分配基金份额利润</w:t>
            </w:r>
          </w:p>
        </w:tc>
        <w:tc>
          <w:tcPr>
            <w:tcW w:w="2768" w:type="dxa"/>
            <w:vAlign w:val="center"/>
          </w:tcPr>
          <w:p w14:paraId="4640E8F7">
            <w:pPr>
              <w:jc w:val="right"/>
            </w:pPr>
            <w:r>
              <w:rPr>
                <w:rFonts w:hint="eastAsia"/>
              </w:rPr>
              <w:t>0.0093</w:t>
            </w:r>
          </w:p>
        </w:tc>
        <w:tc>
          <w:tcPr>
            <w:tcW w:w="2768" w:type="dxa"/>
            <w:vAlign w:val="center"/>
          </w:tcPr>
          <w:p w14:paraId="3DAC96EE">
            <w:pPr>
              <w:jc w:val="right"/>
            </w:pPr>
            <w:r>
              <w:rPr>
                <w:rFonts w:hint="eastAsia"/>
              </w:rPr>
              <w:t>-0.2088</w:t>
            </w:r>
          </w:p>
        </w:tc>
      </w:tr>
      <w:tr w14:paraId="2E08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1C0A5">
            <w:r>
              <w:rPr>
                <w:rFonts w:hint="eastAsia"/>
              </w:rPr>
              <w:t>期末基金资产净值</w:t>
            </w:r>
          </w:p>
        </w:tc>
        <w:tc>
          <w:tcPr>
            <w:tcW w:w="2768" w:type="dxa"/>
            <w:vAlign w:val="center"/>
          </w:tcPr>
          <w:p w14:paraId="3B6ACB8D">
            <w:pPr>
              <w:jc w:val="right"/>
            </w:pPr>
            <w:r>
              <w:rPr>
                <w:rFonts w:hint="eastAsia"/>
              </w:rPr>
              <w:t>17,334,017.74</w:t>
            </w:r>
          </w:p>
        </w:tc>
        <w:tc>
          <w:tcPr>
            <w:tcW w:w="2768" w:type="dxa"/>
            <w:vAlign w:val="center"/>
          </w:tcPr>
          <w:p w14:paraId="0857FA2D">
            <w:pPr>
              <w:jc w:val="right"/>
            </w:pPr>
            <w:r>
              <w:rPr>
                <w:rFonts w:hint="eastAsia"/>
              </w:rPr>
              <w:t>661,364.11</w:t>
            </w:r>
          </w:p>
        </w:tc>
      </w:tr>
      <w:tr w14:paraId="42A2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43D2E">
            <w:r>
              <w:rPr>
                <w:rFonts w:hint="eastAsia"/>
              </w:rPr>
              <w:t>期末基金份额净值</w:t>
            </w:r>
          </w:p>
        </w:tc>
        <w:tc>
          <w:tcPr>
            <w:tcW w:w="2768" w:type="dxa"/>
            <w:vAlign w:val="center"/>
          </w:tcPr>
          <w:p w14:paraId="637874A6">
            <w:pPr>
              <w:jc w:val="right"/>
            </w:pPr>
            <w:r>
              <w:rPr>
                <w:rFonts w:hint="eastAsia"/>
              </w:rPr>
              <w:t>1.2219</w:t>
            </w:r>
          </w:p>
        </w:tc>
        <w:tc>
          <w:tcPr>
            <w:tcW w:w="2768" w:type="dxa"/>
            <w:vAlign w:val="center"/>
          </w:tcPr>
          <w:p w14:paraId="5A2D90E8">
            <w:pPr>
              <w:jc w:val="right"/>
            </w:pPr>
            <w:r>
              <w:rPr>
                <w:rFonts w:hint="eastAsia"/>
              </w:rPr>
              <w:t>0.7912</w:t>
            </w:r>
          </w:p>
        </w:tc>
      </w:tr>
      <w:tr w14:paraId="34DF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34FB6">
            <w:r>
              <w:rPr>
                <w:rFonts w:hint="eastAsia"/>
              </w:rPr>
              <w:t>3.1.3 累计期末指标</w:t>
            </w:r>
          </w:p>
        </w:tc>
        <w:tc>
          <w:tcPr>
            <w:tcW w:w="2768" w:type="dxa"/>
            <w:vAlign w:val="center"/>
          </w:tcPr>
          <w:p w14:paraId="73035586">
            <w:r>
              <w:rPr>
                <w:rFonts w:hint="eastAsia"/>
              </w:rPr>
              <w:t>2025年末</w:t>
            </w:r>
          </w:p>
        </w:tc>
        <w:tc>
          <w:tcPr>
            <w:tcW w:w="2768" w:type="dxa"/>
            <w:vAlign w:val="center"/>
          </w:tcPr>
          <w:p w14:paraId="2C836E7C">
            <w:r>
              <w:rPr>
                <w:rFonts w:hint="eastAsia"/>
              </w:rPr>
              <w:t>2024年末</w:t>
            </w:r>
          </w:p>
        </w:tc>
      </w:tr>
      <w:tr w14:paraId="0226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64732">
            <w:r>
              <w:rPr>
                <w:rFonts w:hint="eastAsia"/>
              </w:rPr>
              <w:t>基金份额累计净值增长率</w:t>
            </w:r>
          </w:p>
        </w:tc>
        <w:tc>
          <w:tcPr>
            <w:tcW w:w="2768" w:type="dxa"/>
            <w:vAlign w:val="center"/>
          </w:tcPr>
          <w:p w14:paraId="25911172">
            <w:pPr>
              <w:jc w:val="right"/>
            </w:pPr>
            <w:r>
              <w:rPr>
                <w:rFonts w:hint="eastAsia"/>
              </w:rPr>
              <w:t>71.11%</w:t>
            </w:r>
          </w:p>
        </w:tc>
        <w:tc>
          <w:tcPr>
            <w:tcW w:w="2768" w:type="dxa"/>
            <w:vAlign w:val="center"/>
          </w:tcPr>
          <w:p w14:paraId="611BFCC8">
            <w:pPr>
              <w:jc w:val="right"/>
            </w:pPr>
            <w:r>
              <w:rPr>
                <w:rFonts w:hint="eastAsia"/>
              </w:rPr>
              <w:t>10.80%</w:t>
            </w:r>
          </w:p>
        </w:tc>
      </w:tr>
    </w:tbl>
    <w:p w14:paraId="219CB09C">
      <w:pPr>
        <w:pStyle w:val="47"/>
        <w:rPr>
          <w:rFonts w:hint="eastAsia"/>
        </w:rPr>
      </w:pPr>
      <w:r>
        <w:rPr>
          <w:rFonts w:hint="eastAsia"/>
        </w:rPr>
        <w:t>注：基金业绩指标不包括持有人认（申）购或交易基金的各项费用，计入费用后实际收益水平要低于所列数字；</w:t>
      </w:r>
    </w:p>
    <w:p w14:paraId="4C29828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C733C1B">
      <w:pPr>
        <w:pStyle w:val="47"/>
        <w:rPr>
          <w:rFonts w:hint="eastAsia"/>
        </w:rPr>
      </w:pPr>
      <w:r>
        <w:tab/>
      </w:r>
      <w:r>
        <w:rPr>
          <w:rFonts w:hint="eastAsia"/>
        </w:rPr>
        <w:t>对期末可供分配利润，采用期末资产负债表中未分配利润与未分配利润中已实现部分的孰低数；</w:t>
      </w:r>
    </w:p>
    <w:p w14:paraId="426014E8">
      <w:pPr>
        <w:pStyle w:val="47"/>
        <w:rPr>
          <w:rFonts w:hint="eastAsia"/>
        </w:rPr>
      </w:pPr>
      <w:r>
        <w:tab/>
      </w:r>
      <w:r>
        <w:rPr>
          <w:rFonts w:hint="eastAsia"/>
        </w:rPr>
        <w:t>本基金从2024年4月22日起新增I类份额，I类份额自2024年4月25日起存续。</w:t>
      </w:r>
    </w:p>
    <w:p w14:paraId="02C579CD">
      <w:pPr>
        <w:pStyle w:val="23"/>
      </w:pPr>
      <w:bookmarkStart w:id="16" w:name="_Toc23243"/>
      <w:r>
        <w:t>基金净值表现</w:t>
      </w:r>
      <w:bookmarkEnd w:id="16"/>
    </w:p>
    <w:p w14:paraId="29ED0772">
      <w:pPr>
        <w:pStyle w:val="28"/>
      </w:pPr>
      <w:bookmarkStart w:id="17" w:name="_Toc17"/>
      <w:r>
        <w:t>基金份额净值增长率及其与同期业绩比较基准收益率的比较</w:t>
      </w:r>
      <w:bookmarkEnd w:id="17"/>
    </w:p>
    <w:p w14:paraId="61644C8D">
      <w:pPr>
        <w:pStyle w:val="18"/>
        <w:rPr>
          <w:rFonts w:hint="eastAsia"/>
        </w:rPr>
      </w:pPr>
      <w:r>
        <w:rPr>
          <w:rFonts w:hint="eastAsia"/>
        </w:rPr>
        <w:t>南方恒生生物科技ETF发起联接（QDII）A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C7B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5841B23">
            <w:pPr>
              <w:jc w:val="center"/>
            </w:pPr>
            <w:r>
              <w:rPr>
                <w:rFonts w:hint="eastAsia"/>
                <w:b/>
              </w:rPr>
              <w:t>阶段</w:t>
            </w:r>
          </w:p>
        </w:tc>
        <w:tc>
          <w:tcPr>
            <w:tcW w:w="1186" w:type="dxa"/>
            <w:shd w:val="clear" w:color="auto" w:fill="BFBFBF"/>
            <w:vAlign w:val="center"/>
          </w:tcPr>
          <w:p w14:paraId="4B420E4E">
            <w:pPr>
              <w:jc w:val="center"/>
            </w:pPr>
            <w:r>
              <w:rPr>
                <w:rFonts w:hint="eastAsia"/>
                <w:b/>
              </w:rPr>
              <w:t>份额净值增长率①</w:t>
            </w:r>
          </w:p>
        </w:tc>
        <w:tc>
          <w:tcPr>
            <w:tcW w:w="1186" w:type="dxa"/>
            <w:shd w:val="clear" w:color="auto" w:fill="BFBFBF"/>
            <w:vAlign w:val="center"/>
          </w:tcPr>
          <w:p w14:paraId="0F492E37">
            <w:pPr>
              <w:jc w:val="center"/>
            </w:pPr>
            <w:r>
              <w:rPr>
                <w:rFonts w:hint="eastAsia"/>
                <w:b/>
              </w:rPr>
              <w:t>份额净值增长率标准差②</w:t>
            </w:r>
          </w:p>
        </w:tc>
        <w:tc>
          <w:tcPr>
            <w:tcW w:w="1186" w:type="dxa"/>
            <w:shd w:val="clear" w:color="auto" w:fill="BFBFBF"/>
            <w:vAlign w:val="center"/>
          </w:tcPr>
          <w:p w14:paraId="31A11BAA">
            <w:pPr>
              <w:jc w:val="center"/>
            </w:pPr>
            <w:r>
              <w:rPr>
                <w:rFonts w:hint="eastAsia"/>
                <w:b/>
              </w:rPr>
              <w:t>业绩比较基准收益率③</w:t>
            </w:r>
          </w:p>
        </w:tc>
        <w:tc>
          <w:tcPr>
            <w:tcW w:w="1186" w:type="dxa"/>
            <w:shd w:val="clear" w:color="auto" w:fill="BFBFBF"/>
            <w:vAlign w:val="center"/>
          </w:tcPr>
          <w:p w14:paraId="0D1B5D4A">
            <w:pPr>
              <w:jc w:val="center"/>
            </w:pPr>
            <w:r>
              <w:rPr>
                <w:rFonts w:hint="eastAsia"/>
                <w:b/>
              </w:rPr>
              <w:t>业绩比较基准收益率标准差④</w:t>
            </w:r>
          </w:p>
        </w:tc>
        <w:tc>
          <w:tcPr>
            <w:tcW w:w="1186" w:type="dxa"/>
            <w:shd w:val="clear" w:color="auto" w:fill="BFBFBF"/>
            <w:vAlign w:val="center"/>
          </w:tcPr>
          <w:p w14:paraId="6135428C">
            <w:pPr>
              <w:jc w:val="center"/>
            </w:pPr>
            <w:r>
              <w:rPr>
                <w:rFonts w:hint="eastAsia"/>
                <w:b/>
              </w:rPr>
              <w:t>①-③</w:t>
            </w:r>
          </w:p>
        </w:tc>
        <w:tc>
          <w:tcPr>
            <w:tcW w:w="1186" w:type="dxa"/>
            <w:shd w:val="clear" w:color="auto" w:fill="BFBFBF"/>
            <w:vAlign w:val="center"/>
          </w:tcPr>
          <w:p w14:paraId="04EAF54E">
            <w:pPr>
              <w:jc w:val="center"/>
            </w:pPr>
            <w:r>
              <w:rPr>
                <w:rFonts w:hint="eastAsia"/>
                <w:b/>
              </w:rPr>
              <w:t>②-④</w:t>
            </w:r>
          </w:p>
        </w:tc>
      </w:tr>
      <w:tr w14:paraId="4577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96CBD4F">
            <w:r>
              <w:rPr>
                <w:rFonts w:hint="eastAsia"/>
              </w:rPr>
              <w:t>过去三个月</w:t>
            </w:r>
          </w:p>
        </w:tc>
        <w:tc>
          <w:tcPr>
            <w:tcW w:w="1186" w:type="dxa"/>
            <w:vAlign w:val="center"/>
          </w:tcPr>
          <w:p w14:paraId="670FCCAB">
            <w:pPr>
              <w:jc w:val="right"/>
            </w:pPr>
            <w:r>
              <w:rPr>
                <w:rFonts w:hint="eastAsia"/>
              </w:rPr>
              <w:t>-19.67%</w:t>
            </w:r>
          </w:p>
        </w:tc>
        <w:tc>
          <w:tcPr>
            <w:tcW w:w="1186" w:type="dxa"/>
            <w:vAlign w:val="center"/>
          </w:tcPr>
          <w:p w14:paraId="7D03F7C7">
            <w:pPr>
              <w:jc w:val="right"/>
            </w:pPr>
            <w:r>
              <w:rPr>
                <w:rFonts w:hint="eastAsia"/>
              </w:rPr>
              <w:t>1.80%</w:t>
            </w:r>
          </w:p>
        </w:tc>
        <w:tc>
          <w:tcPr>
            <w:tcW w:w="1186" w:type="dxa"/>
            <w:vAlign w:val="center"/>
          </w:tcPr>
          <w:p w14:paraId="7376F218">
            <w:pPr>
              <w:jc w:val="right"/>
            </w:pPr>
            <w:r>
              <w:rPr>
                <w:rFonts w:hint="eastAsia"/>
              </w:rPr>
              <w:t>-19.50%</w:t>
            </w:r>
          </w:p>
        </w:tc>
        <w:tc>
          <w:tcPr>
            <w:tcW w:w="1186" w:type="dxa"/>
            <w:vAlign w:val="center"/>
          </w:tcPr>
          <w:p w14:paraId="386DC650">
            <w:pPr>
              <w:jc w:val="right"/>
            </w:pPr>
            <w:r>
              <w:rPr>
                <w:rFonts w:hint="eastAsia"/>
              </w:rPr>
              <w:t>1.80%</w:t>
            </w:r>
          </w:p>
        </w:tc>
        <w:tc>
          <w:tcPr>
            <w:tcW w:w="1186" w:type="dxa"/>
            <w:vAlign w:val="center"/>
          </w:tcPr>
          <w:p w14:paraId="5BF71EB4">
            <w:pPr>
              <w:jc w:val="right"/>
            </w:pPr>
            <w:r>
              <w:rPr>
                <w:rFonts w:hint="eastAsia"/>
              </w:rPr>
              <w:t>-0.17%</w:t>
            </w:r>
          </w:p>
        </w:tc>
        <w:tc>
          <w:tcPr>
            <w:tcW w:w="1186" w:type="dxa"/>
            <w:vAlign w:val="center"/>
          </w:tcPr>
          <w:p w14:paraId="0A2356AF">
            <w:pPr>
              <w:jc w:val="right"/>
            </w:pPr>
            <w:r>
              <w:rPr>
                <w:rFonts w:hint="eastAsia"/>
              </w:rPr>
              <w:t>0.00%</w:t>
            </w:r>
          </w:p>
        </w:tc>
      </w:tr>
      <w:tr w14:paraId="5392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DB69D9">
            <w:r>
              <w:rPr>
                <w:rFonts w:hint="eastAsia"/>
              </w:rPr>
              <w:t>过去六个月</w:t>
            </w:r>
          </w:p>
        </w:tc>
        <w:tc>
          <w:tcPr>
            <w:tcW w:w="1186" w:type="dxa"/>
            <w:vAlign w:val="center"/>
          </w:tcPr>
          <w:p w14:paraId="4DD0036E">
            <w:pPr>
              <w:jc w:val="right"/>
            </w:pPr>
            <w:r>
              <w:rPr>
                <w:rFonts w:hint="eastAsia"/>
              </w:rPr>
              <w:t>4.31%</w:t>
            </w:r>
          </w:p>
        </w:tc>
        <w:tc>
          <w:tcPr>
            <w:tcW w:w="1186" w:type="dxa"/>
            <w:vAlign w:val="center"/>
          </w:tcPr>
          <w:p w14:paraId="410485EB">
            <w:pPr>
              <w:jc w:val="right"/>
            </w:pPr>
            <w:r>
              <w:rPr>
                <w:rFonts w:hint="eastAsia"/>
              </w:rPr>
              <w:t>1.98%</w:t>
            </w:r>
          </w:p>
        </w:tc>
        <w:tc>
          <w:tcPr>
            <w:tcW w:w="1186" w:type="dxa"/>
            <w:vAlign w:val="center"/>
          </w:tcPr>
          <w:p w14:paraId="50C18F71">
            <w:pPr>
              <w:jc w:val="right"/>
            </w:pPr>
            <w:r>
              <w:rPr>
                <w:rFonts w:hint="eastAsia"/>
              </w:rPr>
              <w:t>5.51%</w:t>
            </w:r>
          </w:p>
        </w:tc>
        <w:tc>
          <w:tcPr>
            <w:tcW w:w="1186" w:type="dxa"/>
            <w:vAlign w:val="center"/>
          </w:tcPr>
          <w:p w14:paraId="0476C786">
            <w:pPr>
              <w:jc w:val="right"/>
            </w:pPr>
            <w:r>
              <w:rPr>
                <w:rFonts w:hint="eastAsia"/>
              </w:rPr>
              <w:t>1.99%</w:t>
            </w:r>
          </w:p>
        </w:tc>
        <w:tc>
          <w:tcPr>
            <w:tcW w:w="1186" w:type="dxa"/>
            <w:vAlign w:val="center"/>
          </w:tcPr>
          <w:p w14:paraId="6A65D51F">
            <w:pPr>
              <w:jc w:val="right"/>
            </w:pPr>
            <w:r>
              <w:rPr>
                <w:rFonts w:hint="eastAsia"/>
              </w:rPr>
              <w:t>-1.20%</w:t>
            </w:r>
          </w:p>
        </w:tc>
        <w:tc>
          <w:tcPr>
            <w:tcW w:w="1186" w:type="dxa"/>
            <w:vAlign w:val="center"/>
          </w:tcPr>
          <w:p w14:paraId="2F4E0FF5">
            <w:pPr>
              <w:jc w:val="right"/>
            </w:pPr>
            <w:r>
              <w:rPr>
                <w:rFonts w:hint="eastAsia"/>
              </w:rPr>
              <w:t>-0.01%</w:t>
            </w:r>
          </w:p>
        </w:tc>
      </w:tr>
      <w:tr w14:paraId="75AB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2A655E">
            <w:r>
              <w:rPr>
                <w:rFonts w:hint="eastAsia"/>
              </w:rPr>
              <w:t>过去一年</w:t>
            </w:r>
          </w:p>
        </w:tc>
        <w:tc>
          <w:tcPr>
            <w:tcW w:w="1186" w:type="dxa"/>
            <w:vAlign w:val="center"/>
          </w:tcPr>
          <w:p w14:paraId="4992D268">
            <w:pPr>
              <w:jc w:val="right"/>
            </w:pPr>
            <w:r>
              <w:rPr>
                <w:rFonts w:hint="eastAsia"/>
              </w:rPr>
              <w:t>54.48%</w:t>
            </w:r>
          </w:p>
        </w:tc>
        <w:tc>
          <w:tcPr>
            <w:tcW w:w="1186" w:type="dxa"/>
            <w:vAlign w:val="center"/>
          </w:tcPr>
          <w:p w14:paraId="0414506C">
            <w:pPr>
              <w:jc w:val="right"/>
            </w:pPr>
            <w:r>
              <w:rPr>
                <w:rFonts w:hint="eastAsia"/>
              </w:rPr>
              <w:t>2.36%</w:t>
            </w:r>
          </w:p>
        </w:tc>
        <w:tc>
          <w:tcPr>
            <w:tcW w:w="1186" w:type="dxa"/>
            <w:vAlign w:val="center"/>
          </w:tcPr>
          <w:p w14:paraId="22603E8B">
            <w:pPr>
              <w:jc w:val="right"/>
            </w:pPr>
            <w:r>
              <w:rPr>
                <w:rFonts w:hint="eastAsia"/>
              </w:rPr>
              <w:t>57.30%</w:t>
            </w:r>
          </w:p>
        </w:tc>
        <w:tc>
          <w:tcPr>
            <w:tcW w:w="1186" w:type="dxa"/>
            <w:vAlign w:val="center"/>
          </w:tcPr>
          <w:p w14:paraId="2961A8FC">
            <w:pPr>
              <w:jc w:val="right"/>
            </w:pPr>
            <w:r>
              <w:rPr>
                <w:rFonts w:hint="eastAsia"/>
              </w:rPr>
              <w:t>2.38%</w:t>
            </w:r>
          </w:p>
        </w:tc>
        <w:tc>
          <w:tcPr>
            <w:tcW w:w="1186" w:type="dxa"/>
            <w:vAlign w:val="center"/>
          </w:tcPr>
          <w:p w14:paraId="7F306DDB">
            <w:pPr>
              <w:jc w:val="right"/>
            </w:pPr>
            <w:r>
              <w:rPr>
                <w:rFonts w:hint="eastAsia"/>
              </w:rPr>
              <w:t>-2.82%</w:t>
            </w:r>
          </w:p>
        </w:tc>
        <w:tc>
          <w:tcPr>
            <w:tcW w:w="1186" w:type="dxa"/>
            <w:vAlign w:val="center"/>
          </w:tcPr>
          <w:p w14:paraId="51F19E47">
            <w:pPr>
              <w:jc w:val="right"/>
            </w:pPr>
            <w:r>
              <w:rPr>
                <w:rFonts w:hint="eastAsia"/>
              </w:rPr>
              <w:t>-0.02%</w:t>
            </w:r>
          </w:p>
        </w:tc>
      </w:tr>
      <w:tr w14:paraId="1587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DD3F86">
            <w:r>
              <w:rPr>
                <w:rFonts w:hint="eastAsia"/>
              </w:rPr>
              <w:t>自基金合同生效起至今</w:t>
            </w:r>
          </w:p>
        </w:tc>
        <w:tc>
          <w:tcPr>
            <w:tcW w:w="1186" w:type="dxa"/>
            <w:vAlign w:val="center"/>
          </w:tcPr>
          <w:p w14:paraId="29DF3D0A">
            <w:pPr>
              <w:jc w:val="right"/>
            </w:pPr>
            <w:r>
              <w:rPr>
                <w:rFonts w:hint="eastAsia"/>
              </w:rPr>
              <w:t>21.90%</w:t>
            </w:r>
          </w:p>
        </w:tc>
        <w:tc>
          <w:tcPr>
            <w:tcW w:w="1186" w:type="dxa"/>
            <w:vAlign w:val="center"/>
          </w:tcPr>
          <w:p w14:paraId="463FD4C3">
            <w:pPr>
              <w:jc w:val="right"/>
            </w:pPr>
            <w:r>
              <w:rPr>
                <w:rFonts w:hint="eastAsia"/>
              </w:rPr>
              <w:t>2.05%</w:t>
            </w:r>
          </w:p>
        </w:tc>
        <w:tc>
          <w:tcPr>
            <w:tcW w:w="1186" w:type="dxa"/>
            <w:vAlign w:val="center"/>
          </w:tcPr>
          <w:p w14:paraId="6629C94B">
            <w:pPr>
              <w:jc w:val="right"/>
            </w:pPr>
            <w:r>
              <w:rPr>
                <w:rFonts w:hint="eastAsia"/>
              </w:rPr>
              <w:t>26.37%</w:t>
            </w:r>
          </w:p>
        </w:tc>
        <w:tc>
          <w:tcPr>
            <w:tcW w:w="1186" w:type="dxa"/>
            <w:vAlign w:val="center"/>
          </w:tcPr>
          <w:p w14:paraId="433A899F">
            <w:pPr>
              <w:jc w:val="right"/>
            </w:pPr>
            <w:r>
              <w:rPr>
                <w:rFonts w:hint="eastAsia"/>
              </w:rPr>
              <w:t>2.13%</w:t>
            </w:r>
          </w:p>
        </w:tc>
        <w:tc>
          <w:tcPr>
            <w:tcW w:w="1186" w:type="dxa"/>
            <w:vAlign w:val="center"/>
          </w:tcPr>
          <w:p w14:paraId="7982B6E8">
            <w:pPr>
              <w:jc w:val="right"/>
            </w:pPr>
            <w:r>
              <w:rPr>
                <w:rFonts w:hint="eastAsia"/>
              </w:rPr>
              <w:t>-4.47%</w:t>
            </w:r>
          </w:p>
        </w:tc>
        <w:tc>
          <w:tcPr>
            <w:tcW w:w="1186" w:type="dxa"/>
            <w:vAlign w:val="center"/>
          </w:tcPr>
          <w:p w14:paraId="6136DA35">
            <w:pPr>
              <w:jc w:val="right"/>
            </w:pPr>
            <w:r>
              <w:rPr>
                <w:rFonts w:hint="eastAsia"/>
              </w:rPr>
              <w:t>-0.08%</w:t>
            </w:r>
          </w:p>
        </w:tc>
      </w:tr>
    </w:tbl>
    <w:p w14:paraId="5E5102C7">
      <w:pPr>
        <w:pStyle w:val="18"/>
        <w:rPr>
          <w:rFonts w:hint="eastAsia"/>
        </w:rPr>
      </w:pPr>
      <w:r>
        <w:rPr>
          <w:rFonts w:hint="eastAsia"/>
        </w:rPr>
        <w:t>南方恒生生物科技ETF发起联接（QDII）C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3B2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B1C9769">
            <w:pPr>
              <w:jc w:val="center"/>
            </w:pPr>
            <w:r>
              <w:rPr>
                <w:rFonts w:hint="eastAsia"/>
                <w:b/>
              </w:rPr>
              <w:t>阶段</w:t>
            </w:r>
          </w:p>
        </w:tc>
        <w:tc>
          <w:tcPr>
            <w:tcW w:w="1186" w:type="dxa"/>
            <w:shd w:val="clear" w:color="auto" w:fill="BFBFBF"/>
            <w:vAlign w:val="center"/>
          </w:tcPr>
          <w:p w14:paraId="74F2CB16">
            <w:pPr>
              <w:jc w:val="center"/>
            </w:pPr>
            <w:r>
              <w:rPr>
                <w:rFonts w:hint="eastAsia"/>
                <w:b/>
              </w:rPr>
              <w:t>份额净值增长率①</w:t>
            </w:r>
          </w:p>
        </w:tc>
        <w:tc>
          <w:tcPr>
            <w:tcW w:w="1186" w:type="dxa"/>
            <w:shd w:val="clear" w:color="auto" w:fill="BFBFBF"/>
            <w:vAlign w:val="center"/>
          </w:tcPr>
          <w:p w14:paraId="79D5E7B4">
            <w:pPr>
              <w:jc w:val="center"/>
            </w:pPr>
            <w:r>
              <w:rPr>
                <w:rFonts w:hint="eastAsia"/>
                <w:b/>
              </w:rPr>
              <w:t>份额净值增长率标准差②</w:t>
            </w:r>
          </w:p>
        </w:tc>
        <w:tc>
          <w:tcPr>
            <w:tcW w:w="1186" w:type="dxa"/>
            <w:shd w:val="clear" w:color="auto" w:fill="BFBFBF"/>
            <w:vAlign w:val="center"/>
          </w:tcPr>
          <w:p w14:paraId="3D19B496">
            <w:pPr>
              <w:jc w:val="center"/>
            </w:pPr>
            <w:r>
              <w:rPr>
                <w:rFonts w:hint="eastAsia"/>
                <w:b/>
              </w:rPr>
              <w:t>业绩比较基准收益率③</w:t>
            </w:r>
          </w:p>
        </w:tc>
        <w:tc>
          <w:tcPr>
            <w:tcW w:w="1186" w:type="dxa"/>
            <w:shd w:val="clear" w:color="auto" w:fill="BFBFBF"/>
            <w:vAlign w:val="center"/>
          </w:tcPr>
          <w:p w14:paraId="3CC3EFD2">
            <w:pPr>
              <w:jc w:val="center"/>
            </w:pPr>
            <w:r>
              <w:rPr>
                <w:rFonts w:hint="eastAsia"/>
                <w:b/>
              </w:rPr>
              <w:t>业绩比较基准收益率标准差④</w:t>
            </w:r>
          </w:p>
        </w:tc>
        <w:tc>
          <w:tcPr>
            <w:tcW w:w="1186" w:type="dxa"/>
            <w:shd w:val="clear" w:color="auto" w:fill="BFBFBF"/>
            <w:vAlign w:val="center"/>
          </w:tcPr>
          <w:p w14:paraId="2390D174">
            <w:pPr>
              <w:jc w:val="center"/>
            </w:pPr>
            <w:r>
              <w:rPr>
                <w:rFonts w:hint="eastAsia"/>
                <w:b/>
              </w:rPr>
              <w:t>①-③</w:t>
            </w:r>
          </w:p>
        </w:tc>
        <w:tc>
          <w:tcPr>
            <w:tcW w:w="1186" w:type="dxa"/>
            <w:shd w:val="clear" w:color="auto" w:fill="BFBFBF"/>
            <w:vAlign w:val="center"/>
          </w:tcPr>
          <w:p w14:paraId="2631EF08">
            <w:pPr>
              <w:jc w:val="center"/>
            </w:pPr>
            <w:r>
              <w:rPr>
                <w:rFonts w:hint="eastAsia"/>
                <w:b/>
              </w:rPr>
              <w:t>②-④</w:t>
            </w:r>
          </w:p>
        </w:tc>
      </w:tr>
      <w:tr w14:paraId="7751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7B7F1A">
            <w:r>
              <w:rPr>
                <w:rFonts w:hint="eastAsia"/>
              </w:rPr>
              <w:t>过去三个月</w:t>
            </w:r>
          </w:p>
        </w:tc>
        <w:tc>
          <w:tcPr>
            <w:tcW w:w="1186" w:type="dxa"/>
            <w:vAlign w:val="center"/>
          </w:tcPr>
          <w:p w14:paraId="4BF5352A">
            <w:pPr>
              <w:jc w:val="right"/>
            </w:pPr>
            <w:r>
              <w:rPr>
                <w:rFonts w:hint="eastAsia"/>
              </w:rPr>
              <w:t>-19.72%</w:t>
            </w:r>
          </w:p>
        </w:tc>
        <w:tc>
          <w:tcPr>
            <w:tcW w:w="1186" w:type="dxa"/>
            <w:vAlign w:val="center"/>
          </w:tcPr>
          <w:p w14:paraId="18AF75B0">
            <w:pPr>
              <w:jc w:val="right"/>
            </w:pPr>
            <w:r>
              <w:rPr>
                <w:rFonts w:hint="eastAsia"/>
              </w:rPr>
              <w:t>1.80%</w:t>
            </w:r>
          </w:p>
        </w:tc>
        <w:tc>
          <w:tcPr>
            <w:tcW w:w="1186" w:type="dxa"/>
            <w:vAlign w:val="center"/>
          </w:tcPr>
          <w:p w14:paraId="77EDC291">
            <w:pPr>
              <w:jc w:val="right"/>
            </w:pPr>
            <w:r>
              <w:rPr>
                <w:rFonts w:hint="eastAsia"/>
              </w:rPr>
              <w:t>-19.50%</w:t>
            </w:r>
          </w:p>
        </w:tc>
        <w:tc>
          <w:tcPr>
            <w:tcW w:w="1186" w:type="dxa"/>
            <w:vAlign w:val="center"/>
          </w:tcPr>
          <w:p w14:paraId="77E23ABE">
            <w:pPr>
              <w:jc w:val="right"/>
            </w:pPr>
            <w:r>
              <w:rPr>
                <w:rFonts w:hint="eastAsia"/>
              </w:rPr>
              <w:t>1.80%</w:t>
            </w:r>
          </w:p>
        </w:tc>
        <w:tc>
          <w:tcPr>
            <w:tcW w:w="1186" w:type="dxa"/>
            <w:vAlign w:val="center"/>
          </w:tcPr>
          <w:p w14:paraId="18CD381F">
            <w:pPr>
              <w:jc w:val="right"/>
            </w:pPr>
            <w:r>
              <w:rPr>
                <w:rFonts w:hint="eastAsia"/>
              </w:rPr>
              <w:t>-0.22%</w:t>
            </w:r>
          </w:p>
        </w:tc>
        <w:tc>
          <w:tcPr>
            <w:tcW w:w="1186" w:type="dxa"/>
            <w:vAlign w:val="center"/>
          </w:tcPr>
          <w:p w14:paraId="3D69E44D">
            <w:pPr>
              <w:jc w:val="right"/>
            </w:pPr>
            <w:r>
              <w:rPr>
                <w:rFonts w:hint="eastAsia"/>
              </w:rPr>
              <w:t>0.00%</w:t>
            </w:r>
          </w:p>
        </w:tc>
      </w:tr>
      <w:tr w14:paraId="2A58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B6C6235">
            <w:r>
              <w:rPr>
                <w:rFonts w:hint="eastAsia"/>
              </w:rPr>
              <w:t>过去六个月</w:t>
            </w:r>
          </w:p>
        </w:tc>
        <w:tc>
          <w:tcPr>
            <w:tcW w:w="1186" w:type="dxa"/>
            <w:vAlign w:val="center"/>
          </w:tcPr>
          <w:p w14:paraId="177A5306">
            <w:pPr>
              <w:jc w:val="right"/>
            </w:pPr>
            <w:r>
              <w:rPr>
                <w:rFonts w:hint="eastAsia"/>
              </w:rPr>
              <w:t>4.17%</w:t>
            </w:r>
          </w:p>
        </w:tc>
        <w:tc>
          <w:tcPr>
            <w:tcW w:w="1186" w:type="dxa"/>
            <w:vAlign w:val="center"/>
          </w:tcPr>
          <w:p w14:paraId="3DD3EB8B">
            <w:pPr>
              <w:jc w:val="right"/>
            </w:pPr>
            <w:r>
              <w:rPr>
                <w:rFonts w:hint="eastAsia"/>
              </w:rPr>
              <w:t>1.98%</w:t>
            </w:r>
          </w:p>
        </w:tc>
        <w:tc>
          <w:tcPr>
            <w:tcW w:w="1186" w:type="dxa"/>
            <w:vAlign w:val="center"/>
          </w:tcPr>
          <w:p w14:paraId="1FD46402">
            <w:pPr>
              <w:jc w:val="right"/>
            </w:pPr>
            <w:r>
              <w:rPr>
                <w:rFonts w:hint="eastAsia"/>
              </w:rPr>
              <w:t>5.51%</w:t>
            </w:r>
          </w:p>
        </w:tc>
        <w:tc>
          <w:tcPr>
            <w:tcW w:w="1186" w:type="dxa"/>
            <w:vAlign w:val="center"/>
          </w:tcPr>
          <w:p w14:paraId="02DDBAD4">
            <w:pPr>
              <w:jc w:val="right"/>
            </w:pPr>
            <w:r>
              <w:rPr>
                <w:rFonts w:hint="eastAsia"/>
              </w:rPr>
              <w:t>1.99%</w:t>
            </w:r>
          </w:p>
        </w:tc>
        <w:tc>
          <w:tcPr>
            <w:tcW w:w="1186" w:type="dxa"/>
            <w:vAlign w:val="center"/>
          </w:tcPr>
          <w:p w14:paraId="30DFAF3B">
            <w:pPr>
              <w:jc w:val="right"/>
            </w:pPr>
            <w:r>
              <w:rPr>
                <w:rFonts w:hint="eastAsia"/>
              </w:rPr>
              <w:t>-1.34%</w:t>
            </w:r>
          </w:p>
        </w:tc>
        <w:tc>
          <w:tcPr>
            <w:tcW w:w="1186" w:type="dxa"/>
            <w:vAlign w:val="center"/>
          </w:tcPr>
          <w:p w14:paraId="3C3086B7">
            <w:pPr>
              <w:jc w:val="right"/>
            </w:pPr>
            <w:r>
              <w:rPr>
                <w:rFonts w:hint="eastAsia"/>
              </w:rPr>
              <w:t>-0.01%</w:t>
            </w:r>
          </w:p>
        </w:tc>
      </w:tr>
      <w:tr w14:paraId="21FB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53F973">
            <w:r>
              <w:rPr>
                <w:rFonts w:hint="eastAsia"/>
              </w:rPr>
              <w:t>过去一年</w:t>
            </w:r>
          </w:p>
        </w:tc>
        <w:tc>
          <w:tcPr>
            <w:tcW w:w="1186" w:type="dxa"/>
            <w:vAlign w:val="center"/>
          </w:tcPr>
          <w:p w14:paraId="403429CF">
            <w:pPr>
              <w:jc w:val="right"/>
            </w:pPr>
            <w:r>
              <w:rPr>
                <w:rFonts w:hint="eastAsia"/>
              </w:rPr>
              <w:t>54.02%</w:t>
            </w:r>
          </w:p>
        </w:tc>
        <w:tc>
          <w:tcPr>
            <w:tcW w:w="1186" w:type="dxa"/>
            <w:vAlign w:val="center"/>
          </w:tcPr>
          <w:p w14:paraId="78E72779">
            <w:pPr>
              <w:jc w:val="right"/>
            </w:pPr>
            <w:r>
              <w:rPr>
                <w:rFonts w:hint="eastAsia"/>
              </w:rPr>
              <w:t>2.36%</w:t>
            </w:r>
          </w:p>
        </w:tc>
        <w:tc>
          <w:tcPr>
            <w:tcW w:w="1186" w:type="dxa"/>
            <w:vAlign w:val="center"/>
          </w:tcPr>
          <w:p w14:paraId="23A68B52">
            <w:pPr>
              <w:jc w:val="right"/>
            </w:pPr>
            <w:r>
              <w:rPr>
                <w:rFonts w:hint="eastAsia"/>
              </w:rPr>
              <w:t>57.30%</w:t>
            </w:r>
          </w:p>
        </w:tc>
        <w:tc>
          <w:tcPr>
            <w:tcW w:w="1186" w:type="dxa"/>
            <w:vAlign w:val="center"/>
          </w:tcPr>
          <w:p w14:paraId="463B9C0D">
            <w:pPr>
              <w:jc w:val="right"/>
            </w:pPr>
            <w:r>
              <w:rPr>
                <w:rFonts w:hint="eastAsia"/>
              </w:rPr>
              <w:t>2.38%</w:t>
            </w:r>
          </w:p>
        </w:tc>
        <w:tc>
          <w:tcPr>
            <w:tcW w:w="1186" w:type="dxa"/>
            <w:vAlign w:val="center"/>
          </w:tcPr>
          <w:p w14:paraId="3C558568">
            <w:pPr>
              <w:jc w:val="right"/>
            </w:pPr>
            <w:r>
              <w:rPr>
                <w:rFonts w:hint="eastAsia"/>
              </w:rPr>
              <w:t>-3.28%</w:t>
            </w:r>
          </w:p>
        </w:tc>
        <w:tc>
          <w:tcPr>
            <w:tcW w:w="1186" w:type="dxa"/>
            <w:vAlign w:val="center"/>
          </w:tcPr>
          <w:p w14:paraId="65D2C40A">
            <w:pPr>
              <w:jc w:val="right"/>
            </w:pPr>
            <w:r>
              <w:rPr>
                <w:rFonts w:hint="eastAsia"/>
              </w:rPr>
              <w:t>-0.02%</w:t>
            </w:r>
          </w:p>
        </w:tc>
      </w:tr>
      <w:tr w14:paraId="78AE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281430F">
            <w:r>
              <w:rPr>
                <w:rFonts w:hint="eastAsia"/>
              </w:rPr>
              <w:t>自基金合同生效起至今</w:t>
            </w:r>
          </w:p>
        </w:tc>
        <w:tc>
          <w:tcPr>
            <w:tcW w:w="1186" w:type="dxa"/>
            <w:vAlign w:val="center"/>
          </w:tcPr>
          <w:p w14:paraId="1A4643B8">
            <w:pPr>
              <w:jc w:val="right"/>
            </w:pPr>
            <w:r>
              <w:rPr>
                <w:rFonts w:hint="eastAsia"/>
              </w:rPr>
              <w:t>20.98%</w:t>
            </w:r>
          </w:p>
        </w:tc>
        <w:tc>
          <w:tcPr>
            <w:tcW w:w="1186" w:type="dxa"/>
            <w:vAlign w:val="center"/>
          </w:tcPr>
          <w:p w14:paraId="1DACE17A">
            <w:pPr>
              <w:jc w:val="right"/>
            </w:pPr>
            <w:r>
              <w:rPr>
                <w:rFonts w:hint="eastAsia"/>
              </w:rPr>
              <w:t>2.05%</w:t>
            </w:r>
          </w:p>
        </w:tc>
        <w:tc>
          <w:tcPr>
            <w:tcW w:w="1186" w:type="dxa"/>
            <w:vAlign w:val="center"/>
          </w:tcPr>
          <w:p w14:paraId="2A835524">
            <w:pPr>
              <w:jc w:val="right"/>
            </w:pPr>
            <w:r>
              <w:rPr>
                <w:rFonts w:hint="eastAsia"/>
              </w:rPr>
              <w:t>26.37%</w:t>
            </w:r>
          </w:p>
        </w:tc>
        <w:tc>
          <w:tcPr>
            <w:tcW w:w="1186" w:type="dxa"/>
            <w:vAlign w:val="center"/>
          </w:tcPr>
          <w:p w14:paraId="7FE97BBF">
            <w:pPr>
              <w:jc w:val="right"/>
            </w:pPr>
            <w:r>
              <w:rPr>
                <w:rFonts w:hint="eastAsia"/>
              </w:rPr>
              <w:t>2.13%</w:t>
            </w:r>
          </w:p>
        </w:tc>
        <w:tc>
          <w:tcPr>
            <w:tcW w:w="1186" w:type="dxa"/>
            <w:vAlign w:val="center"/>
          </w:tcPr>
          <w:p w14:paraId="12FEFAA7">
            <w:pPr>
              <w:jc w:val="right"/>
            </w:pPr>
            <w:r>
              <w:rPr>
                <w:rFonts w:hint="eastAsia"/>
              </w:rPr>
              <w:t>-5.39%</w:t>
            </w:r>
          </w:p>
        </w:tc>
        <w:tc>
          <w:tcPr>
            <w:tcW w:w="1186" w:type="dxa"/>
            <w:vAlign w:val="center"/>
          </w:tcPr>
          <w:p w14:paraId="0F76455F">
            <w:pPr>
              <w:jc w:val="right"/>
            </w:pPr>
            <w:r>
              <w:rPr>
                <w:rFonts w:hint="eastAsia"/>
              </w:rPr>
              <w:t>-0.08%</w:t>
            </w:r>
          </w:p>
        </w:tc>
      </w:tr>
    </w:tbl>
    <w:p w14:paraId="237DC0D0">
      <w:pPr>
        <w:pStyle w:val="18"/>
        <w:rPr>
          <w:rFonts w:hint="eastAsia"/>
        </w:rPr>
      </w:pPr>
      <w:r>
        <w:rPr>
          <w:rFonts w:hint="eastAsia"/>
        </w:rPr>
        <w:t>南方恒生生物科技ETF发起联接（QDII）I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7AD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03D8854">
            <w:pPr>
              <w:jc w:val="center"/>
            </w:pPr>
            <w:r>
              <w:rPr>
                <w:rFonts w:hint="eastAsia"/>
                <w:b/>
              </w:rPr>
              <w:t>阶段</w:t>
            </w:r>
          </w:p>
        </w:tc>
        <w:tc>
          <w:tcPr>
            <w:tcW w:w="1186" w:type="dxa"/>
            <w:shd w:val="clear" w:color="auto" w:fill="BFBFBF"/>
            <w:vAlign w:val="center"/>
          </w:tcPr>
          <w:p w14:paraId="4340E268">
            <w:pPr>
              <w:jc w:val="center"/>
            </w:pPr>
            <w:r>
              <w:rPr>
                <w:rFonts w:hint="eastAsia"/>
                <w:b/>
              </w:rPr>
              <w:t>份额净值增长率①</w:t>
            </w:r>
          </w:p>
        </w:tc>
        <w:tc>
          <w:tcPr>
            <w:tcW w:w="1186" w:type="dxa"/>
            <w:shd w:val="clear" w:color="auto" w:fill="BFBFBF"/>
            <w:vAlign w:val="center"/>
          </w:tcPr>
          <w:p w14:paraId="7EBC8450">
            <w:pPr>
              <w:jc w:val="center"/>
            </w:pPr>
            <w:r>
              <w:rPr>
                <w:rFonts w:hint="eastAsia"/>
                <w:b/>
              </w:rPr>
              <w:t>份额净值增长率标准差②</w:t>
            </w:r>
          </w:p>
        </w:tc>
        <w:tc>
          <w:tcPr>
            <w:tcW w:w="1186" w:type="dxa"/>
            <w:shd w:val="clear" w:color="auto" w:fill="BFBFBF"/>
            <w:vAlign w:val="center"/>
          </w:tcPr>
          <w:p w14:paraId="3336C474">
            <w:pPr>
              <w:jc w:val="center"/>
            </w:pPr>
            <w:r>
              <w:rPr>
                <w:rFonts w:hint="eastAsia"/>
                <w:b/>
              </w:rPr>
              <w:t>业绩比较基准收益率③</w:t>
            </w:r>
          </w:p>
        </w:tc>
        <w:tc>
          <w:tcPr>
            <w:tcW w:w="1186" w:type="dxa"/>
            <w:shd w:val="clear" w:color="auto" w:fill="BFBFBF"/>
            <w:vAlign w:val="center"/>
          </w:tcPr>
          <w:p w14:paraId="496FAB2A">
            <w:pPr>
              <w:jc w:val="center"/>
            </w:pPr>
            <w:r>
              <w:rPr>
                <w:rFonts w:hint="eastAsia"/>
                <w:b/>
              </w:rPr>
              <w:t>业绩比较基准收益率标准差④</w:t>
            </w:r>
          </w:p>
        </w:tc>
        <w:tc>
          <w:tcPr>
            <w:tcW w:w="1186" w:type="dxa"/>
            <w:shd w:val="clear" w:color="auto" w:fill="BFBFBF"/>
            <w:vAlign w:val="center"/>
          </w:tcPr>
          <w:p w14:paraId="54F45A16">
            <w:pPr>
              <w:jc w:val="center"/>
            </w:pPr>
            <w:r>
              <w:rPr>
                <w:rFonts w:hint="eastAsia"/>
                <w:b/>
              </w:rPr>
              <w:t>①-③</w:t>
            </w:r>
          </w:p>
        </w:tc>
        <w:tc>
          <w:tcPr>
            <w:tcW w:w="1186" w:type="dxa"/>
            <w:shd w:val="clear" w:color="auto" w:fill="BFBFBF"/>
            <w:vAlign w:val="center"/>
          </w:tcPr>
          <w:p w14:paraId="315E9A3F">
            <w:pPr>
              <w:jc w:val="center"/>
            </w:pPr>
            <w:r>
              <w:rPr>
                <w:rFonts w:hint="eastAsia"/>
                <w:b/>
              </w:rPr>
              <w:t>②-④</w:t>
            </w:r>
          </w:p>
        </w:tc>
      </w:tr>
      <w:tr w14:paraId="0481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8A579F">
            <w:r>
              <w:rPr>
                <w:rFonts w:hint="eastAsia"/>
              </w:rPr>
              <w:t>过去三个月</w:t>
            </w:r>
          </w:p>
        </w:tc>
        <w:tc>
          <w:tcPr>
            <w:tcW w:w="1186" w:type="dxa"/>
            <w:vAlign w:val="center"/>
          </w:tcPr>
          <w:p w14:paraId="2F562BD8">
            <w:pPr>
              <w:jc w:val="right"/>
            </w:pPr>
            <w:r>
              <w:rPr>
                <w:rFonts w:hint="eastAsia"/>
              </w:rPr>
              <w:t>-19.66%</w:t>
            </w:r>
          </w:p>
        </w:tc>
        <w:tc>
          <w:tcPr>
            <w:tcW w:w="1186" w:type="dxa"/>
            <w:vAlign w:val="center"/>
          </w:tcPr>
          <w:p w14:paraId="78A260B4">
            <w:pPr>
              <w:jc w:val="right"/>
            </w:pPr>
            <w:r>
              <w:rPr>
                <w:rFonts w:hint="eastAsia"/>
              </w:rPr>
              <w:t>1.80%</w:t>
            </w:r>
          </w:p>
        </w:tc>
        <w:tc>
          <w:tcPr>
            <w:tcW w:w="1186" w:type="dxa"/>
            <w:vAlign w:val="center"/>
          </w:tcPr>
          <w:p w14:paraId="48F03ABE">
            <w:pPr>
              <w:jc w:val="right"/>
            </w:pPr>
            <w:r>
              <w:rPr>
                <w:rFonts w:hint="eastAsia"/>
              </w:rPr>
              <w:t>-19.50%</w:t>
            </w:r>
          </w:p>
        </w:tc>
        <w:tc>
          <w:tcPr>
            <w:tcW w:w="1186" w:type="dxa"/>
            <w:vAlign w:val="center"/>
          </w:tcPr>
          <w:p w14:paraId="6D6DC8BC">
            <w:pPr>
              <w:jc w:val="right"/>
            </w:pPr>
            <w:r>
              <w:rPr>
                <w:rFonts w:hint="eastAsia"/>
              </w:rPr>
              <w:t>1.80%</w:t>
            </w:r>
          </w:p>
        </w:tc>
        <w:tc>
          <w:tcPr>
            <w:tcW w:w="1186" w:type="dxa"/>
            <w:vAlign w:val="center"/>
          </w:tcPr>
          <w:p w14:paraId="33601445">
            <w:pPr>
              <w:jc w:val="right"/>
            </w:pPr>
            <w:r>
              <w:rPr>
                <w:rFonts w:hint="eastAsia"/>
              </w:rPr>
              <w:t>-0.16%</w:t>
            </w:r>
          </w:p>
        </w:tc>
        <w:tc>
          <w:tcPr>
            <w:tcW w:w="1186" w:type="dxa"/>
            <w:vAlign w:val="center"/>
          </w:tcPr>
          <w:p w14:paraId="76A78C8E">
            <w:pPr>
              <w:jc w:val="right"/>
            </w:pPr>
            <w:r>
              <w:rPr>
                <w:rFonts w:hint="eastAsia"/>
              </w:rPr>
              <w:t>0.00%</w:t>
            </w:r>
          </w:p>
        </w:tc>
      </w:tr>
      <w:tr w14:paraId="11AE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B3FBF0">
            <w:r>
              <w:rPr>
                <w:rFonts w:hint="eastAsia"/>
              </w:rPr>
              <w:t>过去六个月</w:t>
            </w:r>
          </w:p>
        </w:tc>
        <w:tc>
          <w:tcPr>
            <w:tcW w:w="1186" w:type="dxa"/>
            <w:vAlign w:val="center"/>
          </w:tcPr>
          <w:p w14:paraId="5FE7E387">
            <w:pPr>
              <w:jc w:val="right"/>
            </w:pPr>
            <w:r>
              <w:rPr>
                <w:rFonts w:hint="eastAsia"/>
              </w:rPr>
              <w:t>4.31%</w:t>
            </w:r>
          </w:p>
        </w:tc>
        <w:tc>
          <w:tcPr>
            <w:tcW w:w="1186" w:type="dxa"/>
            <w:vAlign w:val="center"/>
          </w:tcPr>
          <w:p w14:paraId="757728B3">
            <w:pPr>
              <w:jc w:val="right"/>
            </w:pPr>
            <w:r>
              <w:rPr>
                <w:rFonts w:hint="eastAsia"/>
              </w:rPr>
              <w:t>1.98%</w:t>
            </w:r>
          </w:p>
        </w:tc>
        <w:tc>
          <w:tcPr>
            <w:tcW w:w="1186" w:type="dxa"/>
            <w:vAlign w:val="center"/>
          </w:tcPr>
          <w:p w14:paraId="1ED40F0A">
            <w:pPr>
              <w:jc w:val="right"/>
            </w:pPr>
            <w:r>
              <w:rPr>
                <w:rFonts w:hint="eastAsia"/>
              </w:rPr>
              <w:t>5.51%</w:t>
            </w:r>
          </w:p>
        </w:tc>
        <w:tc>
          <w:tcPr>
            <w:tcW w:w="1186" w:type="dxa"/>
            <w:vAlign w:val="center"/>
          </w:tcPr>
          <w:p w14:paraId="6E81B582">
            <w:pPr>
              <w:jc w:val="right"/>
            </w:pPr>
            <w:r>
              <w:rPr>
                <w:rFonts w:hint="eastAsia"/>
              </w:rPr>
              <w:t>1.99%</w:t>
            </w:r>
          </w:p>
        </w:tc>
        <w:tc>
          <w:tcPr>
            <w:tcW w:w="1186" w:type="dxa"/>
            <w:vAlign w:val="center"/>
          </w:tcPr>
          <w:p w14:paraId="75C74ECE">
            <w:pPr>
              <w:jc w:val="right"/>
            </w:pPr>
            <w:r>
              <w:rPr>
                <w:rFonts w:hint="eastAsia"/>
              </w:rPr>
              <w:t>-1.20%</w:t>
            </w:r>
          </w:p>
        </w:tc>
        <w:tc>
          <w:tcPr>
            <w:tcW w:w="1186" w:type="dxa"/>
            <w:vAlign w:val="center"/>
          </w:tcPr>
          <w:p w14:paraId="6D318E85">
            <w:pPr>
              <w:jc w:val="right"/>
            </w:pPr>
            <w:r>
              <w:rPr>
                <w:rFonts w:hint="eastAsia"/>
              </w:rPr>
              <w:t>-0.01%</w:t>
            </w:r>
          </w:p>
        </w:tc>
      </w:tr>
      <w:tr w14:paraId="2780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2E48B9">
            <w:r>
              <w:rPr>
                <w:rFonts w:hint="eastAsia"/>
              </w:rPr>
              <w:t>过去一年</w:t>
            </w:r>
          </w:p>
        </w:tc>
        <w:tc>
          <w:tcPr>
            <w:tcW w:w="1186" w:type="dxa"/>
            <w:vAlign w:val="center"/>
          </w:tcPr>
          <w:p w14:paraId="7344E183">
            <w:pPr>
              <w:jc w:val="right"/>
            </w:pPr>
            <w:r>
              <w:rPr>
                <w:rFonts w:hint="eastAsia"/>
              </w:rPr>
              <w:t>54.44%</w:t>
            </w:r>
          </w:p>
        </w:tc>
        <w:tc>
          <w:tcPr>
            <w:tcW w:w="1186" w:type="dxa"/>
            <w:vAlign w:val="center"/>
          </w:tcPr>
          <w:p w14:paraId="65431B7D">
            <w:pPr>
              <w:jc w:val="right"/>
            </w:pPr>
            <w:r>
              <w:rPr>
                <w:rFonts w:hint="eastAsia"/>
              </w:rPr>
              <w:t>2.36%</w:t>
            </w:r>
          </w:p>
        </w:tc>
        <w:tc>
          <w:tcPr>
            <w:tcW w:w="1186" w:type="dxa"/>
            <w:vAlign w:val="center"/>
          </w:tcPr>
          <w:p w14:paraId="44A9732B">
            <w:pPr>
              <w:jc w:val="right"/>
            </w:pPr>
            <w:r>
              <w:rPr>
                <w:rFonts w:hint="eastAsia"/>
              </w:rPr>
              <w:t>57.30%</w:t>
            </w:r>
          </w:p>
        </w:tc>
        <w:tc>
          <w:tcPr>
            <w:tcW w:w="1186" w:type="dxa"/>
            <w:vAlign w:val="center"/>
          </w:tcPr>
          <w:p w14:paraId="48148D56">
            <w:pPr>
              <w:jc w:val="right"/>
            </w:pPr>
            <w:r>
              <w:rPr>
                <w:rFonts w:hint="eastAsia"/>
              </w:rPr>
              <w:t>2.38%</w:t>
            </w:r>
          </w:p>
        </w:tc>
        <w:tc>
          <w:tcPr>
            <w:tcW w:w="1186" w:type="dxa"/>
            <w:vAlign w:val="center"/>
          </w:tcPr>
          <w:p w14:paraId="56391F96">
            <w:pPr>
              <w:jc w:val="right"/>
            </w:pPr>
            <w:r>
              <w:rPr>
                <w:rFonts w:hint="eastAsia"/>
              </w:rPr>
              <w:t>-2.86%</w:t>
            </w:r>
          </w:p>
        </w:tc>
        <w:tc>
          <w:tcPr>
            <w:tcW w:w="1186" w:type="dxa"/>
            <w:vAlign w:val="center"/>
          </w:tcPr>
          <w:p w14:paraId="2FFA9524">
            <w:pPr>
              <w:jc w:val="right"/>
            </w:pPr>
            <w:r>
              <w:rPr>
                <w:rFonts w:hint="eastAsia"/>
              </w:rPr>
              <w:t>-0.02%</w:t>
            </w:r>
          </w:p>
        </w:tc>
      </w:tr>
      <w:tr w14:paraId="0BC8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346728">
            <w:r>
              <w:rPr>
                <w:rFonts w:hint="eastAsia"/>
              </w:rPr>
              <w:t>自基金合同生效起至今</w:t>
            </w:r>
          </w:p>
        </w:tc>
        <w:tc>
          <w:tcPr>
            <w:tcW w:w="1186" w:type="dxa"/>
            <w:vAlign w:val="center"/>
          </w:tcPr>
          <w:p w14:paraId="252FE01D">
            <w:pPr>
              <w:jc w:val="right"/>
            </w:pPr>
            <w:r>
              <w:rPr>
                <w:rFonts w:hint="eastAsia"/>
              </w:rPr>
              <w:t>71.11%</w:t>
            </w:r>
          </w:p>
        </w:tc>
        <w:tc>
          <w:tcPr>
            <w:tcW w:w="1186" w:type="dxa"/>
            <w:vAlign w:val="center"/>
          </w:tcPr>
          <w:p w14:paraId="03DA1799">
            <w:pPr>
              <w:jc w:val="right"/>
            </w:pPr>
            <w:r>
              <w:rPr>
                <w:rFonts w:hint="eastAsia"/>
              </w:rPr>
              <w:t>2.14%</w:t>
            </w:r>
          </w:p>
        </w:tc>
        <w:tc>
          <w:tcPr>
            <w:tcW w:w="1186" w:type="dxa"/>
            <w:vAlign w:val="center"/>
          </w:tcPr>
          <w:p w14:paraId="7E7DDEFE">
            <w:pPr>
              <w:jc w:val="right"/>
            </w:pPr>
            <w:r>
              <w:rPr>
                <w:rFonts w:hint="eastAsia"/>
              </w:rPr>
              <w:t>77.49%</w:t>
            </w:r>
          </w:p>
        </w:tc>
        <w:tc>
          <w:tcPr>
            <w:tcW w:w="1186" w:type="dxa"/>
            <w:vAlign w:val="center"/>
          </w:tcPr>
          <w:p w14:paraId="0C57DB84">
            <w:pPr>
              <w:jc w:val="right"/>
            </w:pPr>
            <w:r>
              <w:rPr>
                <w:rFonts w:hint="eastAsia"/>
              </w:rPr>
              <w:t>2.18%</w:t>
            </w:r>
          </w:p>
        </w:tc>
        <w:tc>
          <w:tcPr>
            <w:tcW w:w="1186" w:type="dxa"/>
            <w:vAlign w:val="center"/>
          </w:tcPr>
          <w:p w14:paraId="182D2A6E">
            <w:pPr>
              <w:jc w:val="right"/>
            </w:pPr>
            <w:r>
              <w:rPr>
                <w:rFonts w:hint="eastAsia"/>
              </w:rPr>
              <w:t>-6.38%</w:t>
            </w:r>
          </w:p>
        </w:tc>
        <w:tc>
          <w:tcPr>
            <w:tcW w:w="1186" w:type="dxa"/>
            <w:vAlign w:val="center"/>
          </w:tcPr>
          <w:p w14:paraId="2357CFC2">
            <w:pPr>
              <w:jc w:val="right"/>
            </w:pPr>
            <w:r>
              <w:rPr>
                <w:rFonts w:hint="eastAsia"/>
              </w:rPr>
              <w:t>-0.04%</w:t>
            </w:r>
          </w:p>
        </w:tc>
      </w:tr>
    </w:tbl>
    <w:p w14:paraId="1B7DEC85">
      <w:pPr>
        <w:pStyle w:val="28"/>
      </w:pPr>
      <w:bookmarkStart w:id="18" w:name="_Toc18"/>
      <w:r>
        <w:t>自基金合同生效以来基金份额累计净值增长率变动及其与同期业绩比较基准收益率变动的比较</w:t>
      </w:r>
      <w:bookmarkEnd w:id="18"/>
    </w:p>
    <w:p w14:paraId="2F59DFB9">
      <w:pPr>
        <w:jc w:val="center"/>
      </w:pPr>
      <w:r>
        <w:drawing>
          <wp:inline distT="0" distB="0" distL="114300" distR="114300">
            <wp:extent cx="5274310" cy="31603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60635"/>
                    </a:xfrm>
                    <a:prstGeom prst="rect">
                      <a:avLst/>
                    </a:prstGeom>
                  </pic:spPr>
                </pic:pic>
              </a:graphicData>
            </a:graphic>
          </wp:inline>
        </w:drawing>
      </w:r>
    </w:p>
    <w:p w14:paraId="49FDD2D6">
      <w:pPr>
        <w:jc w:val="center"/>
      </w:pPr>
      <w:r>
        <w:drawing>
          <wp:inline distT="0" distB="0" distL="114300" distR="114300">
            <wp:extent cx="5274310" cy="31603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60635"/>
                    </a:xfrm>
                    <a:prstGeom prst="rect">
                      <a:avLst/>
                    </a:prstGeom>
                  </pic:spPr>
                </pic:pic>
              </a:graphicData>
            </a:graphic>
          </wp:inline>
        </w:drawing>
      </w:r>
    </w:p>
    <w:p w14:paraId="3A56F56C">
      <w:pPr>
        <w:jc w:val="center"/>
      </w:pPr>
      <w:r>
        <w:drawing>
          <wp:inline distT="0" distB="0" distL="114300" distR="114300">
            <wp:extent cx="5274310" cy="31603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60635"/>
                    </a:xfrm>
                    <a:prstGeom prst="rect">
                      <a:avLst/>
                    </a:prstGeom>
                  </pic:spPr>
                </pic:pic>
              </a:graphicData>
            </a:graphic>
          </wp:inline>
        </w:drawing>
      </w:r>
    </w:p>
    <w:p w14:paraId="7C5E66A4">
      <w:pPr>
        <w:pStyle w:val="47"/>
        <w:rPr>
          <w:rFonts w:hint="eastAsia"/>
        </w:rPr>
      </w:pPr>
      <w:r>
        <w:rPr>
          <w:rFonts w:hint="eastAsia"/>
        </w:rPr>
        <w:t>注：本基金从2024年4月22日起新增I类份额，I类份额自2024年4月25日起存续。</w:t>
      </w:r>
    </w:p>
    <w:p w14:paraId="03858C26">
      <w:pPr>
        <w:pStyle w:val="28"/>
      </w:pPr>
      <w:bookmarkStart w:id="19" w:name="_Toc19"/>
      <w:r>
        <w:t>自基金合同生效以来基金每年净值增长率及其与同期业绩比较基准收益率的比较</w:t>
      </w:r>
      <w:bookmarkEnd w:id="19"/>
    </w:p>
    <w:p w14:paraId="65B68024">
      <w:pPr>
        <w:jc w:val="center"/>
      </w:pPr>
      <w:r>
        <w:drawing>
          <wp:inline distT="0" distB="0" distL="114300" distR="114300">
            <wp:extent cx="5274310" cy="3191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91966"/>
                    </a:xfrm>
                    <a:prstGeom prst="rect">
                      <a:avLst/>
                    </a:prstGeom>
                  </pic:spPr>
                </pic:pic>
              </a:graphicData>
            </a:graphic>
          </wp:inline>
        </w:drawing>
      </w:r>
    </w:p>
    <w:p w14:paraId="250AA48A">
      <w:pPr>
        <w:jc w:val="center"/>
      </w:pPr>
      <w:r>
        <w:drawing>
          <wp:inline distT="0" distB="0" distL="114300" distR="114300">
            <wp:extent cx="5274310" cy="31915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191966"/>
                    </a:xfrm>
                    <a:prstGeom prst="rect">
                      <a:avLst/>
                    </a:prstGeom>
                  </pic:spPr>
                </pic:pic>
              </a:graphicData>
            </a:graphic>
          </wp:inline>
        </w:drawing>
      </w:r>
    </w:p>
    <w:p w14:paraId="17858A60">
      <w:pPr>
        <w:jc w:val="center"/>
      </w:pPr>
      <w:r>
        <w:drawing>
          <wp:inline distT="0" distB="0" distL="114300" distR="114300">
            <wp:extent cx="5274310" cy="3191510"/>
            <wp:effectExtent l="0" t="0" r="2540"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191966"/>
                    </a:xfrm>
                    <a:prstGeom prst="rect">
                      <a:avLst/>
                    </a:prstGeom>
                  </pic:spPr>
                </pic:pic>
              </a:graphicData>
            </a:graphic>
          </wp:inline>
        </w:drawing>
      </w:r>
    </w:p>
    <w:p w14:paraId="0168DA02">
      <w:pPr>
        <w:pStyle w:val="47"/>
        <w:rPr>
          <w:rFonts w:hint="eastAsia"/>
        </w:rPr>
      </w:pPr>
      <w:r>
        <w:rPr>
          <w:rFonts w:hint="eastAsia"/>
        </w:rPr>
        <w:t>注：基金合同生效当年按实际存续期计算，不按整个自然年度进行折算。</w:t>
      </w:r>
    </w:p>
    <w:p w14:paraId="1673D582">
      <w:pPr>
        <w:pStyle w:val="23"/>
      </w:pPr>
      <w:bookmarkStart w:id="20" w:name="_Toc30169"/>
      <w:r>
        <w:t>过去三年基金的利润分配情况</w:t>
      </w:r>
      <w:bookmarkEnd w:id="20"/>
    </w:p>
    <w:p w14:paraId="059F2F0F">
      <w:pPr>
        <w:pStyle w:val="18"/>
        <w:rPr>
          <w:rFonts w:hint="eastAsia"/>
        </w:rPr>
      </w:pPr>
      <w:r>
        <w:rPr>
          <w:rFonts w:hint="eastAsia"/>
        </w:rPr>
        <w:t>本基金于2023年5月30日成立，自基金合同生效日以来未进行利润分配。</w:t>
      </w:r>
    </w:p>
    <w:p w14:paraId="7180EA9D">
      <w:pPr>
        <w:pStyle w:val="26"/>
      </w:pPr>
      <w:bookmarkStart w:id="21" w:name="_Toc6734"/>
      <w:r>
        <w:t>管理人报告</w:t>
      </w:r>
      <w:bookmarkEnd w:id="21"/>
    </w:p>
    <w:p w14:paraId="08E5428F">
      <w:pPr>
        <w:pStyle w:val="23"/>
      </w:pPr>
      <w:bookmarkStart w:id="22" w:name="_Toc30790"/>
      <w:r>
        <w:t>基金管理人及基金经理情况</w:t>
      </w:r>
      <w:bookmarkEnd w:id="22"/>
    </w:p>
    <w:p w14:paraId="60439213">
      <w:pPr>
        <w:pStyle w:val="28"/>
      </w:pPr>
      <w:bookmarkStart w:id="23" w:name="_Toc23"/>
      <w:r>
        <w:t>基金管理人及其管理基金的经验</w:t>
      </w:r>
      <w:bookmarkEnd w:id="23"/>
    </w:p>
    <w:p w14:paraId="053A585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9016DA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50F5A3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0DFA6A">
      <w:pPr>
        <w:pStyle w:val="28"/>
      </w:pPr>
      <w:bookmarkStart w:id="24" w:name="_Toc24"/>
      <w:r>
        <w:t>基金经理（或基金经理小组）及基金经理助理简介</w:t>
      </w:r>
      <w:bookmarkEnd w:id="2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32F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7671DFB">
            <w:pPr>
              <w:jc w:val="center"/>
            </w:pPr>
            <w:r>
              <w:rPr>
                <w:rFonts w:hint="eastAsia"/>
                <w:b/>
              </w:rPr>
              <w:t>姓名</w:t>
            </w:r>
          </w:p>
        </w:tc>
        <w:tc>
          <w:tcPr>
            <w:tcW w:w="830" w:type="dxa"/>
            <w:vMerge w:val="restart"/>
            <w:shd w:val="clear" w:color="auto" w:fill="BFBFBF"/>
            <w:vAlign w:val="center"/>
          </w:tcPr>
          <w:p w14:paraId="523BD892">
            <w:pPr>
              <w:jc w:val="center"/>
            </w:pPr>
            <w:r>
              <w:rPr>
                <w:rFonts w:hint="eastAsia"/>
                <w:b/>
              </w:rPr>
              <w:t>职务</w:t>
            </w:r>
          </w:p>
        </w:tc>
        <w:tc>
          <w:tcPr>
            <w:tcW w:w="1090" w:type="dxa"/>
            <w:gridSpan w:val="2"/>
            <w:shd w:val="clear" w:color="auto" w:fill="BFBFBF"/>
            <w:vAlign w:val="center"/>
          </w:tcPr>
          <w:p w14:paraId="354C6BB6">
            <w:pPr>
              <w:jc w:val="center"/>
            </w:pPr>
            <w:r>
              <w:rPr>
                <w:rFonts w:hint="eastAsia"/>
                <w:b/>
              </w:rPr>
              <w:t>任本基金的基金经理（助理）期限</w:t>
            </w:r>
          </w:p>
        </w:tc>
        <w:tc>
          <w:tcPr>
            <w:tcW w:w="686" w:type="dxa"/>
            <w:vMerge w:val="restart"/>
            <w:shd w:val="clear" w:color="auto" w:fill="BFBFBF"/>
            <w:vAlign w:val="center"/>
          </w:tcPr>
          <w:p w14:paraId="153346AC">
            <w:pPr>
              <w:jc w:val="center"/>
            </w:pPr>
            <w:r>
              <w:rPr>
                <w:rFonts w:hint="eastAsia"/>
                <w:b/>
              </w:rPr>
              <w:t>证券从业年限</w:t>
            </w:r>
          </w:p>
        </w:tc>
        <w:tc>
          <w:tcPr>
            <w:tcW w:w="3765" w:type="dxa"/>
            <w:vMerge w:val="restart"/>
            <w:shd w:val="clear" w:color="auto" w:fill="BFBFBF"/>
            <w:vAlign w:val="center"/>
          </w:tcPr>
          <w:p w14:paraId="56378BDC">
            <w:pPr>
              <w:jc w:val="center"/>
            </w:pPr>
            <w:r>
              <w:rPr>
                <w:rFonts w:hint="eastAsia"/>
                <w:b/>
              </w:rPr>
              <w:t>说明</w:t>
            </w:r>
          </w:p>
        </w:tc>
      </w:tr>
      <w:tr w14:paraId="0EF0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D4B3B56"/>
        </w:tc>
        <w:tc>
          <w:tcPr>
            <w:tcW w:w="830" w:type="dxa"/>
            <w:vMerge w:val="continue"/>
            <w:vAlign w:val="center"/>
          </w:tcPr>
          <w:p w14:paraId="4E1C8B1D"/>
        </w:tc>
        <w:tc>
          <w:tcPr>
            <w:tcW w:w="1090" w:type="dxa"/>
            <w:shd w:val="clear" w:color="auto" w:fill="BFBFBF"/>
            <w:vAlign w:val="center"/>
          </w:tcPr>
          <w:p w14:paraId="5DF49378">
            <w:pPr>
              <w:jc w:val="center"/>
            </w:pPr>
            <w:r>
              <w:rPr>
                <w:rFonts w:hint="eastAsia"/>
                <w:b/>
              </w:rPr>
              <w:t>任职日期</w:t>
            </w:r>
          </w:p>
        </w:tc>
        <w:tc>
          <w:tcPr>
            <w:tcW w:w="1090" w:type="dxa"/>
            <w:shd w:val="clear" w:color="auto" w:fill="BFBFBF"/>
            <w:vAlign w:val="center"/>
          </w:tcPr>
          <w:p w14:paraId="7EBA4042">
            <w:pPr>
              <w:jc w:val="center"/>
            </w:pPr>
            <w:r>
              <w:rPr>
                <w:rFonts w:hint="eastAsia"/>
                <w:b/>
              </w:rPr>
              <w:t>离任日期</w:t>
            </w:r>
          </w:p>
        </w:tc>
        <w:tc>
          <w:tcPr>
            <w:tcW w:w="686" w:type="dxa"/>
            <w:vMerge w:val="continue"/>
            <w:vAlign w:val="center"/>
          </w:tcPr>
          <w:p w14:paraId="6DBDA9B1"/>
        </w:tc>
        <w:tc>
          <w:tcPr>
            <w:tcW w:w="3765" w:type="dxa"/>
            <w:vMerge w:val="continue"/>
            <w:vAlign w:val="center"/>
          </w:tcPr>
          <w:p w14:paraId="6BEC5606"/>
        </w:tc>
      </w:tr>
      <w:tr w14:paraId="280B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4F82D81">
            <w:r>
              <w:rPr>
                <w:rFonts w:hint="eastAsia"/>
              </w:rPr>
              <w:t>朱恒红</w:t>
            </w:r>
          </w:p>
        </w:tc>
        <w:tc>
          <w:tcPr>
            <w:tcW w:w="830" w:type="dxa"/>
            <w:vAlign w:val="center"/>
          </w:tcPr>
          <w:p w14:paraId="3C6A27E1">
            <w:r>
              <w:rPr>
                <w:rFonts w:hint="eastAsia"/>
              </w:rPr>
              <w:t>本基金基金经理</w:t>
            </w:r>
          </w:p>
        </w:tc>
        <w:tc>
          <w:tcPr>
            <w:tcW w:w="1090" w:type="dxa"/>
            <w:vAlign w:val="center"/>
          </w:tcPr>
          <w:p w14:paraId="706C1022">
            <w:r>
              <w:rPr>
                <w:rFonts w:hint="eastAsia"/>
              </w:rPr>
              <w:t>2023年5月30日</w:t>
            </w:r>
          </w:p>
        </w:tc>
        <w:tc>
          <w:tcPr>
            <w:tcW w:w="1090" w:type="dxa"/>
            <w:vAlign w:val="center"/>
          </w:tcPr>
          <w:p w14:paraId="71457D8A">
            <w:pPr>
              <w:jc w:val="right"/>
            </w:pPr>
            <w:r>
              <w:rPr>
                <w:rFonts w:hint="eastAsia"/>
              </w:rPr>
              <w:t>-</w:t>
            </w:r>
          </w:p>
        </w:tc>
        <w:tc>
          <w:tcPr>
            <w:tcW w:w="686" w:type="dxa"/>
            <w:vAlign w:val="center"/>
          </w:tcPr>
          <w:p w14:paraId="0BD68293">
            <w:r>
              <w:rPr>
                <w:rFonts w:hint="eastAsia"/>
              </w:rPr>
              <w:t>9年</w:t>
            </w:r>
          </w:p>
        </w:tc>
        <w:tc>
          <w:tcPr>
            <w:tcW w:w="3765" w:type="dxa"/>
            <w:vAlign w:val="center"/>
          </w:tcPr>
          <w:p w14:paraId="256B7135">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4966F31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7A40D6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476E87A">
      <w:pPr>
        <w:pStyle w:val="28"/>
      </w:pPr>
      <w:bookmarkStart w:id="25" w:name="_Toc25"/>
      <w:r>
        <w:t>基金经理薪酬机制</w:t>
      </w:r>
      <w:bookmarkEnd w:id="25"/>
    </w:p>
    <w:p w14:paraId="5310CA6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F9CFCD2">
      <w:pPr>
        <w:pStyle w:val="23"/>
      </w:pPr>
      <w:bookmarkStart w:id="26" w:name="_Toc14278"/>
      <w:r>
        <w:t>境外投资顾问为本基金提供投资建议的主要成员简介</w:t>
      </w:r>
      <w:bookmarkEnd w:id="26"/>
    </w:p>
    <w:p w14:paraId="22D59B21">
      <w:pPr>
        <w:pStyle w:val="18"/>
        <w:rPr>
          <w:rFonts w:hint="eastAsia"/>
        </w:rPr>
      </w:pPr>
      <w:r>
        <w:rPr>
          <w:rFonts w:hint="eastAsia"/>
        </w:rPr>
        <w:t>本基金无境外投资顾问。</w:t>
      </w:r>
    </w:p>
    <w:p w14:paraId="08515DA0">
      <w:pPr>
        <w:pStyle w:val="23"/>
      </w:pPr>
      <w:bookmarkStart w:id="27" w:name="_Toc31424"/>
      <w:r>
        <w:t>管理人对报告期内本基金运作遵规守信情况的说明</w:t>
      </w:r>
      <w:bookmarkEnd w:id="27"/>
    </w:p>
    <w:p w14:paraId="793AD0D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E97012D">
      <w:pPr>
        <w:pStyle w:val="23"/>
      </w:pPr>
      <w:bookmarkStart w:id="28" w:name="_Toc17495"/>
      <w:r>
        <w:t>管理人对报告期内公平交易情况的专项说明</w:t>
      </w:r>
      <w:bookmarkEnd w:id="28"/>
    </w:p>
    <w:p w14:paraId="4EC528D0">
      <w:pPr>
        <w:pStyle w:val="28"/>
      </w:pPr>
      <w:bookmarkStart w:id="29" w:name="_Toc29"/>
      <w:r>
        <w:t>公平交易制度和控制方法</w:t>
      </w:r>
      <w:bookmarkEnd w:id="29"/>
    </w:p>
    <w:p w14:paraId="4A7F1F3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5965A9A">
      <w:pPr>
        <w:pStyle w:val="28"/>
      </w:pPr>
      <w:bookmarkStart w:id="30" w:name="_Toc30"/>
      <w:r>
        <w:t>公平交易制度的执行情况</w:t>
      </w:r>
      <w:bookmarkEnd w:id="30"/>
    </w:p>
    <w:p w14:paraId="47605A0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55DB42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73393FB">
      <w:pPr>
        <w:pStyle w:val="35"/>
      </w:pPr>
      <w:bookmarkStart w:id="31" w:name="_Toc31"/>
      <w:r>
        <w:t>增加执行的基金经理公平交易制度执行情况及公平交易管理情况</w:t>
      </w:r>
      <w:bookmarkEnd w:id="31"/>
    </w:p>
    <w:p w14:paraId="70559A9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80D3F6D">
      <w:pPr>
        <w:pStyle w:val="28"/>
      </w:pPr>
      <w:bookmarkStart w:id="32" w:name="_Toc32"/>
      <w:r>
        <w:t>异常交易行为的专项说明</w:t>
      </w:r>
      <w:bookmarkEnd w:id="32"/>
    </w:p>
    <w:p w14:paraId="7AE2A1B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A4DFC71">
      <w:pPr>
        <w:pStyle w:val="23"/>
      </w:pPr>
      <w:bookmarkStart w:id="33" w:name="_Toc11058"/>
      <w:r>
        <w:t>管理人对报告期内基金的投资策略和业绩表现的说明</w:t>
      </w:r>
      <w:bookmarkEnd w:id="33"/>
    </w:p>
    <w:p w14:paraId="14E1F901">
      <w:pPr>
        <w:pStyle w:val="28"/>
      </w:pPr>
      <w:bookmarkStart w:id="34" w:name="_Toc34"/>
      <w:r>
        <w:t>报告期内基金投资策略和运作分析</w:t>
      </w:r>
      <w:bookmarkEnd w:id="34"/>
    </w:p>
    <w:p w14:paraId="31158F45">
      <w:pPr>
        <w:pStyle w:val="18"/>
        <w:rPr>
          <w:rFonts w:hint="eastAsia"/>
        </w:rPr>
      </w:pPr>
      <w:r>
        <w:rPr>
          <w:rFonts w:hint="eastAsia"/>
        </w:rPr>
        <w:t>2025年资本市场迎来了一轮显著的上涨行情，大部分指数均录得正收益，其中恒生生物科技指数上涨64.46%。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5C20692F">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37EEE126">
      <w:pPr>
        <w:pStyle w:val="18"/>
        <w:rPr>
          <w:rFonts w:hint="eastAsia"/>
        </w:rPr>
      </w:pPr>
      <w:r>
        <w:rPr>
          <w:rFonts w:hint="eastAsia"/>
        </w:rPr>
        <w:t>我们对本基金报告期内跟踪误差归因分析如下：</w:t>
      </w:r>
    </w:p>
    <w:p w14:paraId="4FC9FF29">
      <w:pPr>
        <w:pStyle w:val="18"/>
        <w:rPr>
          <w:rFonts w:hint="eastAsia"/>
        </w:rPr>
      </w:pPr>
      <w:r>
        <w:rPr>
          <w:rFonts w:hint="eastAsia"/>
        </w:rPr>
        <w:t>（1）根据指数成份股调整进行的基金调仓，事前我们制定了详细的调仓方案，在实施过程中引入多方校验机制防范风险发生，将跟踪误差控制在理想范围内；</w:t>
      </w:r>
    </w:p>
    <w:p w14:paraId="763045EE">
      <w:pPr>
        <w:pStyle w:val="18"/>
        <w:rPr>
          <w:rFonts w:hint="eastAsia"/>
        </w:rPr>
      </w:pPr>
      <w:r>
        <w:rPr>
          <w:rFonts w:hint="eastAsia"/>
        </w:rPr>
        <w:t>（2）大额申购赎回带来的成份股权重偏差，对此我们通过日内择时交易争取跟踪误差最小化；</w:t>
      </w:r>
    </w:p>
    <w:p w14:paraId="390007C6">
      <w:pPr>
        <w:pStyle w:val="18"/>
        <w:rPr>
          <w:rFonts w:hint="eastAsia"/>
        </w:rPr>
      </w:pPr>
      <w:r>
        <w:rPr>
          <w:rFonts w:hint="eastAsia"/>
        </w:rPr>
        <w:t>（3）港股通的交易风控资金的安排，导致基金实际仓位和基准的偏离。</w:t>
      </w:r>
    </w:p>
    <w:p w14:paraId="0CFEDC9F">
      <w:pPr>
        <w:pStyle w:val="28"/>
      </w:pPr>
      <w:bookmarkStart w:id="35" w:name="_Toc35"/>
      <w:r>
        <w:t>报告期内基金的业绩表现</w:t>
      </w:r>
      <w:bookmarkEnd w:id="35"/>
    </w:p>
    <w:p w14:paraId="384AE1B7">
      <w:pPr>
        <w:pStyle w:val="18"/>
        <w:rPr>
          <w:rFonts w:hint="eastAsia"/>
        </w:rPr>
      </w:pPr>
      <w:r>
        <w:rPr>
          <w:rFonts w:hint="eastAsia"/>
        </w:rPr>
        <w:t>截至报告期末，本基金A份额净值为1.2190元，报告期内，份额净值增长率为54.48%，同期业绩基准增长率为57.30%；本基金C份额净值为1.2098元，报告期内，份额净值增长率为54.02%，同期业绩基准增长率为57.30%；本基金I份额净值为1.2219元，报告期内，份额净值增长率为54.44%，同期业绩基准增长率为57.30%。</w:t>
      </w:r>
    </w:p>
    <w:p w14:paraId="5CF3A25C">
      <w:pPr>
        <w:pStyle w:val="23"/>
      </w:pPr>
      <w:bookmarkStart w:id="36" w:name="_Toc31279"/>
      <w:r>
        <w:t>管理人对宏观经济、证券市场及行业走势的简要展望</w:t>
      </w:r>
      <w:bookmarkEnd w:id="36"/>
    </w:p>
    <w:p w14:paraId="3E234CC6">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7D608DF7">
      <w:pPr>
        <w:pStyle w:val="23"/>
      </w:pPr>
      <w:bookmarkStart w:id="37" w:name="_Toc22335"/>
      <w:r>
        <w:t>管理人内部有关本基金的监察稽核工作情况</w:t>
      </w:r>
      <w:bookmarkEnd w:id="37"/>
    </w:p>
    <w:p w14:paraId="2D13F71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F80A4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07768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69C69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B29073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9C604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E378EF5">
      <w:pPr>
        <w:pStyle w:val="23"/>
      </w:pPr>
      <w:bookmarkStart w:id="38" w:name="_Toc9190"/>
      <w:r>
        <w:t>管理人对报告期内基金估值程序等事项的说明</w:t>
      </w:r>
      <w:bookmarkEnd w:id="38"/>
    </w:p>
    <w:p w14:paraId="5889136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A958C15">
      <w:pPr>
        <w:pStyle w:val="23"/>
      </w:pPr>
      <w:bookmarkStart w:id="39" w:name="_Toc3223"/>
      <w:r>
        <w:t>管理人对报告期内基金利润分配情况的说明</w:t>
      </w:r>
      <w:bookmarkEnd w:id="39"/>
    </w:p>
    <w:p w14:paraId="57389D2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5B84661">
      <w:pPr>
        <w:pStyle w:val="23"/>
      </w:pPr>
      <w:bookmarkStart w:id="40" w:name="_Toc14339"/>
      <w:r>
        <w:t>报告期内基金持有人数或基金资产净值预警说明</w:t>
      </w:r>
      <w:bookmarkEnd w:id="40"/>
    </w:p>
    <w:p w14:paraId="0D9FA675">
      <w:pPr>
        <w:pStyle w:val="18"/>
        <w:rPr>
          <w:rFonts w:hint="eastAsia"/>
        </w:rPr>
      </w:pPr>
      <w:r>
        <w:rPr>
          <w:rFonts w:hint="eastAsia"/>
        </w:rPr>
        <w:t>不适用。</w:t>
      </w:r>
    </w:p>
    <w:p w14:paraId="716ABB3E">
      <w:pPr>
        <w:pStyle w:val="26"/>
      </w:pPr>
      <w:bookmarkStart w:id="41" w:name="_Toc20722"/>
      <w:r>
        <w:t>托管人报告</w:t>
      </w:r>
      <w:bookmarkEnd w:id="41"/>
    </w:p>
    <w:p w14:paraId="609D3368">
      <w:pPr>
        <w:pStyle w:val="23"/>
      </w:pPr>
      <w:bookmarkStart w:id="42" w:name="_Toc4478"/>
      <w:r>
        <w:t>报告期内本基金托管人遵规守信情况声明</w:t>
      </w:r>
      <w:bookmarkEnd w:id="42"/>
    </w:p>
    <w:p w14:paraId="11F9EE23">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1B3F3584">
      <w:pPr>
        <w:pStyle w:val="23"/>
      </w:pPr>
      <w:bookmarkStart w:id="43" w:name="_Toc22274"/>
      <w:r>
        <w:t>托管人对报告期内本基金投资运作遵规守信、净值计算、利润分配等情况的说明</w:t>
      </w:r>
      <w:bookmarkEnd w:id="43"/>
    </w:p>
    <w:p w14:paraId="7DF25C1C">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3800E00">
      <w:pPr>
        <w:pStyle w:val="23"/>
      </w:pPr>
      <w:bookmarkStart w:id="44" w:name="_Toc13683"/>
      <w:r>
        <w:t>托管人对本年度报告中财务信息等内容的真实、准确和完整发表意见</w:t>
      </w:r>
      <w:bookmarkEnd w:id="44"/>
    </w:p>
    <w:p w14:paraId="77243B47">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72029C3F">
      <w:pPr>
        <w:pStyle w:val="26"/>
      </w:pPr>
      <w:bookmarkStart w:id="45" w:name="_Toc32728"/>
      <w:r>
        <w:t>审计报告</w:t>
      </w:r>
      <w:bookmarkEnd w:id="45"/>
    </w:p>
    <w:p w14:paraId="68C17FB5">
      <w:pPr>
        <w:pStyle w:val="23"/>
      </w:pPr>
      <w:bookmarkStart w:id="46" w:name="_Toc22380"/>
      <w:r>
        <w:t>审计报告基本信息</w:t>
      </w:r>
      <w:bookmarkEnd w:id="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1A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851FE">
            <w:r>
              <w:rPr>
                <w:rFonts w:hint="eastAsia"/>
              </w:rPr>
              <w:t>财务报表是否经过审计</w:t>
            </w:r>
          </w:p>
        </w:tc>
        <w:tc>
          <w:tcPr>
            <w:tcW w:w="4153" w:type="dxa"/>
            <w:vAlign w:val="center"/>
          </w:tcPr>
          <w:p w14:paraId="4129A203">
            <w:r>
              <w:rPr>
                <w:rFonts w:hint="eastAsia"/>
              </w:rPr>
              <w:t>是</w:t>
            </w:r>
          </w:p>
        </w:tc>
      </w:tr>
      <w:tr w14:paraId="0349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578E3">
            <w:r>
              <w:rPr>
                <w:rFonts w:hint="eastAsia"/>
              </w:rPr>
              <w:t>审计意见类型</w:t>
            </w:r>
          </w:p>
        </w:tc>
        <w:tc>
          <w:tcPr>
            <w:tcW w:w="4153" w:type="dxa"/>
            <w:vAlign w:val="center"/>
          </w:tcPr>
          <w:p w14:paraId="0992C9EB">
            <w:r>
              <w:rPr>
                <w:rFonts w:hint="eastAsia"/>
              </w:rPr>
              <w:t>标准无保留意见</w:t>
            </w:r>
          </w:p>
        </w:tc>
      </w:tr>
      <w:tr w14:paraId="476D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7CFB9C">
            <w:r>
              <w:rPr>
                <w:rFonts w:hint="eastAsia"/>
              </w:rPr>
              <w:t>审计报告编号</w:t>
            </w:r>
          </w:p>
        </w:tc>
        <w:tc>
          <w:tcPr>
            <w:tcW w:w="4153" w:type="dxa"/>
            <w:vAlign w:val="center"/>
          </w:tcPr>
          <w:p w14:paraId="1D8B3227">
            <w:r>
              <w:rPr>
                <w:rFonts w:hint="eastAsia"/>
              </w:rPr>
              <w:t>容诚审字[2026]200Z0823号</w:t>
            </w:r>
          </w:p>
        </w:tc>
      </w:tr>
    </w:tbl>
    <w:p w14:paraId="03149B4F">
      <w:pPr>
        <w:pStyle w:val="23"/>
      </w:pPr>
      <w:bookmarkStart w:id="47" w:name="_Toc13459"/>
      <w:r>
        <w:t>审计报告的基本内容</w:t>
      </w:r>
      <w:bookmarkEnd w:id="4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697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9EBAE73">
            <w:pPr>
              <w:jc w:val="center"/>
            </w:pPr>
            <w:r>
              <w:rPr>
                <w:rFonts w:hint="eastAsia"/>
                <w:b/>
              </w:rPr>
              <w:t>审计报告标题</w:t>
            </w:r>
          </w:p>
        </w:tc>
        <w:tc>
          <w:tcPr>
            <w:tcW w:w="2491" w:type="dxa"/>
            <w:gridSpan w:val="2"/>
            <w:shd w:val="clear" w:color="auto" w:fill="BFBFBF"/>
            <w:vAlign w:val="center"/>
          </w:tcPr>
          <w:p w14:paraId="2B59C099">
            <w:pPr>
              <w:jc w:val="center"/>
            </w:pPr>
            <w:r>
              <w:rPr>
                <w:rFonts w:hint="eastAsia"/>
                <w:b/>
              </w:rPr>
              <w:t>审计报告</w:t>
            </w:r>
          </w:p>
        </w:tc>
      </w:tr>
      <w:tr w14:paraId="28C5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C7EC2C">
            <w:r>
              <w:rPr>
                <w:rFonts w:hint="eastAsia"/>
              </w:rPr>
              <w:t>审计报告收件人</w:t>
            </w:r>
          </w:p>
        </w:tc>
        <w:tc>
          <w:tcPr>
            <w:tcW w:w="2491" w:type="dxa"/>
            <w:gridSpan w:val="2"/>
            <w:vAlign w:val="center"/>
          </w:tcPr>
          <w:p w14:paraId="170D551A">
            <w:r>
              <w:rPr>
                <w:rFonts w:hint="eastAsia"/>
              </w:rPr>
              <w:t>南方恒生生物科技交易型开放式指数证券投资基金发起式联接基金(QDII)全体基金份额持有人</w:t>
            </w:r>
          </w:p>
        </w:tc>
      </w:tr>
      <w:tr w14:paraId="4134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A954F0">
            <w:r>
              <w:rPr>
                <w:rFonts w:hint="eastAsia"/>
              </w:rPr>
              <w:t>审计意见</w:t>
            </w:r>
          </w:p>
        </w:tc>
        <w:tc>
          <w:tcPr>
            <w:tcW w:w="2491" w:type="dxa"/>
            <w:gridSpan w:val="2"/>
            <w:vAlign w:val="center"/>
          </w:tcPr>
          <w:p w14:paraId="436469DE">
            <w:pPr>
              <w:jc w:val="both"/>
              <w:rPr>
                <w:rFonts w:hint="eastAsia"/>
              </w:rPr>
            </w:pPr>
            <w:r>
              <w:rPr>
                <w:rFonts w:hint="eastAsia"/>
              </w:rPr>
              <w:t>我们审计了南方恒生生物科技交易型开放式指数证券投资基金发起式联接基金(QDII)（以下简称“南方恒生生物科技ETF发起式联接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恒生生物科技ETF发起式联接基金2025年12月31日的财务状况以及2025年度的经营成果和净资产变动情况。</w:t>
            </w:r>
          </w:p>
        </w:tc>
      </w:tr>
      <w:tr w14:paraId="0DB8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ED3674">
            <w:r>
              <w:rPr>
                <w:rFonts w:hint="eastAsia"/>
              </w:rPr>
              <w:t>形成审计意见的基础</w:t>
            </w:r>
          </w:p>
        </w:tc>
        <w:tc>
          <w:tcPr>
            <w:tcW w:w="2491" w:type="dxa"/>
            <w:gridSpan w:val="2"/>
            <w:vAlign w:val="center"/>
          </w:tcPr>
          <w:p w14:paraId="2E789F4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恒生生物科技ETF发起式联接基金，并遵守了独立性准则中适用于公众利益实体财务报表审计的规定，同时履行了职业道德方面的其他责任。我们相信，我们获取的审计证据是充分、适当的，为发表审计意见提供了基础。</w:t>
            </w:r>
          </w:p>
        </w:tc>
      </w:tr>
      <w:tr w14:paraId="63BE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49729A">
            <w:r>
              <w:rPr>
                <w:rFonts w:hint="eastAsia"/>
              </w:rPr>
              <w:t>强调事项</w:t>
            </w:r>
          </w:p>
        </w:tc>
        <w:tc>
          <w:tcPr>
            <w:tcW w:w="2491" w:type="dxa"/>
            <w:gridSpan w:val="2"/>
            <w:vAlign w:val="center"/>
          </w:tcPr>
          <w:p w14:paraId="5AF342F7">
            <w:pPr>
              <w:jc w:val="right"/>
            </w:pPr>
            <w:r>
              <w:rPr>
                <w:rFonts w:hint="eastAsia"/>
              </w:rPr>
              <w:t>-</w:t>
            </w:r>
          </w:p>
        </w:tc>
      </w:tr>
      <w:tr w14:paraId="5650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94CD22">
            <w:r>
              <w:rPr>
                <w:rFonts w:hint="eastAsia"/>
              </w:rPr>
              <w:t>其他事项</w:t>
            </w:r>
          </w:p>
        </w:tc>
        <w:tc>
          <w:tcPr>
            <w:tcW w:w="2491" w:type="dxa"/>
            <w:gridSpan w:val="2"/>
            <w:vAlign w:val="center"/>
          </w:tcPr>
          <w:p w14:paraId="079C75CE">
            <w:pPr>
              <w:jc w:val="right"/>
            </w:pPr>
            <w:r>
              <w:rPr>
                <w:rFonts w:hint="eastAsia"/>
              </w:rPr>
              <w:t>-</w:t>
            </w:r>
          </w:p>
        </w:tc>
      </w:tr>
      <w:tr w14:paraId="0DE0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E20013">
            <w:r>
              <w:rPr>
                <w:rFonts w:hint="eastAsia"/>
              </w:rPr>
              <w:t>其他信息</w:t>
            </w:r>
          </w:p>
        </w:tc>
        <w:tc>
          <w:tcPr>
            <w:tcW w:w="2491" w:type="dxa"/>
            <w:gridSpan w:val="2"/>
            <w:vAlign w:val="center"/>
          </w:tcPr>
          <w:p w14:paraId="6F6A0071">
            <w:pPr>
              <w:jc w:val="both"/>
              <w:rPr>
                <w:rFonts w:hint="eastAsia"/>
              </w:rPr>
            </w:pPr>
            <w:r>
              <w:rPr>
                <w:rFonts w:hint="eastAsia"/>
              </w:rPr>
              <w:t>南方恒生生物科技ETF发起式联接基金的基金管理人南方基金管理股份有限公司（以下简称“基金管理人”）管理层对其他信息负责。其他信息包括南方恒生生物科技ETF发起式联接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E8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CA2004">
            <w:r>
              <w:rPr>
                <w:rFonts w:hint="eastAsia"/>
              </w:rPr>
              <w:t>管理层和治理层对财务报表的责任</w:t>
            </w:r>
          </w:p>
        </w:tc>
        <w:tc>
          <w:tcPr>
            <w:tcW w:w="2491" w:type="dxa"/>
            <w:gridSpan w:val="2"/>
            <w:vAlign w:val="center"/>
          </w:tcPr>
          <w:p w14:paraId="593AC24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恒生生物科技ETF发起式联接基金的持续经营能力，披露与持续经营相关的事项（如适用），并运用持续经营假设，除非基金管理人管理层计划清算南方恒生生物科技ETF发起式联接基金、终止运营或别无其他现实的选择。
</w:t>
            </w:r>
            <w:r>
              <w:rPr>
                <w:rFonts w:hint="eastAsia"/>
              </w:rPr>
              <w:br w:type="textWrapping"/>
            </w:r>
            <w:r>
              <w:rPr>
                <w:rFonts w:hint="eastAsia"/>
              </w:rPr>
              <w:t>基金管理人治理层负责监督南方恒生生物科技ETF发起式联接基金的财务报告过程。</w:t>
            </w:r>
          </w:p>
        </w:tc>
      </w:tr>
      <w:tr w14:paraId="6BE7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731A8B">
            <w:r>
              <w:rPr>
                <w:rFonts w:hint="eastAsia"/>
              </w:rPr>
              <w:t>注册会计师对财务报表审计的责任</w:t>
            </w:r>
          </w:p>
        </w:tc>
        <w:tc>
          <w:tcPr>
            <w:tcW w:w="2491" w:type="dxa"/>
            <w:gridSpan w:val="2"/>
            <w:vAlign w:val="center"/>
          </w:tcPr>
          <w:p w14:paraId="0C943E8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恒生生物科技ETF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生生物科技ETF发起式联接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B0E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FF7F65">
            <w:r>
              <w:rPr>
                <w:rFonts w:hint="eastAsia"/>
              </w:rPr>
              <w:t>会计师事务所的名称</w:t>
            </w:r>
          </w:p>
        </w:tc>
        <w:tc>
          <w:tcPr>
            <w:tcW w:w="2491" w:type="dxa"/>
            <w:gridSpan w:val="2"/>
            <w:vAlign w:val="center"/>
          </w:tcPr>
          <w:p w14:paraId="483545C5">
            <w:r>
              <w:rPr>
                <w:rFonts w:hint="eastAsia"/>
              </w:rPr>
              <w:t>容诚会计师事务所（特殊普通合伙）</w:t>
            </w:r>
          </w:p>
        </w:tc>
      </w:tr>
      <w:tr w14:paraId="0784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B85EB7">
            <w:r>
              <w:rPr>
                <w:rFonts w:hint="eastAsia"/>
              </w:rPr>
              <w:t>注册会计师的姓名</w:t>
            </w:r>
          </w:p>
        </w:tc>
        <w:tc>
          <w:tcPr>
            <w:tcW w:w="2491" w:type="dxa"/>
            <w:vAlign w:val="center"/>
          </w:tcPr>
          <w:p w14:paraId="44B32E73">
            <w:r>
              <w:rPr>
                <w:rFonts w:hint="eastAsia"/>
              </w:rPr>
              <w:t>陈熹</w:t>
            </w:r>
          </w:p>
        </w:tc>
        <w:tc>
          <w:tcPr>
            <w:tcW w:w="2768" w:type="dxa"/>
            <w:vAlign w:val="center"/>
          </w:tcPr>
          <w:p w14:paraId="03EF3DA2">
            <w:r>
              <w:rPr>
                <w:rFonts w:hint="eastAsia"/>
              </w:rPr>
              <w:t>成磊</w:t>
            </w:r>
          </w:p>
        </w:tc>
      </w:tr>
      <w:tr w14:paraId="5802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0CA1B2">
            <w:r>
              <w:rPr>
                <w:rFonts w:hint="eastAsia"/>
              </w:rPr>
              <w:t>会计师事务所的地址</w:t>
            </w:r>
          </w:p>
        </w:tc>
        <w:tc>
          <w:tcPr>
            <w:tcW w:w="2491" w:type="dxa"/>
            <w:gridSpan w:val="2"/>
            <w:vAlign w:val="center"/>
          </w:tcPr>
          <w:p w14:paraId="6116D64D">
            <w:r>
              <w:rPr>
                <w:rFonts w:hint="eastAsia"/>
              </w:rPr>
              <w:t>北京市西城区阜成门外大街22号1幢10层1001-1至1001-26</w:t>
            </w:r>
          </w:p>
        </w:tc>
      </w:tr>
      <w:tr w14:paraId="56FA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B7C32C">
            <w:r>
              <w:rPr>
                <w:rFonts w:hint="eastAsia"/>
              </w:rPr>
              <w:t>审计报告日期</w:t>
            </w:r>
          </w:p>
        </w:tc>
        <w:tc>
          <w:tcPr>
            <w:tcW w:w="2491" w:type="dxa"/>
            <w:gridSpan w:val="2"/>
            <w:vAlign w:val="center"/>
          </w:tcPr>
          <w:p w14:paraId="75E4A404">
            <w:r>
              <w:rPr>
                <w:rFonts w:hint="eastAsia"/>
              </w:rPr>
              <w:t>2026年3月27日</w:t>
            </w:r>
          </w:p>
        </w:tc>
      </w:tr>
    </w:tbl>
    <w:p w14:paraId="39E994DE">
      <w:pPr>
        <w:pStyle w:val="26"/>
      </w:pPr>
      <w:bookmarkStart w:id="48" w:name="_Toc6373"/>
      <w:r>
        <w:t>年度财务报表</w:t>
      </w:r>
      <w:bookmarkEnd w:id="48"/>
    </w:p>
    <w:p w14:paraId="02DDA585">
      <w:pPr>
        <w:pStyle w:val="23"/>
      </w:pPr>
      <w:bookmarkStart w:id="49" w:name="_Toc16972"/>
      <w:r>
        <w:t>资产负债表</w:t>
      </w:r>
      <w:bookmarkEnd w:id="49"/>
    </w:p>
    <w:p w14:paraId="7A35D10A">
      <w:pPr>
        <w:pStyle w:val="18"/>
        <w:rPr>
          <w:rFonts w:hint="eastAsia"/>
        </w:rPr>
      </w:pPr>
      <w:r>
        <w:rPr>
          <w:rFonts w:hint="eastAsia"/>
        </w:rPr>
        <w:t>会计主体：南方恒生生物科技交易型开放式指数证券投资基金发起式联接基金（QDII）</w:t>
      </w:r>
    </w:p>
    <w:p w14:paraId="2B75116E">
      <w:pPr>
        <w:pStyle w:val="18"/>
        <w:rPr>
          <w:rFonts w:hint="eastAsia"/>
        </w:rPr>
      </w:pPr>
      <w:r>
        <w:rPr>
          <w:rFonts w:hint="eastAsia"/>
        </w:rPr>
        <w:t>报告截止日：2025年12月31日</w:t>
      </w:r>
    </w:p>
    <w:p w14:paraId="14CAFC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FA1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1CA8E">
            <w:r>
              <w:rPr>
                <w:rFonts w:hint="eastAsia"/>
              </w:rPr>
              <w:t>资产</w:t>
            </w:r>
          </w:p>
        </w:tc>
        <w:tc>
          <w:tcPr>
            <w:tcW w:w="1262" w:type="dxa"/>
            <w:vAlign w:val="center"/>
          </w:tcPr>
          <w:p w14:paraId="74C212BD">
            <w:r>
              <w:rPr>
                <w:rFonts w:hint="eastAsia"/>
              </w:rPr>
              <w:t>附注号</w:t>
            </w:r>
          </w:p>
        </w:tc>
        <w:tc>
          <w:tcPr>
            <w:tcW w:w="2289" w:type="dxa"/>
            <w:vAlign w:val="center"/>
          </w:tcPr>
          <w:p w14:paraId="28F70E61">
            <w:r>
              <w:rPr>
                <w:rFonts w:hint="eastAsia"/>
              </w:rPr>
              <w:t>本期末2025年12月31日</w:t>
            </w:r>
          </w:p>
        </w:tc>
        <w:tc>
          <w:tcPr>
            <w:tcW w:w="2295" w:type="dxa"/>
            <w:vAlign w:val="center"/>
          </w:tcPr>
          <w:p w14:paraId="4F75E0F5">
            <w:r>
              <w:rPr>
                <w:rFonts w:hint="eastAsia"/>
              </w:rPr>
              <w:t>上年度末2024年12月31日</w:t>
            </w:r>
          </w:p>
        </w:tc>
      </w:tr>
      <w:tr w14:paraId="3631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6573B">
            <w:r>
              <w:rPr>
                <w:rFonts w:hint="eastAsia"/>
              </w:rPr>
              <w:t>资产：</w:t>
            </w:r>
          </w:p>
        </w:tc>
        <w:tc>
          <w:tcPr>
            <w:tcW w:w="1262" w:type="dxa"/>
            <w:vAlign w:val="center"/>
          </w:tcPr>
          <w:p w14:paraId="266CE66B"/>
        </w:tc>
        <w:tc>
          <w:tcPr>
            <w:tcW w:w="2289" w:type="dxa"/>
            <w:vAlign w:val="center"/>
          </w:tcPr>
          <w:p w14:paraId="3440AA03"/>
        </w:tc>
        <w:tc>
          <w:tcPr>
            <w:tcW w:w="2295" w:type="dxa"/>
            <w:vAlign w:val="center"/>
          </w:tcPr>
          <w:p w14:paraId="417CF152"/>
        </w:tc>
      </w:tr>
      <w:tr w14:paraId="3D2E9EE2">
        <w:tblPrEx>
          <w:tblCellMar>
            <w:top w:w="0" w:type="dxa"/>
            <w:left w:w="108" w:type="dxa"/>
            <w:bottom w:w="0" w:type="dxa"/>
            <w:right w:w="108" w:type="dxa"/>
          </w:tblCellMar>
        </w:tblPrEx>
        <w:trPr>
          <w:jc w:val="center"/>
        </w:trPr>
        <w:tc>
          <w:tcPr>
            <w:tcW w:w="2459" w:type="dxa"/>
            <w:vAlign w:val="center"/>
          </w:tcPr>
          <w:p w14:paraId="1C074286">
            <w:r>
              <w:rPr>
                <w:rFonts w:hint="eastAsia"/>
              </w:rPr>
              <w:t>货币资金</w:t>
            </w:r>
          </w:p>
        </w:tc>
        <w:tc>
          <w:tcPr>
            <w:tcW w:w="1262" w:type="dxa"/>
            <w:vAlign w:val="center"/>
          </w:tcPr>
          <w:p w14:paraId="313FA085">
            <w:r>
              <w:rPr>
                <w:rFonts w:hint="eastAsia"/>
              </w:rPr>
              <w:t>7.4.7.1</w:t>
            </w:r>
          </w:p>
        </w:tc>
        <w:tc>
          <w:tcPr>
            <w:tcW w:w="2289" w:type="dxa"/>
            <w:vAlign w:val="center"/>
          </w:tcPr>
          <w:p w14:paraId="6E0B9512">
            <w:pPr>
              <w:jc w:val="right"/>
            </w:pPr>
            <w:r>
              <w:rPr>
                <w:rFonts w:hint="eastAsia"/>
              </w:rPr>
              <w:t>10,723,747.36</w:t>
            </w:r>
          </w:p>
        </w:tc>
        <w:tc>
          <w:tcPr>
            <w:tcW w:w="2295" w:type="dxa"/>
            <w:vAlign w:val="center"/>
          </w:tcPr>
          <w:p w14:paraId="59B1E3E6">
            <w:pPr>
              <w:jc w:val="right"/>
            </w:pPr>
            <w:r>
              <w:rPr>
                <w:rFonts w:hint="eastAsia"/>
              </w:rPr>
              <w:t>1,460,991.21</w:t>
            </w:r>
          </w:p>
        </w:tc>
      </w:tr>
      <w:tr w14:paraId="0672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F66C2">
            <w:r>
              <w:rPr>
                <w:rFonts w:hint="eastAsia"/>
              </w:rPr>
              <w:t>结算备付金</w:t>
            </w:r>
          </w:p>
        </w:tc>
        <w:tc>
          <w:tcPr>
            <w:tcW w:w="1262" w:type="dxa"/>
            <w:vAlign w:val="center"/>
          </w:tcPr>
          <w:p w14:paraId="76A18BEA"/>
        </w:tc>
        <w:tc>
          <w:tcPr>
            <w:tcW w:w="2289" w:type="dxa"/>
            <w:vAlign w:val="center"/>
          </w:tcPr>
          <w:p w14:paraId="38D2CB01">
            <w:pPr>
              <w:jc w:val="right"/>
            </w:pPr>
            <w:r>
              <w:rPr>
                <w:rFonts w:hint="eastAsia"/>
              </w:rPr>
              <w:t>106,498.50</w:t>
            </w:r>
          </w:p>
        </w:tc>
        <w:tc>
          <w:tcPr>
            <w:tcW w:w="2295" w:type="dxa"/>
            <w:vAlign w:val="center"/>
          </w:tcPr>
          <w:p w14:paraId="0F5E3479">
            <w:pPr>
              <w:jc w:val="right"/>
            </w:pPr>
            <w:r>
              <w:rPr>
                <w:rFonts w:hint="eastAsia"/>
              </w:rPr>
              <w:t>45,592.12</w:t>
            </w:r>
          </w:p>
        </w:tc>
      </w:tr>
      <w:tr w14:paraId="7CBE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46CB8">
            <w:r>
              <w:rPr>
                <w:rFonts w:hint="eastAsia"/>
              </w:rPr>
              <w:t>存出保证金</w:t>
            </w:r>
          </w:p>
        </w:tc>
        <w:tc>
          <w:tcPr>
            <w:tcW w:w="1262" w:type="dxa"/>
            <w:vAlign w:val="center"/>
          </w:tcPr>
          <w:p w14:paraId="44A359BC"/>
        </w:tc>
        <w:tc>
          <w:tcPr>
            <w:tcW w:w="2289" w:type="dxa"/>
            <w:vAlign w:val="center"/>
          </w:tcPr>
          <w:p w14:paraId="74B97A00">
            <w:pPr>
              <w:jc w:val="right"/>
            </w:pPr>
            <w:r>
              <w:rPr>
                <w:rFonts w:hint="eastAsia"/>
              </w:rPr>
              <w:t>72,141.61</w:t>
            </w:r>
          </w:p>
        </w:tc>
        <w:tc>
          <w:tcPr>
            <w:tcW w:w="2295" w:type="dxa"/>
            <w:vAlign w:val="center"/>
          </w:tcPr>
          <w:p w14:paraId="34500C1B">
            <w:pPr>
              <w:jc w:val="right"/>
            </w:pPr>
            <w:r>
              <w:rPr>
                <w:rFonts w:hint="eastAsia"/>
              </w:rPr>
              <w:t>7,985.15</w:t>
            </w:r>
          </w:p>
        </w:tc>
      </w:tr>
      <w:tr w14:paraId="3CEB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2C8F2">
            <w:r>
              <w:rPr>
                <w:rFonts w:hint="eastAsia"/>
              </w:rPr>
              <w:t>交易性金融资产</w:t>
            </w:r>
          </w:p>
        </w:tc>
        <w:tc>
          <w:tcPr>
            <w:tcW w:w="1262" w:type="dxa"/>
            <w:vAlign w:val="center"/>
          </w:tcPr>
          <w:p w14:paraId="62F69CFA">
            <w:r>
              <w:rPr>
                <w:rFonts w:hint="eastAsia"/>
              </w:rPr>
              <w:t>7.4.7.2</w:t>
            </w:r>
          </w:p>
        </w:tc>
        <w:tc>
          <w:tcPr>
            <w:tcW w:w="2289" w:type="dxa"/>
            <w:vAlign w:val="center"/>
          </w:tcPr>
          <w:p w14:paraId="41CFCA76">
            <w:pPr>
              <w:jc w:val="right"/>
            </w:pPr>
            <w:r>
              <w:rPr>
                <w:rFonts w:hint="eastAsia"/>
              </w:rPr>
              <w:t>175,821,327.56</w:t>
            </w:r>
          </w:p>
        </w:tc>
        <w:tc>
          <w:tcPr>
            <w:tcW w:w="2295" w:type="dxa"/>
            <w:vAlign w:val="center"/>
          </w:tcPr>
          <w:p w14:paraId="05D5DCF4">
            <w:pPr>
              <w:jc w:val="right"/>
            </w:pPr>
            <w:r>
              <w:rPr>
                <w:rFonts w:hint="eastAsia"/>
              </w:rPr>
              <w:t>25,396,884.06</w:t>
            </w:r>
          </w:p>
        </w:tc>
      </w:tr>
      <w:tr w14:paraId="27F4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DD2F3">
            <w:r>
              <w:rPr>
                <w:rFonts w:hint="eastAsia"/>
              </w:rPr>
              <w:t>其中：股票投资</w:t>
            </w:r>
          </w:p>
        </w:tc>
        <w:tc>
          <w:tcPr>
            <w:tcW w:w="1262" w:type="dxa"/>
            <w:vAlign w:val="center"/>
          </w:tcPr>
          <w:p w14:paraId="624A5426"/>
        </w:tc>
        <w:tc>
          <w:tcPr>
            <w:tcW w:w="2289" w:type="dxa"/>
            <w:vAlign w:val="center"/>
          </w:tcPr>
          <w:p w14:paraId="1F9846CE">
            <w:pPr>
              <w:jc w:val="right"/>
            </w:pPr>
            <w:r>
              <w:rPr>
                <w:rFonts w:hint="eastAsia"/>
              </w:rPr>
              <w:t>-</w:t>
            </w:r>
          </w:p>
        </w:tc>
        <w:tc>
          <w:tcPr>
            <w:tcW w:w="2295" w:type="dxa"/>
            <w:vAlign w:val="center"/>
          </w:tcPr>
          <w:p w14:paraId="18533F94">
            <w:pPr>
              <w:jc w:val="right"/>
            </w:pPr>
            <w:r>
              <w:rPr>
                <w:rFonts w:hint="eastAsia"/>
              </w:rPr>
              <w:t>-</w:t>
            </w:r>
          </w:p>
        </w:tc>
      </w:tr>
      <w:tr w14:paraId="7F98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6D81B">
            <w:r>
              <w:rPr>
                <w:rFonts w:hint="eastAsia"/>
              </w:rPr>
              <w:t xml:space="preserve">      基金投资</w:t>
            </w:r>
          </w:p>
        </w:tc>
        <w:tc>
          <w:tcPr>
            <w:tcW w:w="1262" w:type="dxa"/>
            <w:vAlign w:val="center"/>
          </w:tcPr>
          <w:p w14:paraId="01EAA664"/>
        </w:tc>
        <w:tc>
          <w:tcPr>
            <w:tcW w:w="2289" w:type="dxa"/>
            <w:vAlign w:val="center"/>
          </w:tcPr>
          <w:p w14:paraId="709F35EC">
            <w:pPr>
              <w:jc w:val="right"/>
            </w:pPr>
            <w:r>
              <w:rPr>
                <w:rFonts w:hint="eastAsia"/>
              </w:rPr>
              <w:t>172,787,862.35</w:t>
            </w:r>
          </w:p>
        </w:tc>
        <w:tc>
          <w:tcPr>
            <w:tcW w:w="2295" w:type="dxa"/>
            <w:vAlign w:val="center"/>
          </w:tcPr>
          <w:p w14:paraId="5C64D091">
            <w:pPr>
              <w:jc w:val="right"/>
            </w:pPr>
            <w:r>
              <w:rPr>
                <w:rFonts w:hint="eastAsia"/>
              </w:rPr>
              <w:t>25,396,884.06</w:t>
            </w:r>
          </w:p>
        </w:tc>
      </w:tr>
      <w:tr w14:paraId="09FE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DC3A8">
            <w:r>
              <w:rPr>
                <w:rFonts w:hint="eastAsia"/>
              </w:rPr>
              <w:t xml:space="preserve">      债券投资</w:t>
            </w:r>
          </w:p>
        </w:tc>
        <w:tc>
          <w:tcPr>
            <w:tcW w:w="1262" w:type="dxa"/>
            <w:vAlign w:val="center"/>
          </w:tcPr>
          <w:p w14:paraId="643C44D3"/>
        </w:tc>
        <w:tc>
          <w:tcPr>
            <w:tcW w:w="2289" w:type="dxa"/>
            <w:vAlign w:val="center"/>
          </w:tcPr>
          <w:p w14:paraId="58553E21">
            <w:pPr>
              <w:jc w:val="right"/>
            </w:pPr>
            <w:r>
              <w:rPr>
                <w:rFonts w:hint="eastAsia"/>
              </w:rPr>
              <w:t>3,033,465.21</w:t>
            </w:r>
          </w:p>
        </w:tc>
        <w:tc>
          <w:tcPr>
            <w:tcW w:w="2295" w:type="dxa"/>
            <w:vAlign w:val="center"/>
          </w:tcPr>
          <w:p w14:paraId="17E3D0EE">
            <w:pPr>
              <w:jc w:val="right"/>
            </w:pPr>
            <w:r>
              <w:rPr>
                <w:rFonts w:hint="eastAsia"/>
              </w:rPr>
              <w:t>-</w:t>
            </w:r>
          </w:p>
        </w:tc>
      </w:tr>
      <w:tr w14:paraId="6DFF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4D8FC">
            <w:r>
              <w:rPr>
                <w:rFonts w:hint="eastAsia"/>
              </w:rPr>
              <w:t xml:space="preserve">      资产支持证券投资</w:t>
            </w:r>
          </w:p>
        </w:tc>
        <w:tc>
          <w:tcPr>
            <w:tcW w:w="1262" w:type="dxa"/>
            <w:vAlign w:val="center"/>
          </w:tcPr>
          <w:p w14:paraId="203D00D2"/>
        </w:tc>
        <w:tc>
          <w:tcPr>
            <w:tcW w:w="2289" w:type="dxa"/>
            <w:vAlign w:val="center"/>
          </w:tcPr>
          <w:p w14:paraId="3C80ECB9">
            <w:pPr>
              <w:jc w:val="right"/>
            </w:pPr>
            <w:r>
              <w:rPr>
                <w:rFonts w:hint="eastAsia"/>
              </w:rPr>
              <w:t>-</w:t>
            </w:r>
          </w:p>
        </w:tc>
        <w:tc>
          <w:tcPr>
            <w:tcW w:w="2295" w:type="dxa"/>
            <w:vAlign w:val="center"/>
          </w:tcPr>
          <w:p w14:paraId="48210231">
            <w:pPr>
              <w:jc w:val="right"/>
            </w:pPr>
            <w:r>
              <w:rPr>
                <w:rFonts w:hint="eastAsia"/>
              </w:rPr>
              <w:t>-</w:t>
            </w:r>
          </w:p>
        </w:tc>
      </w:tr>
      <w:tr w14:paraId="7BC2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61615">
            <w:r>
              <w:rPr>
                <w:rFonts w:hint="eastAsia"/>
              </w:rPr>
              <w:t xml:space="preserve">      贵金属投资</w:t>
            </w:r>
          </w:p>
        </w:tc>
        <w:tc>
          <w:tcPr>
            <w:tcW w:w="1262" w:type="dxa"/>
            <w:vAlign w:val="center"/>
          </w:tcPr>
          <w:p w14:paraId="1387820B"/>
        </w:tc>
        <w:tc>
          <w:tcPr>
            <w:tcW w:w="2289" w:type="dxa"/>
            <w:vAlign w:val="center"/>
          </w:tcPr>
          <w:p w14:paraId="57AA3A06">
            <w:pPr>
              <w:jc w:val="right"/>
            </w:pPr>
            <w:r>
              <w:rPr>
                <w:rFonts w:hint="eastAsia"/>
              </w:rPr>
              <w:t>-</w:t>
            </w:r>
          </w:p>
        </w:tc>
        <w:tc>
          <w:tcPr>
            <w:tcW w:w="2295" w:type="dxa"/>
            <w:vAlign w:val="center"/>
          </w:tcPr>
          <w:p w14:paraId="53D68F08">
            <w:pPr>
              <w:jc w:val="right"/>
            </w:pPr>
            <w:r>
              <w:rPr>
                <w:rFonts w:hint="eastAsia"/>
              </w:rPr>
              <w:t>-</w:t>
            </w:r>
          </w:p>
        </w:tc>
      </w:tr>
      <w:tr w14:paraId="3C5E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341B0">
            <w:r>
              <w:rPr>
                <w:rFonts w:hint="eastAsia"/>
              </w:rPr>
              <w:t xml:space="preserve">      其他投资</w:t>
            </w:r>
          </w:p>
        </w:tc>
        <w:tc>
          <w:tcPr>
            <w:tcW w:w="1262" w:type="dxa"/>
            <w:vAlign w:val="center"/>
          </w:tcPr>
          <w:p w14:paraId="17D321E2"/>
        </w:tc>
        <w:tc>
          <w:tcPr>
            <w:tcW w:w="2289" w:type="dxa"/>
            <w:vAlign w:val="center"/>
          </w:tcPr>
          <w:p w14:paraId="5D571F06">
            <w:pPr>
              <w:jc w:val="right"/>
            </w:pPr>
            <w:r>
              <w:rPr>
                <w:rFonts w:hint="eastAsia"/>
              </w:rPr>
              <w:t>-</w:t>
            </w:r>
          </w:p>
        </w:tc>
        <w:tc>
          <w:tcPr>
            <w:tcW w:w="2295" w:type="dxa"/>
            <w:vAlign w:val="center"/>
          </w:tcPr>
          <w:p w14:paraId="176DE126">
            <w:pPr>
              <w:jc w:val="right"/>
            </w:pPr>
            <w:r>
              <w:rPr>
                <w:rFonts w:hint="eastAsia"/>
              </w:rPr>
              <w:t>-</w:t>
            </w:r>
          </w:p>
        </w:tc>
      </w:tr>
      <w:tr w14:paraId="6B70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42D22">
            <w:r>
              <w:rPr>
                <w:rFonts w:hint="eastAsia"/>
              </w:rPr>
              <w:t>衍生金融资产</w:t>
            </w:r>
          </w:p>
        </w:tc>
        <w:tc>
          <w:tcPr>
            <w:tcW w:w="1262" w:type="dxa"/>
            <w:vAlign w:val="center"/>
          </w:tcPr>
          <w:p w14:paraId="68661625">
            <w:r>
              <w:rPr>
                <w:rFonts w:hint="eastAsia"/>
              </w:rPr>
              <w:t>7.4.7.3</w:t>
            </w:r>
          </w:p>
        </w:tc>
        <w:tc>
          <w:tcPr>
            <w:tcW w:w="2289" w:type="dxa"/>
            <w:vAlign w:val="center"/>
          </w:tcPr>
          <w:p w14:paraId="484BF4A9">
            <w:pPr>
              <w:jc w:val="right"/>
            </w:pPr>
            <w:r>
              <w:rPr>
                <w:rFonts w:hint="eastAsia"/>
              </w:rPr>
              <w:t>-</w:t>
            </w:r>
          </w:p>
        </w:tc>
        <w:tc>
          <w:tcPr>
            <w:tcW w:w="2295" w:type="dxa"/>
            <w:vAlign w:val="center"/>
          </w:tcPr>
          <w:p w14:paraId="5DA04254">
            <w:pPr>
              <w:jc w:val="right"/>
            </w:pPr>
            <w:r>
              <w:rPr>
                <w:rFonts w:hint="eastAsia"/>
              </w:rPr>
              <w:t>-</w:t>
            </w:r>
          </w:p>
        </w:tc>
      </w:tr>
      <w:tr w14:paraId="5FBF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83D56">
            <w:r>
              <w:rPr>
                <w:rFonts w:hint="eastAsia"/>
              </w:rPr>
              <w:t>买入返售金融资产</w:t>
            </w:r>
          </w:p>
        </w:tc>
        <w:tc>
          <w:tcPr>
            <w:tcW w:w="1262" w:type="dxa"/>
            <w:vAlign w:val="center"/>
          </w:tcPr>
          <w:p w14:paraId="75EB8CD2">
            <w:r>
              <w:rPr>
                <w:rFonts w:hint="eastAsia"/>
              </w:rPr>
              <w:t>7.4.7.4</w:t>
            </w:r>
          </w:p>
        </w:tc>
        <w:tc>
          <w:tcPr>
            <w:tcW w:w="2289" w:type="dxa"/>
            <w:vAlign w:val="center"/>
          </w:tcPr>
          <w:p w14:paraId="29E59B2C">
            <w:pPr>
              <w:jc w:val="right"/>
            </w:pPr>
            <w:r>
              <w:rPr>
                <w:rFonts w:hint="eastAsia"/>
              </w:rPr>
              <w:t>-</w:t>
            </w:r>
          </w:p>
        </w:tc>
        <w:tc>
          <w:tcPr>
            <w:tcW w:w="2295" w:type="dxa"/>
            <w:vAlign w:val="center"/>
          </w:tcPr>
          <w:p w14:paraId="4586ECB0">
            <w:pPr>
              <w:jc w:val="right"/>
            </w:pPr>
            <w:r>
              <w:rPr>
                <w:rFonts w:hint="eastAsia"/>
              </w:rPr>
              <w:t>-</w:t>
            </w:r>
          </w:p>
        </w:tc>
      </w:tr>
      <w:tr w14:paraId="5545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2001F">
            <w:r>
              <w:rPr>
                <w:rFonts w:hint="eastAsia"/>
              </w:rPr>
              <w:t>债权投资</w:t>
            </w:r>
          </w:p>
        </w:tc>
        <w:tc>
          <w:tcPr>
            <w:tcW w:w="1262" w:type="dxa"/>
            <w:vAlign w:val="center"/>
          </w:tcPr>
          <w:p w14:paraId="237B2720"/>
        </w:tc>
        <w:tc>
          <w:tcPr>
            <w:tcW w:w="2289" w:type="dxa"/>
            <w:vAlign w:val="center"/>
          </w:tcPr>
          <w:p w14:paraId="48B0E8EF">
            <w:pPr>
              <w:jc w:val="right"/>
            </w:pPr>
            <w:r>
              <w:rPr>
                <w:rFonts w:hint="eastAsia"/>
              </w:rPr>
              <w:t>-</w:t>
            </w:r>
          </w:p>
        </w:tc>
        <w:tc>
          <w:tcPr>
            <w:tcW w:w="2295" w:type="dxa"/>
            <w:vAlign w:val="center"/>
          </w:tcPr>
          <w:p w14:paraId="7C18DF10">
            <w:pPr>
              <w:jc w:val="right"/>
            </w:pPr>
            <w:r>
              <w:rPr>
                <w:rFonts w:hint="eastAsia"/>
              </w:rPr>
              <w:t>-</w:t>
            </w:r>
          </w:p>
        </w:tc>
      </w:tr>
      <w:tr w14:paraId="06D0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F3BFD">
            <w:r>
              <w:rPr>
                <w:rFonts w:hint="eastAsia"/>
              </w:rPr>
              <w:t>其中：债券投资</w:t>
            </w:r>
          </w:p>
        </w:tc>
        <w:tc>
          <w:tcPr>
            <w:tcW w:w="1262" w:type="dxa"/>
            <w:vAlign w:val="center"/>
          </w:tcPr>
          <w:p w14:paraId="24C6ABC7"/>
        </w:tc>
        <w:tc>
          <w:tcPr>
            <w:tcW w:w="2289" w:type="dxa"/>
            <w:vAlign w:val="center"/>
          </w:tcPr>
          <w:p w14:paraId="498D9FF9">
            <w:pPr>
              <w:jc w:val="right"/>
            </w:pPr>
            <w:r>
              <w:rPr>
                <w:rFonts w:hint="eastAsia"/>
              </w:rPr>
              <w:t>-</w:t>
            </w:r>
          </w:p>
        </w:tc>
        <w:tc>
          <w:tcPr>
            <w:tcW w:w="2295" w:type="dxa"/>
            <w:vAlign w:val="center"/>
          </w:tcPr>
          <w:p w14:paraId="647A7E4D">
            <w:pPr>
              <w:jc w:val="right"/>
            </w:pPr>
            <w:r>
              <w:rPr>
                <w:rFonts w:hint="eastAsia"/>
              </w:rPr>
              <w:t>-</w:t>
            </w:r>
          </w:p>
        </w:tc>
      </w:tr>
      <w:tr w14:paraId="1553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5FA0A">
            <w:r>
              <w:rPr>
                <w:rFonts w:hint="eastAsia"/>
              </w:rPr>
              <w:t xml:space="preserve">      资产支持证券投资</w:t>
            </w:r>
          </w:p>
        </w:tc>
        <w:tc>
          <w:tcPr>
            <w:tcW w:w="1262" w:type="dxa"/>
            <w:vAlign w:val="center"/>
          </w:tcPr>
          <w:p w14:paraId="7DBD997F"/>
        </w:tc>
        <w:tc>
          <w:tcPr>
            <w:tcW w:w="2289" w:type="dxa"/>
            <w:vAlign w:val="center"/>
          </w:tcPr>
          <w:p w14:paraId="79DA64FD">
            <w:pPr>
              <w:jc w:val="right"/>
            </w:pPr>
            <w:r>
              <w:rPr>
                <w:rFonts w:hint="eastAsia"/>
              </w:rPr>
              <w:t>-</w:t>
            </w:r>
          </w:p>
        </w:tc>
        <w:tc>
          <w:tcPr>
            <w:tcW w:w="2295" w:type="dxa"/>
            <w:vAlign w:val="center"/>
          </w:tcPr>
          <w:p w14:paraId="2586C4CC">
            <w:pPr>
              <w:jc w:val="right"/>
            </w:pPr>
            <w:r>
              <w:rPr>
                <w:rFonts w:hint="eastAsia"/>
              </w:rPr>
              <w:t>-</w:t>
            </w:r>
          </w:p>
        </w:tc>
      </w:tr>
      <w:tr w14:paraId="458D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287A8">
            <w:r>
              <w:rPr>
                <w:rFonts w:hint="eastAsia"/>
              </w:rPr>
              <w:t xml:space="preserve">      其他投资</w:t>
            </w:r>
          </w:p>
        </w:tc>
        <w:tc>
          <w:tcPr>
            <w:tcW w:w="1262" w:type="dxa"/>
            <w:vAlign w:val="center"/>
          </w:tcPr>
          <w:p w14:paraId="7ED4BFF4"/>
        </w:tc>
        <w:tc>
          <w:tcPr>
            <w:tcW w:w="2289" w:type="dxa"/>
            <w:vAlign w:val="center"/>
          </w:tcPr>
          <w:p w14:paraId="3BB97843">
            <w:pPr>
              <w:jc w:val="right"/>
            </w:pPr>
            <w:r>
              <w:rPr>
                <w:rFonts w:hint="eastAsia"/>
              </w:rPr>
              <w:t>-</w:t>
            </w:r>
          </w:p>
        </w:tc>
        <w:tc>
          <w:tcPr>
            <w:tcW w:w="2295" w:type="dxa"/>
            <w:vAlign w:val="center"/>
          </w:tcPr>
          <w:p w14:paraId="1FC21C6A">
            <w:pPr>
              <w:jc w:val="right"/>
            </w:pPr>
            <w:r>
              <w:rPr>
                <w:rFonts w:hint="eastAsia"/>
              </w:rPr>
              <w:t>-</w:t>
            </w:r>
          </w:p>
        </w:tc>
      </w:tr>
      <w:tr w14:paraId="17B8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0D27E">
            <w:r>
              <w:rPr>
                <w:rFonts w:hint="eastAsia"/>
              </w:rPr>
              <w:t>其他债权投资</w:t>
            </w:r>
          </w:p>
        </w:tc>
        <w:tc>
          <w:tcPr>
            <w:tcW w:w="1262" w:type="dxa"/>
            <w:vAlign w:val="center"/>
          </w:tcPr>
          <w:p w14:paraId="2ABF59BC"/>
        </w:tc>
        <w:tc>
          <w:tcPr>
            <w:tcW w:w="2289" w:type="dxa"/>
            <w:vAlign w:val="center"/>
          </w:tcPr>
          <w:p w14:paraId="07467637">
            <w:pPr>
              <w:jc w:val="right"/>
            </w:pPr>
            <w:r>
              <w:rPr>
                <w:rFonts w:hint="eastAsia"/>
              </w:rPr>
              <w:t>-</w:t>
            </w:r>
          </w:p>
        </w:tc>
        <w:tc>
          <w:tcPr>
            <w:tcW w:w="2295" w:type="dxa"/>
            <w:vAlign w:val="center"/>
          </w:tcPr>
          <w:p w14:paraId="60FEEFA0">
            <w:pPr>
              <w:jc w:val="right"/>
            </w:pPr>
            <w:r>
              <w:rPr>
                <w:rFonts w:hint="eastAsia"/>
              </w:rPr>
              <w:t>-</w:t>
            </w:r>
          </w:p>
        </w:tc>
      </w:tr>
      <w:tr w14:paraId="3CF1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24A5F">
            <w:r>
              <w:rPr>
                <w:rFonts w:hint="eastAsia"/>
              </w:rPr>
              <w:t>其他权益工具投资</w:t>
            </w:r>
          </w:p>
        </w:tc>
        <w:tc>
          <w:tcPr>
            <w:tcW w:w="1262" w:type="dxa"/>
            <w:vAlign w:val="center"/>
          </w:tcPr>
          <w:p w14:paraId="0B4AAE5D"/>
        </w:tc>
        <w:tc>
          <w:tcPr>
            <w:tcW w:w="2289" w:type="dxa"/>
            <w:vAlign w:val="center"/>
          </w:tcPr>
          <w:p w14:paraId="5738A49D">
            <w:pPr>
              <w:jc w:val="right"/>
            </w:pPr>
            <w:r>
              <w:rPr>
                <w:rFonts w:hint="eastAsia"/>
              </w:rPr>
              <w:t>-</w:t>
            </w:r>
          </w:p>
        </w:tc>
        <w:tc>
          <w:tcPr>
            <w:tcW w:w="2295" w:type="dxa"/>
            <w:vAlign w:val="center"/>
          </w:tcPr>
          <w:p w14:paraId="463C8DB8">
            <w:pPr>
              <w:jc w:val="right"/>
            </w:pPr>
            <w:r>
              <w:rPr>
                <w:rFonts w:hint="eastAsia"/>
              </w:rPr>
              <w:t>-</w:t>
            </w:r>
          </w:p>
        </w:tc>
      </w:tr>
      <w:tr w14:paraId="07C0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50BF7">
            <w:r>
              <w:rPr>
                <w:rFonts w:hint="eastAsia"/>
              </w:rPr>
              <w:t>应收清算款</w:t>
            </w:r>
          </w:p>
        </w:tc>
        <w:tc>
          <w:tcPr>
            <w:tcW w:w="1262" w:type="dxa"/>
            <w:vAlign w:val="center"/>
          </w:tcPr>
          <w:p w14:paraId="0EEB09FF"/>
        </w:tc>
        <w:tc>
          <w:tcPr>
            <w:tcW w:w="2289" w:type="dxa"/>
            <w:vAlign w:val="center"/>
          </w:tcPr>
          <w:p w14:paraId="52AA0C4B">
            <w:pPr>
              <w:jc w:val="right"/>
            </w:pPr>
            <w:r>
              <w:rPr>
                <w:rFonts w:hint="eastAsia"/>
              </w:rPr>
              <w:t>-</w:t>
            </w:r>
          </w:p>
        </w:tc>
        <w:tc>
          <w:tcPr>
            <w:tcW w:w="2295" w:type="dxa"/>
            <w:vAlign w:val="center"/>
          </w:tcPr>
          <w:p w14:paraId="1EECB0FD">
            <w:pPr>
              <w:jc w:val="right"/>
            </w:pPr>
            <w:r>
              <w:rPr>
                <w:rFonts w:hint="eastAsia"/>
              </w:rPr>
              <w:t>-</w:t>
            </w:r>
          </w:p>
        </w:tc>
      </w:tr>
      <w:tr w14:paraId="661C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83A9B">
            <w:r>
              <w:rPr>
                <w:rFonts w:hint="eastAsia"/>
              </w:rPr>
              <w:t>应收股利</w:t>
            </w:r>
          </w:p>
        </w:tc>
        <w:tc>
          <w:tcPr>
            <w:tcW w:w="1262" w:type="dxa"/>
            <w:vAlign w:val="center"/>
          </w:tcPr>
          <w:p w14:paraId="055C2BDE"/>
        </w:tc>
        <w:tc>
          <w:tcPr>
            <w:tcW w:w="2289" w:type="dxa"/>
            <w:vAlign w:val="center"/>
          </w:tcPr>
          <w:p w14:paraId="3D599293">
            <w:pPr>
              <w:jc w:val="right"/>
            </w:pPr>
            <w:r>
              <w:rPr>
                <w:rFonts w:hint="eastAsia"/>
              </w:rPr>
              <w:t>-</w:t>
            </w:r>
          </w:p>
        </w:tc>
        <w:tc>
          <w:tcPr>
            <w:tcW w:w="2295" w:type="dxa"/>
            <w:vAlign w:val="center"/>
          </w:tcPr>
          <w:p w14:paraId="054CB7DD">
            <w:pPr>
              <w:jc w:val="right"/>
            </w:pPr>
            <w:r>
              <w:rPr>
                <w:rFonts w:hint="eastAsia"/>
              </w:rPr>
              <w:t>-</w:t>
            </w:r>
          </w:p>
        </w:tc>
      </w:tr>
      <w:tr w14:paraId="603D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A03C0">
            <w:r>
              <w:rPr>
                <w:rFonts w:hint="eastAsia"/>
              </w:rPr>
              <w:t>应收申购款</w:t>
            </w:r>
          </w:p>
        </w:tc>
        <w:tc>
          <w:tcPr>
            <w:tcW w:w="1262" w:type="dxa"/>
            <w:vAlign w:val="center"/>
          </w:tcPr>
          <w:p w14:paraId="52CACD7A"/>
        </w:tc>
        <w:tc>
          <w:tcPr>
            <w:tcW w:w="2289" w:type="dxa"/>
            <w:vAlign w:val="center"/>
          </w:tcPr>
          <w:p w14:paraId="0727875B">
            <w:pPr>
              <w:jc w:val="right"/>
            </w:pPr>
            <w:r>
              <w:rPr>
                <w:rFonts w:hint="eastAsia"/>
              </w:rPr>
              <w:t>945,904.54</w:t>
            </w:r>
          </w:p>
        </w:tc>
        <w:tc>
          <w:tcPr>
            <w:tcW w:w="2295" w:type="dxa"/>
            <w:vAlign w:val="center"/>
          </w:tcPr>
          <w:p w14:paraId="51CC68E3">
            <w:pPr>
              <w:jc w:val="right"/>
            </w:pPr>
            <w:r>
              <w:rPr>
                <w:rFonts w:hint="eastAsia"/>
              </w:rPr>
              <w:t>136,215.76</w:t>
            </w:r>
          </w:p>
        </w:tc>
      </w:tr>
      <w:tr w14:paraId="10CE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8A237">
            <w:r>
              <w:rPr>
                <w:rFonts w:hint="eastAsia"/>
              </w:rPr>
              <w:t>递延所得税资产</w:t>
            </w:r>
          </w:p>
        </w:tc>
        <w:tc>
          <w:tcPr>
            <w:tcW w:w="1262" w:type="dxa"/>
            <w:vAlign w:val="center"/>
          </w:tcPr>
          <w:p w14:paraId="20E077FB"/>
        </w:tc>
        <w:tc>
          <w:tcPr>
            <w:tcW w:w="2289" w:type="dxa"/>
            <w:vAlign w:val="center"/>
          </w:tcPr>
          <w:p w14:paraId="681D9A04">
            <w:pPr>
              <w:jc w:val="right"/>
            </w:pPr>
            <w:r>
              <w:rPr>
                <w:rFonts w:hint="eastAsia"/>
              </w:rPr>
              <w:t>-</w:t>
            </w:r>
          </w:p>
        </w:tc>
        <w:tc>
          <w:tcPr>
            <w:tcW w:w="2295" w:type="dxa"/>
            <w:vAlign w:val="center"/>
          </w:tcPr>
          <w:p w14:paraId="2073F610">
            <w:pPr>
              <w:jc w:val="right"/>
            </w:pPr>
            <w:r>
              <w:rPr>
                <w:rFonts w:hint="eastAsia"/>
              </w:rPr>
              <w:t>-</w:t>
            </w:r>
          </w:p>
        </w:tc>
      </w:tr>
      <w:tr w14:paraId="07B6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6F3F8">
            <w:r>
              <w:rPr>
                <w:rFonts w:hint="eastAsia"/>
              </w:rPr>
              <w:t>其他资产</w:t>
            </w:r>
          </w:p>
        </w:tc>
        <w:tc>
          <w:tcPr>
            <w:tcW w:w="1262" w:type="dxa"/>
            <w:vAlign w:val="center"/>
          </w:tcPr>
          <w:p w14:paraId="03515E78">
            <w:r>
              <w:rPr>
                <w:rFonts w:hint="eastAsia"/>
              </w:rPr>
              <w:t>7.4.7.5</w:t>
            </w:r>
          </w:p>
        </w:tc>
        <w:tc>
          <w:tcPr>
            <w:tcW w:w="2289" w:type="dxa"/>
            <w:vAlign w:val="center"/>
          </w:tcPr>
          <w:p w14:paraId="23C65CD4">
            <w:pPr>
              <w:jc w:val="right"/>
            </w:pPr>
            <w:r>
              <w:rPr>
                <w:rFonts w:hint="eastAsia"/>
              </w:rPr>
              <w:t>-</w:t>
            </w:r>
          </w:p>
        </w:tc>
        <w:tc>
          <w:tcPr>
            <w:tcW w:w="2295" w:type="dxa"/>
            <w:vAlign w:val="center"/>
          </w:tcPr>
          <w:p w14:paraId="55AFC467">
            <w:pPr>
              <w:jc w:val="right"/>
            </w:pPr>
            <w:r>
              <w:rPr>
                <w:rFonts w:hint="eastAsia"/>
              </w:rPr>
              <w:t>-</w:t>
            </w:r>
          </w:p>
        </w:tc>
      </w:tr>
      <w:tr w14:paraId="3A0D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E0D54">
            <w:r>
              <w:rPr>
                <w:rFonts w:hint="eastAsia"/>
              </w:rPr>
              <w:t>资产总计</w:t>
            </w:r>
          </w:p>
        </w:tc>
        <w:tc>
          <w:tcPr>
            <w:tcW w:w="1262" w:type="dxa"/>
            <w:vAlign w:val="center"/>
          </w:tcPr>
          <w:p w14:paraId="1F3BC83A"/>
        </w:tc>
        <w:tc>
          <w:tcPr>
            <w:tcW w:w="2289" w:type="dxa"/>
            <w:vAlign w:val="center"/>
          </w:tcPr>
          <w:p w14:paraId="7B4551CD">
            <w:pPr>
              <w:jc w:val="right"/>
            </w:pPr>
            <w:r>
              <w:rPr>
                <w:rFonts w:hint="eastAsia"/>
              </w:rPr>
              <w:t>187,669,619.57</w:t>
            </w:r>
          </w:p>
        </w:tc>
        <w:tc>
          <w:tcPr>
            <w:tcW w:w="2295" w:type="dxa"/>
            <w:vAlign w:val="center"/>
          </w:tcPr>
          <w:p w14:paraId="58338205">
            <w:pPr>
              <w:jc w:val="right"/>
            </w:pPr>
            <w:r>
              <w:rPr>
                <w:rFonts w:hint="eastAsia"/>
              </w:rPr>
              <w:t>27,047,668.30</w:t>
            </w:r>
          </w:p>
        </w:tc>
      </w:tr>
      <w:tr w14:paraId="2641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8D664">
            <w:r>
              <w:rPr>
                <w:rFonts w:hint="eastAsia"/>
              </w:rPr>
              <w:t>负债和净资产</w:t>
            </w:r>
          </w:p>
        </w:tc>
        <w:tc>
          <w:tcPr>
            <w:tcW w:w="1262" w:type="dxa"/>
            <w:vAlign w:val="center"/>
          </w:tcPr>
          <w:p w14:paraId="10F2B0A6">
            <w:r>
              <w:rPr>
                <w:rFonts w:hint="eastAsia"/>
              </w:rPr>
              <w:t>附注号</w:t>
            </w:r>
          </w:p>
        </w:tc>
        <w:tc>
          <w:tcPr>
            <w:tcW w:w="2289" w:type="dxa"/>
            <w:vAlign w:val="center"/>
          </w:tcPr>
          <w:p w14:paraId="2D64C0C9">
            <w:r>
              <w:rPr>
                <w:rFonts w:hint="eastAsia"/>
              </w:rPr>
              <w:t>本期末2025年12月31日</w:t>
            </w:r>
          </w:p>
        </w:tc>
        <w:tc>
          <w:tcPr>
            <w:tcW w:w="2295" w:type="dxa"/>
            <w:vAlign w:val="center"/>
          </w:tcPr>
          <w:p w14:paraId="38134341">
            <w:r>
              <w:rPr>
                <w:rFonts w:hint="eastAsia"/>
              </w:rPr>
              <w:t>上年度末2024年12月31日</w:t>
            </w:r>
          </w:p>
        </w:tc>
      </w:tr>
      <w:tr w14:paraId="6FA0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443EC">
            <w:r>
              <w:rPr>
                <w:rFonts w:hint="eastAsia"/>
              </w:rPr>
              <w:t>负债：</w:t>
            </w:r>
          </w:p>
        </w:tc>
        <w:tc>
          <w:tcPr>
            <w:tcW w:w="1262" w:type="dxa"/>
            <w:vAlign w:val="center"/>
          </w:tcPr>
          <w:p w14:paraId="4EE815EC"/>
        </w:tc>
        <w:tc>
          <w:tcPr>
            <w:tcW w:w="2289" w:type="dxa"/>
            <w:vAlign w:val="center"/>
          </w:tcPr>
          <w:p w14:paraId="3989CA9A"/>
        </w:tc>
        <w:tc>
          <w:tcPr>
            <w:tcW w:w="2295" w:type="dxa"/>
            <w:vAlign w:val="center"/>
          </w:tcPr>
          <w:p w14:paraId="14B86429"/>
        </w:tc>
      </w:tr>
      <w:tr w14:paraId="71E2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59339">
            <w:r>
              <w:rPr>
                <w:rFonts w:hint="eastAsia"/>
              </w:rPr>
              <w:t>短期借款</w:t>
            </w:r>
          </w:p>
        </w:tc>
        <w:tc>
          <w:tcPr>
            <w:tcW w:w="1262" w:type="dxa"/>
            <w:vAlign w:val="center"/>
          </w:tcPr>
          <w:p w14:paraId="71F8FD44"/>
        </w:tc>
        <w:tc>
          <w:tcPr>
            <w:tcW w:w="2289" w:type="dxa"/>
            <w:vAlign w:val="center"/>
          </w:tcPr>
          <w:p w14:paraId="1FC2FD1C">
            <w:pPr>
              <w:jc w:val="right"/>
            </w:pPr>
            <w:r>
              <w:rPr>
                <w:rFonts w:hint="eastAsia"/>
              </w:rPr>
              <w:t>-</w:t>
            </w:r>
          </w:p>
        </w:tc>
        <w:tc>
          <w:tcPr>
            <w:tcW w:w="2295" w:type="dxa"/>
            <w:vAlign w:val="center"/>
          </w:tcPr>
          <w:p w14:paraId="00365138">
            <w:pPr>
              <w:jc w:val="right"/>
            </w:pPr>
            <w:r>
              <w:rPr>
                <w:rFonts w:hint="eastAsia"/>
              </w:rPr>
              <w:t>-</w:t>
            </w:r>
          </w:p>
        </w:tc>
      </w:tr>
      <w:tr w14:paraId="5C9E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D5FC5">
            <w:r>
              <w:rPr>
                <w:rFonts w:hint="eastAsia"/>
              </w:rPr>
              <w:t>交易性金融负债</w:t>
            </w:r>
          </w:p>
        </w:tc>
        <w:tc>
          <w:tcPr>
            <w:tcW w:w="1262" w:type="dxa"/>
            <w:vAlign w:val="center"/>
          </w:tcPr>
          <w:p w14:paraId="25850B9C"/>
        </w:tc>
        <w:tc>
          <w:tcPr>
            <w:tcW w:w="2289" w:type="dxa"/>
            <w:vAlign w:val="center"/>
          </w:tcPr>
          <w:p w14:paraId="34765712">
            <w:pPr>
              <w:jc w:val="right"/>
            </w:pPr>
            <w:r>
              <w:rPr>
                <w:rFonts w:hint="eastAsia"/>
              </w:rPr>
              <w:t>-</w:t>
            </w:r>
          </w:p>
        </w:tc>
        <w:tc>
          <w:tcPr>
            <w:tcW w:w="2295" w:type="dxa"/>
            <w:vAlign w:val="center"/>
          </w:tcPr>
          <w:p w14:paraId="323B88D5">
            <w:pPr>
              <w:jc w:val="right"/>
            </w:pPr>
            <w:r>
              <w:rPr>
                <w:rFonts w:hint="eastAsia"/>
              </w:rPr>
              <w:t>-</w:t>
            </w:r>
          </w:p>
        </w:tc>
      </w:tr>
      <w:tr w14:paraId="6240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778C3">
            <w:r>
              <w:rPr>
                <w:rFonts w:hint="eastAsia"/>
              </w:rPr>
              <w:t>衍生金融负债</w:t>
            </w:r>
          </w:p>
        </w:tc>
        <w:tc>
          <w:tcPr>
            <w:tcW w:w="1262" w:type="dxa"/>
            <w:vAlign w:val="center"/>
          </w:tcPr>
          <w:p w14:paraId="437E7A85">
            <w:r>
              <w:rPr>
                <w:rFonts w:hint="eastAsia"/>
              </w:rPr>
              <w:t>7.4.7.3</w:t>
            </w:r>
          </w:p>
        </w:tc>
        <w:tc>
          <w:tcPr>
            <w:tcW w:w="2289" w:type="dxa"/>
            <w:vAlign w:val="center"/>
          </w:tcPr>
          <w:p w14:paraId="3EE21C83">
            <w:pPr>
              <w:jc w:val="right"/>
            </w:pPr>
            <w:r>
              <w:rPr>
                <w:rFonts w:hint="eastAsia"/>
              </w:rPr>
              <w:t>-</w:t>
            </w:r>
          </w:p>
        </w:tc>
        <w:tc>
          <w:tcPr>
            <w:tcW w:w="2295" w:type="dxa"/>
            <w:vAlign w:val="center"/>
          </w:tcPr>
          <w:p w14:paraId="599092C3">
            <w:pPr>
              <w:jc w:val="right"/>
            </w:pPr>
            <w:r>
              <w:rPr>
                <w:rFonts w:hint="eastAsia"/>
              </w:rPr>
              <w:t>-</w:t>
            </w:r>
          </w:p>
        </w:tc>
      </w:tr>
      <w:tr w14:paraId="32C0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85B72">
            <w:r>
              <w:rPr>
                <w:rFonts w:hint="eastAsia"/>
              </w:rPr>
              <w:t>卖出回购金融资产款</w:t>
            </w:r>
          </w:p>
        </w:tc>
        <w:tc>
          <w:tcPr>
            <w:tcW w:w="1262" w:type="dxa"/>
            <w:vAlign w:val="center"/>
          </w:tcPr>
          <w:p w14:paraId="5E602D08"/>
        </w:tc>
        <w:tc>
          <w:tcPr>
            <w:tcW w:w="2289" w:type="dxa"/>
            <w:vAlign w:val="center"/>
          </w:tcPr>
          <w:p w14:paraId="05D32A01">
            <w:pPr>
              <w:jc w:val="right"/>
            </w:pPr>
            <w:r>
              <w:rPr>
                <w:rFonts w:hint="eastAsia"/>
              </w:rPr>
              <w:t>2,502,393.16</w:t>
            </w:r>
          </w:p>
        </w:tc>
        <w:tc>
          <w:tcPr>
            <w:tcW w:w="2295" w:type="dxa"/>
            <w:vAlign w:val="center"/>
          </w:tcPr>
          <w:p w14:paraId="2B5433D8">
            <w:pPr>
              <w:jc w:val="right"/>
            </w:pPr>
            <w:r>
              <w:rPr>
                <w:rFonts w:hint="eastAsia"/>
              </w:rPr>
              <w:t>-</w:t>
            </w:r>
          </w:p>
        </w:tc>
      </w:tr>
      <w:tr w14:paraId="5187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0F473">
            <w:r>
              <w:rPr>
                <w:rFonts w:hint="eastAsia"/>
              </w:rPr>
              <w:t>应付清算款</w:t>
            </w:r>
          </w:p>
        </w:tc>
        <w:tc>
          <w:tcPr>
            <w:tcW w:w="1262" w:type="dxa"/>
            <w:vAlign w:val="center"/>
          </w:tcPr>
          <w:p w14:paraId="4C0CF630"/>
        </w:tc>
        <w:tc>
          <w:tcPr>
            <w:tcW w:w="2289" w:type="dxa"/>
            <w:vAlign w:val="center"/>
          </w:tcPr>
          <w:p w14:paraId="74F90818">
            <w:pPr>
              <w:jc w:val="right"/>
            </w:pPr>
            <w:r>
              <w:rPr>
                <w:rFonts w:hint="eastAsia"/>
              </w:rPr>
              <w:t>-</w:t>
            </w:r>
          </w:p>
        </w:tc>
        <w:tc>
          <w:tcPr>
            <w:tcW w:w="2295" w:type="dxa"/>
            <w:vAlign w:val="center"/>
          </w:tcPr>
          <w:p w14:paraId="29068195">
            <w:pPr>
              <w:jc w:val="right"/>
            </w:pPr>
            <w:r>
              <w:rPr>
                <w:rFonts w:hint="eastAsia"/>
              </w:rPr>
              <w:t>-</w:t>
            </w:r>
          </w:p>
        </w:tc>
      </w:tr>
      <w:tr w14:paraId="0A88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3ED7E">
            <w:r>
              <w:rPr>
                <w:rFonts w:hint="eastAsia"/>
              </w:rPr>
              <w:t>应付赎回款</w:t>
            </w:r>
          </w:p>
        </w:tc>
        <w:tc>
          <w:tcPr>
            <w:tcW w:w="1262" w:type="dxa"/>
            <w:vAlign w:val="center"/>
          </w:tcPr>
          <w:p w14:paraId="088B65FD"/>
        </w:tc>
        <w:tc>
          <w:tcPr>
            <w:tcW w:w="2289" w:type="dxa"/>
            <w:vAlign w:val="center"/>
          </w:tcPr>
          <w:p w14:paraId="74F2D1CC">
            <w:pPr>
              <w:jc w:val="right"/>
            </w:pPr>
            <w:r>
              <w:rPr>
                <w:rFonts w:hint="eastAsia"/>
              </w:rPr>
              <w:t>3,166,677.08</w:t>
            </w:r>
          </w:p>
        </w:tc>
        <w:tc>
          <w:tcPr>
            <w:tcW w:w="2295" w:type="dxa"/>
            <w:vAlign w:val="center"/>
          </w:tcPr>
          <w:p w14:paraId="123041DE">
            <w:pPr>
              <w:jc w:val="right"/>
            </w:pPr>
            <w:r>
              <w:rPr>
                <w:rFonts w:hint="eastAsia"/>
              </w:rPr>
              <w:t>119,629.53</w:t>
            </w:r>
          </w:p>
        </w:tc>
      </w:tr>
      <w:tr w14:paraId="4979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E9531">
            <w:r>
              <w:rPr>
                <w:rFonts w:hint="eastAsia"/>
              </w:rPr>
              <w:t>应付管理人报酬</w:t>
            </w:r>
          </w:p>
        </w:tc>
        <w:tc>
          <w:tcPr>
            <w:tcW w:w="1262" w:type="dxa"/>
            <w:vAlign w:val="center"/>
          </w:tcPr>
          <w:p w14:paraId="39408150"/>
        </w:tc>
        <w:tc>
          <w:tcPr>
            <w:tcW w:w="2289" w:type="dxa"/>
            <w:vAlign w:val="center"/>
          </w:tcPr>
          <w:p w14:paraId="2F8C91F7">
            <w:pPr>
              <w:jc w:val="right"/>
            </w:pPr>
            <w:r>
              <w:rPr>
                <w:rFonts w:hint="eastAsia"/>
              </w:rPr>
              <w:t>4,055.81</w:t>
            </w:r>
          </w:p>
        </w:tc>
        <w:tc>
          <w:tcPr>
            <w:tcW w:w="2295" w:type="dxa"/>
            <w:vAlign w:val="center"/>
          </w:tcPr>
          <w:p w14:paraId="2605458C">
            <w:pPr>
              <w:jc w:val="right"/>
            </w:pPr>
            <w:r>
              <w:rPr>
                <w:rFonts w:hint="eastAsia"/>
              </w:rPr>
              <w:t>11,018.34</w:t>
            </w:r>
          </w:p>
        </w:tc>
      </w:tr>
      <w:tr w14:paraId="70E9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D212F">
            <w:r>
              <w:rPr>
                <w:rFonts w:hint="eastAsia"/>
              </w:rPr>
              <w:t>应付托管费</w:t>
            </w:r>
          </w:p>
        </w:tc>
        <w:tc>
          <w:tcPr>
            <w:tcW w:w="1262" w:type="dxa"/>
            <w:vAlign w:val="center"/>
          </w:tcPr>
          <w:p w14:paraId="253C4854"/>
        </w:tc>
        <w:tc>
          <w:tcPr>
            <w:tcW w:w="2289" w:type="dxa"/>
            <w:vAlign w:val="center"/>
          </w:tcPr>
          <w:p w14:paraId="002164AB">
            <w:pPr>
              <w:jc w:val="right"/>
            </w:pPr>
            <w:r>
              <w:rPr>
                <w:rFonts w:hint="eastAsia"/>
              </w:rPr>
              <w:t>1,216.71</w:t>
            </w:r>
          </w:p>
        </w:tc>
        <w:tc>
          <w:tcPr>
            <w:tcW w:w="2295" w:type="dxa"/>
            <w:vAlign w:val="center"/>
          </w:tcPr>
          <w:p w14:paraId="64E903F9">
            <w:pPr>
              <w:jc w:val="right"/>
            </w:pPr>
            <w:r>
              <w:rPr>
                <w:rFonts w:hint="eastAsia"/>
              </w:rPr>
              <w:t>3,305.51</w:t>
            </w:r>
          </w:p>
        </w:tc>
      </w:tr>
      <w:tr w14:paraId="3693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8BA20">
            <w:r>
              <w:rPr>
                <w:rFonts w:hint="eastAsia"/>
              </w:rPr>
              <w:t>应付销售服务费</w:t>
            </w:r>
          </w:p>
        </w:tc>
        <w:tc>
          <w:tcPr>
            <w:tcW w:w="1262" w:type="dxa"/>
            <w:vAlign w:val="center"/>
          </w:tcPr>
          <w:p w14:paraId="019B3E90"/>
        </w:tc>
        <w:tc>
          <w:tcPr>
            <w:tcW w:w="2289" w:type="dxa"/>
            <w:vAlign w:val="center"/>
          </w:tcPr>
          <w:p w14:paraId="4E07337B">
            <w:pPr>
              <w:jc w:val="right"/>
            </w:pPr>
            <w:r>
              <w:rPr>
                <w:rFonts w:hint="eastAsia"/>
              </w:rPr>
              <w:t>26,976.24</w:t>
            </w:r>
          </w:p>
        </w:tc>
        <w:tc>
          <w:tcPr>
            <w:tcW w:w="2295" w:type="dxa"/>
            <w:vAlign w:val="center"/>
          </w:tcPr>
          <w:p w14:paraId="524A3A7F">
            <w:pPr>
              <w:jc w:val="right"/>
            </w:pPr>
            <w:r>
              <w:rPr>
                <w:rFonts w:hint="eastAsia"/>
              </w:rPr>
              <w:t>2,944.38</w:t>
            </w:r>
          </w:p>
        </w:tc>
      </w:tr>
      <w:tr w14:paraId="2F55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9E3D7">
            <w:r>
              <w:rPr>
                <w:rFonts w:hint="eastAsia"/>
              </w:rPr>
              <w:t>应付投资顾问费</w:t>
            </w:r>
          </w:p>
        </w:tc>
        <w:tc>
          <w:tcPr>
            <w:tcW w:w="1262" w:type="dxa"/>
            <w:vAlign w:val="center"/>
          </w:tcPr>
          <w:p w14:paraId="2AA4D652"/>
        </w:tc>
        <w:tc>
          <w:tcPr>
            <w:tcW w:w="2289" w:type="dxa"/>
            <w:vAlign w:val="center"/>
          </w:tcPr>
          <w:p w14:paraId="6AAA2E09">
            <w:pPr>
              <w:jc w:val="right"/>
            </w:pPr>
            <w:r>
              <w:rPr>
                <w:rFonts w:hint="eastAsia"/>
              </w:rPr>
              <w:t>-</w:t>
            </w:r>
          </w:p>
        </w:tc>
        <w:tc>
          <w:tcPr>
            <w:tcW w:w="2295" w:type="dxa"/>
            <w:vAlign w:val="center"/>
          </w:tcPr>
          <w:p w14:paraId="587DC370">
            <w:pPr>
              <w:jc w:val="right"/>
            </w:pPr>
            <w:r>
              <w:rPr>
                <w:rFonts w:hint="eastAsia"/>
              </w:rPr>
              <w:t>-</w:t>
            </w:r>
          </w:p>
        </w:tc>
      </w:tr>
      <w:tr w14:paraId="7867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4C890">
            <w:r>
              <w:rPr>
                <w:rFonts w:hint="eastAsia"/>
              </w:rPr>
              <w:t>应交税费</w:t>
            </w:r>
          </w:p>
        </w:tc>
        <w:tc>
          <w:tcPr>
            <w:tcW w:w="1262" w:type="dxa"/>
            <w:vAlign w:val="center"/>
          </w:tcPr>
          <w:p w14:paraId="0611B642"/>
        </w:tc>
        <w:tc>
          <w:tcPr>
            <w:tcW w:w="2289" w:type="dxa"/>
            <w:vAlign w:val="center"/>
          </w:tcPr>
          <w:p w14:paraId="7192A0E2">
            <w:pPr>
              <w:jc w:val="right"/>
            </w:pPr>
            <w:r>
              <w:rPr>
                <w:rFonts w:hint="eastAsia"/>
              </w:rPr>
              <w:t>956.85</w:t>
            </w:r>
          </w:p>
        </w:tc>
        <w:tc>
          <w:tcPr>
            <w:tcW w:w="2295" w:type="dxa"/>
            <w:vAlign w:val="center"/>
          </w:tcPr>
          <w:p w14:paraId="6611CDEE">
            <w:pPr>
              <w:jc w:val="right"/>
            </w:pPr>
            <w:r>
              <w:rPr>
                <w:rFonts w:hint="eastAsia"/>
              </w:rPr>
              <w:t>-</w:t>
            </w:r>
          </w:p>
        </w:tc>
      </w:tr>
      <w:tr w14:paraId="43E3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47A6E">
            <w:r>
              <w:rPr>
                <w:rFonts w:hint="eastAsia"/>
              </w:rPr>
              <w:t>应付利润</w:t>
            </w:r>
          </w:p>
        </w:tc>
        <w:tc>
          <w:tcPr>
            <w:tcW w:w="1262" w:type="dxa"/>
            <w:vAlign w:val="center"/>
          </w:tcPr>
          <w:p w14:paraId="078F98B4"/>
        </w:tc>
        <w:tc>
          <w:tcPr>
            <w:tcW w:w="2289" w:type="dxa"/>
            <w:vAlign w:val="center"/>
          </w:tcPr>
          <w:p w14:paraId="6C8B38CB">
            <w:pPr>
              <w:jc w:val="right"/>
            </w:pPr>
            <w:r>
              <w:rPr>
                <w:rFonts w:hint="eastAsia"/>
              </w:rPr>
              <w:t>-</w:t>
            </w:r>
          </w:p>
        </w:tc>
        <w:tc>
          <w:tcPr>
            <w:tcW w:w="2295" w:type="dxa"/>
            <w:vAlign w:val="center"/>
          </w:tcPr>
          <w:p w14:paraId="48E41E1C">
            <w:pPr>
              <w:jc w:val="right"/>
            </w:pPr>
            <w:r>
              <w:rPr>
                <w:rFonts w:hint="eastAsia"/>
              </w:rPr>
              <w:t>-</w:t>
            </w:r>
          </w:p>
        </w:tc>
      </w:tr>
      <w:tr w14:paraId="5BC5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6ED1BB">
            <w:r>
              <w:rPr>
                <w:rFonts w:hint="eastAsia"/>
              </w:rPr>
              <w:t>递延所得税负债</w:t>
            </w:r>
          </w:p>
        </w:tc>
        <w:tc>
          <w:tcPr>
            <w:tcW w:w="1262" w:type="dxa"/>
            <w:vAlign w:val="center"/>
          </w:tcPr>
          <w:p w14:paraId="499682FB"/>
        </w:tc>
        <w:tc>
          <w:tcPr>
            <w:tcW w:w="2289" w:type="dxa"/>
            <w:vAlign w:val="center"/>
          </w:tcPr>
          <w:p w14:paraId="40A08B98">
            <w:pPr>
              <w:jc w:val="right"/>
            </w:pPr>
            <w:r>
              <w:rPr>
                <w:rFonts w:hint="eastAsia"/>
              </w:rPr>
              <w:t>-</w:t>
            </w:r>
          </w:p>
        </w:tc>
        <w:tc>
          <w:tcPr>
            <w:tcW w:w="2295" w:type="dxa"/>
            <w:vAlign w:val="center"/>
          </w:tcPr>
          <w:p w14:paraId="6214FD7B">
            <w:pPr>
              <w:jc w:val="right"/>
            </w:pPr>
            <w:r>
              <w:rPr>
                <w:rFonts w:hint="eastAsia"/>
              </w:rPr>
              <w:t>-</w:t>
            </w:r>
          </w:p>
        </w:tc>
      </w:tr>
      <w:tr w14:paraId="02C2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2FBD0">
            <w:r>
              <w:rPr>
                <w:rFonts w:hint="eastAsia"/>
              </w:rPr>
              <w:t>其他负债</w:t>
            </w:r>
          </w:p>
        </w:tc>
        <w:tc>
          <w:tcPr>
            <w:tcW w:w="1262" w:type="dxa"/>
            <w:vAlign w:val="center"/>
          </w:tcPr>
          <w:p w14:paraId="106971F5">
            <w:r>
              <w:rPr>
                <w:rFonts w:hint="eastAsia"/>
              </w:rPr>
              <w:t>7.4.7.6</w:t>
            </w:r>
          </w:p>
        </w:tc>
        <w:tc>
          <w:tcPr>
            <w:tcW w:w="2289" w:type="dxa"/>
            <w:vAlign w:val="center"/>
          </w:tcPr>
          <w:p w14:paraId="37AB840B">
            <w:pPr>
              <w:jc w:val="right"/>
            </w:pPr>
            <w:r>
              <w:rPr>
                <w:rFonts w:hint="eastAsia"/>
              </w:rPr>
              <w:t>130,000.00</w:t>
            </w:r>
          </w:p>
        </w:tc>
        <w:tc>
          <w:tcPr>
            <w:tcW w:w="2295" w:type="dxa"/>
            <w:vAlign w:val="center"/>
          </w:tcPr>
          <w:p w14:paraId="3135D36B">
            <w:pPr>
              <w:jc w:val="right"/>
            </w:pPr>
            <w:r>
              <w:rPr>
                <w:rFonts w:hint="eastAsia"/>
              </w:rPr>
              <w:t>5,000.00</w:t>
            </w:r>
          </w:p>
        </w:tc>
      </w:tr>
      <w:tr w14:paraId="0B00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DD405">
            <w:r>
              <w:rPr>
                <w:rFonts w:hint="eastAsia"/>
              </w:rPr>
              <w:t>负债合计</w:t>
            </w:r>
          </w:p>
        </w:tc>
        <w:tc>
          <w:tcPr>
            <w:tcW w:w="1262" w:type="dxa"/>
            <w:vAlign w:val="center"/>
          </w:tcPr>
          <w:p w14:paraId="4E52ABC6"/>
        </w:tc>
        <w:tc>
          <w:tcPr>
            <w:tcW w:w="2289" w:type="dxa"/>
            <w:vAlign w:val="center"/>
          </w:tcPr>
          <w:p w14:paraId="2767BA8A">
            <w:pPr>
              <w:jc w:val="right"/>
            </w:pPr>
            <w:r>
              <w:rPr>
                <w:rFonts w:hint="eastAsia"/>
              </w:rPr>
              <w:t>5,832,275.85</w:t>
            </w:r>
          </w:p>
        </w:tc>
        <w:tc>
          <w:tcPr>
            <w:tcW w:w="2295" w:type="dxa"/>
            <w:vAlign w:val="center"/>
          </w:tcPr>
          <w:p w14:paraId="282D088B">
            <w:pPr>
              <w:jc w:val="right"/>
            </w:pPr>
            <w:r>
              <w:rPr>
                <w:rFonts w:hint="eastAsia"/>
              </w:rPr>
              <w:t>141,897.76</w:t>
            </w:r>
          </w:p>
        </w:tc>
      </w:tr>
      <w:tr w14:paraId="0C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976A4">
            <w:r>
              <w:rPr>
                <w:rFonts w:hint="eastAsia"/>
              </w:rPr>
              <w:t>净资产：</w:t>
            </w:r>
          </w:p>
        </w:tc>
        <w:tc>
          <w:tcPr>
            <w:tcW w:w="1262" w:type="dxa"/>
            <w:vAlign w:val="center"/>
          </w:tcPr>
          <w:p w14:paraId="79CBA000"/>
        </w:tc>
        <w:tc>
          <w:tcPr>
            <w:tcW w:w="2289" w:type="dxa"/>
            <w:vAlign w:val="center"/>
          </w:tcPr>
          <w:p w14:paraId="34CB6869"/>
        </w:tc>
        <w:tc>
          <w:tcPr>
            <w:tcW w:w="2295" w:type="dxa"/>
            <w:vAlign w:val="center"/>
          </w:tcPr>
          <w:p w14:paraId="520825D7"/>
        </w:tc>
      </w:tr>
      <w:tr w14:paraId="0194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76CFA">
            <w:r>
              <w:rPr>
                <w:rFonts w:hint="eastAsia"/>
              </w:rPr>
              <w:t>实收基金</w:t>
            </w:r>
          </w:p>
        </w:tc>
        <w:tc>
          <w:tcPr>
            <w:tcW w:w="1262" w:type="dxa"/>
            <w:vAlign w:val="center"/>
          </w:tcPr>
          <w:p w14:paraId="0FA2C715">
            <w:r>
              <w:rPr>
                <w:rFonts w:hint="eastAsia"/>
              </w:rPr>
              <w:t>7.4.7.7</w:t>
            </w:r>
          </w:p>
        </w:tc>
        <w:tc>
          <w:tcPr>
            <w:tcW w:w="2289" w:type="dxa"/>
            <w:vAlign w:val="center"/>
          </w:tcPr>
          <w:p w14:paraId="5C7C1F18">
            <w:pPr>
              <w:jc w:val="right"/>
            </w:pPr>
            <w:r>
              <w:rPr>
                <w:rFonts w:hint="eastAsia"/>
              </w:rPr>
              <w:t>149,757,462.57</w:t>
            </w:r>
          </w:p>
        </w:tc>
        <w:tc>
          <w:tcPr>
            <w:tcW w:w="2295" w:type="dxa"/>
            <w:vAlign w:val="center"/>
          </w:tcPr>
          <w:p w14:paraId="3CA92562">
            <w:pPr>
              <w:jc w:val="right"/>
            </w:pPr>
            <w:r>
              <w:rPr>
                <w:rFonts w:hint="eastAsia"/>
              </w:rPr>
              <w:t>34,167,044.22</w:t>
            </w:r>
          </w:p>
        </w:tc>
      </w:tr>
      <w:tr w14:paraId="4F2A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44B23">
            <w:r>
              <w:rPr>
                <w:rFonts w:hint="eastAsia"/>
              </w:rPr>
              <w:t>其他综合收益</w:t>
            </w:r>
          </w:p>
        </w:tc>
        <w:tc>
          <w:tcPr>
            <w:tcW w:w="1262" w:type="dxa"/>
            <w:vAlign w:val="center"/>
          </w:tcPr>
          <w:p w14:paraId="29F3A1E1"/>
        </w:tc>
        <w:tc>
          <w:tcPr>
            <w:tcW w:w="2289" w:type="dxa"/>
            <w:vAlign w:val="center"/>
          </w:tcPr>
          <w:p w14:paraId="781B0D4C">
            <w:pPr>
              <w:jc w:val="right"/>
            </w:pPr>
            <w:r>
              <w:rPr>
                <w:rFonts w:hint="eastAsia"/>
              </w:rPr>
              <w:t>-</w:t>
            </w:r>
          </w:p>
        </w:tc>
        <w:tc>
          <w:tcPr>
            <w:tcW w:w="2295" w:type="dxa"/>
            <w:vAlign w:val="center"/>
          </w:tcPr>
          <w:p w14:paraId="25A3F0D8">
            <w:pPr>
              <w:jc w:val="right"/>
            </w:pPr>
            <w:r>
              <w:rPr>
                <w:rFonts w:hint="eastAsia"/>
              </w:rPr>
              <w:t>-</w:t>
            </w:r>
          </w:p>
        </w:tc>
      </w:tr>
      <w:tr w14:paraId="3F52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C01B1">
            <w:r>
              <w:rPr>
                <w:rFonts w:hint="eastAsia"/>
              </w:rPr>
              <w:t>未分配利润</w:t>
            </w:r>
          </w:p>
        </w:tc>
        <w:tc>
          <w:tcPr>
            <w:tcW w:w="1262" w:type="dxa"/>
            <w:vAlign w:val="center"/>
          </w:tcPr>
          <w:p w14:paraId="525219BD">
            <w:r>
              <w:rPr>
                <w:rFonts w:hint="eastAsia"/>
              </w:rPr>
              <w:t>7.4.7.8</w:t>
            </w:r>
          </w:p>
        </w:tc>
        <w:tc>
          <w:tcPr>
            <w:tcW w:w="2289" w:type="dxa"/>
            <w:vAlign w:val="center"/>
          </w:tcPr>
          <w:p w14:paraId="6D3DEAB6">
            <w:pPr>
              <w:jc w:val="right"/>
            </w:pPr>
            <w:r>
              <w:rPr>
                <w:rFonts w:hint="eastAsia"/>
              </w:rPr>
              <w:t>32,079,881.15</w:t>
            </w:r>
          </w:p>
        </w:tc>
        <w:tc>
          <w:tcPr>
            <w:tcW w:w="2295" w:type="dxa"/>
            <w:vAlign w:val="center"/>
          </w:tcPr>
          <w:p w14:paraId="4E794581">
            <w:pPr>
              <w:jc w:val="right"/>
            </w:pPr>
            <w:r>
              <w:rPr>
                <w:rFonts w:hint="eastAsia"/>
              </w:rPr>
              <w:t>-7,261,273.68</w:t>
            </w:r>
          </w:p>
        </w:tc>
      </w:tr>
      <w:tr w14:paraId="55C0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60816">
            <w:r>
              <w:rPr>
                <w:rFonts w:hint="eastAsia"/>
              </w:rPr>
              <w:t>净资产合计</w:t>
            </w:r>
          </w:p>
        </w:tc>
        <w:tc>
          <w:tcPr>
            <w:tcW w:w="1262" w:type="dxa"/>
            <w:vAlign w:val="center"/>
          </w:tcPr>
          <w:p w14:paraId="65B3A1F3"/>
        </w:tc>
        <w:tc>
          <w:tcPr>
            <w:tcW w:w="2289" w:type="dxa"/>
            <w:vAlign w:val="center"/>
          </w:tcPr>
          <w:p w14:paraId="31D0ECE8">
            <w:pPr>
              <w:jc w:val="right"/>
            </w:pPr>
            <w:r>
              <w:rPr>
                <w:rFonts w:hint="eastAsia"/>
              </w:rPr>
              <w:t>181,837,343.72</w:t>
            </w:r>
          </w:p>
        </w:tc>
        <w:tc>
          <w:tcPr>
            <w:tcW w:w="2295" w:type="dxa"/>
            <w:vAlign w:val="center"/>
          </w:tcPr>
          <w:p w14:paraId="59F7A21B">
            <w:pPr>
              <w:jc w:val="right"/>
            </w:pPr>
            <w:r>
              <w:rPr>
                <w:rFonts w:hint="eastAsia"/>
              </w:rPr>
              <w:t>26,905,770.54</w:t>
            </w:r>
          </w:p>
        </w:tc>
      </w:tr>
      <w:tr w14:paraId="439B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D1E04">
            <w:r>
              <w:rPr>
                <w:rFonts w:hint="eastAsia"/>
              </w:rPr>
              <w:t>负债和净资产总计</w:t>
            </w:r>
          </w:p>
        </w:tc>
        <w:tc>
          <w:tcPr>
            <w:tcW w:w="1262" w:type="dxa"/>
            <w:vAlign w:val="center"/>
          </w:tcPr>
          <w:p w14:paraId="543D8C10"/>
        </w:tc>
        <w:tc>
          <w:tcPr>
            <w:tcW w:w="2289" w:type="dxa"/>
            <w:vAlign w:val="center"/>
          </w:tcPr>
          <w:p w14:paraId="1D4A0F57">
            <w:pPr>
              <w:jc w:val="right"/>
            </w:pPr>
            <w:r>
              <w:rPr>
                <w:rFonts w:hint="eastAsia"/>
              </w:rPr>
              <w:t>187,669,619.57</w:t>
            </w:r>
          </w:p>
        </w:tc>
        <w:tc>
          <w:tcPr>
            <w:tcW w:w="2295" w:type="dxa"/>
            <w:vAlign w:val="center"/>
          </w:tcPr>
          <w:p w14:paraId="4E006601">
            <w:pPr>
              <w:jc w:val="right"/>
            </w:pPr>
            <w:r>
              <w:rPr>
                <w:rFonts w:hint="eastAsia"/>
              </w:rPr>
              <w:t>27,047,668.30</w:t>
            </w:r>
          </w:p>
        </w:tc>
      </w:tr>
    </w:tbl>
    <w:p w14:paraId="1C736082">
      <w:pPr>
        <w:pStyle w:val="47"/>
        <w:rPr>
          <w:rFonts w:hint="eastAsia"/>
        </w:rPr>
      </w:pPr>
      <w:r>
        <w:rPr>
          <w:rFonts w:hint="eastAsia"/>
        </w:rPr>
        <w:t>注：报告截止日2025年12月31日，南方恒生生物科技ETF发起联接（QDII）A份额净值1.2190元，基金份额总额53,494,501.15份；南方恒生生物科技ETF发起联接（QDII）C份额净值1.2098元，基金份额总额82,076,521.42份；南方恒生生物科技ETF发起联接（QDII）I份额净值1.2219元，基金份额总额14,186,440.00份；总份额合计149,757,462.57份。</w:t>
      </w:r>
    </w:p>
    <w:p w14:paraId="591F2B45">
      <w:pPr>
        <w:pStyle w:val="23"/>
      </w:pPr>
      <w:bookmarkStart w:id="50" w:name="_Toc9714"/>
      <w:r>
        <w:t>利润表</w:t>
      </w:r>
      <w:bookmarkEnd w:id="50"/>
    </w:p>
    <w:p w14:paraId="3A549107">
      <w:pPr>
        <w:pStyle w:val="18"/>
        <w:rPr>
          <w:rFonts w:hint="eastAsia"/>
        </w:rPr>
      </w:pPr>
      <w:r>
        <w:rPr>
          <w:rFonts w:hint="eastAsia"/>
        </w:rPr>
        <w:t>会计主体：南方恒生生物科技交易型开放式指数证券投资基金发起式联接基金（QDII）</w:t>
      </w:r>
    </w:p>
    <w:p w14:paraId="7DEFC15E">
      <w:pPr>
        <w:pStyle w:val="18"/>
        <w:rPr>
          <w:rFonts w:hint="eastAsia"/>
        </w:rPr>
      </w:pPr>
      <w:r>
        <w:rPr>
          <w:rFonts w:hint="eastAsia"/>
        </w:rPr>
        <w:t>本报告期：2025年1月1日至2025年12月31日</w:t>
      </w:r>
    </w:p>
    <w:p w14:paraId="7560FA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9B6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861A997">
            <w:pPr>
              <w:jc w:val="center"/>
            </w:pPr>
            <w:r>
              <w:rPr>
                <w:rFonts w:hint="eastAsia"/>
                <w:b/>
              </w:rPr>
              <w:t>项目</w:t>
            </w:r>
          </w:p>
        </w:tc>
        <w:tc>
          <w:tcPr>
            <w:tcW w:w="1262" w:type="dxa"/>
            <w:shd w:val="clear" w:color="auto" w:fill="BFBFBF"/>
            <w:vAlign w:val="center"/>
          </w:tcPr>
          <w:p w14:paraId="2BF00437">
            <w:pPr>
              <w:jc w:val="center"/>
            </w:pPr>
            <w:r>
              <w:rPr>
                <w:rFonts w:hint="eastAsia"/>
                <w:b/>
              </w:rPr>
              <w:t>附注号</w:t>
            </w:r>
          </w:p>
        </w:tc>
        <w:tc>
          <w:tcPr>
            <w:tcW w:w="2289" w:type="dxa"/>
            <w:shd w:val="clear" w:color="auto" w:fill="BFBFBF"/>
            <w:vAlign w:val="center"/>
          </w:tcPr>
          <w:p w14:paraId="7DC3D4AF">
            <w:pPr>
              <w:jc w:val="center"/>
            </w:pPr>
            <w:r>
              <w:rPr>
                <w:rFonts w:hint="eastAsia"/>
                <w:b/>
              </w:rPr>
              <w:t>本期2025年1月1日至2025年12月31日</w:t>
            </w:r>
          </w:p>
        </w:tc>
        <w:tc>
          <w:tcPr>
            <w:tcW w:w="2295" w:type="dxa"/>
            <w:shd w:val="clear" w:color="auto" w:fill="BFBFBF"/>
            <w:vAlign w:val="center"/>
          </w:tcPr>
          <w:p w14:paraId="4FCD3E9D">
            <w:pPr>
              <w:jc w:val="center"/>
            </w:pPr>
            <w:r>
              <w:rPr>
                <w:rFonts w:hint="eastAsia"/>
                <w:b/>
              </w:rPr>
              <w:t>上年度可比期间2024年1月1日至2024年12月31日</w:t>
            </w:r>
          </w:p>
        </w:tc>
      </w:tr>
      <w:tr w14:paraId="6A93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C4962">
            <w:r>
              <w:rPr>
                <w:rFonts w:hint="eastAsia"/>
              </w:rPr>
              <w:t>一、营业总收入</w:t>
            </w:r>
          </w:p>
        </w:tc>
        <w:tc>
          <w:tcPr>
            <w:tcW w:w="1262" w:type="dxa"/>
            <w:vAlign w:val="center"/>
          </w:tcPr>
          <w:p w14:paraId="29773D32"/>
        </w:tc>
        <w:tc>
          <w:tcPr>
            <w:tcW w:w="2289" w:type="dxa"/>
            <w:vAlign w:val="center"/>
          </w:tcPr>
          <w:p w14:paraId="68E3E8E1">
            <w:pPr>
              <w:jc w:val="right"/>
            </w:pPr>
            <w:r>
              <w:rPr>
                <w:rFonts w:hint="eastAsia"/>
              </w:rPr>
              <w:t>-2,761,840.58</w:t>
            </w:r>
          </w:p>
        </w:tc>
        <w:tc>
          <w:tcPr>
            <w:tcW w:w="2295" w:type="dxa"/>
            <w:vAlign w:val="center"/>
          </w:tcPr>
          <w:p w14:paraId="5FE31F8C">
            <w:pPr>
              <w:jc w:val="right"/>
            </w:pPr>
            <w:r>
              <w:rPr>
                <w:rFonts w:hint="eastAsia"/>
              </w:rPr>
              <w:t>-3,160,652.28</w:t>
            </w:r>
          </w:p>
        </w:tc>
      </w:tr>
      <w:tr w14:paraId="538B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E61E9">
            <w:r>
              <w:rPr>
                <w:rFonts w:hint="eastAsia"/>
              </w:rPr>
              <w:t>1.利息收入</w:t>
            </w:r>
          </w:p>
        </w:tc>
        <w:tc>
          <w:tcPr>
            <w:tcW w:w="1262" w:type="dxa"/>
            <w:vAlign w:val="center"/>
          </w:tcPr>
          <w:p w14:paraId="6FBB8274"/>
        </w:tc>
        <w:tc>
          <w:tcPr>
            <w:tcW w:w="2289" w:type="dxa"/>
            <w:vAlign w:val="center"/>
          </w:tcPr>
          <w:p w14:paraId="4BD7B094">
            <w:pPr>
              <w:jc w:val="right"/>
            </w:pPr>
            <w:r>
              <w:rPr>
                <w:rFonts w:hint="eastAsia"/>
              </w:rPr>
              <w:t>36,965.25</w:t>
            </w:r>
          </w:p>
        </w:tc>
        <w:tc>
          <w:tcPr>
            <w:tcW w:w="2295" w:type="dxa"/>
            <w:vAlign w:val="center"/>
          </w:tcPr>
          <w:p w14:paraId="7500EBB9">
            <w:pPr>
              <w:jc w:val="right"/>
            </w:pPr>
            <w:r>
              <w:rPr>
                <w:rFonts w:hint="eastAsia"/>
              </w:rPr>
              <w:t>12,814.65</w:t>
            </w:r>
          </w:p>
        </w:tc>
      </w:tr>
      <w:tr w14:paraId="47D8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8AE5F">
            <w:r>
              <w:rPr>
                <w:rFonts w:hint="eastAsia"/>
              </w:rPr>
              <w:t>其中：存款利息收入</w:t>
            </w:r>
          </w:p>
        </w:tc>
        <w:tc>
          <w:tcPr>
            <w:tcW w:w="1262" w:type="dxa"/>
            <w:vAlign w:val="center"/>
          </w:tcPr>
          <w:p w14:paraId="279A709A">
            <w:r>
              <w:rPr>
                <w:rFonts w:hint="eastAsia"/>
              </w:rPr>
              <w:t>7.4.7.9</w:t>
            </w:r>
          </w:p>
        </w:tc>
        <w:tc>
          <w:tcPr>
            <w:tcW w:w="2289" w:type="dxa"/>
            <w:vAlign w:val="center"/>
          </w:tcPr>
          <w:p w14:paraId="56EBD793">
            <w:pPr>
              <w:jc w:val="right"/>
            </w:pPr>
            <w:r>
              <w:rPr>
                <w:rFonts w:hint="eastAsia"/>
              </w:rPr>
              <w:t>36,965.25</w:t>
            </w:r>
          </w:p>
        </w:tc>
        <w:tc>
          <w:tcPr>
            <w:tcW w:w="2295" w:type="dxa"/>
            <w:vAlign w:val="center"/>
          </w:tcPr>
          <w:p w14:paraId="376ED6B7">
            <w:pPr>
              <w:jc w:val="right"/>
            </w:pPr>
            <w:r>
              <w:rPr>
                <w:rFonts w:hint="eastAsia"/>
              </w:rPr>
              <w:t>12,814.65</w:t>
            </w:r>
          </w:p>
        </w:tc>
      </w:tr>
      <w:tr w14:paraId="34FA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23054">
            <w:r>
              <w:rPr>
                <w:rFonts w:hint="eastAsia"/>
              </w:rPr>
              <w:t xml:space="preserve">      债券利息收入</w:t>
            </w:r>
          </w:p>
        </w:tc>
        <w:tc>
          <w:tcPr>
            <w:tcW w:w="1262" w:type="dxa"/>
            <w:vAlign w:val="center"/>
          </w:tcPr>
          <w:p w14:paraId="2B538CF1"/>
        </w:tc>
        <w:tc>
          <w:tcPr>
            <w:tcW w:w="2289" w:type="dxa"/>
            <w:vAlign w:val="center"/>
          </w:tcPr>
          <w:p w14:paraId="035B8728">
            <w:pPr>
              <w:jc w:val="right"/>
            </w:pPr>
            <w:r>
              <w:rPr>
                <w:rFonts w:hint="eastAsia"/>
              </w:rPr>
              <w:t>-</w:t>
            </w:r>
          </w:p>
        </w:tc>
        <w:tc>
          <w:tcPr>
            <w:tcW w:w="2295" w:type="dxa"/>
            <w:vAlign w:val="center"/>
          </w:tcPr>
          <w:p w14:paraId="5E95AEB2">
            <w:pPr>
              <w:jc w:val="right"/>
            </w:pPr>
            <w:r>
              <w:rPr>
                <w:rFonts w:hint="eastAsia"/>
              </w:rPr>
              <w:t>-</w:t>
            </w:r>
          </w:p>
        </w:tc>
      </w:tr>
      <w:tr w14:paraId="1E4C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AD5B2">
            <w:r>
              <w:rPr>
                <w:rFonts w:hint="eastAsia"/>
              </w:rPr>
              <w:t xml:space="preserve">      资产支持证券利息收入</w:t>
            </w:r>
          </w:p>
        </w:tc>
        <w:tc>
          <w:tcPr>
            <w:tcW w:w="1262" w:type="dxa"/>
            <w:vAlign w:val="center"/>
          </w:tcPr>
          <w:p w14:paraId="3BCEB25C"/>
        </w:tc>
        <w:tc>
          <w:tcPr>
            <w:tcW w:w="2289" w:type="dxa"/>
            <w:vAlign w:val="center"/>
          </w:tcPr>
          <w:p w14:paraId="610F1209">
            <w:pPr>
              <w:jc w:val="right"/>
            </w:pPr>
            <w:r>
              <w:rPr>
                <w:rFonts w:hint="eastAsia"/>
              </w:rPr>
              <w:t>-</w:t>
            </w:r>
          </w:p>
        </w:tc>
        <w:tc>
          <w:tcPr>
            <w:tcW w:w="2295" w:type="dxa"/>
            <w:vAlign w:val="center"/>
          </w:tcPr>
          <w:p w14:paraId="35D52447">
            <w:pPr>
              <w:jc w:val="right"/>
            </w:pPr>
            <w:r>
              <w:rPr>
                <w:rFonts w:hint="eastAsia"/>
              </w:rPr>
              <w:t>-</w:t>
            </w:r>
          </w:p>
        </w:tc>
      </w:tr>
      <w:tr w14:paraId="7FEA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96C7B">
            <w:r>
              <w:rPr>
                <w:rFonts w:hint="eastAsia"/>
              </w:rPr>
              <w:t xml:space="preserve">      买入返售金融资产收入</w:t>
            </w:r>
          </w:p>
        </w:tc>
        <w:tc>
          <w:tcPr>
            <w:tcW w:w="1262" w:type="dxa"/>
            <w:vAlign w:val="center"/>
          </w:tcPr>
          <w:p w14:paraId="1799051E"/>
        </w:tc>
        <w:tc>
          <w:tcPr>
            <w:tcW w:w="2289" w:type="dxa"/>
            <w:vAlign w:val="center"/>
          </w:tcPr>
          <w:p w14:paraId="48B051D2">
            <w:pPr>
              <w:jc w:val="right"/>
            </w:pPr>
            <w:r>
              <w:rPr>
                <w:rFonts w:hint="eastAsia"/>
              </w:rPr>
              <w:t>-</w:t>
            </w:r>
          </w:p>
        </w:tc>
        <w:tc>
          <w:tcPr>
            <w:tcW w:w="2295" w:type="dxa"/>
            <w:vAlign w:val="center"/>
          </w:tcPr>
          <w:p w14:paraId="24E9EFDE">
            <w:pPr>
              <w:jc w:val="right"/>
            </w:pPr>
            <w:r>
              <w:rPr>
                <w:rFonts w:hint="eastAsia"/>
              </w:rPr>
              <w:t>-</w:t>
            </w:r>
          </w:p>
        </w:tc>
      </w:tr>
      <w:tr w14:paraId="6CD0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0B9D9">
            <w:r>
              <w:rPr>
                <w:rFonts w:hint="eastAsia"/>
              </w:rPr>
              <w:t xml:space="preserve">      其他利息收入</w:t>
            </w:r>
          </w:p>
        </w:tc>
        <w:tc>
          <w:tcPr>
            <w:tcW w:w="1262" w:type="dxa"/>
            <w:vAlign w:val="center"/>
          </w:tcPr>
          <w:p w14:paraId="0E61A46F"/>
        </w:tc>
        <w:tc>
          <w:tcPr>
            <w:tcW w:w="2289" w:type="dxa"/>
            <w:vAlign w:val="center"/>
          </w:tcPr>
          <w:p w14:paraId="418CC7BC">
            <w:pPr>
              <w:jc w:val="right"/>
            </w:pPr>
            <w:r>
              <w:rPr>
                <w:rFonts w:hint="eastAsia"/>
              </w:rPr>
              <w:t>-</w:t>
            </w:r>
          </w:p>
        </w:tc>
        <w:tc>
          <w:tcPr>
            <w:tcW w:w="2295" w:type="dxa"/>
            <w:vAlign w:val="center"/>
          </w:tcPr>
          <w:p w14:paraId="27A81573">
            <w:pPr>
              <w:jc w:val="right"/>
            </w:pPr>
            <w:r>
              <w:rPr>
                <w:rFonts w:hint="eastAsia"/>
              </w:rPr>
              <w:t>-</w:t>
            </w:r>
          </w:p>
        </w:tc>
      </w:tr>
      <w:tr w14:paraId="7E20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FFF6A">
            <w:r>
              <w:rPr>
                <w:rFonts w:hint="eastAsia"/>
              </w:rPr>
              <w:t>2.投资收益（损失以“-”填列）</w:t>
            </w:r>
          </w:p>
        </w:tc>
        <w:tc>
          <w:tcPr>
            <w:tcW w:w="1262" w:type="dxa"/>
            <w:vAlign w:val="center"/>
          </w:tcPr>
          <w:p w14:paraId="74A60B00"/>
        </w:tc>
        <w:tc>
          <w:tcPr>
            <w:tcW w:w="2289" w:type="dxa"/>
            <w:vAlign w:val="center"/>
          </w:tcPr>
          <w:p w14:paraId="40B12B27">
            <w:pPr>
              <w:jc w:val="right"/>
            </w:pPr>
            <w:r>
              <w:rPr>
                <w:rFonts w:hint="eastAsia"/>
              </w:rPr>
              <w:t>7,883,999.21</w:t>
            </w:r>
          </w:p>
        </w:tc>
        <w:tc>
          <w:tcPr>
            <w:tcW w:w="2295" w:type="dxa"/>
            <w:vAlign w:val="center"/>
          </w:tcPr>
          <w:p w14:paraId="487F7FD4">
            <w:pPr>
              <w:jc w:val="right"/>
            </w:pPr>
            <w:r>
              <w:rPr>
                <w:rFonts w:hint="eastAsia"/>
              </w:rPr>
              <w:t>-2,689,609.05</w:t>
            </w:r>
          </w:p>
        </w:tc>
      </w:tr>
      <w:tr w14:paraId="353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F0687">
            <w:r>
              <w:rPr>
                <w:rFonts w:hint="eastAsia"/>
              </w:rPr>
              <w:t>其中：股票投资收益</w:t>
            </w:r>
          </w:p>
        </w:tc>
        <w:tc>
          <w:tcPr>
            <w:tcW w:w="1262" w:type="dxa"/>
            <w:vAlign w:val="center"/>
          </w:tcPr>
          <w:p w14:paraId="59DBDDBD">
            <w:r>
              <w:rPr>
                <w:rFonts w:hint="eastAsia"/>
              </w:rPr>
              <w:t>7.4.7.10</w:t>
            </w:r>
          </w:p>
        </w:tc>
        <w:tc>
          <w:tcPr>
            <w:tcW w:w="2289" w:type="dxa"/>
            <w:vAlign w:val="center"/>
          </w:tcPr>
          <w:p w14:paraId="1CFD9AB4">
            <w:pPr>
              <w:jc w:val="right"/>
            </w:pPr>
            <w:r>
              <w:rPr>
                <w:rFonts w:hint="eastAsia"/>
              </w:rPr>
              <w:t>45.15</w:t>
            </w:r>
          </w:p>
        </w:tc>
        <w:tc>
          <w:tcPr>
            <w:tcW w:w="2295" w:type="dxa"/>
            <w:vAlign w:val="center"/>
          </w:tcPr>
          <w:p w14:paraId="3DD96A4F">
            <w:pPr>
              <w:jc w:val="right"/>
            </w:pPr>
            <w:r>
              <w:rPr>
                <w:rFonts w:hint="eastAsia"/>
              </w:rPr>
              <w:t>-</w:t>
            </w:r>
          </w:p>
        </w:tc>
      </w:tr>
      <w:tr w14:paraId="23D7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66018">
            <w:r>
              <w:rPr>
                <w:rFonts w:hint="eastAsia"/>
              </w:rPr>
              <w:t xml:space="preserve">      基金投资收益</w:t>
            </w:r>
          </w:p>
        </w:tc>
        <w:tc>
          <w:tcPr>
            <w:tcW w:w="1262" w:type="dxa"/>
            <w:vAlign w:val="center"/>
          </w:tcPr>
          <w:p w14:paraId="2D7ADD78">
            <w:r>
              <w:rPr>
                <w:rFonts w:hint="eastAsia"/>
              </w:rPr>
              <w:t>7.4.7.11</w:t>
            </w:r>
          </w:p>
        </w:tc>
        <w:tc>
          <w:tcPr>
            <w:tcW w:w="2289" w:type="dxa"/>
            <w:vAlign w:val="center"/>
          </w:tcPr>
          <w:p w14:paraId="27E50E3F">
            <w:pPr>
              <w:jc w:val="right"/>
            </w:pPr>
            <w:r>
              <w:rPr>
                <w:rFonts w:hint="eastAsia"/>
              </w:rPr>
              <w:t>7,873,847.75</w:t>
            </w:r>
          </w:p>
        </w:tc>
        <w:tc>
          <w:tcPr>
            <w:tcW w:w="2295" w:type="dxa"/>
            <w:vAlign w:val="center"/>
          </w:tcPr>
          <w:p w14:paraId="24F4C1FB">
            <w:pPr>
              <w:jc w:val="right"/>
            </w:pPr>
            <w:r>
              <w:rPr>
                <w:rFonts w:hint="eastAsia"/>
              </w:rPr>
              <w:t>-2,691,461.87</w:t>
            </w:r>
          </w:p>
        </w:tc>
      </w:tr>
      <w:tr w14:paraId="5764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58B73">
            <w:r>
              <w:rPr>
                <w:rFonts w:hint="eastAsia"/>
              </w:rPr>
              <w:t xml:space="preserve">      债券投资收益</w:t>
            </w:r>
          </w:p>
        </w:tc>
        <w:tc>
          <w:tcPr>
            <w:tcW w:w="1262" w:type="dxa"/>
            <w:vAlign w:val="center"/>
          </w:tcPr>
          <w:p w14:paraId="68157E01">
            <w:r>
              <w:rPr>
                <w:rFonts w:hint="eastAsia"/>
              </w:rPr>
              <w:t>7.4.7.12</w:t>
            </w:r>
          </w:p>
        </w:tc>
        <w:tc>
          <w:tcPr>
            <w:tcW w:w="2289" w:type="dxa"/>
            <w:vAlign w:val="center"/>
          </w:tcPr>
          <w:p w14:paraId="54E36BEF">
            <w:pPr>
              <w:jc w:val="right"/>
            </w:pPr>
            <w:r>
              <w:rPr>
                <w:rFonts w:hint="eastAsia"/>
              </w:rPr>
              <w:t>10,106.31</w:t>
            </w:r>
          </w:p>
        </w:tc>
        <w:tc>
          <w:tcPr>
            <w:tcW w:w="2295" w:type="dxa"/>
            <w:vAlign w:val="center"/>
          </w:tcPr>
          <w:p w14:paraId="2AB64A95">
            <w:pPr>
              <w:jc w:val="right"/>
            </w:pPr>
            <w:r>
              <w:rPr>
                <w:rFonts w:hint="eastAsia"/>
              </w:rPr>
              <w:t>1,852.82</w:t>
            </w:r>
          </w:p>
        </w:tc>
      </w:tr>
      <w:tr w14:paraId="7EF7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116FA">
            <w:r>
              <w:rPr>
                <w:rFonts w:hint="eastAsia"/>
              </w:rPr>
              <w:t xml:space="preserve">      资产支持证券投资收益</w:t>
            </w:r>
          </w:p>
        </w:tc>
        <w:tc>
          <w:tcPr>
            <w:tcW w:w="1262" w:type="dxa"/>
            <w:vAlign w:val="center"/>
          </w:tcPr>
          <w:p w14:paraId="39117E3D">
            <w:r>
              <w:rPr>
                <w:rFonts w:hint="eastAsia"/>
              </w:rPr>
              <w:t>7.4.7.13</w:t>
            </w:r>
          </w:p>
        </w:tc>
        <w:tc>
          <w:tcPr>
            <w:tcW w:w="2289" w:type="dxa"/>
            <w:vAlign w:val="center"/>
          </w:tcPr>
          <w:p w14:paraId="5E914706">
            <w:pPr>
              <w:jc w:val="right"/>
            </w:pPr>
            <w:r>
              <w:rPr>
                <w:rFonts w:hint="eastAsia"/>
              </w:rPr>
              <w:t>-</w:t>
            </w:r>
          </w:p>
        </w:tc>
        <w:tc>
          <w:tcPr>
            <w:tcW w:w="2295" w:type="dxa"/>
            <w:vAlign w:val="center"/>
          </w:tcPr>
          <w:p w14:paraId="74F5E769">
            <w:pPr>
              <w:jc w:val="right"/>
            </w:pPr>
            <w:r>
              <w:rPr>
                <w:rFonts w:hint="eastAsia"/>
              </w:rPr>
              <w:t>-</w:t>
            </w:r>
          </w:p>
        </w:tc>
      </w:tr>
      <w:tr w14:paraId="3704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75504">
            <w:r>
              <w:rPr>
                <w:rFonts w:hint="eastAsia"/>
              </w:rPr>
              <w:t xml:space="preserve">      贵金属投资收益</w:t>
            </w:r>
          </w:p>
        </w:tc>
        <w:tc>
          <w:tcPr>
            <w:tcW w:w="1262" w:type="dxa"/>
            <w:vAlign w:val="center"/>
          </w:tcPr>
          <w:p w14:paraId="148D93C7"/>
        </w:tc>
        <w:tc>
          <w:tcPr>
            <w:tcW w:w="2289" w:type="dxa"/>
            <w:vAlign w:val="center"/>
          </w:tcPr>
          <w:p w14:paraId="0C21C211">
            <w:pPr>
              <w:jc w:val="right"/>
            </w:pPr>
            <w:r>
              <w:rPr>
                <w:rFonts w:hint="eastAsia"/>
              </w:rPr>
              <w:t>-</w:t>
            </w:r>
          </w:p>
        </w:tc>
        <w:tc>
          <w:tcPr>
            <w:tcW w:w="2295" w:type="dxa"/>
            <w:vAlign w:val="center"/>
          </w:tcPr>
          <w:p w14:paraId="738F95B6">
            <w:pPr>
              <w:jc w:val="right"/>
            </w:pPr>
            <w:r>
              <w:rPr>
                <w:rFonts w:hint="eastAsia"/>
              </w:rPr>
              <w:t>-</w:t>
            </w:r>
          </w:p>
        </w:tc>
      </w:tr>
      <w:tr w14:paraId="1D0B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D0E06">
            <w:r>
              <w:rPr>
                <w:rFonts w:hint="eastAsia"/>
              </w:rPr>
              <w:t xml:space="preserve">      衍生工具收益</w:t>
            </w:r>
          </w:p>
        </w:tc>
        <w:tc>
          <w:tcPr>
            <w:tcW w:w="1262" w:type="dxa"/>
            <w:vAlign w:val="center"/>
          </w:tcPr>
          <w:p w14:paraId="099A869B">
            <w:r>
              <w:rPr>
                <w:rFonts w:hint="eastAsia"/>
              </w:rPr>
              <w:t>7.4.7.14</w:t>
            </w:r>
          </w:p>
        </w:tc>
        <w:tc>
          <w:tcPr>
            <w:tcW w:w="2289" w:type="dxa"/>
            <w:vAlign w:val="center"/>
          </w:tcPr>
          <w:p w14:paraId="76A79F71">
            <w:pPr>
              <w:jc w:val="right"/>
            </w:pPr>
            <w:r>
              <w:rPr>
                <w:rFonts w:hint="eastAsia"/>
              </w:rPr>
              <w:t>-</w:t>
            </w:r>
          </w:p>
        </w:tc>
        <w:tc>
          <w:tcPr>
            <w:tcW w:w="2295" w:type="dxa"/>
            <w:vAlign w:val="center"/>
          </w:tcPr>
          <w:p w14:paraId="5F50E5B6">
            <w:pPr>
              <w:jc w:val="right"/>
            </w:pPr>
            <w:r>
              <w:rPr>
                <w:rFonts w:hint="eastAsia"/>
              </w:rPr>
              <w:t>-</w:t>
            </w:r>
          </w:p>
        </w:tc>
      </w:tr>
      <w:tr w14:paraId="658B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011F7">
            <w:r>
              <w:rPr>
                <w:rFonts w:hint="eastAsia"/>
              </w:rPr>
              <w:t xml:space="preserve">      股利收益</w:t>
            </w:r>
          </w:p>
        </w:tc>
        <w:tc>
          <w:tcPr>
            <w:tcW w:w="1262" w:type="dxa"/>
            <w:vAlign w:val="center"/>
          </w:tcPr>
          <w:p w14:paraId="7F9F78D3">
            <w:r>
              <w:rPr>
                <w:rFonts w:hint="eastAsia"/>
              </w:rPr>
              <w:t>7.4.7.15</w:t>
            </w:r>
          </w:p>
        </w:tc>
        <w:tc>
          <w:tcPr>
            <w:tcW w:w="2289" w:type="dxa"/>
            <w:vAlign w:val="center"/>
          </w:tcPr>
          <w:p w14:paraId="199BBAD7">
            <w:pPr>
              <w:jc w:val="right"/>
            </w:pPr>
            <w:r>
              <w:rPr>
                <w:rFonts w:hint="eastAsia"/>
              </w:rPr>
              <w:t>-</w:t>
            </w:r>
          </w:p>
        </w:tc>
        <w:tc>
          <w:tcPr>
            <w:tcW w:w="2295" w:type="dxa"/>
            <w:vAlign w:val="center"/>
          </w:tcPr>
          <w:p w14:paraId="4817B479">
            <w:pPr>
              <w:jc w:val="right"/>
            </w:pPr>
            <w:r>
              <w:rPr>
                <w:rFonts w:hint="eastAsia"/>
              </w:rPr>
              <w:t>-</w:t>
            </w:r>
          </w:p>
        </w:tc>
      </w:tr>
      <w:tr w14:paraId="3C44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3EF02">
            <w:r>
              <w:rPr>
                <w:rFonts w:hint="eastAsia"/>
              </w:rPr>
              <w:t xml:space="preserve">      以摊余成本计量的金融资产终止确认产生的收益</w:t>
            </w:r>
          </w:p>
        </w:tc>
        <w:tc>
          <w:tcPr>
            <w:tcW w:w="1262" w:type="dxa"/>
            <w:vAlign w:val="center"/>
          </w:tcPr>
          <w:p w14:paraId="13AD244C"/>
        </w:tc>
        <w:tc>
          <w:tcPr>
            <w:tcW w:w="2289" w:type="dxa"/>
            <w:vAlign w:val="center"/>
          </w:tcPr>
          <w:p w14:paraId="1E94E8CF">
            <w:pPr>
              <w:jc w:val="right"/>
            </w:pPr>
            <w:r>
              <w:rPr>
                <w:rFonts w:hint="eastAsia"/>
              </w:rPr>
              <w:t>-</w:t>
            </w:r>
          </w:p>
        </w:tc>
        <w:tc>
          <w:tcPr>
            <w:tcW w:w="2295" w:type="dxa"/>
            <w:vAlign w:val="center"/>
          </w:tcPr>
          <w:p w14:paraId="4DBAFB67">
            <w:pPr>
              <w:jc w:val="right"/>
            </w:pPr>
            <w:r>
              <w:rPr>
                <w:rFonts w:hint="eastAsia"/>
              </w:rPr>
              <w:t>-</w:t>
            </w:r>
          </w:p>
        </w:tc>
      </w:tr>
      <w:tr w14:paraId="011D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BE15C">
            <w:r>
              <w:rPr>
                <w:rFonts w:hint="eastAsia"/>
              </w:rPr>
              <w:t xml:space="preserve">      其他投资收益</w:t>
            </w:r>
          </w:p>
        </w:tc>
        <w:tc>
          <w:tcPr>
            <w:tcW w:w="1262" w:type="dxa"/>
            <w:vAlign w:val="center"/>
          </w:tcPr>
          <w:p w14:paraId="26D423B8"/>
        </w:tc>
        <w:tc>
          <w:tcPr>
            <w:tcW w:w="2289" w:type="dxa"/>
            <w:vAlign w:val="center"/>
          </w:tcPr>
          <w:p w14:paraId="1B573160">
            <w:pPr>
              <w:jc w:val="right"/>
            </w:pPr>
            <w:r>
              <w:rPr>
                <w:rFonts w:hint="eastAsia"/>
              </w:rPr>
              <w:t>-</w:t>
            </w:r>
          </w:p>
        </w:tc>
        <w:tc>
          <w:tcPr>
            <w:tcW w:w="2295" w:type="dxa"/>
            <w:vAlign w:val="center"/>
          </w:tcPr>
          <w:p w14:paraId="2FF4CD00">
            <w:pPr>
              <w:jc w:val="right"/>
            </w:pPr>
            <w:r>
              <w:rPr>
                <w:rFonts w:hint="eastAsia"/>
              </w:rPr>
              <w:t>-</w:t>
            </w:r>
          </w:p>
        </w:tc>
      </w:tr>
      <w:tr w14:paraId="3052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C6331">
            <w:r>
              <w:rPr>
                <w:rFonts w:hint="eastAsia"/>
              </w:rPr>
              <w:t>3.公允价值变动收益（损失以“-”号填列）</w:t>
            </w:r>
          </w:p>
        </w:tc>
        <w:tc>
          <w:tcPr>
            <w:tcW w:w="1262" w:type="dxa"/>
            <w:vAlign w:val="center"/>
          </w:tcPr>
          <w:p w14:paraId="1300673B">
            <w:r>
              <w:rPr>
                <w:rFonts w:hint="eastAsia"/>
              </w:rPr>
              <w:t>7.4.7.16</w:t>
            </w:r>
          </w:p>
        </w:tc>
        <w:tc>
          <w:tcPr>
            <w:tcW w:w="2289" w:type="dxa"/>
            <w:vAlign w:val="center"/>
          </w:tcPr>
          <w:p w14:paraId="13D95252">
            <w:pPr>
              <w:jc w:val="right"/>
            </w:pPr>
            <w:r>
              <w:rPr>
                <w:rFonts w:hint="eastAsia"/>
              </w:rPr>
              <w:t>-11,080,429.70</w:t>
            </w:r>
          </w:p>
        </w:tc>
        <w:tc>
          <w:tcPr>
            <w:tcW w:w="2295" w:type="dxa"/>
            <w:vAlign w:val="center"/>
          </w:tcPr>
          <w:p w14:paraId="0295A374">
            <w:pPr>
              <w:jc w:val="right"/>
            </w:pPr>
            <w:r>
              <w:rPr>
                <w:rFonts w:hint="eastAsia"/>
              </w:rPr>
              <w:t>-501,120.98</w:t>
            </w:r>
          </w:p>
        </w:tc>
      </w:tr>
      <w:tr w14:paraId="4A89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BB959">
            <w:r>
              <w:rPr>
                <w:rFonts w:hint="eastAsia"/>
              </w:rPr>
              <w:t>4.汇兑收益（损失以“－”号填列）</w:t>
            </w:r>
          </w:p>
        </w:tc>
        <w:tc>
          <w:tcPr>
            <w:tcW w:w="1262" w:type="dxa"/>
            <w:vAlign w:val="center"/>
          </w:tcPr>
          <w:p w14:paraId="1A6610FD"/>
        </w:tc>
        <w:tc>
          <w:tcPr>
            <w:tcW w:w="2289" w:type="dxa"/>
            <w:vAlign w:val="center"/>
          </w:tcPr>
          <w:p w14:paraId="41EFFF39">
            <w:pPr>
              <w:jc w:val="right"/>
            </w:pPr>
            <w:r>
              <w:rPr>
                <w:rFonts w:hint="eastAsia"/>
              </w:rPr>
              <w:t>-</w:t>
            </w:r>
          </w:p>
        </w:tc>
        <w:tc>
          <w:tcPr>
            <w:tcW w:w="2295" w:type="dxa"/>
            <w:vAlign w:val="center"/>
          </w:tcPr>
          <w:p w14:paraId="0B067424">
            <w:pPr>
              <w:jc w:val="right"/>
            </w:pPr>
            <w:r>
              <w:rPr>
                <w:rFonts w:hint="eastAsia"/>
              </w:rPr>
              <w:t>-</w:t>
            </w:r>
          </w:p>
        </w:tc>
      </w:tr>
      <w:tr w14:paraId="2A94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10D95">
            <w:r>
              <w:rPr>
                <w:rFonts w:hint="eastAsia"/>
              </w:rPr>
              <w:t>5.其他收入（损失以“-”号填列）</w:t>
            </w:r>
          </w:p>
        </w:tc>
        <w:tc>
          <w:tcPr>
            <w:tcW w:w="1262" w:type="dxa"/>
            <w:vAlign w:val="center"/>
          </w:tcPr>
          <w:p w14:paraId="1372B70C">
            <w:r>
              <w:rPr>
                <w:rFonts w:hint="eastAsia"/>
              </w:rPr>
              <w:t>7.4.7.17</w:t>
            </w:r>
          </w:p>
        </w:tc>
        <w:tc>
          <w:tcPr>
            <w:tcW w:w="2289" w:type="dxa"/>
            <w:vAlign w:val="center"/>
          </w:tcPr>
          <w:p w14:paraId="44E11F40">
            <w:pPr>
              <w:jc w:val="right"/>
            </w:pPr>
            <w:r>
              <w:rPr>
                <w:rFonts w:hint="eastAsia"/>
              </w:rPr>
              <w:t>397,624.66</w:t>
            </w:r>
          </w:p>
        </w:tc>
        <w:tc>
          <w:tcPr>
            <w:tcW w:w="2295" w:type="dxa"/>
            <w:vAlign w:val="center"/>
          </w:tcPr>
          <w:p w14:paraId="4F0377D9">
            <w:pPr>
              <w:jc w:val="right"/>
            </w:pPr>
            <w:r>
              <w:rPr>
                <w:rFonts w:hint="eastAsia"/>
              </w:rPr>
              <w:t>17,263.10</w:t>
            </w:r>
          </w:p>
        </w:tc>
      </w:tr>
      <w:tr w14:paraId="6A8F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98EC2">
            <w:r>
              <w:rPr>
                <w:rFonts w:hint="eastAsia"/>
              </w:rPr>
              <w:t>减：二、营业总支出</w:t>
            </w:r>
          </w:p>
        </w:tc>
        <w:tc>
          <w:tcPr>
            <w:tcW w:w="1262" w:type="dxa"/>
            <w:vAlign w:val="center"/>
          </w:tcPr>
          <w:p w14:paraId="45F11209"/>
        </w:tc>
        <w:tc>
          <w:tcPr>
            <w:tcW w:w="2289" w:type="dxa"/>
            <w:vAlign w:val="center"/>
          </w:tcPr>
          <w:p w14:paraId="0610619A">
            <w:pPr>
              <w:jc w:val="right"/>
            </w:pPr>
            <w:r>
              <w:rPr>
                <w:rFonts w:hint="eastAsia"/>
              </w:rPr>
              <w:t>375,695.93</w:t>
            </w:r>
          </w:p>
        </w:tc>
        <w:tc>
          <w:tcPr>
            <w:tcW w:w="2295" w:type="dxa"/>
            <w:vAlign w:val="center"/>
          </w:tcPr>
          <w:p w14:paraId="7CA43A8C">
            <w:pPr>
              <w:jc w:val="right"/>
            </w:pPr>
            <w:r>
              <w:rPr>
                <w:rFonts w:hint="eastAsia"/>
              </w:rPr>
              <w:t>162,429.48</w:t>
            </w:r>
          </w:p>
        </w:tc>
      </w:tr>
      <w:tr w14:paraId="6AD6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064F5">
            <w:r>
              <w:rPr>
                <w:rFonts w:hint="eastAsia"/>
              </w:rPr>
              <w:t>1.管理人报酬</w:t>
            </w:r>
          </w:p>
        </w:tc>
        <w:tc>
          <w:tcPr>
            <w:tcW w:w="1262" w:type="dxa"/>
            <w:vAlign w:val="center"/>
          </w:tcPr>
          <w:p w14:paraId="249DF1F4">
            <w:r>
              <w:rPr>
                <w:rFonts w:hint="eastAsia"/>
              </w:rPr>
              <w:t>7.4.10.2.1</w:t>
            </w:r>
          </w:p>
        </w:tc>
        <w:tc>
          <w:tcPr>
            <w:tcW w:w="2289" w:type="dxa"/>
            <w:vAlign w:val="center"/>
          </w:tcPr>
          <w:p w14:paraId="17F13DC9">
            <w:pPr>
              <w:jc w:val="right"/>
            </w:pPr>
            <w:r>
              <w:rPr>
                <w:rFonts w:hint="eastAsia"/>
              </w:rPr>
              <w:t>40,255.21</w:t>
            </w:r>
          </w:p>
        </w:tc>
        <w:tc>
          <w:tcPr>
            <w:tcW w:w="2295" w:type="dxa"/>
            <w:vAlign w:val="center"/>
          </w:tcPr>
          <w:p w14:paraId="2CEFB7C1">
            <w:pPr>
              <w:jc w:val="right"/>
            </w:pPr>
            <w:r>
              <w:rPr>
                <w:rFonts w:hint="eastAsia"/>
              </w:rPr>
              <w:t>100,923.49</w:t>
            </w:r>
          </w:p>
        </w:tc>
      </w:tr>
      <w:tr w14:paraId="0277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C0475">
            <w:r>
              <w:rPr>
                <w:rFonts w:hint="eastAsia"/>
              </w:rPr>
              <w:t>其中：暂估管理人报酬</w:t>
            </w:r>
          </w:p>
        </w:tc>
        <w:tc>
          <w:tcPr>
            <w:tcW w:w="1262" w:type="dxa"/>
            <w:vAlign w:val="center"/>
          </w:tcPr>
          <w:p w14:paraId="21BE0274"/>
        </w:tc>
        <w:tc>
          <w:tcPr>
            <w:tcW w:w="2289" w:type="dxa"/>
            <w:vAlign w:val="center"/>
          </w:tcPr>
          <w:p w14:paraId="2F0BAA0D">
            <w:pPr>
              <w:jc w:val="right"/>
            </w:pPr>
            <w:r>
              <w:rPr>
                <w:rFonts w:hint="eastAsia"/>
              </w:rPr>
              <w:t>-</w:t>
            </w:r>
          </w:p>
        </w:tc>
        <w:tc>
          <w:tcPr>
            <w:tcW w:w="2295" w:type="dxa"/>
            <w:vAlign w:val="center"/>
          </w:tcPr>
          <w:p w14:paraId="1B96D52E">
            <w:pPr>
              <w:jc w:val="right"/>
            </w:pPr>
            <w:r>
              <w:rPr>
                <w:rFonts w:hint="eastAsia"/>
              </w:rPr>
              <w:t>-</w:t>
            </w:r>
          </w:p>
        </w:tc>
      </w:tr>
      <w:tr w14:paraId="5C0C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2EAF8">
            <w:r>
              <w:rPr>
                <w:rFonts w:hint="eastAsia"/>
              </w:rPr>
              <w:t>2.托管费</w:t>
            </w:r>
          </w:p>
        </w:tc>
        <w:tc>
          <w:tcPr>
            <w:tcW w:w="1262" w:type="dxa"/>
            <w:vAlign w:val="center"/>
          </w:tcPr>
          <w:p w14:paraId="62BA359D">
            <w:r>
              <w:rPr>
                <w:rFonts w:hint="eastAsia"/>
              </w:rPr>
              <w:t>7.4.10.2.2</w:t>
            </w:r>
          </w:p>
        </w:tc>
        <w:tc>
          <w:tcPr>
            <w:tcW w:w="2289" w:type="dxa"/>
            <w:vAlign w:val="center"/>
          </w:tcPr>
          <w:p w14:paraId="5F64EC0F">
            <w:pPr>
              <w:jc w:val="right"/>
            </w:pPr>
            <w:r>
              <w:rPr>
                <w:rFonts w:hint="eastAsia"/>
              </w:rPr>
              <w:t>12,076.50</w:t>
            </w:r>
          </w:p>
        </w:tc>
        <w:tc>
          <w:tcPr>
            <w:tcW w:w="2295" w:type="dxa"/>
            <w:vAlign w:val="center"/>
          </w:tcPr>
          <w:p w14:paraId="6E995986">
            <w:pPr>
              <w:jc w:val="right"/>
            </w:pPr>
            <w:r>
              <w:rPr>
                <w:rFonts w:hint="eastAsia"/>
              </w:rPr>
              <w:t>30,277.01</w:t>
            </w:r>
          </w:p>
        </w:tc>
      </w:tr>
      <w:tr w14:paraId="7918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76BA6">
            <w:r>
              <w:rPr>
                <w:rFonts w:hint="eastAsia"/>
              </w:rPr>
              <w:t>3.销售服务费</w:t>
            </w:r>
          </w:p>
        </w:tc>
        <w:tc>
          <w:tcPr>
            <w:tcW w:w="1262" w:type="dxa"/>
            <w:vAlign w:val="center"/>
          </w:tcPr>
          <w:p w14:paraId="66A1EC28">
            <w:r>
              <w:rPr>
                <w:rFonts w:hint="eastAsia"/>
              </w:rPr>
              <w:t>7.4.10.2.3</w:t>
            </w:r>
          </w:p>
        </w:tc>
        <w:tc>
          <w:tcPr>
            <w:tcW w:w="2289" w:type="dxa"/>
            <w:vAlign w:val="center"/>
          </w:tcPr>
          <w:p w14:paraId="1210F052">
            <w:pPr>
              <w:jc w:val="right"/>
            </w:pPr>
            <w:r>
              <w:rPr>
                <w:rFonts w:hint="eastAsia"/>
              </w:rPr>
              <w:t>147,897.43</w:t>
            </w:r>
          </w:p>
        </w:tc>
        <w:tc>
          <w:tcPr>
            <w:tcW w:w="2295" w:type="dxa"/>
            <w:vAlign w:val="center"/>
          </w:tcPr>
          <w:p w14:paraId="3A3EAB95">
            <w:pPr>
              <w:jc w:val="right"/>
            </w:pPr>
            <w:r>
              <w:rPr>
                <w:rFonts w:hint="eastAsia"/>
              </w:rPr>
              <w:t>22,904.58</w:t>
            </w:r>
          </w:p>
        </w:tc>
      </w:tr>
      <w:tr w14:paraId="57D6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FB8E4">
            <w:r>
              <w:rPr>
                <w:rFonts w:hint="eastAsia"/>
              </w:rPr>
              <w:t>4.投资顾问费</w:t>
            </w:r>
          </w:p>
        </w:tc>
        <w:tc>
          <w:tcPr>
            <w:tcW w:w="1262" w:type="dxa"/>
            <w:vAlign w:val="center"/>
          </w:tcPr>
          <w:p w14:paraId="4124A3B3"/>
        </w:tc>
        <w:tc>
          <w:tcPr>
            <w:tcW w:w="2289" w:type="dxa"/>
            <w:vAlign w:val="center"/>
          </w:tcPr>
          <w:p w14:paraId="10BC8D6A">
            <w:pPr>
              <w:jc w:val="right"/>
            </w:pPr>
            <w:r>
              <w:rPr>
                <w:rFonts w:hint="eastAsia"/>
              </w:rPr>
              <w:t>-</w:t>
            </w:r>
          </w:p>
        </w:tc>
        <w:tc>
          <w:tcPr>
            <w:tcW w:w="2295" w:type="dxa"/>
            <w:vAlign w:val="center"/>
          </w:tcPr>
          <w:p w14:paraId="3EA1E32E">
            <w:pPr>
              <w:jc w:val="right"/>
            </w:pPr>
            <w:r>
              <w:rPr>
                <w:rFonts w:hint="eastAsia"/>
              </w:rPr>
              <w:t>-</w:t>
            </w:r>
          </w:p>
        </w:tc>
      </w:tr>
      <w:tr w14:paraId="340E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B47A2">
            <w:r>
              <w:rPr>
                <w:rFonts w:hint="eastAsia"/>
              </w:rPr>
              <w:t>5.利息支出</w:t>
            </w:r>
          </w:p>
        </w:tc>
        <w:tc>
          <w:tcPr>
            <w:tcW w:w="1262" w:type="dxa"/>
            <w:vAlign w:val="center"/>
          </w:tcPr>
          <w:p w14:paraId="783F5038"/>
        </w:tc>
        <w:tc>
          <w:tcPr>
            <w:tcW w:w="2289" w:type="dxa"/>
            <w:vAlign w:val="center"/>
          </w:tcPr>
          <w:p w14:paraId="2DF4B187">
            <w:pPr>
              <w:jc w:val="right"/>
            </w:pPr>
            <w:r>
              <w:rPr>
                <w:rFonts w:hint="eastAsia"/>
              </w:rPr>
              <w:t>9,470.44</w:t>
            </w:r>
          </w:p>
        </w:tc>
        <w:tc>
          <w:tcPr>
            <w:tcW w:w="2295" w:type="dxa"/>
            <w:vAlign w:val="center"/>
          </w:tcPr>
          <w:p w14:paraId="358E0FC5">
            <w:pPr>
              <w:jc w:val="right"/>
            </w:pPr>
            <w:r>
              <w:rPr>
                <w:rFonts w:hint="eastAsia"/>
              </w:rPr>
              <w:t>-</w:t>
            </w:r>
          </w:p>
        </w:tc>
      </w:tr>
      <w:tr w14:paraId="6F43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D18AE">
            <w:r>
              <w:rPr>
                <w:rFonts w:hint="eastAsia"/>
              </w:rPr>
              <w:t>其中：卖出回购金融资产支出</w:t>
            </w:r>
          </w:p>
        </w:tc>
        <w:tc>
          <w:tcPr>
            <w:tcW w:w="1262" w:type="dxa"/>
            <w:vAlign w:val="center"/>
          </w:tcPr>
          <w:p w14:paraId="44185C19"/>
        </w:tc>
        <w:tc>
          <w:tcPr>
            <w:tcW w:w="2289" w:type="dxa"/>
            <w:vAlign w:val="center"/>
          </w:tcPr>
          <w:p w14:paraId="2707C5DF">
            <w:pPr>
              <w:jc w:val="right"/>
            </w:pPr>
            <w:r>
              <w:rPr>
                <w:rFonts w:hint="eastAsia"/>
              </w:rPr>
              <w:t>9,470.44</w:t>
            </w:r>
          </w:p>
        </w:tc>
        <w:tc>
          <w:tcPr>
            <w:tcW w:w="2295" w:type="dxa"/>
            <w:vAlign w:val="center"/>
          </w:tcPr>
          <w:p w14:paraId="5143E6E5">
            <w:pPr>
              <w:jc w:val="right"/>
            </w:pPr>
            <w:r>
              <w:rPr>
                <w:rFonts w:hint="eastAsia"/>
              </w:rPr>
              <w:t>-</w:t>
            </w:r>
          </w:p>
        </w:tc>
      </w:tr>
      <w:tr w14:paraId="034C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B0734">
            <w:r>
              <w:rPr>
                <w:rFonts w:hint="eastAsia"/>
              </w:rPr>
              <w:t>6.信用减值损失</w:t>
            </w:r>
          </w:p>
        </w:tc>
        <w:tc>
          <w:tcPr>
            <w:tcW w:w="1262" w:type="dxa"/>
            <w:vAlign w:val="center"/>
          </w:tcPr>
          <w:p w14:paraId="25B85034"/>
        </w:tc>
        <w:tc>
          <w:tcPr>
            <w:tcW w:w="2289" w:type="dxa"/>
            <w:vAlign w:val="center"/>
          </w:tcPr>
          <w:p w14:paraId="03B6EBEA">
            <w:pPr>
              <w:jc w:val="right"/>
            </w:pPr>
            <w:r>
              <w:rPr>
                <w:rFonts w:hint="eastAsia"/>
              </w:rPr>
              <w:t>-</w:t>
            </w:r>
          </w:p>
        </w:tc>
        <w:tc>
          <w:tcPr>
            <w:tcW w:w="2295" w:type="dxa"/>
            <w:vAlign w:val="center"/>
          </w:tcPr>
          <w:p w14:paraId="6F538839">
            <w:pPr>
              <w:jc w:val="right"/>
            </w:pPr>
            <w:r>
              <w:rPr>
                <w:rFonts w:hint="eastAsia"/>
              </w:rPr>
              <w:t>-</w:t>
            </w:r>
          </w:p>
        </w:tc>
      </w:tr>
      <w:tr w14:paraId="7191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70A56">
            <w:r>
              <w:rPr>
                <w:rFonts w:hint="eastAsia"/>
              </w:rPr>
              <w:t>7.税金及附加</w:t>
            </w:r>
          </w:p>
        </w:tc>
        <w:tc>
          <w:tcPr>
            <w:tcW w:w="1262" w:type="dxa"/>
            <w:vAlign w:val="center"/>
          </w:tcPr>
          <w:p w14:paraId="3D3A3A81"/>
        </w:tc>
        <w:tc>
          <w:tcPr>
            <w:tcW w:w="2289" w:type="dxa"/>
            <w:vAlign w:val="center"/>
          </w:tcPr>
          <w:p w14:paraId="0AF4CFF5">
            <w:pPr>
              <w:jc w:val="right"/>
            </w:pPr>
            <w:r>
              <w:rPr>
                <w:rFonts w:hint="eastAsia"/>
              </w:rPr>
              <w:t>28,386.77</w:t>
            </w:r>
          </w:p>
        </w:tc>
        <w:tc>
          <w:tcPr>
            <w:tcW w:w="2295" w:type="dxa"/>
            <w:vAlign w:val="center"/>
          </w:tcPr>
          <w:p w14:paraId="4B4998AE">
            <w:pPr>
              <w:jc w:val="right"/>
            </w:pPr>
            <w:r>
              <w:rPr>
                <w:rFonts w:hint="eastAsia"/>
              </w:rPr>
              <w:t>-</w:t>
            </w:r>
          </w:p>
        </w:tc>
      </w:tr>
      <w:tr w14:paraId="720A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55A6F">
            <w:r>
              <w:rPr>
                <w:rFonts w:hint="eastAsia"/>
              </w:rPr>
              <w:t>8.其他费用</w:t>
            </w:r>
          </w:p>
        </w:tc>
        <w:tc>
          <w:tcPr>
            <w:tcW w:w="1262" w:type="dxa"/>
            <w:vAlign w:val="center"/>
          </w:tcPr>
          <w:p w14:paraId="6A514C93">
            <w:r>
              <w:rPr>
                <w:rFonts w:hint="eastAsia"/>
              </w:rPr>
              <w:t>7.4.7.18</w:t>
            </w:r>
          </w:p>
        </w:tc>
        <w:tc>
          <w:tcPr>
            <w:tcW w:w="2289" w:type="dxa"/>
            <w:vAlign w:val="center"/>
          </w:tcPr>
          <w:p w14:paraId="0EC4B01B">
            <w:pPr>
              <w:jc w:val="right"/>
            </w:pPr>
            <w:r>
              <w:rPr>
                <w:rFonts w:hint="eastAsia"/>
              </w:rPr>
              <w:t>137,609.58</w:t>
            </w:r>
          </w:p>
        </w:tc>
        <w:tc>
          <w:tcPr>
            <w:tcW w:w="2295" w:type="dxa"/>
            <w:vAlign w:val="center"/>
          </w:tcPr>
          <w:p w14:paraId="17AAD5F6">
            <w:pPr>
              <w:jc w:val="right"/>
            </w:pPr>
            <w:r>
              <w:rPr>
                <w:rFonts w:hint="eastAsia"/>
              </w:rPr>
              <w:t>8,324.40</w:t>
            </w:r>
          </w:p>
        </w:tc>
      </w:tr>
      <w:tr w14:paraId="5583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14DD2">
            <w:r>
              <w:rPr>
                <w:rFonts w:hint="eastAsia"/>
              </w:rPr>
              <w:t>三、利润总额（亏损总额以“-”号填列）</w:t>
            </w:r>
          </w:p>
        </w:tc>
        <w:tc>
          <w:tcPr>
            <w:tcW w:w="1262" w:type="dxa"/>
            <w:vAlign w:val="center"/>
          </w:tcPr>
          <w:p w14:paraId="18E6981C"/>
        </w:tc>
        <w:tc>
          <w:tcPr>
            <w:tcW w:w="2289" w:type="dxa"/>
            <w:vAlign w:val="center"/>
          </w:tcPr>
          <w:p w14:paraId="14B119D4">
            <w:pPr>
              <w:jc w:val="right"/>
            </w:pPr>
            <w:r>
              <w:rPr>
                <w:rFonts w:hint="eastAsia"/>
              </w:rPr>
              <w:t>-3,137,536.51</w:t>
            </w:r>
          </w:p>
        </w:tc>
        <w:tc>
          <w:tcPr>
            <w:tcW w:w="2295" w:type="dxa"/>
            <w:vAlign w:val="center"/>
          </w:tcPr>
          <w:p w14:paraId="566A0C7D">
            <w:pPr>
              <w:jc w:val="right"/>
            </w:pPr>
            <w:r>
              <w:rPr>
                <w:rFonts w:hint="eastAsia"/>
              </w:rPr>
              <w:t>-3,323,081.76</w:t>
            </w:r>
          </w:p>
        </w:tc>
      </w:tr>
      <w:tr w14:paraId="1F3B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81288">
            <w:r>
              <w:rPr>
                <w:rFonts w:hint="eastAsia"/>
              </w:rPr>
              <w:t>减：所得税费用</w:t>
            </w:r>
          </w:p>
        </w:tc>
        <w:tc>
          <w:tcPr>
            <w:tcW w:w="1262" w:type="dxa"/>
            <w:vAlign w:val="center"/>
          </w:tcPr>
          <w:p w14:paraId="4DFE9A4C"/>
        </w:tc>
        <w:tc>
          <w:tcPr>
            <w:tcW w:w="2289" w:type="dxa"/>
            <w:vAlign w:val="center"/>
          </w:tcPr>
          <w:p w14:paraId="31963886">
            <w:pPr>
              <w:jc w:val="right"/>
            </w:pPr>
            <w:r>
              <w:rPr>
                <w:rFonts w:hint="eastAsia"/>
              </w:rPr>
              <w:t>-</w:t>
            </w:r>
          </w:p>
        </w:tc>
        <w:tc>
          <w:tcPr>
            <w:tcW w:w="2295" w:type="dxa"/>
            <w:vAlign w:val="center"/>
          </w:tcPr>
          <w:p w14:paraId="1F9E75E7">
            <w:pPr>
              <w:jc w:val="right"/>
            </w:pPr>
            <w:r>
              <w:rPr>
                <w:rFonts w:hint="eastAsia"/>
              </w:rPr>
              <w:t>-</w:t>
            </w:r>
          </w:p>
        </w:tc>
      </w:tr>
      <w:tr w14:paraId="58C3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34AE4">
            <w:r>
              <w:rPr>
                <w:rFonts w:hint="eastAsia"/>
              </w:rPr>
              <w:t>四、净利润（净亏损以“-”号填列）</w:t>
            </w:r>
          </w:p>
        </w:tc>
        <w:tc>
          <w:tcPr>
            <w:tcW w:w="1262" w:type="dxa"/>
            <w:vAlign w:val="center"/>
          </w:tcPr>
          <w:p w14:paraId="24E1D1F8"/>
        </w:tc>
        <w:tc>
          <w:tcPr>
            <w:tcW w:w="2289" w:type="dxa"/>
            <w:vAlign w:val="center"/>
          </w:tcPr>
          <w:p w14:paraId="6A7C15D1">
            <w:pPr>
              <w:jc w:val="right"/>
            </w:pPr>
            <w:r>
              <w:rPr>
                <w:rFonts w:hint="eastAsia"/>
              </w:rPr>
              <w:t>-3,137,536.51</w:t>
            </w:r>
          </w:p>
        </w:tc>
        <w:tc>
          <w:tcPr>
            <w:tcW w:w="2295" w:type="dxa"/>
            <w:vAlign w:val="center"/>
          </w:tcPr>
          <w:p w14:paraId="2334794F">
            <w:pPr>
              <w:jc w:val="right"/>
            </w:pPr>
            <w:r>
              <w:rPr>
                <w:rFonts w:hint="eastAsia"/>
              </w:rPr>
              <w:t>-3,323,081.76</w:t>
            </w:r>
          </w:p>
        </w:tc>
      </w:tr>
      <w:tr w14:paraId="6ED0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83D39">
            <w:r>
              <w:rPr>
                <w:rFonts w:hint="eastAsia"/>
              </w:rPr>
              <w:t>五、其他综合收益的税后净额</w:t>
            </w:r>
          </w:p>
        </w:tc>
        <w:tc>
          <w:tcPr>
            <w:tcW w:w="1262" w:type="dxa"/>
            <w:vAlign w:val="center"/>
          </w:tcPr>
          <w:p w14:paraId="2AA3D545"/>
        </w:tc>
        <w:tc>
          <w:tcPr>
            <w:tcW w:w="2289" w:type="dxa"/>
            <w:vAlign w:val="center"/>
          </w:tcPr>
          <w:p w14:paraId="08E17C7C">
            <w:pPr>
              <w:jc w:val="right"/>
            </w:pPr>
            <w:r>
              <w:rPr>
                <w:rFonts w:hint="eastAsia"/>
              </w:rPr>
              <w:t>-</w:t>
            </w:r>
          </w:p>
        </w:tc>
        <w:tc>
          <w:tcPr>
            <w:tcW w:w="2295" w:type="dxa"/>
            <w:vAlign w:val="center"/>
          </w:tcPr>
          <w:p w14:paraId="2BCA8B47">
            <w:pPr>
              <w:jc w:val="right"/>
            </w:pPr>
            <w:r>
              <w:rPr>
                <w:rFonts w:hint="eastAsia"/>
              </w:rPr>
              <w:t>-</w:t>
            </w:r>
          </w:p>
        </w:tc>
      </w:tr>
      <w:tr w14:paraId="4FE8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74CA1">
            <w:r>
              <w:rPr>
                <w:rFonts w:hint="eastAsia"/>
              </w:rPr>
              <w:t>六、综合收益总额</w:t>
            </w:r>
          </w:p>
        </w:tc>
        <w:tc>
          <w:tcPr>
            <w:tcW w:w="1262" w:type="dxa"/>
            <w:vAlign w:val="center"/>
          </w:tcPr>
          <w:p w14:paraId="1B14202F"/>
        </w:tc>
        <w:tc>
          <w:tcPr>
            <w:tcW w:w="2289" w:type="dxa"/>
            <w:vAlign w:val="center"/>
          </w:tcPr>
          <w:p w14:paraId="7A2FC97B">
            <w:pPr>
              <w:jc w:val="right"/>
            </w:pPr>
            <w:r>
              <w:rPr>
                <w:rFonts w:hint="eastAsia"/>
              </w:rPr>
              <w:t>-3,137,536.51</w:t>
            </w:r>
          </w:p>
        </w:tc>
        <w:tc>
          <w:tcPr>
            <w:tcW w:w="2295" w:type="dxa"/>
            <w:vAlign w:val="center"/>
          </w:tcPr>
          <w:p w14:paraId="64E7164B">
            <w:pPr>
              <w:jc w:val="right"/>
            </w:pPr>
            <w:r>
              <w:rPr>
                <w:rFonts w:hint="eastAsia"/>
              </w:rPr>
              <w:t>-3,323,081.76</w:t>
            </w:r>
          </w:p>
        </w:tc>
      </w:tr>
    </w:tbl>
    <w:p w14:paraId="15BFCCF3">
      <w:pPr>
        <w:pStyle w:val="23"/>
      </w:pPr>
      <w:bookmarkStart w:id="51" w:name="_Toc29340"/>
      <w:r>
        <w:t>净资产变动表</w:t>
      </w:r>
      <w:bookmarkEnd w:id="51"/>
    </w:p>
    <w:p w14:paraId="5C4B2828">
      <w:pPr>
        <w:pStyle w:val="18"/>
        <w:rPr>
          <w:rFonts w:hint="eastAsia"/>
        </w:rPr>
      </w:pPr>
      <w:r>
        <w:rPr>
          <w:rFonts w:hint="eastAsia"/>
        </w:rPr>
        <w:t>会计主体：南方恒生生物科技交易型开放式指数证券投资基金发起式联接基金（QDII）</w:t>
      </w:r>
    </w:p>
    <w:p w14:paraId="382C174F">
      <w:pPr>
        <w:pStyle w:val="18"/>
        <w:rPr>
          <w:rFonts w:hint="eastAsia"/>
        </w:rPr>
      </w:pPr>
      <w:r>
        <w:rPr>
          <w:rFonts w:hint="eastAsia"/>
        </w:rPr>
        <w:t>本报告期：2025年1月1日至2025年12月31日</w:t>
      </w:r>
    </w:p>
    <w:p w14:paraId="048F0D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45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4A1629">
            <w:r>
              <w:rPr>
                <w:rFonts w:hint="eastAsia"/>
              </w:rPr>
              <w:t>项目</w:t>
            </w:r>
          </w:p>
        </w:tc>
        <w:tc>
          <w:tcPr>
            <w:tcW w:w="1661" w:type="dxa"/>
            <w:gridSpan w:val="4"/>
            <w:vAlign w:val="center"/>
          </w:tcPr>
          <w:p w14:paraId="3C638438">
            <w:r>
              <w:rPr>
                <w:rFonts w:hint="eastAsia"/>
              </w:rPr>
              <w:t>本期2025年1月1日至2025年12月31日</w:t>
            </w:r>
          </w:p>
        </w:tc>
      </w:tr>
      <w:tr w14:paraId="3D57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C997C3"/>
        </w:tc>
        <w:tc>
          <w:tcPr>
            <w:tcW w:w="1661" w:type="dxa"/>
            <w:vAlign w:val="center"/>
          </w:tcPr>
          <w:p w14:paraId="49AF5183">
            <w:r>
              <w:rPr>
                <w:rFonts w:hint="eastAsia"/>
              </w:rPr>
              <w:t>实收基金</w:t>
            </w:r>
          </w:p>
        </w:tc>
        <w:tc>
          <w:tcPr>
            <w:tcW w:w="1661" w:type="dxa"/>
            <w:vAlign w:val="center"/>
          </w:tcPr>
          <w:p w14:paraId="7B6CC271">
            <w:r>
              <w:rPr>
                <w:rFonts w:hint="eastAsia"/>
              </w:rPr>
              <w:t>其他综合收益</w:t>
            </w:r>
          </w:p>
        </w:tc>
        <w:tc>
          <w:tcPr>
            <w:tcW w:w="1661" w:type="dxa"/>
            <w:vAlign w:val="center"/>
          </w:tcPr>
          <w:p w14:paraId="6F127AE7">
            <w:r>
              <w:rPr>
                <w:rFonts w:hint="eastAsia"/>
              </w:rPr>
              <w:t>未分配利润</w:t>
            </w:r>
          </w:p>
        </w:tc>
        <w:tc>
          <w:tcPr>
            <w:tcW w:w="1661" w:type="dxa"/>
            <w:vAlign w:val="center"/>
          </w:tcPr>
          <w:p w14:paraId="62AFE2B1">
            <w:r>
              <w:rPr>
                <w:rFonts w:hint="eastAsia"/>
              </w:rPr>
              <w:t>净资产合计</w:t>
            </w:r>
          </w:p>
        </w:tc>
      </w:tr>
      <w:tr w14:paraId="253B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761A97">
            <w:r>
              <w:rPr>
                <w:rFonts w:hint="eastAsia"/>
              </w:rPr>
              <w:t>一、上期期末净资产</w:t>
            </w:r>
          </w:p>
        </w:tc>
        <w:tc>
          <w:tcPr>
            <w:tcW w:w="1661" w:type="dxa"/>
            <w:vAlign w:val="center"/>
          </w:tcPr>
          <w:p w14:paraId="399F71FA">
            <w:pPr>
              <w:jc w:val="right"/>
            </w:pPr>
            <w:r>
              <w:rPr>
                <w:rFonts w:hint="eastAsia"/>
              </w:rPr>
              <w:t>34,167,044.22</w:t>
            </w:r>
          </w:p>
        </w:tc>
        <w:tc>
          <w:tcPr>
            <w:tcW w:w="1661" w:type="dxa"/>
            <w:vAlign w:val="center"/>
          </w:tcPr>
          <w:p w14:paraId="47A0427E">
            <w:pPr>
              <w:jc w:val="right"/>
            </w:pPr>
            <w:r>
              <w:rPr>
                <w:rFonts w:hint="eastAsia"/>
              </w:rPr>
              <w:t>-</w:t>
            </w:r>
          </w:p>
        </w:tc>
        <w:tc>
          <w:tcPr>
            <w:tcW w:w="1661" w:type="dxa"/>
            <w:vAlign w:val="center"/>
          </w:tcPr>
          <w:p w14:paraId="1CB441D6">
            <w:pPr>
              <w:jc w:val="right"/>
            </w:pPr>
            <w:r>
              <w:rPr>
                <w:rFonts w:hint="eastAsia"/>
              </w:rPr>
              <w:t>-7,261,273.68</w:t>
            </w:r>
          </w:p>
        </w:tc>
        <w:tc>
          <w:tcPr>
            <w:tcW w:w="1661" w:type="dxa"/>
            <w:vAlign w:val="center"/>
          </w:tcPr>
          <w:p w14:paraId="5F427D75">
            <w:pPr>
              <w:jc w:val="right"/>
            </w:pPr>
            <w:r>
              <w:rPr>
                <w:rFonts w:hint="eastAsia"/>
              </w:rPr>
              <w:t>26,905,770.54</w:t>
            </w:r>
          </w:p>
        </w:tc>
      </w:tr>
      <w:tr w14:paraId="7FAA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DF2EA">
            <w:r>
              <w:rPr>
                <w:rFonts w:hint="eastAsia"/>
              </w:rPr>
              <w:t>加：会计政策变更</w:t>
            </w:r>
          </w:p>
        </w:tc>
        <w:tc>
          <w:tcPr>
            <w:tcW w:w="1661" w:type="dxa"/>
            <w:vAlign w:val="center"/>
          </w:tcPr>
          <w:p w14:paraId="5DE76ACA">
            <w:pPr>
              <w:jc w:val="right"/>
            </w:pPr>
            <w:r>
              <w:rPr>
                <w:rFonts w:hint="eastAsia"/>
              </w:rPr>
              <w:t>-</w:t>
            </w:r>
          </w:p>
        </w:tc>
        <w:tc>
          <w:tcPr>
            <w:tcW w:w="1661" w:type="dxa"/>
            <w:vAlign w:val="center"/>
          </w:tcPr>
          <w:p w14:paraId="499049FE">
            <w:pPr>
              <w:jc w:val="right"/>
            </w:pPr>
            <w:r>
              <w:rPr>
                <w:rFonts w:hint="eastAsia"/>
              </w:rPr>
              <w:t>-</w:t>
            </w:r>
          </w:p>
        </w:tc>
        <w:tc>
          <w:tcPr>
            <w:tcW w:w="1661" w:type="dxa"/>
            <w:vAlign w:val="center"/>
          </w:tcPr>
          <w:p w14:paraId="7F980A53">
            <w:pPr>
              <w:jc w:val="right"/>
            </w:pPr>
            <w:r>
              <w:rPr>
                <w:rFonts w:hint="eastAsia"/>
              </w:rPr>
              <w:t>-</w:t>
            </w:r>
          </w:p>
        </w:tc>
        <w:tc>
          <w:tcPr>
            <w:tcW w:w="1661" w:type="dxa"/>
            <w:vAlign w:val="center"/>
          </w:tcPr>
          <w:p w14:paraId="470982CE">
            <w:pPr>
              <w:jc w:val="right"/>
            </w:pPr>
            <w:r>
              <w:rPr>
                <w:rFonts w:hint="eastAsia"/>
              </w:rPr>
              <w:t>-</w:t>
            </w:r>
          </w:p>
        </w:tc>
      </w:tr>
      <w:tr w14:paraId="479A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F7F14">
            <w:r>
              <w:rPr>
                <w:rFonts w:hint="eastAsia"/>
              </w:rPr>
              <w:t xml:space="preserve">    前期差错更正</w:t>
            </w:r>
          </w:p>
        </w:tc>
        <w:tc>
          <w:tcPr>
            <w:tcW w:w="1661" w:type="dxa"/>
            <w:vAlign w:val="center"/>
          </w:tcPr>
          <w:p w14:paraId="7D4F93C8">
            <w:pPr>
              <w:jc w:val="right"/>
            </w:pPr>
            <w:r>
              <w:rPr>
                <w:rFonts w:hint="eastAsia"/>
              </w:rPr>
              <w:t>-</w:t>
            </w:r>
          </w:p>
        </w:tc>
        <w:tc>
          <w:tcPr>
            <w:tcW w:w="1661" w:type="dxa"/>
            <w:vAlign w:val="center"/>
          </w:tcPr>
          <w:p w14:paraId="73EFEA0D">
            <w:pPr>
              <w:jc w:val="right"/>
            </w:pPr>
            <w:r>
              <w:rPr>
                <w:rFonts w:hint="eastAsia"/>
              </w:rPr>
              <w:t>-</w:t>
            </w:r>
          </w:p>
        </w:tc>
        <w:tc>
          <w:tcPr>
            <w:tcW w:w="1661" w:type="dxa"/>
            <w:vAlign w:val="center"/>
          </w:tcPr>
          <w:p w14:paraId="6298D06F">
            <w:pPr>
              <w:jc w:val="right"/>
            </w:pPr>
            <w:r>
              <w:rPr>
                <w:rFonts w:hint="eastAsia"/>
              </w:rPr>
              <w:t>-</w:t>
            </w:r>
          </w:p>
        </w:tc>
        <w:tc>
          <w:tcPr>
            <w:tcW w:w="1661" w:type="dxa"/>
            <w:vAlign w:val="center"/>
          </w:tcPr>
          <w:p w14:paraId="6D613A3A">
            <w:pPr>
              <w:jc w:val="right"/>
            </w:pPr>
            <w:r>
              <w:rPr>
                <w:rFonts w:hint="eastAsia"/>
              </w:rPr>
              <w:t>-</w:t>
            </w:r>
          </w:p>
        </w:tc>
      </w:tr>
      <w:tr w14:paraId="1083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EBF2B">
            <w:r>
              <w:rPr>
                <w:rFonts w:hint="eastAsia"/>
              </w:rPr>
              <w:t xml:space="preserve">    其他</w:t>
            </w:r>
          </w:p>
        </w:tc>
        <w:tc>
          <w:tcPr>
            <w:tcW w:w="1661" w:type="dxa"/>
            <w:vAlign w:val="center"/>
          </w:tcPr>
          <w:p w14:paraId="655F82DC">
            <w:pPr>
              <w:jc w:val="right"/>
            </w:pPr>
            <w:r>
              <w:rPr>
                <w:rFonts w:hint="eastAsia"/>
              </w:rPr>
              <w:t>-</w:t>
            </w:r>
          </w:p>
        </w:tc>
        <w:tc>
          <w:tcPr>
            <w:tcW w:w="1661" w:type="dxa"/>
            <w:vAlign w:val="center"/>
          </w:tcPr>
          <w:p w14:paraId="0FD19BFD">
            <w:pPr>
              <w:jc w:val="right"/>
            </w:pPr>
            <w:r>
              <w:rPr>
                <w:rFonts w:hint="eastAsia"/>
              </w:rPr>
              <w:t>-</w:t>
            </w:r>
          </w:p>
        </w:tc>
        <w:tc>
          <w:tcPr>
            <w:tcW w:w="1661" w:type="dxa"/>
            <w:vAlign w:val="center"/>
          </w:tcPr>
          <w:p w14:paraId="6796DBC5">
            <w:pPr>
              <w:jc w:val="right"/>
            </w:pPr>
            <w:r>
              <w:rPr>
                <w:rFonts w:hint="eastAsia"/>
              </w:rPr>
              <w:t>-</w:t>
            </w:r>
          </w:p>
        </w:tc>
        <w:tc>
          <w:tcPr>
            <w:tcW w:w="1661" w:type="dxa"/>
            <w:vAlign w:val="center"/>
          </w:tcPr>
          <w:p w14:paraId="7D5CFD75">
            <w:pPr>
              <w:jc w:val="right"/>
            </w:pPr>
            <w:r>
              <w:rPr>
                <w:rFonts w:hint="eastAsia"/>
              </w:rPr>
              <w:t>-</w:t>
            </w:r>
          </w:p>
        </w:tc>
      </w:tr>
      <w:tr w14:paraId="705F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D00AB8">
            <w:r>
              <w:rPr>
                <w:rFonts w:hint="eastAsia"/>
              </w:rPr>
              <w:t>二、本期期初净资产</w:t>
            </w:r>
          </w:p>
        </w:tc>
        <w:tc>
          <w:tcPr>
            <w:tcW w:w="1661" w:type="dxa"/>
            <w:vAlign w:val="center"/>
          </w:tcPr>
          <w:p w14:paraId="117AA7FF">
            <w:pPr>
              <w:jc w:val="right"/>
            </w:pPr>
            <w:r>
              <w:rPr>
                <w:rFonts w:hint="eastAsia"/>
              </w:rPr>
              <w:t>34,167,044.22</w:t>
            </w:r>
          </w:p>
        </w:tc>
        <w:tc>
          <w:tcPr>
            <w:tcW w:w="1661" w:type="dxa"/>
            <w:vAlign w:val="center"/>
          </w:tcPr>
          <w:p w14:paraId="7094FE6F">
            <w:pPr>
              <w:jc w:val="right"/>
            </w:pPr>
            <w:r>
              <w:rPr>
                <w:rFonts w:hint="eastAsia"/>
              </w:rPr>
              <w:t>-</w:t>
            </w:r>
          </w:p>
        </w:tc>
        <w:tc>
          <w:tcPr>
            <w:tcW w:w="1661" w:type="dxa"/>
            <w:vAlign w:val="center"/>
          </w:tcPr>
          <w:p w14:paraId="37912D1B">
            <w:pPr>
              <w:jc w:val="right"/>
            </w:pPr>
            <w:r>
              <w:rPr>
                <w:rFonts w:hint="eastAsia"/>
              </w:rPr>
              <w:t>-7,261,273.68</w:t>
            </w:r>
          </w:p>
        </w:tc>
        <w:tc>
          <w:tcPr>
            <w:tcW w:w="1661" w:type="dxa"/>
            <w:vAlign w:val="center"/>
          </w:tcPr>
          <w:p w14:paraId="4015C86A">
            <w:pPr>
              <w:jc w:val="right"/>
            </w:pPr>
            <w:r>
              <w:rPr>
                <w:rFonts w:hint="eastAsia"/>
              </w:rPr>
              <w:t>26,905,770.54</w:t>
            </w:r>
          </w:p>
        </w:tc>
      </w:tr>
      <w:tr w14:paraId="6172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B5574">
            <w:r>
              <w:rPr>
                <w:rFonts w:hint="eastAsia"/>
              </w:rPr>
              <w:t>三、本期增减变动额（减少以“-”号填列）</w:t>
            </w:r>
          </w:p>
        </w:tc>
        <w:tc>
          <w:tcPr>
            <w:tcW w:w="1661" w:type="dxa"/>
            <w:vAlign w:val="center"/>
          </w:tcPr>
          <w:p w14:paraId="506F5CB0">
            <w:pPr>
              <w:jc w:val="right"/>
            </w:pPr>
            <w:r>
              <w:rPr>
                <w:rFonts w:hint="eastAsia"/>
              </w:rPr>
              <w:t>115,590,418.35</w:t>
            </w:r>
          </w:p>
        </w:tc>
        <w:tc>
          <w:tcPr>
            <w:tcW w:w="1661" w:type="dxa"/>
            <w:vAlign w:val="center"/>
          </w:tcPr>
          <w:p w14:paraId="71681531">
            <w:pPr>
              <w:jc w:val="right"/>
            </w:pPr>
            <w:r>
              <w:rPr>
                <w:rFonts w:hint="eastAsia"/>
              </w:rPr>
              <w:t>-</w:t>
            </w:r>
          </w:p>
        </w:tc>
        <w:tc>
          <w:tcPr>
            <w:tcW w:w="1661" w:type="dxa"/>
            <w:vAlign w:val="center"/>
          </w:tcPr>
          <w:p w14:paraId="4B453ADA">
            <w:pPr>
              <w:jc w:val="right"/>
            </w:pPr>
            <w:r>
              <w:rPr>
                <w:rFonts w:hint="eastAsia"/>
              </w:rPr>
              <w:t>39,341,154.83</w:t>
            </w:r>
          </w:p>
        </w:tc>
        <w:tc>
          <w:tcPr>
            <w:tcW w:w="1661" w:type="dxa"/>
            <w:vAlign w:val="center"/>
          </w:tcPr>
          <w:p w14:paraId="5F023DF1">
            <w:pPr>
              <w:jc w:val="right"/>
            </w:pPr>
            <w:r>
              <w:rPr>
                <w:rFonts w:hint="eastAsia"/>
              </w:rPr>
              <w:t>154,931,573.18</w:t>
            </w:r>
          </w:p>
        </w:tc>
      </w:tr>
      <w:tr w14:paraId="1B81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E3A09">
            <w:r>
              <w:rPr>
                <w:rFonts w:hint="eastAsia"/>
              </w:rPr>
              <w:t>（一）、综合收益总额</w:t>
            </w:r>
          </w:p>
        </w:tc>
        <w:tc>
          <w:tcPr>
            <w:tcW w:w="1661" w:type="dxa"/>
            <w:vAlign w:val="center"/>
          </w:tcPr>
          <w:p w14:paraId="03A89057">
            <w:pPr>
              <w:jc w:val="right"/>
            </w:pPr>
            <w:r>
              <w:rPr>
                <w:rFonts w:hint="eastAsia"/>
              </w:rPr>
              <w:t>-</w:t>
            </w:r>
          </w:p>
        </w:tc>
        <w:tc>
          <w:tcPr>
            <w:tcW w:w="1661" w:type="dxa"/>
            <w:vAlign w:val="center"/>
          </w:tcPr>
          <w:p w14:paraId="6E4780DF">
            <w:pPr>
              <w:jc w:val="right"/>
            </w:pPr>
            <w:r>
              <w:rPr>
                <w:rFonts w:hint="eastAsia"/>
              </w:rPr>
              <w:t>-</w:t>
            </w:r>
          </w:p>
        </w:tc>
        <w:tc>
          <w:tcPr>
            <w:tcW w:w="1661" w:type="dxa"/>
            <w:vAlign w:val="center"/>
          </w:tcPr>
          <w:p w14:paraId="19B308CD">
            <w:pPr>
              <w:jc w:val="right"/>
            </w:pPr>
            <w:r>
              <w:rPr>
                <w:rFonts w:hint="eastAsia"/>
              </w:rPr>
              <w:t>-3,137,536.51</w:t>
            </w:r>
          </w:p>
        </w:tc>
        <w:tc>
          <w:tcPr>
            <w:tcW w:w="1661" w:type="dxa"/>
            <w:vAlign w:val="center"/>
          </w:tcPr>
          <w:p w14:paraId="2AD7BAC4">
            <w:pPr>
              <w:jc w:val="right"/>
            </w:pPr>
            <w:r>
              <w:rPr>
                <w:rFonts w:hint="eastAsia"/>
              </w:rPr>
              <w:t>-3,137,536.51</w:t>
            </w:r>
          </w:p>
        </w:tc>
      </w:tr>
      <w:tr w14:paraId="1D1C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EFD23">
            <w:r>
              <w:rPr>
                <w:rFonts w:hint="eastAsia"/>
              </w:rPr>
              <w:t>（二）、本期基金份额交易产生的净资产变动数（净资产减少以“-”号填列）</w:t>
            </w:r>
          </w:p>
        </w:tc>
        <w:tc>
          <w:tcPr>
            <w:tcW w:w="1661" w:type="dxa"/>
            <w:vAlign w:val="center"/>
          </w:tcPr>
          <w:p w14:paraId="07DF441C">
            <w:pPr>
              <w:jc w:val="right"/>
            </w:pPr>
            <w:r>
              <w:rPr>
                <w:rFonts w:hint="eastAsia"/>
              </w:rPr>
              <w:t>115,590,418.35</w:t>
            </w:r>
          </w:p>
        </w:tc>
        <w:tc>
          <w:tcPr>
            <w:tcW w:w="1661" w:type="dxa"/>
            <w:vAlign w:val="center"/>
          </w:tcPr>
          <w:p w14:paraId="46309F87">
            <w:pPr>
              <w:jc w:val="right"/>
            </w:pPr>
            <w:r>
              <w:rPr>
                <w:rFonts w:hint="eastAsia"/>
              </w:rPr>
              <w:t>-</w:t>
            </w:r>
          </w:p>
        </w:tc>
        <w:tc>
          <w:tcPr>
            <w:tcW w:w="1661" w:type="dxa"/>
            <w:vAlign w:val="center"/>
          </w:tcPr>
          <w:p w14:paraId="0A7C289A">
            <w:pPr>
              <w:jc w:val="right"/>
            </w:pPr>
            <w:r>
              <w:rPr>
                <w:rFonts w:hint="eastAsia"/>
              </w:rPr>
              <w:t>42,478,691.34</w:t>
            </w:r>
          </w:p>
        </w:tc>
        <w:tc>
          <w:tcPr>
            <w:tcW w:w="1661" w:type="dxa"/>
            <w:vAlign w:val="center"/>
          </w:tcPr>
          <w:p w14:paraId="401F8E83">
            <w:pPr>
              <w:jc w:val="right"/>
            </w:pPr>
            <w:r>
              <w:rPr>
                <w:rFonts w:hint="eastAsia"/>
              </w:rPr>
              <w:t>158,069,109.69</w:t>
            </w:r>
          </w:p>
        </w:tc>
      </w:tr>
      <w:tr w14:paraId="4CF1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FA2D2">
            <w:r>
              <w:rPr>
                <w:rFonts w:hint="eastAsia"/>
              </w:rPr>
              <w:t>其中：1.基金申购款</w:t>
            </w:r>
          </w:p>
        </w:tc>
        <w:tc>
          <w:tcPr>
            <w:tcW w:w="1661" w:type="dxa"/>
            <w:vAlign w:val="center"/>
          </w:tcPr>
          <w:p w14:paraId="13F55ABA">
            <w:pPr>
              <w:jc w:val="right"/>
            </w:pPr>
            <w:r>
              <w:rPr>
                <w:rFonts w:hint="eastAsia"/>
              </w:rPr>
              <w:t>393,435,310.05</w:t>
            </w:r>
          </w:p>
        </w:tc>
        <w:tc>
          <w:tcPr>
            <w:tcW w:w="1661" w:type="dxa"/>
            <w:vAlign w:val="center"/>
          </w:tcPr>
          <w:p w14:paraId="04ED5033">
            <w:pPr>
              <w:jc w:val="right"/>
            </w:pPr>
            <w:r>
              <w:rPr>
                <w:rFonts w:hint="eastAsia"/>
              </w:rPr>
              <w:t>-</w:t>
            </w:r>
          </w:p>
        </w:tc>
        <w:tc>
          <w:tcPr>
            <w:tcW w:w="1661" w:type="dxa"/>
            <w:vAlign w:val="center"/>
          </w:tcPr>
          <w:p w14:paraId="2B0DF378">
            <w:pPr>
              <w:jc w:val="right"/>
            </w:pPr>
            <w:r>
              <w:rPr>
                <w:rFonts w:hint="eastAsia"/>
              </w:rPr>
              <w:t>118,427,270.54</w:t>
            </w:r>
          </w:p>
        </w:tc>
        <w:tc>
          <w:tcPr>
            <w:tcW w:w="1661" w:type="dxa"/>
            <w:vAlign w:val="center"/>
          </w:tcPr>
          <w:p w14:paraId="13EAEC90">
            <w:pPr>
              <w:jc w:val="right"/>
            </w:pPr>
            <w:r>
              <w:rPr>
                <w:rFonts w:hint="eastAsia"/>
              </w:rPr>
              <w:t>511,862,580.59</w:t>
            </w:r>
          </w:p>
        </w:tc>
      </w:tr>
      <w:tr w14:paraId="4614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6DB734">
            <w:r>
              <w:rPr>
                <w:rFonts w:hint="eastAsia"/>
              </w:rPr>
              <w:t xml:space="preserve">      2.基金赎回款</w:t>
            </w:r>
          </w:p>
        </w:tc>
        <w:tc>
          <w:tcPr>
            <w:tcW w:w="1661" w:type="dxa"/>
            <w:vAlign w:val="center"/>
          </w:tcPr>
          <w:p w14:paraId="704EF52C">
            <w:pPr>
              <w:jc w:val="right"/>
            </w:pPr>
            <w:r>
              <w:rPr>
                <w:rFonts w:hint="eastAsia"/>
              </w:rPr>
              <w:t>-277,844,891.70</w:t>
            </w:r>
          </w:p>
        </w:tc>
        <w:tc>
          <w:tcPr>
            <w:tcW w:w="1661" w:type="dxa"/>
            <w:vAlign w:val="center"/>
          </w:tcPr>
          <w:p w14:paraId="4D8FF9F8">
            <w:pPr>
              <w:jc w:val="right"/>
            </w:pPr>
            <w:r>
              <w:rPr>
                <w:rFonts w:hint="eastAsia"/>
              </w:rPr>
              <w:t>-</w:t>
            </w:r>
          </w:p>
        </w:tc>
        <w:tc>
          <w:tcPr>
            <w:tcW w:w="1661" w:type="dxa"/>
            <w:vAlign w:val="center"/>
          </w:tcPr>
          <w:p w14:paraId="3303F376">
            <w:pPr>
              <w:jc w:val="right"/>
            </w:pPr>
            <w:r>
              <w:rPr>
                <w:rFonts w:hint="eastAsia"/>
              </w:rPr>
              <w:t>-75,948,579.20</w:t>
            </w:r>
          </w:p>
        </w:tc>
        <w:tc>
          <w:tcPr>
            <w:tcW w:w="1661" w:type="dxa"/>
            <w:vAlign w:val="center"/>
          </w:tcPr>
          <w:p w14:paraId="50D0DB77">
            <w:pPr>
              <w:jc w:val="right"/>
            </w:pPr>
            <w:r>
              <w:rPr>
                <w:rFonts w:hint="eastAsia"/>
              </w:rPr>
              <w:t>-353,793,470.90</w:t>
            </w:r>
          </w:p>
        </w:tc>
      </w:tr>
      <w:tr w14:paraId="0A69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FE6FA7">
            <w:r>
              <w:rPr>
                <w:rFonts w:hint="eastAsia"/>
              </w:rPr>
              <w:t>（三）、本期向基金份额持有人分配利润产生的净资产变动（净资产减少以“-”号填列）</w:t>
            </w:r>
          </w:p>
        </w:tc>
        <w:tc>
          <w:tcPr>
            <w:tcW w:w="1661" w:type="dxa"/>
            <w:vAlign w:val="center"/>
          </w:tcPr>
          <w:p w14:paraId="0878F5F7">
            <w:pPr>
              <w:jc w:val="right"/>
            </w:pPr>
            <w:r>
              <w:rPr>
                <w:rFonts w:hint="eastAsia"/>
              </w:rPr>
              <w:t>-</w:t>
            </w:r>
          </w:p>
        </w:tc>
        <w:tc>
          <w:tcPr>
            <w:tcW w:w="1661" w:type="dxa"/>
            <w:vAlign w:val="center"/>
          </w:tcPr>
          <w:p w14:paraId="1A578E64">
            <w:pPr>
              <w:jc w:val="right"/>
            </w:pPr>
            <w:r>
              <w:rPr>
                <w:rFonts w:hint="eastAsia"/>
              </w:rPr>
              <w:t>-</w:t>
            </w:r>
          </w:p>
        </w:tc>
        <w:tc>
          <w:tcPr>
            <w:tcW w:w="1661" w:type="dxa"/>
            <w:vAlign w:val="center"/>
          </w:tcPr>
          <w:p w14:paraId="635162D8">
            <w:pPr>
              <w:jc w:val="right"/>
            </w:pPr>
            <w:r>
              <w:rPr>
                <w:rFonts w:hint="eastAsia"/>
              </w:rPr>
              <w:t>-</w:t>
            </w:r>
          </w:p>
        </w:tc>
        <w:tc>
          <w:tcPr>
            <w:tcW w:w="1661" w:type="dxa"/>
            <w:vAlign w:val="center"/>
          </w:tcPr>
          <w:p w14:paraId="21EB13CA">
            <w:pPr>
              <w:jc w:val="right"/>
            </w:pPr>
            <w:r>
              <w:rPr>
                <w:rFonts w:hint="eastAsia"/>
              </w:rPr>
              <w:t>-</w:t>
            </w:r>
          </w:p>
        </w:tc>
      </w:tr>
      <w:tr w14:paraId="2F9B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F40E8">
            <w:r>
              <w:rPr>
                <w:rFonts w:hint="eastAsia"/>
              </w:rPr>
              <w:t>（四）、其他综合收益结转留存收益</w:t>
            </w:r>
          </w:p>
        </w:tc>
        <w:tc>
          <w:tcPr>
            <w:tcW w:w="1661" w:type="dxa"/>
            <w:vAlign w:val="center"/>
          </w:tcPr>
          <w:p w14:paraId="00E66FDF">
            <w:pPr>
              <w:jc w:val="right"/>
            </w:pPr>
            <w:r>
              <w:rPr>
                <w:rFonts w:hint="eastAsia"/>
              </w:rPr>
              <w:t>-</w:t>
            </w:r>
          </w:p>
        </w:tc>
        <w:tc>
          <w:tcPr>
            <w:tcW w:w="1661" w:type="dxa"/>
            <w:vAlign w:val="center"/>
          </w:tcPr>
          <w:p w14:paraId="6497A4B5">
            <w:pPr>
              <w:jc w:val="right"/>
            </w:pPr>
            <w:r>
              <w:rPr>
                <w:rFonts w:hint="eastAsia"/>
              </w:rPr>
              <w:t>-</w:t>
            </w:r>
          </w:p>
        </w:tc>
        <w:tc>
          <w:tcPr>
            <w:tcW w:w="1661" w:type="dxa"/>
            <w:vAlign w:val="center"/>
          </w:tcPr>
          <w:p w14:paraId="67256925">
            <w:pPr>
              <w:jc w:val="right"/>
            </w:pPr>
            <w:r>
              <w:rPr>
                <w:rFonts w:hint="eastAsia"/>
              </w:rPr>
              <w:t>-</w:t>
            </w:r>
          </w:p>
        </w:tc>
        <w:tc>
          <w:tcPr>
            <w:tcW w:w="1661" w:type="dxa"/>
            <w:vAlign w:val="center"/>
          </w:tcPr>
          <w:p w14:paraId="546A673C">
            <w:pPr>
              <w:jc w:val="right"/>
            </w:pPr>
            <w:r>
              <w:rPr>
                <w:rFonts w:hint="eastAsia"/>
              </w:rPr>
              <w:t>-</w:t>
            </w:r>
          </w:p>
        </w:tc>
      </w:tr>
      <w:tr w14:paraId="4D32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E806ED">
            <w:r>
              <w:rPr>
                <w:rFonts w:hint="eastAsia"/>
              </w:rPr>
              <w:t>四、本期期末净资产</w:t>
            </w:r>
          </w:p>
        </w:tc>
        <w:tc>
          <w:tcPr>
            <w:tcW w:w="1661" w:type="dxa"/>
            <w:vAlign w:val="center"/>
          </w:tcPr>
          <w:p w14:paraId="752B884D">
            <w:pPr>
              <w:jc w:val="right"/>
            </w:pPr>
            <w:r>
              <w:rPr>
                <w:rFonts w:hint="eastAsia"/>
              </w:rPr>
              <w:t>149,757,462.57</w:t>
            </w:r>
          </w:p>
        </w:tc>
        <w:tc>
          <w:tcPr>
            <w:tcW w:w="1661" w:type="dxa"/>
            <w:vAlign w:val="center"/>
          </w:tcPr>
          <w:p w14:paraId="2626A775">
            <w:pPr>
              <w:jc w:val="right"/>
            </w:pPr>
            <w:r>
              <w:rPr>
                <w:rFonts w:hint="eastAsia"/>
              </w:rPr>
              <w:t>-</w:t>
            </w:r>
          </w:p>
        </w:tc>
        <w:tc>
          <w:tcPr>
            <w:tcW w:w="1661" w:type="dxa"/>
            <w:vAlign w:val="center"/>
          </w:tcPr>
          <w:p w14:paraId="0433AD6A">
            <w:pPr>
              <w:jc w:val="right"/>
            </w:pPr>
            <w:r>
              <w:rPr>
                <w:rFonts w:hint="eastAsia"/>
              </w:rPr>
              <w:t>32,079,881.15</w:t>
            </w:r>
          </w:p>
        </w:tc>
        <w:tc>
          <w:tcPr>
            <w:tcW w:w="1661" w:type="dxa"/>
            <w:vAlign w:val="center"/>
          </w:tcPr>
          <w:p w14:paraId="51FFAB03">
            <w:pPr>
              <w:jc w:val="right"/>
            </w:pPr>
            <w:r>
              <w:rPr>
                <w:rFonts w:hint="eastAsia"/>
              </w:rPr>
              <w:t>181,837,343.72</w:t>
            </w:r>
          </w:p>
        </w:tc>
      </w:tr>
      <w:tr w14:paraId="4436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A349C9">
            <w:r>
              <w:rPr>
                <w:rFonts w:hint="eastAsia"/>
              </w:rPr>
              <w:t>项目</w:t>
            </w:r>
          </w:p>
        </w:tc>
        <w:tc>
          <w:tcPr>
            <w:tcW w:w="1661" w:type="dxa"/>
            <w:gridSpan w:val="4"/>
            <w:vAlign w:val="center"/>
          </w:tcPr>
          <w:p w14:paraId="02EB2E2E">
            <w:r>
              <w:rPr>
                <w:rFonts w:hint="eastAsia"/>
              </w:rPr>
              <w:t>上年度可比期间2024年1月1日至2024年12月31日</w:t>
            </w:r>
          </w:p>
        </w:tc>
      </w:tr>
      <w:tr w14:paraId="79D0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1366DB"/>
        </w:tc>
        <w:tc>
          <w:tcPr>
            <w:tcW w:w="1661" w:type="dxa"/>
            <w:vAlign w:val="center"/>
          </w:tcPr>
          <w:p w14:paraId="362A3F5B">
            <w:r>
              <w:rPr>
                <w:rFonts w:hint="eastAsia"/>
              </w:rPr>
              <w:t>实收基金</w:t>
            </w:r>
          </w:p>
        </w:tc>
        <w:tc>
          <w:tcPr>
            <w:tcW w:w="1661" w:type="dxa"/>
            <w:vAlign w:val="center"/>
          </w:tcPr>
          <w:p w14:paraId="738E37BA">
            <w:r>
              <w:rPr>
                <w:rFonts w:hint="eastAsia"/>
              </w:rPr>
              <w:t>其他综合收益</w:t>
            </w:r>
          </w:p>
        </w:tc>
        <w:tc>
          <w:tcPr>
            <w:tcW w:w="1661" w:type="dxa"/>
            <w:vAlign w:val="center"/>
          </w:tcPr>
          <w:p w14:paraId="7C41F769">
            <w:r>
              <w:rPr>
                <w:rFonts w:hint="eastAsia"/>
              </w:rPr>
              <w:t>未分配利润</w:t>
            </w:r>
          </w:p>
        </w:tc>
        <w:tc>
          <w:tcPr>
            <w:tcW w:w="1661" w:type="dxa"/>
            <w:vAlign w:val="center"/>
          </w:tcPr>
          <w:p w14:paraId="200848CE">
            <w:r>
              <w:rPr>
                <w:rFonts w:hint="eastAsia"/>
              </w:rPr>
              <w:t>净资产合计</w:t>
            </w:r>
          </w:p>
        </w:tc>
      </w:tr>
      <w:tr w14:paraId="2087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5BA139">
            <w:r>
              <w:rPr>
                <w:rFonts w:hint="eastAsia"/>
              </w:rPr>
              <w:t>一、上期期末净资产</w:t>
            </w:r>
          </w:p>
        </w:tc>
        <w:tc>
          <w:tcPr>
            <w:tcW w:w="1661" w:type="dxa"/>
            <w:vAlign w:val="center"/>
          </w:tcPr>
          <w:p w14:paraId="375C7584">
            <w:pPr>
              <w:jc w:val="right"/>
            </w:pPr>
            <w:r>
              <w:rPr>
                <w:rFonts w:hint="eastAsia"/>
              </w:rPr>
              <w:t>24,092,941.32</w:t>
            </w:r>
          </w:p>
        </w:tc>
        <w:tc>
          <w:tcPr>
            <w:tcW w:w="1661" w:type="dxa"/>
            <w:vAlign w:val="center"/>
          </w:tcPr>
          <w:p w14:paraId="61DC5AD4">
            <w:pPr>
              <w:jc w:val="right"/>
            </w:pPr>
            <w:r>
              <w:rPr>
                <w:rFonts w:hint="eastAsia"/>
              </w:rPr>
              <w:t>-</w:t>
            </w:r>
          </w:p>
        </w:tc>
        <w:tc>
          <w:tcPr>
            <w:tcW w:w="1661" w:type="dxa"/>
            <w:vAlign w:val="center"/>
          </w:tcPr>
          <w:p w14:paraId="6FE5E990">
            <w:pPr>
              <w:jc w:val="right"/>
            </w:pPr>
            <w:r>
              <w:rPr>
                <w:rFonts w:hint="eastAsia"/>
              </w:rPr>
              <w:t>-1,689,664.65</w:t>
            </w:r>
          </w:p>
        </w:tc>
        <w:tc>
          <w:tcPr>
            <w:tcW w:w="1661" w:type="dxa"/>
            <w:vAlign w:val="center"/>
          </w:tcPr>
          <w:p w14:paraId="718A7449">
            <w:pPr>
              <w:jc w:val="right"/>
            </w:pPr>
            <w:r>
              <w:rPr>
                <w:rFonts w:hint="eastAsia"/>
              </w:rPr>
              <w:t>22,403,276.67</w:t>
            </w:r>
          </w:p>
        </w:tc>
      </w:tr>
      <w:tr w14:paraId="50A6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915609">
            <w:r>
              <w:rPr>
                <w:rFonts w:hint="eastAsia"/>
              </w:rPr>
              <w:t>加：会计政策变更</w:t>
            </w:r>
          </w:p>
        </w:tc>
        <w:tc>
          <w:tcPr>
            <w:tcW w:w="1661" w:type="dxa"/>
            <w:vAlign w:val="center"/>
          </w:tcPr>
          <w:p w14:paraId="6BA00B39">
            <w:pPr>
              <w:jc w:val="right"/>
            </w:pPr>
            <w:r>
              <w:rPr>
                <w:rFonts w:hint="eastAsia"/>
              </w:rPr>
              <w:t>-</w:t>
            </w:r>
          </w:p>
        </w:tc>
        <w:tc>
          <w:tcPr>
            <w:tcW w:w="1661" w:type="dxa"/>
            <w:vAlign w:val="center"/>
          </w:tcPr>
          <w:p w14:paraId="5C6CF87F">
            <w:pPr>
              <w:jc w:val="right"/>
            </w:pPr>
            <w:r>
              <w:rPr>
                <w:rFonts w:hint="eastAsia"/>
              </w:rPr>
              <w:t>-</w:t>
            </w:r>
          </w:p>
        </w:tc>
        <w:tc>
          <w:tcPr>
            <w:tcW w:w="1661" w:type="dxa"/>
            <w:vAlign w:val="center"/>
          </w:tcPr>
          <w:p w14:paraId="6C6B61B1">
            <w:pPr>
              <w:jc w:val="right"/>
            </w:pPr>
            <w:r>
              <w:rPr>
                <w:rFonts w:hint="eastAsia"/>
              </w:rPr>
              <w:t>-</w:t>
            </w:r>
          </w:p>
        </w:tc>
        <w:tc>
          <w:tcPr>
            <w:tcW w:w="1661" w:type="dxa"/>
            <w:vAlign w:val="center"/>
          </w:tcPr>
          <w:p w14:paraId="787A8459">
            <w:pPr>
              <w:jc w:val="right"/>
            </w:pPr>
            <w:r>
              <w:rPr>
                <w:rFonts w:hint="eastAsia"/>
              </w:rPr>
              <w:t>-</w:t>
            </w:r>
          </w:p>
        </w:tc>
      </w:tr>
      <w:tr w14:paraId="09A1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A14E2">
            <w:r>
              <w:rPr>
                <w:rFonts w:hint="eastAsia"/>
              </w:rPr>
              <w:t xml:space="preserve">    前期差错更正</w:t>
            </w:r>
          </w:p>
        </w:tc>
        <w:tc>
          <w:tcPr>
            <w:tcW w:w="1661" w:type="dxa"/>
            <w:vAlign w:val="center"/>
          </w:tcPr>
          <w:p w14:paraId="4BB0535D">
            <w:pPr>
              <w:jc w:val="right"/>
            </w:pPr>
            <w:r>
              <w:rPr>
                <w:rFonts w:hint="eastAsia"/>
              </w:rPr>
              <w:t>-</w:t>
            </w:r>
          </w:p>
        </w:tc>
        <w:tc>
          <w:tcPr>
            <w:tcW w:w="1661" w:type="dxa"/>
            <w:vAlign w:val="center"/>
          </w:tcPr>
          <w:p w14:paraId="47A823D5">
            <w:pPr>
              <w:jc w:val="right"/>
            </w:pPr>
            <w:r>
              <w:rPr>
                <w:rFonts w:hint="eastAsia"/>
              </w:rPr>
              <w:t>-</w:t>
            </w:r>
          </w:p>
        </w:tc>
        <w:tc>
          <w:tcPr>
            <w:tcW w:w="1661" w:type="dxa"/>
            <w:vAlign w:val="center"/>
          </w:tcPr>
          <w:p w14:paraId="639D4C01">
            <w:pPr>
              <w:jc w:val="right"/>
            </w:pPr>
            <w:r>
              <w:rPr>
                <w:rFonts w:hint="eastAsia"/>
              </w:rPr>
              <w:t>-</w:t>
            </w:r>
          </w:p>
        </w:tc>
        <w:tc>
          <w:tcPr>
            <w:tcW w:w="1661" w:type="dxa"/>
            <w:vAlign w:val="center"/>
          </w:tcPr>
          <w:p w14:paraId="18543BFE">
            <w:pPr>
              <w:jc w:val="right"/>
            </w:pPr>
            <w:r>
              <w:rPr>
                <w:rFonts w:hint="eastAsia"/>
              </w:rPr>
              <w:t>-</w:t>
            </w:r>
          </w:p>
        </w:tc>
      </w:tr>
      <w:tr w14:paraId="6E43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02CCC">
            <w:r>
              <w:rPr>
                <w:rFonts w:hint="eastAsia"/>
              </w:rPr>
              <w:t xml:space="preserve">    其他</w:t>
            </w:r>
          </w:p>
        </w:tc>
        <w:tc>
          <w:tcPr>
            <w:tcW w:w="1661" w:type="dxa"/>
            <w:vAlign w:val="center"/>
          </w:tcPr>
          <w:p w14:paraId="1BACD675">
            <w:pPr>
              <w:jc w:val="right"/>
            </w:pPr>
            <w:r>
              <w:rPr>
                <w:rFonts w:hint="eastAsia"/>
              </w:rPr>
              <w:t>-</w:t>
            </w:r>
          </w:p>
        </w:tc>
        <w:tc>
          <w:tcPr>
            <w:tcW w:w="1661" w:type="dxa"/>
            <w:vAlign w:val="center"/>
          </w:tcPr>
          <w:p w14:paraId="4E0272D7">
            <w:pPr>
              <w:jc w:val="right"/>
            </w:pPr>
            <w:r>
              <w:rPr>
                <w:rFonts w:hint="eastAsia"/>
              </w:rPr>
              <w:t>-</w:t>
            </w:r>
          </w:p>
        </w:tc>
        <w:tc>
          <w:tcPr>
            <w:tcW w:w="1661" w:type="dxa"/>
            <w:vAlign w:val="center"/>
          </w:tcPr>
          <w:p w14:paraId="0B08C0E5">
            <w:pPr>
              <w:jc w:val="right"/>
            </w:pPr>
            <w:r>
              <w:rPr>
                <w:rFonts w:hint="eastAsia"/>
              </w:rPr>
              <w:t>-</w:t>
            </w:r>
          </w:p>
        </w:tc>
        <w:tc>
          <w:tcPr>
            <w:tcW w:w="1661" w:type="dxa"/>
            <w:vAlign w:val="center"/>
          </w:tcPr>
          <w:p w14:paraId="02E1C0E5">
            <w:pPr>
              <w:jc w:val="right"/>
            </w:pPr>
            <w:r>
              <w:rPr>
                <w:rFonts w:hint="eastAsia"/>
              </w:rPr>
              <w:t>-</w:t>
            </w:r>
          </w:p>
        </w:tc>
      </w:tr>
      <w:tr w14:paraId="44FB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9634F">
            <w:r>
              <w:rPr>
                <w:rFonts w:hint="eastAsia"/>
              </w:rPr>
              <w:t>二、本期期初净资产</w:t>
            </w:r>
          </w:p>
        </w:tc>
        <w:tc>
          <w:tcPr>
            <w:tcW w:w="1661" w:type="dxa"/>
            <w:vAlign w:val="center"/>
          </w:tcPr>
          <w:p w14:paraId="793A3AA9">
            <w:pPr>
              <w:jc w:val="right"/>
            </w:pPr>
            <w:r>
              <w:rPr>
                <w:rFonts w:hint="eastAsia"/>
              </w:rPr>
              <w:t>24,092,941.32</w:t>
            </w:r>
          </w:p>
        </w:tc>
        <w:tc>
          <w:tcPr>
            <w:tcW w:w="1661" w:type="dxa"/>
            <w:vAlign w:val="center"/>
          </w:tcPr>
          <w:p w14:paraId="3050BE00">
            <w:pPr>
              <w:jc w:val="right"/>
            </w:pPr>
            <w:r>
              <w:rPr>
                <w:rFonts w:hint="eastAsia"/>
              </w:rPr>
              <w:t>-</w:t>
            </w:r>
          </w:p>
        </w:tc>
        <w:tc>
          <w:tcPr>
            <w:tcW w:w="1661" w:type="dxa"/>
            <w:vAlign w:val="center"/>
          </w:tcPr>
          <w:p w14:paraId="3C7AFA9D">
            <w:pPr>
              <w:jc w:val="right"/>
            </w:pPr>
            <w:r>
              <w:rPr>
                <w:rFonts w:hint="eastAsia"/>
              </w:rPr>
              <w:t>-1,689,664.65</w:t>
            </w:r>
          </w:p>
        </w:tc>
        <w:tc>
          <w:tcPr>
            <w:tcW w:w="1661" w:type="dxa"/>
            <w:vAlign w:val="center"/>
          </w:tcPr>
          <w:p w14:paraId="4193AB98">
            <w:pPr>
              <w:jc w:val="right"/>
            </w:pPr>
            <w:r>
              <w:rPr>
                <w:rFonts w:hint="eastAsia"/>
              </w:rPr>
              <w:t>22,403,276.67</w:t>
            </w:r>
          </w:p>
        </w:tc>
      </w:tr>
      <w:tr w14:paraId="4BE9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00955">
            <w:r>
              <w:rPr>
                <w:rFonts w:hint="eastAsia"/>
              </w:rPr>
              <w:t>三、本期增减变动额（减少以“-”号填列）</w:t>
            </w:r>
          </w:p>
        </w:tc>
        <w:tc>
          <w:tcPr>
            <w:tcW w:w="1661" w:type="dxa"/>
            <w:vAlign w:val="center"/>
          </w:tcPr>
          <w:p w14:paraId="249EB97B">
            <w:pPr>
              <w:jc w:val="right"/>
            </w:pPr>
            <w:r>
              <w:rPr>
                <w:rFonts w:hint="eastAsia"/>
              </w:rPr>
              <w:t>10,074,102.90</w:t>
            </w:r>
          </w:p>
        </w:tc>
        <w:tc>
          <w:tcPr>
            <w:tcW w:w="1661" w:type="dxa"/>
            <w:vAlign w:val="center"/>
          </w:tcPr>
          <w:p w14:paraId="2B9860E5">
            <w:pPr>
              <w:jc w:val="right"/>
            </w:pPr>
            <w:r>
              <w:rPr>
                <w:rFonts w:hint="eastAsia"/>
              </w:rPr>
              <w:t>-</w:t>
            </w:r>
          </w:p>
        </w:tc>
        <w:tc>
          <w:tcPr>
            <w:tcW w:w="1661" w:type="dxa"/>
            <w:vAlign w:val="center"/>
          </w:tcPr>
          <w:p w14:paraId="4C77A35F">
            <w:pPr>
              <w:jc w:val="right"/>
            </w:pPr>
            <w:r>
              <w:rPr>
                <w:rFonts w:hint="eastAsia"/>
              </w:rPr>
              <w:t>-5,571,609.03</w:t>
            </w:r>
          </w:p>
        </w:tc>
        <w:tc>
          <w:tcPr>
            <w:tcW w:w="1661" w:type="dxa"/>
            <w:vAlign w:val="center"/>
          </w:tcPr>
          <w:p w14:paraId="56E49A91">
            <w:pPr>
              <w:jc w:val="right"/>
            </w:pPr>
            <w:r>
              <w:rPr>
                <w:rFonts w:hint="eastAsia"/>
              </w:rPr>
              <w:t>4,502,493.87</w:t>
            </w:r>
          </w:p>
        </w:tc>
      </w:tr>
      <w:tr w14:paraId="61AA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4F07B">
            <w:r>
              <w:rPr>
                <w:rFonts w:hint="eastAsia"/>
              </w:rPr>
              <w:t>（一）、综合收益总额</w:t>
            </w:r>
          </w:p>
        </w:tc>
        <w:tc>
          <w:tcPr>
            <w:tcW w:w="1661" w:type="dxa"/>
            <w:vAlign w:val="center"/>
          </w:tcPr>
          <w:p w14:paraId="6D267350">
            <w:pPr>
              <w:jc w:val="right"/>
            </w:pPr>
            <w:r>
              <w:rPr>
                <w:rFonts w:hint="eastAsia"/>
              </w:rPr>
              <w:t>-</w:t>
            </w:r>
          </w:p>
        </w:tc>
        <w:tc>
          <w:tcPr>
            <w:tcW w:w="1661" w:type="dxa"/>
            <w:vAlign w:val="center"/>
          </w:tcPr>
          <w:p w14:paraId="0752EEE3">
            <w:pPr>
              <w:jc w:val="right"/>
            </w:pPr>
            <w:r>
              <w:rPr>
                <w:rFonts w:hint="eastAsia"/>
              </w:rPr>
              <w:t>-</w:t>
            </w:r>
          </w:p>
        </w:tc>
        <w:tc>
          <w:tcPr>
            <w:tcW w:w="1661" w:type="dxa"/>
            <w:vAlign w:val="center"/>
          </w:tcPr>
          <w:p w14:paraId="143251EB">
            <w:pPr>
              <w:jc w:val="right"/>
            </w:pPr>
            <w:r>
              <w:rPr>
                <w:rFonts w:hint="eastAsia"/>
              </w:rPr>
              <w:t>-3,323,081.76</w:t>
            </w:r>
          </w:p>
        </w:tc>
        <w:tc>
          <w:tcPr>
            <w:tcW w:w="1661" w:type="dxa"/>
            <w:vAlign w:val="center"/>
          </w:tcPr>
          <w:p w14:paraId="4233B998">
            <w:pPr>
              <w:jc w:val="right"/>
            </w:pPr>
            <w:r>
              <w:rPr>
                <w:rFonts w:hint="eastAsia"/>
              </w:rPr>
              <w:t>-3,323,081.76</w:t>
            </w:r>
          </w:p>
        </w:tc>
      </w:tr>
      <w:tr w14:paraId="5A82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795B7">
            <w:r>
              <w:rPr>
                <w:rFonts w:hint="eastAsia"/>
              </w:rPr>
              <w:t>（二）、本期基金份额交易产生的净资产变动数（净资产减少以“-”号填列）</w:t>
            </w:r>
          </w:p>
        </w:tc>
        <w:tc>
          <w:tcPr>
            <w:tcW w:w="1661" w:type="dxa"/>
            <w:vAlign w:val="center"/>
          </w:tcPr>
          <w:p w14:paraId="0B003CE6">
            <w:pPr>
              <w:jc w:val="right"/>
            </w:pPr>
            <w:r>
              <w:rPr>
                <w:rFonts w:hint="eastAsia"/>
              </w:rPr>
              <w:t>10,074,102.90</w:t>
            </w:r>
          </w:p>
        </w:tc>
        <w:tc>
          <w:tcPr>
            <w:tcW w:w="1661" w:type="dxa"/>
            <w:vAlign w:val="center"/>
          </w:tcPr>
          <w:p w14:paraId="0C8A2E76">
            <w:pPr>
              <w:jc w:val="right"/>
            </w:pPr>
            <w:r>
              <w:rPr>
                <w:rFonts w:hint="eastAsia"/>
              </w:rPr>
              <w:t>-</w:t>
            </w:r>
          </w:p>
        </w:tc>
        <w:tc>
          <w:tcPr>
            <w:tcW w:w="1661" w:type="dxa"/>
            <w:vAlign w:val="center"/>
          </w:tcPr>
          <w:p w14:paraId="42BA848A">
            <w:pPr>
              <w:jc w:val="right"/>
            </w:pPr>
            <w:r>
              <w:rPr>
                <w:rFonts w:hint="eastAsia"/>
              </w:rPr>
              <w:t>-2,248,527.27</w:t>
            </w:r>
          </w:p>
        </w:tc>
        <w:tc>
          <w:tcPr>
            <w:tcW w:w="1661" w:type="dxa"/>
            <w:vAlign w:val="center"/>
          </w:tcPr>
          <w:p w14:paraId="7036A94B">
            <w:pPr>
              <w:jc w:val="right"/>
            </w:pPr>
            <w:r>
              <w:rPr>
                <w:rFonts w:hint="eastAsia"/>
              </w:rPr>
              <w:t>7,825,575.63</w:t>
            </w:r>
          </w:p>
        </w:tc>
      </w:tr>
      <w:tr w14:paraId="14DC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CA4EE">
            <w:r>
              <w:rPr>
                <w:rFonts w:hint="eastAsia"/>
              </w:rPr>
              <w:t>其中：1.基金申购款</w:t>
            </w:r>
          </w:p>
        </w:tc>
        <w:tc>
          <w:tcPr>
            <w:tcW w:w="1661" w:type="dxa"/>
            <w:vAlign w:val="center"/>
          </w:tcPr>
          <w:p w14:paraId="55F4264A">
            <w:pPr>
              <w:jc w:val="right"/>
            </w:pPr>
            <w:r>
              <w:rPr>
                <w:rFonts w:hint="eastAsia"/>
              </w:rPr>
              <w:t>75,408,738.60</w:t>
            </w:r>
          </w:p>
        </w:tc>
        <w:tc>
          <w:tcPr>
            <w:tcW w:w="1661" w:type="dxa"/>
            <w:vAlign w:val="center"/>
          </w:tcPr>
          <w:p w14:paraId="63EF1BDA">
            <w:pPr>
              <w:jc w:val="right"/>
            </w:pPr>
            <w:r>
              <w:rPr>
                <w:rFonts w:hint="eastAsia"/>
              </w:rPr>
              <w:t>-</w:t>
            </w:r>
          </w:p>
        </w:tc>
        <w:tc>
          <w:tcPr>
            <w:tcW w:w="1661" w:type="dxa"/>
            <w:vAlign w:val="center"/>
          </w:tcPr>
          <w:p w14:paraId="61875EE9">
            <w:pPr>
              <w:jc w:val="right"/>
            </w:pPr>
            <w:r>
              <w:rPr>
                <w:rFonts w:hint="eastAsia"/>
              </w:rPr>
              <w:t>-16,258,479.85</w:t>
            </w:r>
          </w:p>
        </w:tc>
        <w:tc>
          <w:tcPr>
            <w:tcW w:w="1661" w:type="dxa"/>
            <w:vAlign w:val="center"/>
          </w:tcPr>
          <w:p w14:paraId="6E4363F3">
            <w:pPr>
              <w:jc w:val="right"/>
            </w:pPr>
            <w:r>
              <w:rPr>
                <w:rFonts w:hint="eastAsia"/>
              </w:rPr>
              <w:t>59,150,258.75</w:t>
            </w:r>
          </w:p>
        </w:tc>
      </w:tr>
      <w:tr w14:paraId="697E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F6A08">
            <w:r>
              <w:rPr>
                <w:rFonts w:hint="eastAsia"/>
              </w:rPr>
              <w:t xml:space="preserve">      2.基金赎回款</w:t>
            </w:r>
          </w:p>
        </w:tc>
        <w:tc>
          <w:tcPr>
            <w:tcW w:w="1661" w:type="dxa"/>
            <w:vAlign w:val="center"/>
          </w:tcPr>
          <w:p w14:paraId="171FD4D9">
            <w:pPr>
              <w:jc w:val="right"/>
            </w:pPr>
            <w:r>
              <w:rPr>
                <w:rFonts w:hint="eastAsia"/>
              </w:rPr>
              <w:t>-65,334,635.70</w:t>
            </w:r>
          </w:p>
        </w:tc>
        <w:tc>
          <w:tcPr>
            <w:tcW w:w="1661" w:type="dxa"/>
            <w:vAlign w:val="center"/>
          </w:tcPr>
          <w:p w14:paraId="4D63A121">
            <w:pPr>
              <w:jc w:val="right"/>
            </w:pPr>
            <w:r>
              <w:rPr>
                <w:rFonts w:hint="eastAsia"/>
              </w:rPr>
              <w:t>-</w:t>
            </w:r>
          </w:p>
        </w:tc>
        <w:tc>
          <w:tcPr>
            <w:tcW w:w="1661" w:type="dxa"/>
            <w:vAlign w:val="center"/>
          </w:tcPr>
          <w:p w14:paraId="2382570D">
            <w:pPr>
              <w:jc w:val="right"/>
            </w:pPr>
            <w:r>
              <w:rPr>
                <w:rFonts w:hint="eastAsia"/>
              </w:rPr>
              <w:t>14,009,952.58</w:t>
            </w:r>
          </w:p>
        </w:tc>
        <w:tc>
          <w:tcPr>
            <w:tcW w:w="1661" w:type="dxa"/>
            <w:vAlign w:val="center"/>
          </w:tcPr>
          <w:p w14:paraId="41CA0BFB">
            <w:pPr>
              <w:jc w:val="right"/>
            </w:pPr>
            <w:r>
              <w:rPr>
                <w:rFonts w:hint="eastAsia"/>
              </w:rPr>
              <w:t>-51,324,683.12</w:t>
            </w:r>
          </w:p>
        </w:tc>
      </w:tr>
      <w:tr w14:paraId="5013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C8E6C">
            <w:r>
              <w:rPr>
                <w:rFonts w:hint="eastAsia"/>
              </w:rPr>
              <w:t>（三）、本期向基金份额持有人分配利润产生的净资产变动（净资产减少以“-”号填列）</w:t>
            </w:r>
          </w:p>
        </w:tc>
        <w:tc>
          <w:tcPr>
            <w:tcW w:w="1661" w:type="dxa"/>
            <w:vAlign w:val="center"/>
          </w:tcPr>
          <w:p w14:paraId="495248E0">
            <w:pPr>
              <w:jc w:val="right"/>
            </w:pPr>
            <w:r>
              <w:rPr>
                <w:rFonts w:hint="eastAsia"/>
              </w:rPr>
              <w:t>-</w:t>
            </w:r>
          </w:p>
        </w:tc>
        <w:tc>
          <w:tcPr>
            <w:tcW w:w="1661" w:type="dxa"/>
            <w:vAlign w:val="center"/>
          </w:tcPr>
          <w:p w14:paraId="568D229D">
            <w:pPr>
              <w:jc w:val="right"/>
            </w:pPr>
            <w:r>
              <w:rPr>
                <w:rFonts w:hint="eastAsia"/>
              </w:rPr>
              <w:t>-</w:t>
            </w:r>
          </w:p>
        </w:tc>
        <w:tc>
          <w:tcPr>
            <w:tcW w:w="1661" w:type="dxa"/>
            <w:vAlign w:val="center"/>
          </w:tcPr>
          <w:p w14:paraId="39EE7222">
            <w:pPr>
              <w:jc w:val="right"/>
            </w:pPr>
            <w:r>
              <w:rPr>
                <w:rFonts w:hint="eastAsia"/>
              </w:rPr>
              <w:t>-</w:t>
            </w:r>
          </w:p>
        </w:tc>
        <w:tc>
          <w:tcPr>
            <w:tcW w:w="1661" w:type="dxa"/>
            <w:vAlign w:val="center"/>
          </w:tcPr>
          <w:p w14:paraId="690441C9">
            <w:pPr>
              <w:jc w:val="right"/>
            </w:pPr>
            <w:r>
              <w:rPr>
                <w:rFonts w:hint="eastAsia"/>
              </w:rPr>
              <w:t>-</w:t>
            </w:r>
          </w:p>
        </w:tc>
      </w:tr>
      <w:tr w14:paraId="077B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13AA0">
            <w:r>
              <w:rPr>
                <w:rFonts w:hint="eastAsia"/>
              </w:rPr>
              <w:t>（四）、其他综合收益结转留存收益</w:t>
            </w:r>
          </w:p>
        </w:tc>
        <w:tc>
          <w:tcPr>
            <w:tcW w:w="1661" w:type="dxa"/>
            <w:vAlign w:val="center"/>
          </w:tcPr>
          <w:p w14:paraId="62F53280">
            <w:pPr>
              <w:jc w:val="right"/>
            </w:pPr>
            <w:r>
              <w:rPr>
                <w:rFonts w:hint="eastAsia"/>
              </w:rPr>
              <w:t>-</w:t>
            </w:r>
          </w:p>
        </w:tc>
        <w:tc>
          <w:tcPr>
            <w:tcW w:w="1661" w:type="dxa"/>
            <w:vAlign w:val="center"/>
          </w:tcPr>
          <w:p w14:paraId="1F006987">
            <w:pPr>
              <w:jc w:val="right"/>
            </w:pPr>
            <w:r>
              <w:rPr>
                <w:rFonts w:hint="eastAsia"/>
              </w:rPr>
              <w:t>-</w:t>
            </w:r>
          </w:p>
        </w:tc>
        <w:tc>
          <w:tcPr>
            <w:tcW w:w="1661" w:type="dxa"/>
            <w:vAlign w:val="center"/>
          </w:tcPr>
          <w:p w14:paraId="24D1729B">
            <w:pPr>
              <w:jc w:val="right"/>
            </w:pPr>
            <w:r>
              <w:rPr>
                <w:rFonts w:hint="eastAsia"/>
              </w:rPr>
              <w:t>-</w:t>
            </w:r>
          </w:p>
        </w:tc>
        <w:tc>
          <w:tcPr>
            <w:tcW w:w="1661" w:type="dxa"/>
            <w:vAlign w:val="center"/>
          </w:tcPr>
          <w:p w14:paraId="6DE29FCA">
            <w:pPr>
              <w:jc w:val="right"/>
            </w:pPr>
            <w:r>
              <w:rPr>
                <w:rFonts w:hint="eastAsia"/>
              </w:rPr>
              <w:t>-</w:t>
            </w:r>
          </w:p>
        </w:tc>
      </w:tr>
      <w:tr w14:paraId="11F9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CF484">
            <w:r>
              <w:rPr>
                <w:rFonts w:hint="eastAsia"/>
              </w:rPr>
              <w:t>四、本期期末净资产</w:t>
            </w:r>
          </w:p>
        </w:tc>
        <w:tc>
          <w:tcPr>
            <w:tcW w:w="1661" w:type="dxa"/>
            <w:vAlign w:val="center"/>
          </w:tcPr>
          <w:p w14:paraId="44AE463C">
            <w:pPr>
              <w:jc w:val="right"/>
            </w:pPr>
            <w:r>
              <w:rPr>
                <w:rFonts w:hint="eastAsia"/>
              </w:rPr>
              <w:t>34,167,044.22</w:t>
            </w:r>
          </w:p>
        </w:tc>
        <w:tc>
          <w:tcPr>
            <w:tcW w:w="1661" w:type="dxa"/>
            <w:vAlign w:val="center"/>
          </w:tcPr>
          <w:p w14:paraId="4A0661F7">
            <w:pPr>
              <w:jc w:val="right"/>
            </w:pPr>
            <w:r>
              <w:rPr>
                <w:rFonts w:hint="eastAsia"/>
              </w:rPr>
              <w:t>-</w:t>
            </w:r>
          </w:p>
        </w:tc>
        <w:tc>
          <w:tcPr>
            <w:tcW w:w="1661" w:type="dxa"/>
            <w:vAlign w:val="center"/>
          </w:tcPr>
          <w:p w14:paraId="04226CCE">
            <w:pPr>
              <w:jc w:val="right"/>
            </w:pPr>
            <w:r>
              <w:rPr>
                <w:rFonts w:hint="eastAsia"/>
              </w:rPr>
              <w:t>-7,261,273.68</w:t>
            </w:r>
          </w:p>
        </w:tc>
        <w:tc>
          <w:tcPr>
            <w:tcW w:w="1661" w:type="dxa"/>
            <w:vAlign w:val="center"/>
          </w:tcPr>
          <w:p w14:paraId="565F2962">
            <w:pPr>
              <w:jc w:val="right"/>
            </w:pPr>
            <w:r>
              <w:rPr>
                <w:rFonts w:hint="eastAsia"/>
              </w:rPr>
              <w:t>26,905,770.54</w:t>
            </w:r>
          </w:p>
        </w:tc>
      </w:tr>
    </w:tbl>
    <w:p w14:paraId="45615CC4">
      <w:pPr>
        <w:pStyle w:val="18"/>
        <w:rPr>
          <w:rFonts w:hint="eastAsia"/>
        </w:rPr>
      </w:pPr>
      <w:r>
        <w:rPr>
          <w:rFonts w:hint="eastAsia"/>
        </w:rPr>
        <w:t>报表附注为财务报表的组成部分。</w:t>
      </w:r>
    </w:p>
    <w:p w14:paraId="11874372">
      <w:pPr>
        <w:pStyle w:val="18"/>
        <w:rPr>
          <w:rFonts w:hint="eastAsia"/>
        </w:rPr>
      </w:pPr>
      <w:r>
        <w:rPr>
          <w:rFonts w:hint="eastAsia"/>
        </w:rPr>
        <w:t>本报告 7.1 至 7.4 财务报表由下列负责人签署：</w:t>
      </w:r>
    </w:p>
    <w:p w14:paraId="359E6737">
      <w:pPr>
        <w:pStyle w:val="18"/>
        <w:rPr>
          <w:rFonts w:hint="eastAsia"/>
        </w:rPr>
      </w:pPr>
      <w:r>
        <w:rPr>
          <w:rFonts w:hint="eastAsia"/>
        </w:rPr>
        <w:t>____杨小松___           ____蔡忠评______          ____徐超____</w:t>
      </w:r>
    </w:p>
    <w:p w14:paraId="176CBAB7">
      <w:pPr>
        <w:pStyle w:val="18"/>
        <w:rPr>
          <w:rFonts w:hint="eastAsia"/>
        </w:rPr>
      </w:pPr>
      <w:r>
        <w:rPr>
          <w:rFonts w:hint="eastAsia"/>
        </w:rPr>
        <w:t>基金管理人负责人     主管会计工作负责人         会计机构负责人</w:t>
      </w:r>
    </w:p>
    <w:p w14:paraId="17663597">
      <w:pPr>
        <w:pStyle w:val="23"/>
      </w:pPr>
      <w:bookmarkStart w:id="52" w:name="_Toc8252"/>
      <w:r>
        <w:t>报表附注</w:t>
      </w:r>
      <w:bookmarkEnd w:id="52"/>
    </w:p>
    <w:p w14:paraId="7269B18E">
      <w:pPr>
        <w:pStyle w:val="28"/>
      </w:pPr>
      <w:bookmarkStart w:id="53" w:name="_Toc53"/>
      <w:r>
        <w:t>基金基本情况</w:t>
      </w:r>
      <w:bookmarkEnd w:id="53"/>
    </w:p>
    <w:p w14:paraId="1853DA70">
      <w:pPr>
        <w:pStyle w:val="18"/>
        <w:rPr>
          <w:rFonts w:hint="eastAsia"/>
        </w:rPr>
      </w:pPr>
      <w:r>
        <w:rPr>
          <w:rFonts w:hint="eastAsia"/>
        </w:rPr>
        <w:t>南方恒生生物科技交易型开放式指数证券投资基金发起式联接基金(QDII)(原名为“南方恒生香港上市生物科技交易型开放式指数证券投资基金发起式联接基金(QDII)”,以下简称“本基金”)经中国证券监督管理委员会(以下简称“中国证监会”)证监许可[2023]62号《关于准予南方恒生香港上市生物科技交易型开放式指数证券投资基金发起式联接基金(QDII)注册的批复》注册，由南方基金管理股份有限公司依照《中华人民共和国证券投资基金法》和《南方恒生香港上市生物科技交易型开放式指数证券投资基金发起式联接基金(QDII)基金合同》负责公开募集。本基金为契约型开放式，存续期限不定，首次设立募集不包括认购资金利息共募集人民币13,891,109.09元，业经普华永道中天会计师事务所(特殊普通合伙)普华永道中天验字(2023)第0294号验资报告予以验证。经向中国证监会备案，《南方恒生香港上市生物科技交易型开放式指数证券投资基金发起式联接基金(QDII)基金合同》于2023年5月30日正式生效，基金合同生效日的基金份额总额为13,894,965.52份基金份额，其中认购资金利息折合3,856.43份基金份额。本基金的基金管理人为南方基金管理股份有限公司，基金托管人为中国农业银行股份有限公司，境外托管人为美国花旗银行有限公司。</w:t>
      </w:r>
    </w:p>
    <w:p w14:paraId="2CBFEBB0">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1CF23A18">
      <w:pPr>
        <w:pStyle w:val="18"/>
        <w:rPr>
          <w:rFonts w:hint="eastAsia"/>
        </w:rPr>
      </w:pPr>
      <w:r>
        <w:rPr>
          <w:rFonts w:hint="eastAsia"/>
        </w:rPr>
        <w:t>根据本基金的基金管理人南方基金管理股份有限公司于2024年4月22日发布的《南方基金管理股份有限公司关于旗下部分指数基金增设I类基金份额并修订基金合同的公告》以及更新后的《南方恒生香港上市生物科技交易型开放式指数证券投资基金发起式联接基金(QDII)基金合同》的有关规定，自2024年4月22日起，本基金增设I类基金份额。本基金根据认购/申购费用、销售服务费收取方式的不同，将基金份额分为不同的类别。在投资人认购/申购时收取前端认购/申购费用并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12CA0776">
      <w:pPr>
        <w:pStyle w:val="18"/>
        <w:rPr>
          <w:rFonts w:hint="eastAsia"/>
        </w:rPr>
      </w:pPr>
      <w:r>
        <w:rPr>
          <w:rFonts w:hint="eastAsia"/>
        </w:rPr>
        <w:t>根据本基金的基金管理人南方基金管理股份有限公司于2024年12月6日发布的《关于南方恒生香港上市生物科技交易型开放式指数证券投资基金发起式联接基金(QDII)变更基金名称并修改相关法律文件的公告》,本基金自2024年12月9日起更名为南方恒生生物科技交易型开放式指数证券投资基金发起式联接基金(QDII)。</w:t>
      </w:r>
    </w:p>
    <w:p w14:paraId="67F7AC8F">
      <w:pPr>
        <w:pStyle w:val="18"/>
        <w:rPr>
          <w:rFonts w:hint="eastAsia"/>
        </w:rPr>
      </w:pPr>
      <w:r>
        <w:rPr>
          <w:rFonts w:hint="eastAsia"/>
        </w:rPr>
        <w:t>本基金为南方恒生生物科技交易型开放式指数证券投资基金(QDII)(原名为“南方恒生香港上市生物科技交易型开放式指数证券投资基金(QDII)”，自2024年12月9日起更名，以下简称“目标ETF”)的联接基金。目标ETF是采用完全复制法实现对恒生生物科技指数(以下简称“标的指数”)紧密跟踪的被动指数基金，本基金主要通过投资于目标ETF实现对业绩比较基准的紧密跟踪，力争净值增长率与业绩比较基准之间的日均跟踪偏离度不超过0.35%，年跟踪误差不超过4%。</w:t>
      </w:r>
    </w:p>
    <w:p w14:paraId="6CE2C6F9">
      <w:pPr>
        <w:pStyle w:val="18"/>
        <w:rPr>
          <w:rFonts w:hint="eastAsia"/>
        </w:rPr>
      </w:pPr>
      <w:r>
        <w:rPr>
          <w:rFonts w:hint="eastAsia"/>
        </w:rPr>
        <w:t>根据《中华人民共和国证券投资基金法》和《南方恒生生物科技交易型开放式指数证券投资基金发起式联接基金(QDII)基金合同》的有关规定，本基金主要投资于目标ETF基金份额、标的指数成份股、备选成份股(包括内地与香港股票市场交易互联互通机制允许买卖的规定范围内的香港联合交易所上市的股票(简称“港股通股票”)、香港联合交易所上市的其他股票和存托凭证等)。本基金可少量投资于非成份股(包含主板、创业板及其他经中国证监会核准或注册发行的股票、港股通股票、香港联合交易所上市的其他股票和存托凭证等)；政府债券、公司债券(包括公司发行的金融债券)、可转换债券、可交换债券、住房按揭支持证券、资产支持证券等，以及中国证监会认可的国际金融组织发行的证券；在已与中国证监会签署双边监管合作谅解备忘录的国家或地区证券市场挂牌交易的其他普通股、优先股、全球存托凭证和美国存托凭证、房地产信托凭证；在已与中国证监会签署双边监管合作谅解备忘录的国家或地区证券监管机构登记注册的公募基金(包括ETF)；银行存款、可转让存单、银行承兑汇票、银行票据、商业票据、回购协议、短期政府债券等货币市场工具；股指期货、股票期权；远期合约、互换及经中国证监会认可的境外交易所上市交易的权证、期权、期货等金融衍生产品；与固定收益、股权、信用、商品指数、基金等标的物挂钩的境外结构性投资产品；以及中国证监会允许基金投资的其他金融工具。其中在投资香港市场时，本基金可通过合格境内机构投资者(QDII)境外投资额度或内地与香港股票市场交易互联互通机制进行投资。本基金可以进行境外证券借贷交易、境外正回购交易、逆回购交易。有关证券借贷交易的内容以专门签署的三方或多方协议约定为准。本基金的投资组合比例为：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经估值汇率调整后的恒生生物科技指数收益率×95%+银行活期存款利率(税后)×5%。</w:t>
      </w:r>
    </w:p>
    <w:p w14:paraId="524DDABB">
      <w:pPr>
        <w:pStyle w:val="18"/>
        <w:rPr>
          <w:rFonts w:hint="eastAsia"/>
        </w:rPr>
      </w:pPr>
      <w:r>
        <w:rPr>
          <w:rFonts w:hint="eastAsia"/>
        </w:rPr>
        <w:t>本财务报表由本基金的基金管理人南方基金管理股份有限公司于2026年3月27日批准报出。</w:t>
      </w:r>
    </w:p>
    <w:p w14:paraId="3B2EC51E">
      <w:pPr>
        <w:pStyle w:val="28"/>
      </w:pPr>
      <w:bookmarkStart w:id="54" w:name="_Toc54"/>
      <w:r>
        <w:t>会计报表的编制基础</w:t>
      </w:r>
      <w:bookmarkEnd w:id="54"/>
    </w:p>
    <w:p w14:paraId="0F239D5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8EDC1B9">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10805109">
      <w:pPr>
        <w:pStyle w:val="28"/>
      </w:pPr>
      <w:bookmarkStart w:id="55" w:name="_Toc55"/>
      <w:r>
        <w:t>遵循企业会计准则及其他有关规定的声明</w:t>
      </w:r>
      <w:bookmarkEnd w:id="55"/>
    </w:p>
    <w:p w14:paraId="5548DF4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55A7821">
      <w:pPr>
        <w:pStyle w:val="28"/>
      </w:pPr>
      <w:bookmarkStart w:id="56" w:name="_Toc56"/>
      <w:r>
        <w:t>重要会计政策和会计估计</w:t>
      </w:r>
      <w:bookmarkEnd w:id="56"/>
    </w:p>
    <w:p w14:paraId="0D63B2E3">
      <w:pPr>
        <w:pStyle w:val="35"/>
      </w:pPr>
      <w:bookmarkStart w:id="57" w:name="_Toc57"/>
      <w:r>
        <w:t>会计年度</w:t>
      </w:r>
      <w:bookmarkEnd w:id="57"/>
    </w:p>
    <w:p w14:paraId="7F9D4604">
      <w:pPr>
        <w:pStyle w:val="18"/>
        <w:rPr>
          <w:rFonts w:hint="eastAsia"/>
        </w:rPr>
      </w:pPr>
      <w:r>
        <w:rPr>
          <w:rFonts w:hint="eastAsia"/>
        </w:rPr>
        <w:t>本基金会计年度为公历1月1日起至12月31日止。</w:t>
      </w:r>
    </w:p>
    <w:p w14:paraId="220A44A3">
      <w:pPr>
        <w:pStyle w:val="35"/>
      </w:pPr>
      <w:bookmarkStart w:id="58" w:name="_Toc58"/>
      <w:r>
        <w:t>记账本位币</w:t>
      </w:r>
      <w:bookmarkEnd w:id="58"/>
    </w:p>
    <w:p w14:paraId="3CD04736">
      <w:pPr>
        <w:pStyle w:val="18"/>
        <w:rPr>
          <w:rFonts w:hint="eastAsia"/>
        </w:rPr>
      </w:pPr>
      <w:r>
        <w:rPr>
          <w:rFonts w:hint="eastAsia"/>
        </w:rPr>
        <w:t>本基金的记账本位币为人民币。</w:t>
      </w:r>
    </w:p>
    <w:p w14:paraId="203B1528">
      <w:pPr>
        <w:pStyle w:val="35"/>
      </w:pPr>
      <w:bookmarkStart w:id="59" w:name="_Toc59"/>
      <w:r>
        <w:t>金融资产和金融负债的分类</w:t>
      </w:r>
      <w:bookmarkEnd w:id="59"/>
    </w:p>
    <w:p w14:paraId="0096A02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067212D">
      <w:pPr>
        <w:pStyle w:val="18"/>
        <w:rPr>
          <w:rFonts w:hint="eastAsia"/>
        </w:rPr>
      </w:pPr>
      <w:r>
        <w:rPr>
          <w:rFonts w:hint="eastAsia"/>
        </w:rPr>
        <w:t>(1)金融资产</w:t>
      </w:r>
    </w:p>
    <w:p w14:paraId="4D2892E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FBF9965">
      <w:pPr>
        <w:pStyle w:val="18"/>
        <w:rPr>
          <w:rFonts w:hint="eastAsia"/>
        </w:rPr>
      </w:pPr>
      <w:r>
        <w:rPr>
          <w:rFonts w:hint="eastAsia"/>
        </w:rPr>
        <w:t>债务工具</w:t>
      </w:r>
    </w:p>
    <w:p w14:paraId="04DF5A7B">
      <w:pPr>
        <w:pStyle w:val="18"/>
        <w:rPr>
          <w:rFonts w:hint="eastAsia"/>
        </w:rPr>
      </w:pPr>
      <w:r>
        <w:rPr>
          <w:rFonts w:hint="eastAsia"/>
        </w:rPr>
        <w:t>本基金持有的债务工具是指从发行方角度分析符合金融负债定义的工具，分别采用以下两种方式进行计量：</w:t>
      </w:r>
    </w:p>
    <w:p w14:paraId="2EC9B607">
      <w:pPr>
        <w:pStyle w:val="18"/>
        <w:rPr>
          <w:rFonts w:hint="eastAsia"/>
        </w:rPr>
      </w:pPr>
      <w:r>
        <w:rPr>
          <w:rFonts w:hint="eastAsia"/>
        </w:rPr>
        <w:t>以摊余成本计量：</w:t>
      </w:r>
    </w:p>
    <w:p w14:paraId="3E48449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2AF7441">
      <w:pPr>
        <w:pStyle w:val="18"/>
        <w:rPr>
          <w:rFonts w:hint="eastAsia"/>
        </w:rPr>
      </w:pPr>
      <w:r>
        <w:rPr>
          <w:rFonts w:hint="eastAsia"/>
        </w:rPr>
        <w:t>以公允价值计量且其变动计入当期损益：</w:t>
      </w:r>
    </w:p>
    <w:p w14:paraId="1A00136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D285385">
      <w:pPr>
        <w:pStyle w:val="18"/>
        <w:rPr>
          <w:rFonts w:hint="eastAsia"/>
        </w:rPr>
      </w:pPr>
      <w:r>
        <w:rPr>
          <w:rFonts w:hint="eastAsia"/>
        </w:rPr>
        <w:t>权益工具</w:t>
      </w:r>
    </w:p>
    <w:p w14:paraId="28DE857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39DBAF1">
      <w:pPr>
        <w:pStyle w:val="18"/>
        <w:rPr>
          <w:rFonts w:hint="eastAsia"/>
        </w:rPr>
      </w:pPr>
      <w:r>
        <w:rPr>
          <w:rFonts w:hint="eastAsia"/>
        </w:rPr>
        <w:t>(2)金融负债</w:t>
      </w:r>
    </w:p>
    <w:p w14:paraId="1B21C319">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75710E2">
      <w:pPr>
        <w:pStyle w:val="18"/>
        <w:rPr>
          <w:rFonts w:hint="eastAsia"/>
        </w:rPr>
      </w:pPr>
      <w:r>
        <w:rPr>
          <w:rFonts w:hint="eastAsia"/>
        </w:rPr>
        <w:t>(3)衍生金融工具</w:t>
      </w:r>
    </w:p>
    <w:p w14:paraId="7F7ED4E8">
      <w:pPr>
        <w:pStyle w:val="18"/>
        <w:rPr>
          <w:rFonts w:hint="eastAsia"/>
        </w:rPr>
      </w:pPr>
      <w:r>
        <w:rPr>
          <w:rFonts w:hint="eastAsia"/>
        </w:rPr>
        <w:t>本基金将持有的衍生金融工具以公允价值计量且其变动计入当期损益，在资产负债表中列示为衍生金融资产/负债。</w:t>
      </w:r>
    </w:p>
    <w:p w14:paraId="0CF5A2A9">
      <w:pPr>
        <w:pStyle w:val="35"/>
      </w:pPr>
      <w:bookmarkStart w:id="60" w:name="_Toc60"/>
      <w:r>
        <w:t>金融资产和金融负债的初始确认、后续计量和终止确认</w:t>
      </w:r>
      <w:bookmarkEnd w:id="60"/>
    </w:p>
    <w:p w14:paraId="2F15F00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5F840F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04796D4">
      <w:pPr>
        <w:pStyle w:val="18"/>
        <w:rPr>
          <w:rFonts w:hint="eastAsia"/>
        </w:rPr>
      </w:pPr>
      <w:r>
        <w:rPr>
          <w:rFonts w:hint="eastAsia"/>
        </w:rPr>
        <w:t>本基金对于以摊余成本计量的金融资产，以预期信用损失为基础确认损失准备。</w:t>
      </w:r>
    </w:p>
    <w:p w14:paraId="0523368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DBC4AF3">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15EA22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C456D71">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8DD2219">
      <w:pPr>
        <w:pStyle w:val="18"/>
        <w:rPr>
          <w:rFonts w:hint="eastAsia"/>
        </w:rPr>
      </w:pPr>
      <w:r>
        <w:rPr>
          <w:rFonts w:hint="eastAsia"/>
        </w:rPr>
        <w:t>本基金将计提或转回的损失准备计入当期损益。</w:t>
      </w:r>
    </w:p>
    <w:p w14:paraId="7CA37C48">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72620B7">
      <w:pPr>
        <w:pStyle w:val="18"/>
        <w:rPr>
          <w:rFonts w:hint="eastAsia"/>
        </w:rPr>
      </w:pPr>
      <w:r>
        <w:rPr>
          <w:rFonts w:hint="eastAsia"/>
        </w:rPr>
        <w:t>金融资产终止确认时，其账面价值与收到的对价的差额，计入当期损益。</w:t>
      </w:r>
    </w:p>
    <w:p w14:paraId="1405D67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B89A372">
      <w:pPr>
        <w:pStyle w:val="35"/>
      </w:pPr>
      <w:bookmarkStart w:id="61" w:name="_Toc61"/>
      <w:r>
        <w:t>金融资产和金融负债的估值原则</w:t>
      </w:r>
      <w:bookmarkEnd w:id="61"/>
    </w:p>
    <w:p w14:paraId="5B9E9079">
      <w:pPr>
        <w:pStyle w:val="18"/>
        <w:rPr>
          <w:rFonts w:hint="eastAsia"/>
        </w:rPr>
      </w:pPr>
      <w:r>
        <w:rPr>
          <w:rFonts w:hint="eastAsia"/>
        </w:rPr>
        <w:t>本基金持有的以公允价值计量且其变动计入当期损益的金融资产按如下原则确定公允价值并进行估值：</w:t>
      </w:r>
    </w:p>
    <w:p w14:paraId="0B6E994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E89A10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7123C1E">
      <w:pPr>
        <w:pStyle w:val="18"/>
        <w:rPr>
          <w:rFonts w:hint="eastAsia"/>
        </w:rPr>
      </w:pPr>
      <w:r>
        <w:rPr>
          <w:rFonts w:hint="eastAsia"/>
        </w:rPr>
        <w:t>(3)如经济环境发生重大变化或证券发行人发生影响金融工具价格的重大事件，应对估值进行调整并确定公允价值。</w:t>
      </w:r>
    </w:p>
    <w:p w14:paraId="6D18A10D">
      <w:pPr>
        <w:pStyle w:val="35"/>
      </w:pPr>
      <w:bookmarkStart w:id="62" w:name="_Toc62"/>
      <w:r>
        <w:t>金融资产和金融负债的抵销</w:t>
      </w:r>
      <w:bookmarkEnd w:id="62"/>
    </w:p>
    <w:p w14:paraId="3158B39C">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FA6FB3D">
      <w:pPr>
        <w:pStyle w:val="35"/>
      </w:pPr>
      <w:bookmarkStart w:id="63" w:name="_Toc63"/>
      <w:r>
        <w:t>实收基金</w:t>
      </w:r>
      <w:bookmarkEnd w:id="63"/>
    </w:p>
    <w:p w14:paraId="2351C97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7FA1DE4C">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A1D001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E3570F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A1C22C3">
      <w:pPr>
        <w:pStyle w:val="18"/>
        <w:rPr>
          <w:rFonts w:hint="eastAsia"/>
        </w:rPr>
      </w:pPr>
      <w:r>
        <w:rPr>
          <w:rFonts w:hint="eastAsia"/>
        </w:rPr>
        <w:t>本基金将实收基金分类为权益工具，列报于净资产。</w:t>
      </w:r>
    </w:p>
    <w:p w14:paraId="70B0C730">
      <w:pPr>
        <w:pStyle w:val="35"/>
      </w:pPr>
      <w:bookmarkStart w:id="64" w:name="_Toc64"/>
      <w:r>
        <w:t>损益平准金</w:t>
      </w:r>
      <w:bookmarkEnd w:id="64"/>
    </w:p>
    <w:p w14:paraId="488D659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37AB537">
      <w:pPr>
        <w:pStyle w:val="35"/>
      </w:pPr>
      <w:bookmarkStart w:id="65" w:name="_Toc65"/>
      <w:r>
        <w:t>收入/（损失）的确认和计量</w:t>
      </w:r>
      <w:bookmarkEnd w:id="65"/>
    </w:p>
    <w:p w14:paraId="274603AF">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002BECD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BC84FB3">
      <w:pPr>
        <w:pStyle w:val="18"/>
        <w:rPr>
          <w:rFonts w:hint="eastAsia"/>
        </w:rPr>
      </w:pPr>
      <w:r>
        <w:rPr>
          <w:rFonts w:hint="eastAsia"/>
        </w:rPr>
        <w:t>应收款项在持有期间确认的利息收入按实际利率法计算，实际利率法与直线法差异较小的则按直线法计算。</w:t>
      </w:r>
    </w:p>
    <w:p w14:paraId="7B48959E">
      <w:pPr>
        <w:pStyle w:val="35"/>
      </w:pPr>
      <w:bookmarkStart w:id="66" w:name="_Toc66"/>
      <w:r>
        <w:t>费用的确认和计量</w:t>
      </w:r>
      <w:bookmarkEnd w:id="66"/>
    </w:p>
    <w:p w14:paraId="6DC96A5F">
      <w:pPr>
        <w:pStyle w:val="18"/>
        <w:rPr>
          <w:rFonts w:hint="eastAsia"/>
        </w:rPr>
      </w:pPr>
      <w:r>
        <w:rPr>
          <w:rFonts w:hint="eastAsia"/>
        </w:rPr>
        <w:t>本基金的管理人报酬、托管费和销售服务费在费用涵盖期间按基金合同约定的费率和计算方法逐日确认。</w:t>
      </w:r>
    </w:p>
    <w:p w14:paraId="1C4818F0">
      <w:pPr>
        <w:pStyle w:val="18"/>
        <w:rPr>
          <w:rFonts w:hint="eastAsia"/>
        </w:rPr>
      </w:pPr>
      <w:r>
        <w:rPr>
          <w:rFonts w:hint="eastAsia"/>
        </w:rPr>
        <w:t>以摊余成本计量的金融负债在持有期间确认的利息支出按实际利率法计算，实际利率法与直线法差异较小的则按直线法计算。</w:t>
      </w:r>
    </w:p>
    <w:p w14:paraId="504DF704">
      <w:pPr>
        <w:pStyle w:val="35"/>
      </w:pPr>
      <w:bookmarkStart w:id="67" w:name="_Toc67"/>
      <w:r>
        <w:t>基金的收益分配政策</w:t>
      </w:r>
      <w:bookmarkEnd w:id="67"/>
    </w:p>
    <w:p w14:paraId="7742BE79">
      <w:pPr>
        <w:pStyle w:val="18"/>
        <w:rPr>
          <w:rFonts w:hint="eastAsia"/>
        </w:rPr>
      </w:pPr>
      <w:r>
        <w:rPr>
          <w:rFonts w:hint="eastAsia"/>
        </w:rPr>
        <w:t>本基金同一类别的每一基金份额享有同等分配权。本基金的收益分配仅采用现金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B63DFCB">
      <w:pPr>
        <w:pStyle w:val="18"/>
        <w:rPr>
          <w:rFonts w:hint="eastAsia"/>
        </w:rPr>
      </w:pPr>
      <w:r>
        <w:rPr>
          <w:rFonts w:hint="eastAsia"/>
        </w:rPr>
        <w:t>经宣告的拟分配基金收益于分红除权日从净资产转出。</w:t>
      </w:r>
    </w:p>
    <w:p w14:paraId="28DEB871">
      <w:pPr>
        <w:pStyle w:val="35"/>
      </w:pPr>
      <w:bookmarkStart w:id="68" w:name="_Toc68"/>
      <w:r>
        <w:t>外币交易</w:t>
      </w:r>
      <w:bookmarkEnd w:id="68"/>
    </w:p>
    <w:p w14:paraId="5DD08212">
      <w:pPr>
        <w:pStyle w:val="18"/>
        <w:rPr>
          <w:rFonts w:hint="eastAsia"/>
        </w:rPr>
      </w:pPr>
      <w:r>
        <w:rPr>
          <w:rFonts w:hint="eastAsia"/>
        </w:rPr>
        <w:t>外币交易按交易发生日的即期汇率将外币金额折算为人民币入账。</w:t>
      </w:r>
    </w:p>
    <w:p w14:paraId="715E100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7B9140CD">
      <w:pPr>
        <w:pStyle w:val="35"/>
      </w:pPr>
      <w:bookmarkStart w:id="69" w:name="_Toc69"/>
      <w:r>
        <w:t>分部报告</w:t>
      </w:r>
      <w:bookmarkEnd w:id="69"/>
    </w:p>
    <w:p w14:paraId="03F5438F">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5DAE5F9">
      <w:pPr>
        <w:pStyle w:val="18"/>
        <w:rPr>
          <w:rFonts w:hint="eastAsia"/>
        </w:rPr>
      </w:pPr>
      <w:r>
        <w:rPr>
          <w:rFonts w:hint="eastAsia"/>
        </w:rPr>
        <w:t>本基金目前以一个单一的经营分部运作，不需要披露分部信息。</w:t>
      </w:r>
    </w:p>
    <w:p w14:paraId="713D13A5">
      <w:pPr>
        <w:pStyle w:val="35"/>
      </w:pPr>
      <w:bookmarkStart w:id="70" w:name="_Toc70"/>
      <w:r>
        <w:t>其他重要的会计政策和会计估计</w:t>
      </w:r>
      <w:bookmarkEnd w:id="70"/>
    </w:p>
    <w:p w14:paraId="7B43226A">
      <w:pPr>
        <w:pStyle w:val="18"/>
        <w:rPr>
          <w:rFonts w:hint="eastAsia"/>
        </w:rPr>
      </w:pPr>
      <w:r>
        <w:rPr>
          <w:rFonts w:hint="eastAsia"/>
        </w:rPr>
        <w:t>无。</w:t>
      </w:r>
    </w:p>
    <w:p w14:paraId="7BFA93F9">
      <w:pPr>
        <w:pStyle w:val="28"/>
      </w:pPr>
      <w:bookmarkStart w:id="71" w:name="_Toc71"/>
      <w:r>
        <w:t>会计政策和会计估计变更以及差错更正的说明</w:t>
      </w:r>
      <w:bookmarkEnd w:id="71"/>
    </w:p>
    <w:p w14:paraId="0A408F49">
      <w:pPr>
        <w:pStyle w:val="35"/>
      </w:pPr>
      <w:bookmarkStart w:id="72" w:name="_Toc72"/>
      <w:r>
        <w:t>会计政策变更的说明</w:t>
      </w:r>
      <w:bookmarkEnd w:id="72"/>
    </w:p>
    <w:p w14:paraId="44686727">
      <w:pPr>
        <w:pStyle w:val="18"/>
        <w:rPr>
          <w:rFonts w:hint="eastAsia"/>
        </w:rPr>
      </w:pPr>
      <w:r>
        <w:rPr>
          <w:rFonts w:hint="eastAsia"/>
        </w:rPr>
        <w:t>本基金本报告期未发生会计政策变更。</w:t>
      </w:r>
    </w:p>
    <w:p w14:paraId="3A554DA6">
      <w:pPr>
        <w:pStyle w:val="35"/>
      </w:pPr>
      <w:bookmarkStart w:id="73" w:name="_Toc73"/>
      <w:r>
        <w:t>会计估计变更的说明</w:t>
      </w:r>
      <w:bookmarkEnd w:id="73"/>
    </w:p>
    <w:p w14:paraId="738DEFAC">
      <w:pPr>
        <w:pStyle w:val="18"/>
        <w:rPr>
          <w:rFonts w:hint="eastAsia"/>
        </w:rPr>
      </w:pPr>
      <w:r>
        <w:rPr>
          <w:rFonts w:hint="eastAsia"/>
        </w:rPr>
        <w:t>本基金本报告期未发生会计估计变更。</w:t>
      </w:r>
    </w:p>
    <w:p w14:paraId="3093F3FA">
      <w:pPr>
        <w:pStyle w:val="35"/>
      </w:pPr>
      <w:bookmarkStart w:id="74" w:name="_Toc74"/>
      <w:r>
        <w:t>差错更正的说明</w:t>
      </w:r>
      <w:bookmarkEnd w:id="74"/>
    </w:p>
    <w:p w14:paraId="3A6F0D28">
      <w:pPr>
        <w:pStyle w:val="18"/>
        <w:rPr>
          <w:rFonts w:hint="eastAsia"/>
        </w:rPr>
      </w:pPr>
      <w:r>
        <w:rPr>
          <w:rFonts w:hint="eastAsia"/>
        </w:rPr>
        <w:t>本基金在本报告期间无须说明的会计差错更正。</w:t>
      </w:r>
    </w:p>
    <w:p w14:paraId="03E8F683">
      <w:pPr>
        <w:pStyle w:val="28"/>
      </w:pPr>
      <w:bookmarkStart w:id="75" w:name="_Toc75"/>
      <w:r>
        <w:t>税项</w:t>
      </w:r>
      <w:bookmarkEnd w:id="75"/>
    </w:p>
    <w:p w14:paraId="752CBDD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境内外财税法规和实务操作，主要税项列示如下：</w:t>
      </w:r>
    </w:p>
    <w:p w14:paraId="16B634F1">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8E5722D">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38D112A">
      <w:pPr>
        <w:pStyle w:val="18"/>
        <w:rPr>
          <w:rFonts w:hint="eastAsia"/>
        </w:rPr>
      </w:pPr>
      <w:r>
        <w:rPr>
          <w:rFonts w:hint="eastAsia"/>
        </w:rPr>
        <w:t>(2)目前基金取得的源自境外的差价收入，其涉及的境外所得税税收政策，按照相关国家或地区税收法律和法规执行，在境内暂不征收企业所得税。</w:t>
      </w:r>
    </w:p>
    <w:p w14:paraId="1A7916DC">
      <w:pPr>
        <w:pStyle w:val="18"/>
        <w:rPr>
          <w:rFonts w:hint="eastAsia"/>
        </w:rPr>
      </w:pPr>
      <w:r>
        <w:rPr>
          <w:rFonts w:hint="eastAsia"/>
        </w:rPr>
        <w:t>对基金从境内证券市场中取得的收入，包括买卖股票的差价收入，股票的股息、红利收入及其他收入，暂不征收企业所得税。</w:t>
      </w:r>
    </w:p>
    <w:p w14:paraId="4E3A98C3">
      <w:pPr>
        <w:pStyle w:val="18"/>
        <w:rPr>
          <w:rFonts w:hint="eastAsia"/>
        </w:rPr>
      </w:pPr>
      <w:r>
        <w:rPr>
          <w:rFonts w:hint="eastAsia"/>
        </w:rPr>
        <w:t>(3)目前基金取得的源自境外的股利收益，其涉及的境外所得税税收政策，按照相关国家或地区税收法律和法规执行，在境内暂不征收个人所得税和企业所得税。</w:t>
      </w:r>
    </w:p>
    <w:p w14:paraId="2985426A">
      <w:pPr>
        <w:pStyle w:val="18"/>
        <w:rPr>
          <w:rFonts w:hint="eastAsia"/>
        </w:rPr>
      </w:pPr>
      <w:r>
        <w:rPr>
          <w:rFonts w:hint="eastAsia"/>
        </w:rPr>
        <w:t>对基金从境内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1E6E3D3">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C475AA3">
      <w:pPr>
        <w:pStyle w:val="18"/>
        <w:rPr>
          <w:rFonts w:hint="eastAsia"/>
        </w:rPr>
      </w:pPr>
      <w:r>
        <w:rPr>
          <w:rFonts w:hint="eastAsia"/>
        </w:rPr>
        <w:t>(4)基金卖出境内股票按0.1%的税率缴纳股票交易印花税，买入境内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018C432F">
      <w:pPr>
        <w:pStyle w:val="18"/>
        <w:rPr>
          <w:rFonts w:hint="eastAsia"/>
        </w:rPr>
      </w:pPr>
      <w:r>
        <w:rPr>
          <w:rFonts w:hint="eastAsia"/>
        </w:rPr>
        <w:t>(5)本基金的城市维护建设税、教育费附加和地方教育附加等税费按照实际缴纳增值税额的适用比例计算缴纳。</w:t>
      </w:r>
    </w:p>
    <w:p w14:paraId="34470017">
      <w:pPr>
        <w:pStyle w:val="28"/>
      </w:pPr>
      <w:bookmarkStart w:id="76" w:name="_Toc76"/>
      <w:r>
        <w:t>重要财务报表项目的说明</w:t>
      </w:r>
      <w:bookmarkEnd w:id="76"/>
    </w:p>
    <w:p w14:paraId="5C2B79EC">
      <w:pPr>
        <w:pStyle w:val="35"/>
      </w:pPr>
      <w:bookmarkStart w:id="77" w:name="_Toc77"/>
      <w:r>
        <w:t>货币资金</w:t>
      </w:r>
      <w:bookmarkEnd w:id="77"/>
    </w:p>
    <w:p w14:paraId="326ACA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52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EF2CF5">
            <w:pPr>
              <w:jc w:val="center"/>
            </w:pPr>
            <w:r>
              <w:rPr>
                <w:rFonts w:hint="eastAsia"/>
                <w:b/>
              </w:rPr>
              <w:t>项目</w:t>
            </w:r>
          </w:p>
        </w:tc>
        <w:tc>
          <w:tcPr>
            <w:tcW w:w="2768" w:type="dxa"/>
            <w:shd w:val="clear" w:color="auto" w:fill="BFBFBF"/>
            <w:vAlign w:val="center"/>
          </w:tcPr>
          <w:p w14:paraId="5F8D0C2E">
            <w:pPr>
              <w:jc w:val="center"/>
            </w:pPr>
            <w:r>
              <w:rPr>
                <w:rFonts w:hint="eastAsia"/>
                <w:b/>
              </w:rPr>
              <w:t>本期末2025年12月31日</w:t>
            </w:r>
          </w:p>
        </w:tc>
        <w:tc>
          <w:tcPr>
            <w:tcW w:w="2768" w:type="dxa"/>
            <w:shd w:val="clear" w:color="auto" w:fill="BFBFBF"/>
            <w:vAlign w:val="center"/>
          </w:tcPr>
          <w:p w14:paraId="3799787A">
            <w:pPr>
              <w:jc w:val="center"/>
            </w:pPr>
            <w:r>
              <w:rPr>
                <w:rFonts w:hint="eastAsia"/>
                <w:b/>
              </w:rPr>
              <w:t>上年度末2024年12月31日</w:t>
            </w:r>
          </w:p>
        </w:tc>
      </w:tr>
      <w:tr w14:paraId="22B3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51F07">
            <w:r>
              <w:rPr>
                <w:rFonts w:hint="eastAsia"/>
              </w:rPr>
              <w:t>活期存款</w:t>
            </w:r>
          </w:p>
        </w:tc>
        <w:tc>
          <w:tcPr>
            <w:tcW w:w="2768" w:type="dxa"/>
            <w:vAlign w:val="center"/>
          </w:tcPr>
          <w:p w14:paraId="7EDEB8D9">
            <w:pPr>
              <w:jc w:val="right"/>
            </w:pPr>
            <w:r>
              <w:rPr>
                <w:rFonts w:hint="eastAsia"/>
              </w:rPr>
              <w:t>10,723,747.36</w:t>
            </w:r>
          </w:p>
        </w:tc>
        <w:tc>
          <w:tcPr>
            <w:tcW w:w="2768" w:type="dxa"/>
            <w:vAlign w:val="center"/>
          </w:tcPr>
          <w:p w14:paraId="29EADFBC">
            <w:pPr>
              <w:jc w:val="right"/>
            </w:pPr>
            <w:r>
              <w:rPr>
                <w:rFonts w:hint="eastAsia"/>
              </w:rPr>
              <w:t>1,460,991.21</w:t>
            </w:r>
          </w:p>
        </w:tc>
      </w:tr>
      <w:tr w14:paraId="2F99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77459">
            <w:r>
              <w:rPr>
                <w:rFonts w:hint="eastAsia"/>
              </w:rPr>
              <w:t>等于：本金</w:t>
            </w:r>
          </w:p>
        </w:tc>
        <w:tc>
          <w:tcPr>
            <w:tcW w:w="2768" w:type="dxa"/>
            <w:vAlign w:val="center"/>
          </w:tcPr>
          <w:p w14:paraId="19AEAF37">
            <w:pPr>
              <w:jc w:val="right"/>
            </w:pPr>
            <w:r>
              <w:rPr>
                <w:rFonts w:hint="eastAsia"/>
              </w:rPr>
              <w:t>10,722,628.82</w:t>
            </w:r>
          </w:p>
        </w:tc>
        <w:tc>
          <w:tcPr>
            <w:tcW w:w="2768" w:type="dxa"/>
            <w:vAlign w:val="center"/>
          </w:tcPr>
          <w:p w14:paraId="7A0C5157">
            <w:pPr>
              <w:jc w:val="right"/>
            </w:pPr>
            <w:r>
              <w:rPr>
                <w:rFonts w:hint="eastAsia"/>
              </w:rPr>
              <w:t>1,460,669.61</w:t>
            </w:r>
          </w:p>
        </w:tc>
      </w:tr>
      <w:tr w14:paraId="0EEB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D1C92">
            <w:r>
              <w:rPr>
                <w:rFonts w:hint="eastAsia"/>
              </w:rPr>
              <w:t xml:space="preserve">      加：应计利息</w:t>
            </w:r>
          </w:p>
        </w:tc>
        <w:tc>
          <w:tcPr>
            <w:tcW w:w="2768" w:type="dxa"/>
            <w:vAlign w:val="center"/>
          </w:tcPr>
          <w:p w14:paraId="70C29FC2">
            <w:pPr>
              <w:jc w:val="right"/>
            </w:pPr>
            <w:r>
              <w:rPr>
                <w:rFonts w:hint="eastAsia"/>
              </w:rPr>
              <w:t>1,118.54</w:t>
            </w:r>
          </w:p>
        </w:tc>
        <w:tc>
          <w:tcPr>
            <w:tcW w:w="2768" w:type="dxa"/>
            <w:vAlign w:val="center"/>
          </w:tcPr>
          <w:p w14:paraId="49FE5A46">
            <w:pPr>
              <w:jc w:val="right"/>
            </w:pPr>
            <w:r>
              <w:rPr>
                <w:rFonts w:hint="eastAsia"/>
              </w:rPr>
              <w:t>321.60</w:t>
            </w:r>
          </w:p>
        </w:tc>
      </w:tr>
      <w:tr w14:paraId="4276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22EF1">
            <w:r>
              <w:rPr>
                <w:rFonts w:hint="eastAsia"/>
              </w:rPr>
              <w:t xml:space="preserve">      减：坏账准备</w:t>
            </w:r>
          </w:p>
        </w:tc>
        <w:tc>
          <w:tcPr>
            <w:tcW w:w="2768" w:type="dxa"/>
            <w:vAlign w:val="center"/>
          </w:tcPr>
          <w:p w14:paraId="56B54A2B">
            <w:pPr>
              <w:jc w:val="right"/>
            </w:pPr>
            <w:r>
              <w:rPr>
                <w:rFonts w:hint="eastAsia"/>
              </w:rPr>
              <w:t>-</w:t>
            </w:r>
          </w:p>
        </w:tc>
        <w:tc>
          <w:tcPr>
            <w:tcW w:w="2768" w:type="dxa"/>
            <w:vAlign w:val="center"/>
          </w:tcPr>
          <w:p w14:paraId="5C13D5E5">
            <w:pPr>
              <w:jc w:val="right"/>
            </w:pPr>
            <w:r>
              <w:rPr>
                <w:rFonts w:hint="eastAsia"/>
              </w:rPr>
              <w:t>-</w:t>
            </w:r>
          </w:p>
        </w:tc>
      </w:tr>
      <w:tr w14:paraId="62CF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2A2E5">
            <w:r>
              <w:rPr>
                <w:rFonts w:hint="eastAsia"/>
              </w:rPr>
              <w:t>定期存款</w:t>
            </w:r>
          </w:p>
        </w:tc>
        <w:tc>
          <w:tcPr>
            <w:tcW w:w="2768" w:type="dxa"/>
            <w:vAlign w:val="center"/>
          </w:tcPr>
          <w:p w14:paraId="2019F6E3">
            <w:pPr>
              <w:jc w:val="right"/>
            </w:pPr>
            <w:r>
              <w:rPr>
                <w:rFonts w:hint="eastAsia"/>
              </w:rPr>
              <w:t>-</w:t>
            </w:r>
          </w:p>
        </w:tc>
        <w:tc>
          <w:tcPr>
            <w:tcW w:w="2768" w:type="dxa"/>
            <w:vAlign w:val="center"/>
          </w:tcPr>
          <w:p w14:paraId="7FC6C2B3">
            <w:pPr>
              <w:jc w:val="right"/>
            </w:pPr>
            <w:r>
              <w:rPr>
                <w:rFonts w:hint="eastAsia"/>
              </w:rPr>
              <w:t>-</w:t>
            </w:r>
          </w:p>
        </w:tc>
      </w:tr>
      <w:tr w14:paraId="6A14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1442C">
            <w:r>
              <w:rPr>
                <w:rFonts w:hint="eastAsia"/>
              </w:rPr>
              <w:t>等于：本金</w:t>
            </w:r>
          </w:p>
        </w:tc>
        <w:tc>
          <w:tcPr>
            <w:tcW w:w="2768" w:type="dxa"/>
            <w:vAlign w:val="center"/>
          </w:tcPr>
          <w:p w14:paraId="50FC081C">
            <w:pPr>
              <w:jc w:val="right"/>
            </w:pPr>
            <w:r>
              <w:rPr>
                <w:rFonts w:hint="eastAsia"/>
              </w:rPr>
              <w:t>-</w:t>
            </w:r>
          </w:p>
        </w:tc>
        <w:tc>
          <w:tcPr>
            <w:tcW w:w="2768" w:type="dxa"/>
            <w:vAlign w:val="center"/>
          </w:tcPr>
          <w:p w14:paraId="4BFA0A72">
            <w:pPr>
              <w:jc w:val="right"/>
            </w:pPr>
            <w:r>
              <w:rPr>
                <w:rFonts w:hint="eastAsia"/>
              </w:rPr>
              <w:t>-</w:t>
            </w:r>
          </w:p>
        </w:tc>
      </w:tr>
      <w:tr w14:paraId="2DF5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C0646">
            <w:r>
              <w:rPr>
                <w:rFonts w:hint="eastAsia"/>
              </w:rPr>
              <w:t xml:space="preserve">      加：应计利息</w:t>
            </w:r>
          </w:p>
        </w:tc>
        <w:tc>
          <w:tcPr>
            <w:tcW w:w="2768" w:type="dxa"/>
            <w:vAlign w:val="center"/>
          </w:tcPr>
          <w:p w14:paraId="6549DFF3">
            <w:pPr>
              <w:jc w:val="right"/>
            </w:pPr>
            <w:r>
              <w:rPr>
                <w:rFonts w:hint="eastAsia"/>
              </w:rPr>
              <w:t>-</w:t>
            </w:r>
          </w:p>
        </w:tc>
        <w:tc>
          <w:tcPr>
            <w:tcW w:w="2768" w:type="dxa"/>
            <w:vAlign w:val="center"/>
          </w:tcPr>
          <w:p w14:paraId="76679275">
            <w:pPr>
              <w:jc w:val="right"/>
            </w:pPr>
            <w:r>
              <w:rPr>
                <w:rFonts w:hint="eastAsia"/>
              </w:rPr>
              <w:t>-</w:t>
            </w:r>
          </w:p>
        </w:tc>
      </w:tr>
      <w:tr w14:paraId="283F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6DC7B">
            <w:r>
              <w:rPr>
                <w:rFonts w:hint="eastAsia"/>
              </w:rPr>
              <w:t xml:space="preserve">      减：坏账准备</w:t>
            </w:r>
          </w:p>
        </w:tc>
        <w:tc>
          <w:tcPr>
            <w:tcW w:w="2768" w:type="dxa"/>
            <w:vAlign w:val="center"/>
          </w:tcPr>
          <w:p w14:paraId="14FEBFEA">
            <w:pPr>
              <w:jc w:val="right"/>
            </w:pPr>
            <w:r>
              <w:rPr>
                <w:rFonts w:hint="eastAsia"/>
              </w:rPr>
              <w:t>-</w:t>
            </w:r>
          </w:p>
        </w:tc>
        <w:tc>
          <w:tcPr>
            <w:tcW w:w="2768" w:type="dxa"/>
            <w:vAlign w:val="center"/>
          </w:tcPr>
          <w:p w14:paraId="2896E013">
            <w:pPr>
              <w:jc w:val="right"/>
            </w:pPr>
            <w:r>
              <w:rPr>
                <w:rFonts w:hint="eastAsia"/>
              </w:rPr>
              <w:t>-</w:t>
            </w:r>
          </w:p>
        </w:tc>
      </w:tr>
      <w:tr w14:paraId="0E88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E8C51">
            <w:r>
              <w:rPr>
                <w:rFonts w:hint="eastAsia"/>
              </w:rPr>
              <w:t>其中：存款期限1个月以内</w:t>
            </w:r>
          </w:p>
        </w:tc>
        <w:tc>
          <w:tcPr>
            <w:tcW w:w="2768" w:type="dxa"/>
            <w:vAlign w:val="center"/>
          </w:tcPr>
          <w:p w14:paraId="4EC84C2B">
            <w:pPr>
              <w:jc w:val="right"/>
            </w:pPr>
            <w:r>
              <w:rPr>
                <w:rFonts w:hint="eastAsia"/>
              </w:rPr>
              <w:t>-</w:t>
            </w:r>
          </w:p>
        </w:tc>
        <w:tc>
          <w:tcPr>
            <w:tcW w:w="2768" w:type="dxa"/>
            <w:vAlign w:val="center"/>
          </w:tcPr>
          <w:p w14:paraId="0B67F995">
            <w:pPr>
              <w:jc w:val="right"/>
            </w:pPr>
            <w:r>
              <w:rPr>
                <w:rFonts w:hint="eastAsia"/>
              </w:rPr>
              <w:t>-</w:t>
            </w:r>
          </w:p>
        </w:tc>
      </w:tr>
      <w:tr w14:paraId="0D58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E01B0">
            <w:r>
              <w:rPr>
                <w:rFonts w:hint="eastAsia"/>
              </w:rPr>
              <w:t xml:space="preserve">      存款期限1-3个月</w:t>
            </w:r>
          </w:p>
        </w:tc>
        <w:tc>
          <w:tcPr>
            <w:tcW w:w="2768" w:type="dxa"/>
            <w:vAlign w:val="center"/>
          </w:tcPr>
          <w:p w14:paraId="42D55FF3">
            <w:pPr>
              <w:jc w:val="right"/>
            </w:pPr>
            <w:r>
              <w:rPr>
                <w:rFonts w:hint="eastAsia"/>
              </w:rPr>
              <w:t>-</w:t>
            </w:r>
          </w:p>
        </w:tc>
        <w:tc>
          <w:tcPr>
            <w:tcW w:w="2768" w:type="dxa"/>
            <w:vAlign w:val="center"/>
          </w:tcPr>
          <w:p w14:paraId="2570E9D8">
            <w:pPr>
              <w:jc w:val="right"/>
            </w:pPr>
            <w:r>
              <w:rPr>
                <w:rFonts w:hint="eastAsia"/>
              </w:rPr>
              <w:t>-</w:t>
            </w:r>
          </w:p>
        </w:tc>
      </w:tr>
      <w:tr w14:paraId="6230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A2794">
            <w:r>
              <w:rPr>
                <w:rFonts w:hint="eastAsia"/>
              </w:rPr>
              <w:t xml:space="preserve">      存款期限3个月以上</w:t>
            </w:r>
          </w:p>
        </w:tc>
        <w:tc>
          <w:tcPr>
            <w:tcW w:w="2768" w:type="dxa"/>
            <w:vAlign w:val="center"/>
          </w:tcPr>
          <w:p w14:paraId="54812BF9">
            <w:pPr>
              <w:jc w:val="right"/>
            </w:pPr>
            <w:r>
              <w:rPr>
                <w:rFonts w:hint="eastAsia"/>
              </w:rPr>
              <w:t>-</w:t>
            </w:r>
          </w:p>
        </w:tc>
        <w:tc>
          <w:tcPr>
            <w:tcW w:w="2768" w:type="dxa"/>
            <w:vAlign w:val="center"/>
          </w:tcPr>
          <w:p w14:paraId="657AB1BD">
            <w:pPr>
              <w:jc w:val="right"/>
            </w:pPr>
            <w:r>
              <w:rPr>
                <w:rFonts w:hint="eastAsia"/>
              </w:rPr>
              <w:t>-</w:t>
            </w:r>
          </w:p>
        </w:tc>
      </w:tr>
      <w:tr w14:paraId="4BAB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554CF">
            <w:r>
              <w:rPr>
                <w:rFonts w:hint="eastAsia"/>
              </w:rPr>
              <w:t>其他存款</w:t>
            </w:r>
          </w:p>
        </w:tc>
        <w:tc>
          <w:tcPr>
            <w:tcW w:w="2768" w:type="dxa"/>
            <w:vAlign w:val="center"/>
          </w:tcPr>
          <w:p w14:paraId="32754D25">
            <w:pPr>
              <w:jc w:val="right"/>
            </w:pPr>
            <w:r>
              <w:rPr>
                <w:rFonts w:hint="eastAsia"/>
              </w:rPr>
              <w:t>-</w:t>
            </w:r>
          </w:p>
        </w:tc>
        <w:tc>
          <w:tcPr>
            <w:tcW w:w="2768" w:type="dxa"/>
            <w:vAlign w:val="center"/>
          </w:tcPr>
          <w:p w14:paraId="3C07B8B9">
            <w:pPr>
              <w:jc w:val="right"/>
            </w:pPr>
            <w:r>
              <w:rPr>
                <w:rFonts w:hint="eastAsia"/>
              </w:rPr>
              <w:t>-</w:t>
            </w:r>
          </w:p>
        </w:tc>
      </w:tr>
      <w:tr w14:paraId="4D6B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97151">
            <w:r>
              <w:rPr>
                <w:rFonts w:hint="eastAsia"/>
              </w:rPr>
              <w:t>等于：本金</w:t>
            </w:r>
          </w:p>
        </w:tc>
        <w:tc>
          <w:tcPr>
            <w:tcW w:w="2768" w:type="dxa"/>
            <w:vAlign w:val="center"/>
          </w:tcPr>
          <w:p w14:paraId="3B87CDDA">
            <w:pPr>
              <w:jc w:val="right"/>
            </w:pPr>
            <w:r>
              <w:rPr>
                <w:rFonts w:hint="eastAsia"/>
              </w:rPr>
              <w:t>-</w:t>
            </w:r>
          </w:p>
        </w:tc>
        <w:tc>
          <w:tcPr>
            <w:tcW w:w="2768" w:type="dxa"/>
            <w:vAlign w:val="center"/>
          </w:tcPr>
          <w:p w14:paraId="003B936B">
            <w:pPr>
              <w:jc w:val="right"/>
            </w:pPr>
            <w:r>
              <w:rPr>
                <w:rFonts w:hint="eastAsia"/>
              </w:rPr>
              <w:t>-</w:t>
            </w:r>
          </w:p>
        </w:tc>
      </w:tr>
      <w:tr w14:paraId="14FD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78787">
            <w:r>
              <w:rPr>
                <w:rFonts w:hint="eastAsia"/>
              </w:rPr>
              <w:t xml:space="preserve">      加：应计利息</w:t>
            </w:r>
          </w:p>
        </w:tc>
        <w:tc>
          <w:tcPr>
            <w:tcW w:w="2768" w:type="dxa"/>
            <w:vAlign w:val="center"/>
          </w:tcPr>
          <w:p w14:paraId="08A05285">
            <w:pPr>
              <w:jc w:val="right"/>
            </w:pPr>
            <w:r>
              <w:rPr>
                <w:rFonts w:hint="eastAsia"/>
              </w:rPr>
              <w:t>-</w:t>
            </w:r>
          </w:p>
        </w:tc>
        <w:tc>
          <w:tcPr>
            <w:tcW w:w="2768" w:type="dxa"/>
            <w:vAlign w:val="center"/>
          </w:tcPr>
          <w:p w14:paraId="02B55702">
            <w:pPr>
              <w:jc w:val="right"/>
            </w:pPr>
            <w:r>
              <w:rPr>
                <w:rFonts w:hint="eastAsia"/>
              </w:rPr>
              <w:t>-</w:t>
            </w:r>
          </w:p>
        </w:tc>
      </w:tr>
      <w:tr w14:paraId="799B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33BA5">
            <w:r>
              <w:rPr>
                <w:rFonts w:hint="eastAsia"/>
              </w:rPr>
              <w:t xml:space="preserve">      减：坏账准备</w:t>
            </w:r>
          </w:p>
        </w:tc>
        <w:tc>
          <w:tcPr>
            <w:tcW w:w="2768" w:type="dxa"/>
            <w:vAlign w:val="center"/>
          </w:tcPr>
          <w:p w14:paraId="51BCC8EE">
            <w:pPr>
              <w:jc w:val="right"/>
            </w:pPr>
            <w:r>
              <w:rPr>
                <w:rFonts w:hint="eastAsia"/>
              </w:rPr>
              <w:t>-</w:t>
            </w:r>
          </w:p>
        </w:tc>
        <w:tc>
          <w:tcPr>
            <w:tcW w:w="2768" w:type="dxa"/>
            <w:vAlign w:val="center"/>
          </w:tcPr>
          <w:p w14:paraId="3D70FF62">
            <w:pPr>
              <w:jc w:val="right"/>
            </w:pPr>
            <w:r>
              <w:rPr>
                <w:rFonts w:hint="eastAsia"/>
              </w:rPr>
              <w:t>-</w:t>
            </w:r>
          </w:p>
        </w:tc>
      </w:tr>
      <w:tr w14:paraId="742B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11D54">
            <w:r>
              <w:rPr>
                <w:rFonts w:hint="eastAsia"/>
              </w:rPr>
              <w:t>合计</w:t>
            </w:r>
          </w:p>
        </w:tc>
        <w:tc>
          <w:tcPr>
            <w:tcW w:w="2768" w:type="dxa"/>
            <w:vAlign w:val="center"/>
          </w:tcPr>
          <w:p w14:paraId="6D7BF0EC">
            <w:pPr>
              <w:jc w:val="right"/>
            </w:pPr>
            <w:r>
              <w:rPr>
                <w:rFonts w:hint="eastAsia"/>
              </w:rPr>
              <w:t>10,723,747.36</w:t>
            </w:r>
          </w:p>
        </w:tc>
        <w:tc>
          <w:tcPr>
            <w:tcW w:w="2768" w:type="dxa"/>
            <w:vAlign w:val="center"/>
          </w:tcPr>
          <w:p w14:paraId="28BBA753">
            <w:pPr>
              <w:jc w:val="right"/>
            </w:pPr>
            <w:r>
              <w:rPr>
                <w:rFonts w:hint="eastAsia"/>
              </w:rPr>
              <w:t>1,460,991.21</w:t>
            </w:r>
          </w:p>
        </w:tc>
      </w:tr>
    </w:tbl>
    <w:p w14:paraId="7CD3F992">
      <w:pPr>
        <w:pStyle w:val="35"/>
      </w:pPr>
      <w:bookmarkStart w:id="78" w:name="_Toc78"/>
      <w:r>
        <w:t>交易性金融资产</w:t>
      </w:r>
      <w:bookmarkEnd w:id="78"/>
    </w:p>
    <w:p w14:paraId="7DCE5D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890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93F387A">
            <w:r>
              <w:rPr>
                <w:rFonts w:hint="eastAsia"/>
              </w:rPr>
              <w:t>项目</w:t>
            </w:r>
          </w:p>
        </w:tc>
        <w:tc>
          <w:tcPr>
            <w:tcW w:w="1860" w:type="dxa"/>
            <w:gridSpan w:val="4"/>
            <w:vAlign w:val="center"/>
          </w:tcPr>
          <w:p w14:paraId="21EAA4B8">
            <w:r>
              <w:rPr>
                <w:rFonts w:hint="eastAsia"/>
              </w:rPr>
              <w:t>本期末2025年12月31日</w:t>
            </w:r>
          </w:p>
        </w:tc>
      </w:tr>
      <w:tr w14:paraId="173B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FD8734"/>
        </w:tc>
        <w:tc>
          <w:tcPr>
            <w:tcW w:w="1860" w:type="dxa"/>
            <w:vAlign w:val="center"/>
          </w:tcPr>
          <w:p w14:paraId="3A323AA2">
            <w:r>
              <w:rPr>
                <w:rFonts w:hint="eastAsia"/>
              </w:rPr>
              <w:t>成本</w:t>
            </w:r>
          </w:p>
        </w:tc>
        <w:tc>
          <w:tcPr>
            <w:tcW w:w="1517" w:type="dxa"/>
            <w:vAlign w:val="center"/>
          </w:tcPr>
          <w:p w14:paraId="032DFB9B">
            <w:r>
              <w:rPr>
                <w:rFonts w:hint="eastAsia"/>
              </w:rPr>
              <w:t>应计利息</w:t>
            </w:r>
          </w:p>
        </w:tc>
        <w:tc>
          <w:tcPr>
            <w:tcW w:w="1860" w:type="dxa"/>
            <w:vAlign w:val="center"/>
          </w:tcPr>
          <w:p w14:paraId="5645A74B">
            <w:r>
              <w:rPr>
                <w:rFonts w:hint="eastAsia"/>
              </w:rPr>
              <w:t>公允价值</w:t>
            </w:r>
          </w:p>
        </w:tc>
        <w:tc>
          <w:tcPr>
            <w:tcW w:w="1517" w:type="dxa"/>
            <w:vAlign w:val="center"/>
          </w:tcPr>
          <w:p w14:paraId="60807D54">
            <w:r>
              <w:rPr>
                <w:rFonts w:hint="eastAsia"/>
              </w:rPr>
              <w:t>公允价值变动</w:t>
            </w:r>
          </w:p>
        </w:tc>
      </w:tr>
      <w:tr w14:paraId="5B61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CC299A">
            <w:r>
              <w:rPr>
                <w:rFonts w:hint="eastAsia"/>
              </w:rPr>
              <w:t>股票</w:t>
            </w:r>
          </w:p>
        </w:tc>
        <w:tc>
          <w:tcPr>
            <w:tcW w:w="1860" w:type="dxa"/>
            <w:vAlign w:val="center"/>
          </w:tcPr>
          <w:p w14:paraId="1D2BE62B">
            <w:pPr>
              <w:jc w:val="right"/>
            </w:pPr>
            <w:r>
              <w:rPr>
                <w:rFonts w:hint="eastAsia"/>
              </w:rPr>
              <w:t>-</w:t>
            </w:r>
          </w:p>
        </w:tc>
        <w:tc>
          <w:tcPr>
            <w:tcW w:w="1517" w:type="dxa"/>
            <w:vAlign w:val="center"/>
          </w:tcPr>
          <w:p w14:paraId="3585230C">
            <w:pPr>
              <w:jc w:val="right"/>
            </w:pPr>
            <w:r>
              <w:rPr>
                <w:rFonts w:hint="eastAsia"/>
              </w:rPr>
              <w:t>-</w:t>
            </w:r>
          </w:p>
        </w:tc>
        <w:tc>
          <w:tcPr>
            <w:tcW w:w="1860" w:type="dxa"/>
            <w:vAlign w:val="center"/>
          </w:tcPr>
          <w:p w14:paraId="71EDBD50">
            <w:pPr>
              <w:jc w:val="right"/>
            </w:pPr>
            <w:r>
              <w:rPr>
                <w:rFonts w:hint="eastAsia"/>
              </w:rPr>
              <w:t>-</w:t>
            </w:r>
          </w:p>
        </w:tc>
        <w:tc>
          <w:tcPr>
            <w:tcW w:w="1517" w:type="dxa"/>
            <w:vAlign w:val="center"/>
          </w:tcPr>
          <w:p w14:paraId="419B0181">
            <w:pPr>
              <w:jc w:val="right"/>
            </w:pPr>
            <w:r>
              <w:rPr>
                <w:rFonts w:hint="eastAsia"/>
              </w:rPr>
              <w:t>-</w:t>
            </w:r>
          </w:p>
        </w:tc>
      </w:tr>
      <w:tr w14:paraId="487D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5D9163">
            <w:r>
              <w:rPr>
                <w:rFonts w:hint="eastAsia"/>
              </w:rPr>
              <w:t>贵金属投资-金交所黄金合约</w:t>
            </w:r>
          </w:p>
        </w:tc>
        <w:tc>
          <w:tcPr>
            <w:tcW w:w="1860" w:type="dxa"/>
            <w:vAlign w:val="center"/>
          </w:tcPr>
          <w:p w14:paraId="65B9E541">
            <w:pPr>
              <w:jc w:val="right"/>
            </w:pPr>
            <w:r>
              <w:rPr>
                <w:rFonts w:hint="eastAsia"/>
              </w:rPr>
              <w:t>-</w:t>
            </w:r>
          </w:p>
        </w:tc>
        <w:tc>
          <w:tcPr>
            <w:tcW w:w="1517" w:type="dxa"/>
            <w:vAlign w:val="center"/>
          </w:tcPr>
          <w:p w14:paraId="026F59E9">
            <w:pPr>
              <w:jc w:val="right"/>
            </w:pPr>
            <w:r>
              <w:rPr>
                <w:rFonts w:hint="eastAsia"/>
              </w:rPr>
              <w:t>-</w:t>
            </w:r>
          </w:p>
        </w:tc>
        <w:tc>
          <w:tcPr>
            <w:tcW w:w="1860" w:type="dxa"/>
            <w:vAlign w:val="center"/>
          </w:tcPr>
          <w:p w14:paraId="05C9BF7E">
            <w:pPr>
              <w:jc w:val="right"/>
            </w:pPr>
            <w:r>
              <w:rPr>
                <w:rFonts w:hint="eastAsia"/>
              </w:rPr>
              <w:t>-</w:t>
            </w:r>
          </w:p>
        </w:tc>
        <w:tc>
          <w:tcPr>
            <w:tcW w:w="1517" w:type="dxa"/>
            <w:vAlign w:val="center"/>
          </w:tcPr>
          <w:p w14:paraId="07C9B3C0">
            <w:pPr>
              <w:jc w:val="right"/>
            </w:pPr>
            <w:r>
              <w:rPr>
                <w:rFonts w:hint="eastAsia"/>
              </w:rPr>
              <w:t>-</w:t>
            </w:r>
          </w:p>
        </w:tc>
      </w:tr>
      <w:tr w14:paraId="45EA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C708F5">
            <w:r>
              <w:rPr>
                <w:rFonts w:hint="eastAsia"/>
              </w:rPr>
              <w:t>债券</w:t>
            </w:r>
          </w:p>
        </w:tc>
        <w:tc>
          <w:tcPr>
            <w:tcW w:w="897" w:type="dxa"/>
            <w:vAlign w:val="center"/>
          </w:tcPr>
          <w:p w14:paraId="423C78CD">
            <w:r>
              <w:rPr>
                <w:rFonts w:hint="eastAsia"/>
              </w:rPr>
              <w:t>交易所市场</w:t>
            </w:r>
          </w:p>
        </w:tc>
        <w:tc>
          <w:tcPr>
            <w:tcW w:w="1860" w:type="dxa"/>
            <w:vAlign w:val="center"/>
          </w:tcPr>
          <w:p w14:paraId="5E9EA898">
            <w:pPr>
              <w:jc w:val="right"/>
            </w:pPr>
            <w:r>
              <w:rPr>
                <w:rFonts w:hint="eastAsia"/>
              </w:rPr>
              <w:t>2,997,887.00</w:t>
            </w:r>
          </w:p>
        </w:tc>
        <w:tc>
          <w:tcPr>
            <w:tcW w:w="1517" w:type="dxa"/>
            <w:vAlign w:val="center"/>
          </w:tcPr>
          <w:p w14:paraId="79668054">
            <w:pPr>
              <w:jc w:val="right"/>
            </w:pPr>
            <w:r>
              <w:rPr>
                <w:rFonts w:hint="eastAsia"/>
              </w:rPr>
              <w:t>33,465.21</w:t>
            </w:r>
          </w:p>
        </w:tc>
        <w:tc>
          <w:tcPr>
            <w:tcW w:w="1860" w:type="dxa"/>
            <w:vAlign w:val="center"/>
          </w:tcPr>
          <w:p w14:paraId="789DD678">
            <w:pPr>
              <w:jc w:val="right"/>
            </w:pPr>
            <w:r>
              <w:rPr>
                <w:rFonts w:hint="eastAsia"/>
              </w:rPr>
              <w:t>3,033,465.21</w:t>
            </w:r>
          </w:p>
        </w:tc>
        <w:tc>
          <w:tcPr>
            <w:tcW w:w="1517" w:type="dxa"/>
            <w:vAlign w:val="center"/>
          </w:tcPr>
          <w:p w14:paraId="15483D9E">
            <w:pPr>
              <w:jc w:val="right"/>
            </w:pPr>
            <w:r>
              <w:rPr>
                <w:rFonts w:hint="eastAsia"/>
              </w:rPr>
              <w:t>2,113.00</w:t>
            </w:r>
          </w:p>
        </w:tc>
      </w:tr>
      <w:tr w14:paraId="1771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BA3196"/>
        </w:tc>
        <w:tc>
          <w:tcPr>
            <w:tcW w:w="897" w:type="dxa"/>
            <w:vAlign w:val="center"/>
          </w:tcPr>
          <w:p w14:paraId="2C1D00D7">
            <w:r>
              <w:rPr>
                <w:rFonts w:hint="eastAsia"/>
              </w:rPr>
              <w:t>银行间市场</w:t>
            </w:r>
          </w:p>
        </w:tc>
        <w:tc>
          <w:tcPr>
            <w:tcW w:w="1860" w:type="dxa"/>
            <w:vAlign w:val="center"/>
          </w:tcPr>
          <w:p w14:paraId="6DE2A02A">
            <w:pPr>
              <w:jc w:val="right"/>
            </w:pPr>
            <w:r>
              <w:rPr>
                <w:rFonts w:hint="eastAsia"/>
              </w:rPr>
              <w:t>-</w:t>
            </w:r>
          </w:p>
        </w:tc>
        <w:tc>
          <w:tcPr>
            <w:tcW w:w="1517" w:type="dxa"/>
            <w:vAlign w:val="center"/>
          </w:tcPr>
          <w:p w14:paraId="261252A2">
            <w:pPr>
              <w:jc w:val="right"/>
            </w:pPr>
            <w:r>
              <w:rPr>
                <w:rFonts w:hint="eastAsia"/>
              </w:rPr>
              <w:t>-</w:t>
            </w:r>
          </w:p>
        </w:tc>
        <w:tc>
          <w:tcPr>
            <w:tcW w:w="1860" w:type="dxa"/>
            <w:vAlign w:val="center"/>
          </w:tcPr>
          <w:p w14:paraId="412AC3CB">
            <w:pPr>
              <w:jc w:val="right"/>
            </w:pPr>
            <w:r>
              <w:rPr>
                <w:rFonts w:hint="eastAsia"/>
              </w:rPr>
              <w:t>-</w:t>
            </w:r>
          </w:p>
        </w:tc>
        <w:tc>
          <w:tcPr>
            <w:tcW w:w="1517" w:type="dxa"/>
            <w:vAlign w:val="center"/>
          </w:tcPr>
          <w:p w14:paraId="3BFA7BF3">
            <w:pPr>
              <w:jc w:val="right"/>
            </w:pPr>
            <w:r>
              <w:rPr>
                <w:rFonts w:hint="eastAsia"/>
              </w:rPr>
              <w:t>-</w:t>
            </w:r>
          </w:p>
        </w:tc>
      </w:tr>
      <w:tr w14:paraId="0350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2D3050"/>
        </w:tc>
        <w:tc>
          <w:tcPr>
            <w:tcW w:w="897" w:type="dxa"/>
            <w:vAlign w:val="center"/>
          </w:tcPr>
          <w:p w14:paraId="0F258BED">
            <w:r>
              <w:rPr>
                <w:rFonts w:hint="eastAsia"/>
              </w:rPr>
              <w:t>合计</w:t>
            </w:r>
          </w:p>
        </w:tc>
        <w:tc>
          <w:tcPr>
            <w:tcW w:w="1860" w:type="dxa"/>
            <w:vAlign w:val="center"/>
          </w:tcPr>
          <w:p w14:paraId="6DFA4FBC">
            <w:pPr>
              <w:jc w:val="right"/>
            </w:pPr>
            <w:r>
              <w:rPr>
                <w:rFonts w:hint="eastAsia"/>
              </w:rPr>
              <w:t>2,997,887.00</w:t>
            </w:r>
          </w:p>
        </w:tc>
        <w:tc>
          <w:tcPr>
            <w:tcW w:w="1517" w:type="dxa"/>
            <w:vAlign w:val="center"/>
          </w:tcPr>
          <w:p w14:paraId="1DAA5AE8">
            <w:pPr>
              <w:jc w:val="right"/>
            </w:pPr>
            <w:r>
              <w:rPr>
                <w:rFonts w:hint="eastAsia"/>
              </w:rPr>
              <w:t>33,465.21</w:t>
            </w:r>
          </w:p>
        </w:tc>
        <w:tc>
          <w:tcPr>
            <w:tcW w:w="1860" w:type="dxa"/>
            <w:vAlign w:val="center"/>
          </w:tcPr>
          <w:p w14:paraId="61C3F752">
            <w:pPr>
              <w:jc w:val="right"/>
            </w:pPr>
            <w:r>
              <w:rPr>
                <w:rFonts w:hint="eastAsia"/>
              </w:rPr>
              <w:t>3,033,465.21</w:t>
            </w:r>
          </w:p>
        </w:tc>
        <w:tc>
          <w:tcPr>
            <w:tcW w:w="1517" w:type="dxa"/>
            <w:vAlign w:val="center"/>
          </w:tcPr>
          <w:p w14:paraId="67AE4A24">
            <w:pPr>
              <w:jc w:val="right"/>
            </w:pPr>
            <w:r>
              <w:rPr>
                <w:rFonts w:hint="eastAsia"/>
              </w:rPr>
              <w:t>2,113.00</w:t>
            </w:r>
          </w:p>
        </w:tc>
      </w:tr>
      <w:tr w14:paraId="5058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C9E23B">
            <w:r>
              <w:rPr>
                <w:rFonts w:hint="eastAsia"/>
              </w:rPr>
              <w:t>资产支持证券</w:t>
            </w:r>
          </w:p>
        </w:tc>
        <w:tc>
          <w:tcPr>
            <w:tcW w:w="1860" w:type="dxa"/>
            <w:vAlign w:val="center"/>
          </w:tcPr>
          <w:p w14:paraId="78FCAA55">
            <w:pPr>
              <w:jc w:val="right"/>
            </w:pPr>
            <w:r>
              <w:rPr>
                <w:rFonts w:hint="eastAsia"/>
              </w:rPr>
              <w:t>-</w:t>
            </w:r>
          </w:p>
        </w:tc>
        <w:tc>
          <w:tcPr>
            <w:tcW w:w="1517" w:type="dxa"/>
            <w:vAlign w:val="center"/>
          </w:tcPr>
          <w:p w14:paraId="38455134">
            <w:pPr>
              <w:jc w:val="right"/>
            </w:pPr>
            <w:r>
              <w:rPr>
                <w:rFonts w:hint="eastAsia"/>
              </w:rPr>
              <w:t>-</w:t>
            </w:r>
          </w:p>
        </w:tc>
        <w:tc>
          <w:tcPr>
            <w:tcW w:w="1860" w:type="dxa"/>
            <w:vAlign w:val="center"/>
          </w:tcPr>
          <w:p w14:paraId="1E5BF125">
            <w:pPr>
              <w:jc w:val="right"/>
            </w:pPr>
            <w:r>
              <w:rPr>
                <w:rFonts w:hint="eastAsia"/>
              </w:rPr>
              <w:t>-</w:t>
            </w:r>
          </w:p>
        </w:tc>
        <w:tc>
          <w:tcPr>
            <w:tcW w:w="1517" w:type="dxa"/>
            <w:vAlign w:val="center"/>
          </w:tcPr>
          <w:p w14:paraId="06D5D11E">
            <w:pPr>
              <w:jc w:val="right"/>
            </w:pPr>
            <w:r>
              <w:rPr>
                <w:rFonts w:hint="eastAsia"/>
              </w:rPr>
              <w:t>-</w:t>
            </w:r>
          </w:p>
        </w:tc>
      </w:tr>
      <w:tr w14:paraId="34CC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5EAA91">
            <w:r>
              <w:rPr>
                <w:rFonts w:hint="eastAsia"/>
              </w:rPr>
              <w:t>基金</w:t>
            </w:r>
          </w:p>
        </w:tc>
        <w:tc>
          <w:tcPr>
            <w:tcW w:w="1860" w:type="dxa"/>
            <w:vAlign w:val="center"/>
          </w:tcPr>
          <w:p w14:paraId="4B250018">
            <w:pPr>
              <w:jc w:val="right"/>
            </w:pPr>
            <w:r>
              <w:rPr>
                <w:rFonts w:hint="eastAsia"/>
              </w:rPr>
              <w:t>185,909,960.55</w:t>
            </w:r>
          </w:p>
        </w:tc>
        <w:tc>
          <w:tcPr>
            <w:tcW w:w="1517" w:type="dxa"/>
            <w:vAlign w:val="center"/>
          </w:tcPr>
          <w:p w14:paraId="7B25B61D">
            <w:pPr>
              <w:jc w:val="right"/>
            </w:pPr>
            <w:r>
              <w:rPr>
                <w:rFonts w:hint="eastAsia"/>
              </w:rPr>
              <w:t>-</w:t>
            </w:r>
          </w:p>
        </w:tc>
        <w:tc>
          <w:tcPr>
            <w:tcW w:w="1860" w:type="dxa"/>
            <w:vAlign w:val="center"/>
          </w:tcPr>
          <w:p w14:paraId="4F374EB2">
            <w:pPr>
              <w:jc w:val="right"/>
            </w:pPr>
            <w:r>
              <w:rPr>
                <w:rFonts w:hint="eastAsia"/>
              </w:rPr>
              <w:t>172,787,862.35</w:t>
            </w:r>
          </w:p>
        </w:tc>
        <w:tc>
          <w:tcPr>
            <w:tcW w:w="1517" w:type="dxa"/>
            <w:vAlign w:val="center"/>
          </w:tcPr>
          <w:p w14:paraId="74DD1997">
            <w:pPr>
              <w:jc w:val="right"/>
            </w:pPr>
            <w:r>
              <w:rPr>
                <w:rFonts w:hint="eastAsia"/>
              </w:rPr>
              <w:t>-13,122,098.20</w:t>
            </w:r>
          </w:p>
        </w:tc>
      </w:tr>
      <w:tr w14:paraId="344B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935BB6">
            <w:r>
              <w:rPr>
                <w:rFonts w:hint="eastAsia"/>
              </w:rPr>
              <w:t>其他</w:t>
            </w:r>
          </w:p>
        </w:tc>
        <w:tc>
          <w:tcPr>
            <w:tcW w:w="1860" w:type="dxa"/>
            <w:vAlign w:val="center"/>
          </w:tcPr>
          <w:p w14:paraId="7725BFA0">
            <w:pPr>
              <w:jc w:val="right"/>
            </w:pPr>
            <w:r>
              <w:rPr>
                <w:rFonts w:hint="eastAsia"/>
              </w:rPr>
              <w:t>-</w:t>
            </w:r>
          </w:p>
        </w:tc>
        <w:tc>
          <w:tcPr>
            <w:tcW w:w="1517" w:type="dxa"/>
            <w:vAlign w:val="center"/>
          </w:tcPr>
          <w:p w14:paraId="5866A9C1">
            <w:pPr>
              <w:jc w:val="right"/>
            </w:pPr>
            <w:r>
              <w:rPr>
                <w:rFonts w:hint="eastAsia"/>
              </w:rPr>
              <w:t>-</w:t>
            </w:r>
          </w:p>
        </w:tc>
        <w:tc>
          <w:tcPr>
            <w:tcW w:w="1860" w:type="dxa"/>
            <w:vAlign w:val="center"/>
          </w:tcPr>
          <w:p w14:paraId="595C44F2">
            <w:pPr>
              <w:jc w:val="right"/>
            </w:pPr>
            <w:r>
              <w:rPr>
                <w:rFonts w:hint="eastAsia"/>
              </w:rPr>
              <w:t>-</w:t>
            </w:r>
          </w:p>
        </w:tc>
        <w:tc>
          <w:tcPr>
            <w:tcW w:w="1517" w:type="dxa"/>
            <w:vAlign w:val="center"/>
          </w:tcPr>
          <w:p w14:paraId="568F7A39">
            <w:pPr>
              <w:jc w:val="right"/>
            </w:pPr>
            <w:r>
              <w:rPr>
                <w:rFonts w:hint="eastAsia"/>
              </w:rPr>
              <w:t>-</w:t>
            </w:r>
          </w:p>
        </w:tc>
      </w:tr>
      <w:tr w14:paraId="0D33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71B242">
            <w:r>
              <w:rPr>
                <w:rFonts w:hint="eastAsia"/>
              </w:rPr>
              <w:t>合计</w:t>
            </w:r>
          </w:p>
        </w:tc>
        <w:tc>
          <w:tcPr>
            <w:tcW w:w="1860" w:type="dxa"/>
            <w:vAlign w:val="center"/>
          </w:tcPr>
          <w:p w14:paraId="52E294F2">
            <w:pPr>
              <w:jc w:val="right"/>
            </w:pPr>
            <w:r>
              <w:rPr>
                <w:rFonts w:hint="eastAsia"/>
              </w:rPr>
              <w:t>188,907,847.55</w:t>
            </w:r>
          </w:p>
        </w:tc>
        <w:tc>
          <w:tcPr>
            <w:tcW w:w="1517" w:type="dxa"/>
            <w:vAlign w:val="center"/>
          </w:tcPr>
          <w:p w14:paraId="7F8DC702">
            <w:pPr>
              <w:jc w:val="right"/>
            </w:pPr>
            <w:r>
              <w:rPr>
                <w:rFonts w:hint="eastAsia"/>
              </w:rPr>
              <w:t>33,465.21</w:t>
            </w:r>
          </w:p>
        </w:tc>
        <w:tc>
          <w:tcPr>
            <w:tcW w:w="1860" w:type="dxa"/>
            <w:vAlign w:val="center"/>
          </w:tcPr>
          <w:p w14:paraId="6901F664">
            <w:pPr>
              <w:jc w:val="right"/>
            </w:pPr>
            <w:r>
              <w:rPr>
                <w:rFonts w:hint="eastAsia"/>
              </w:rPr>
              <w:t>175,821,327.56</w:t>
            </w:r>
          </w:p>
        </w:tc>
        <w:tc>
          <w:tcPr>
            <w:tcW w:w="1517" w:type="dxa"/>
            <w:vAlign w:val="center"/>
          </w:tcPr>
          <w:p w14:paraId="7B41ADB2">
            <w:pPr>
              <w:jc w:val="right"/>
            </w:pPr>
            <w:r>
              <w:rPr>
                <w:rFonts w:hint="eastAsia"/>
              </w:rPr>
              <w:t>-13,119,985.20</w:t>
            </w:r>
          </w:p>
        </w:tc>
      </w:tr>
      <w:tr w14:paraId="6DE3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BF18E32">
            <w:r>
              <w:rPr>
                <w:rFonts w:hint="eastAsia"/>
              </w:rPr>
              <w:t>项目</w:t>
            </w:r>
          </w:p>
        </w:tc>
        <w:tc>
          <w:tcPr>
            <w:tcW w:w="1860" w:type="dxa"/>
            <w:gridSpan w:val="4"/>
            <w:vAlign w:val="center"/>
          </w:tcPr>
          <w:p w14:paraId="0C9F0601">
            <w:r>
              <w:rPr>
                <w:rFonts w:hint="eastAsia"/>
              </w:rPr>
              <w:t>上年度末2024年12月31日</w:t>
            </w:r>
          </w:p>
        </w:tc>
      </w:tr>
      <w:tr w14:paraId="35D8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E913E6C"/>
        </w:tc>
        <w:tc>
          <w:tcPr>
            <w:tcW w:w="1860" w:type="dxa"/>
            <w:vAlign w:val="center"/>
          </w:tcPr>
          <w:p w14:paraId="6587B099">
            <w:r>
              <w:rPr>
                <w:rFonts w:hint="eastAsia"/>
              </w:rPr>
              <w:t>成本</w:t>
            </w:r>
          </w:p>
        </w:tc>
        <w:tc>
          <w:tcPr>
            <w:tcW w:w="1517" w:type="dxa"/>
            <w:vAlign w:val="center"/>
          </w:tcPr>
          <w:p w14:paraId="6D1A82CF">
            <w:r>
              <w:rPr>
                <w:rFonts w:hint="eastAsia"/>
              </w:rPr>
              <w:t>应计利息</w:t>
            </w:r>
          </w:p>
        </w:tc>
        <w:tc>
          <w:tcPr>
            <w:tcW w:w="1860" w:type="dxa"/>
            <w:vAlign w:val="center"/>
          </w:tcPr>
          <w:p w14:paraId="6DAC25AB">
            <w:r>
              <w:rPr>
                <w:rFonts w:hint="eastAsia"/>
              </w:rPr>
              <w:t>公允价值</w:t>
            </w:r>
          </w:p>
        </w:tc>
        <w:tc>
          <w:tcPr>
            <w:tcW w:w="1517" w:type="dxa"/>
            <w:vAlign w:val="center"/>
          </w:tcPr>
          <w:p w14:paraId="7E4B2EFA">
            <w:r>
              <w:rPr>
                <w:rFonts w:hint="eastAsia"/>
              </w:rPr>
              <w:t>公允价值变动</w:t>
            </w:r>
          </w:p>
        </w:tc>
      </w:tr>
      <w:tr w14:paraId="1371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246494">
            <w:r>
              <w:rPr>
                <w:rFonts w:hint="eastAsia"/>
              </w:rPr>
              <w:t>股票</w:t>
            </w:r>
          </w:p>
        </w:tc>
        <w:tc>
          <w:tcPr>
            <w:tcW w:w="1860" w:type="dxa"/>
            <w:vAlign w:val="center"/>
          </w:tcPr>
          <w:p w14:paraId="427B79BB">
            <w:pPr>
              <w:jc w:val="right"/>
            </w:pPr>
            <w:r>
              <w:rPr>
                <w:rFonts w:hint="eastAsia"/>
              </w:rPr>
              <w:t>-</w:t>
            </w:r>
          </w:p>
        </w:tc>
        <w:tc>
          <w:tcPr>
            <w:tcW w:w="1517" w:type="dxa"/>
            <w:vAlign w:val="center"/>
          </w:tcPr>
          <w:p w14:paraId="0C229E5B">
            <w:pPr>
              <w:jc w:val="right"/>
            </w:pPr>
            <w:r>
              <w:rPr>
                <w:rFonts w:hint="eastAsia"/>
              </w:rPr>
              <w:t>-</w:t>
            </w:r>
          </w:p>
        </w:tc>
        <w:tc>
          <w:tcPr>
            <w:tcW w:w="1860" w:type="dxa"/>
            <w:vAlign w:val="center"/>
          </w:tcPr>
          <w:p w14:paraId="37A88CA5">
            <w:pPr>
              <w:jc w:val="right"/>
            </w:pPr>
            <w:r>
              <w:rPr>
                <w:rFonts w:hint="eastAsia"/>
              </w:rPr>
              <w:t>-</w:t>
            </w:r>
          </w:p>
        </w:tc>
        <w:tc>
          <w:tcPr>
            <w:tcW w:w="1517" w:type="dxa"/>
            <w:vAlign w:val="center"/>
          </w:tcPr>
          <w:p w14:paraId="23000AC7">
            <w:pPr>
              <w:jc w:val="right"/>
            </w:pPr>
            <w:r>
              <w:rPr>
                <w:rFonts w:hint="eastAsia"/>
              </w:rPr>
              <w:t>-</w:t>
            </w:r>
          </w:p>
        </w:tc>
      </w:tr>
      <w:tr w14:paraId="1DE1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B8DF9E">
            <w:r>
              <w:rPr>
                <w:rFonts w:hint="eastAsia"/>
              </w:rPr>
              <w:t>贵金属投资-金交所黄金合约</w:t>
            </w:r>
          </w:p>
        </w:tc>
        <w:tc>
          <w:tcPr>
            <w:tcW w:w="1860" w:type="dxa"/>
            <w:vAlign w:val="center"/>
          </w:tcPr>
          <w:p w14:paraId="53C1459B">
            <w:pPr>
              <w:jc w:val="right"/>
            </w:pPr>
            <w:r>
              <w:rPr>
                <w:rFonts w:hint="eastAsia"/>
              </w:rPr>
              <w:t>-</w:t>
            </w:r>
          </w:p>
        </w:tc>
        <w:tc>
          <w:tcPr>
            <w:tcW w:w="1517" w:type="dxa"/>
            <w:vAlign w:val="center"/>
          </w:tcPr>
          <w:p w14:paraId="6426E600">
            <w:pPr>
              <w:jc w:val="right"/>
            </w:pPr>
            <w:r>
              <w:rPr>
                <w:rFonts w:hint="eastAsia"/>
              </w:rPr>
              <w:t>-</w:t>
            </w:r>
          </w:p>
        </w:tc>
        <w:tc>
          <w:tcPr>
            <w:tcW w:w="1860" w:type="dxa"/>
            <w:vAlign w:val="center"/>
          </w:tcPr>
          <w:p w14:paraId="4208D289">
            <w:pPr>
              <w:jc w:val="right"/>
            </w:pPr>
            <w:r>
              <w:rPr>
                <w:rFonts w:hint="eastAsia"/>
              </w:rPr>
              <w:t>-</w:t>
            </w:r>
          </w:p>
        </w:tc>
        <w:tc>
          <w:tcPr>
            <w:tcW w:w="1517" w:type="dxa"/>
            <w:vAlign w:val="center"/>
          </w:tcPr>
          <w:p w14:paraId="52081C09">
            <w:pPr>
              <w:jc w:val="right"/>
            </w:pPr>
            <w:r>
              <w:rPr>
                <w:rFonts w:hint="eastAsia"/>
              </w:rPr>
              <w:t>-</w:t>
            </w:r>
          </w:p>
        </w:tc>
      </w:tr>
      <w:tr w14:paraId="12CF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A482C6">
            <w:r>
              <w:rPr>
                <w:rFonts w:hint="eastAsia"/>
              </w:rPr>
              <w:t>债券</w:t>
            </w:r>
          </w:p>
        </w:tc>
        <w:tc>
          <w:tcPr>
            <w:tcW w:w="897" w:type="dxa"/>
            <w:vAlign w:val="center"/>
          </w:tcPr>
          <w:p w14:paraId="317FFE58">
            <w:r>
              <w:rPr>
                <w:rFonts w:hint="eastAsia"/>
              </w:rPr>
              <w:t>交易所市场</w:t>
            </w:r>
          </w:p>
        </w:tc>
        <w:tc>
          <w:tcPr>
            <w:tcW w:w="1860" w:type="dxa"/>
            <w:vAlign w:val="center"/>
          </w:tcPr>
          <w:p w14:paraId="14859E83">
            <w:pPr>
              <w:jc w:val="right"/>
            </w:pPr>
            <w:r>
              <w:rPr>
                <w:rFonts w:hint="eastAsia"/>
              </w:rPr>
              <w:t>-</w:t>
            </w:r>
          </w:p>
        </w:tc>
        <w:tc>
          <w:tcPr>
            <w:tcW w:w="1517" w:type="dxa"/>
            <w:vAlign w:val="center"/>
          </w:tcPr>
          <w:p w14:paraId="5365669D">
            <w:pPr>
              <w:jc w:val="right"/>
            </w:pPr>
            <w:r>
              <w:rPr>
                <w:rFonts w:hint="eastAsia"/>
              </w:rPr>
              <w:t>-</w:t>
            </w:r>
          </w:p>
        </w:tc>
        <w:tc>
          <w:tcPr>
            <w:tcW w:w="1860" w:type="dxa"/>
            <w:vAlign w:val="center"/>
          </w:tcPr>
          <w:p w14:paraId="43F58129">
            <w:pPr>
              <w:jc w:val="right"/>
            </w:pPr>
            <w:r>
              <w:rPr>
                <w:rFonts w:hint="eastAsia"/>
              </w:rPr>
              <w:t>-</w:t>
            </w:r>
          </w:p>
        </w:tc>
        <w:tc>
          <w:tcPr>
            <w:tcW w:w="1517" w:type="dxa"/>
            <w:vAlign w:val="center"/>
          </w:tcPr>
          <w:p w14:paraId="33C810D6">
            <w:pPr>
              <w:jc w:val="right"/>
            </w:pPr>
            <w:r>
              <w:rPr>
                <w:rFonts w:hint="eastAsia"/>
              </w:rPr>
              <w:t>-</w:t>
            </w:r>
          </w:p>
        </w:tc>
      </w:tr>
      <w:tr w14:paraId="191A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ED85C5"/>
        </w:tc>
        <w:tc>
          <w:tcPr>
            <w:tcW w:w="897" w:type="dxa"/>
            <w:vAlign w:val="center"/>
          </w:tcPr>
          <w:p w14:paraId="56378B81">
            <w:r>
              <w:rPr>
                <w:rFonts w:hint="eastAsia"/>
              </w:rPr>
              <w:t>银行间市场</w:t>
            </w:r>
          </w:p>
        </w:tc>
        <w:tc>
          <w:tcPr>
            <w:tcW w:w="1860" w:type="dxa"/>
            <w:vAlign w:val="center"/>
          </w:tcPr>
          <w:p w14:paraId="76C23221">
            <w:pPr>
              <w:jc w:val="right"/>
            </w:pPr>
            <w:r>
              <w:rPr>
                <w:rFonts w:hint="eastAsia"/>
              </w:rPr>
              <w:t>-</w:t>
            </w:r>
          </w:p>
        </w:tc>
        <w:tc>
          <w:tcPr>
            <w:tcW w:w="1517" w:type="dxa"/>
            <w:vAlign w:val="center"/>
          </w:tcPr>
          <w:p w14:paraId="072ED1E0">
            <w:pPr>
              <w:jc w:val="right"/>
            </w:pPr>
            <w:r>
              <w:rPr>
                <w:rFonts w:hint="eastAsia"/>
              </w:rPr>
              <w:t>-</w:t>
            </w:r>
          </w:p>
        </w:tc>
        <w:tc>
          <w:tcPr>
            <w:tcW w:w="1860" w:type="dxa"/>
            <w:vAlign w:val="center"/>
          </w:tcPr>
          <w:p w14:paraId="34053B78">
            <w:pPr>
              <w:jc w:val="right"/>
            </w:pPr>
            <w:r>
              <w:rPr>
                <w:rFonts w:hint="eastAsia"/>
              </w:rPr>
              <w:t>-</w:t>
            </w:r>
          </w:p>
        </w:tc>
        <w:tc>
          <w:tcPr>
            <w:tcW w:w="1517" w:type="dxa"/>
            <w:vAlign w:val="center"/>
          </w:tcPr>
          <w:p w14:paraId="7E6AFCD1">
            <w:pPr>
              <w:jc w:val="right"/>
            </w:pPr>
            <w:r>
              <w:rPr>
                <w:rFonts w:hint="eastAsia"/>
              </w:rPr>
              <w:t>-</w:t>
            </w:r>
          </w:p>
        </w:tc>
      </w:tr>
      <w:tr w14:paraId="218C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D9889F"/>
        </w:tc>
        <w:tc>
          <w:tcPr>
            <w:tcW w:w="897" w:type="dxa"/>
            <w:vAlign w:val="center"/>
          </w:tcPr>
          <w:p w14:paraId="18192E2F">
            <w:r>
              <w:rPr>
                <w:rFonts w:hint="eastAsia"/>
              </w:rPr>
              <w:t>合计</w:t>
            </w:r>
          </w:p>
        </w:tc>
        <w:tc>
          <w:tcPr>
            <w:tcW w:w="1860" w:type="dxa"/>
            <w:vAlign w:val="center"/>
          </w:tcPr>
          <w:p w14:paraId="63B195FF">
            <w:pPr>
              <w:jc w:val="right"/>
            </w:pPr>
            <w:r>
              <w:rPr>
                <w:rFonts w:hint="eastAsia"/>
              </w:rPr>
              <w:t>-</w:t>
            </w:r>
          </w:p>
        </w:tc>
        <w:tc>
          <w:tcPr>
            <w:tcW w:w="1517" w:type="dxa"/>
            <w:vAlign w:val="center"/>
          </w:tcPr>
          <w:p w14:paraId="33934E37">
            <w:pPr>
              <w:jc w:val="right"/>
            </w:pPr>
            <w:r>
              <w:rPr>
                <w:rFonts w:hint="eastAsia"/>
              </w:rPr>
              <w:t>-</w:t>
            </w:r>
          </w:p>
        </w:tc>
        <w:tc>
          <w:tcPr>
            <w:tcW w:w="1860" w:type="dxa"/>
            <w:vAlign w:val="center"/>
          </w:tcPr>
          <w:p w14:paraId="3F2C42FC">
            <w:pPr>
              <w:jc w:val="right"/>
            </w:pPr>
            <w:r>
              <w:rPr>
                <w:rFonts w:hint="eastAsia"/>
              </w:rPr>
              <w:t>-</w:t>
            </w:r>
          </w:p>
        </w:tc>
        <w:tc>
          <w:tcPr>
            <w:tcW w:w="1517" w:type="dxa"/>
            <w:vAlign w:val="center"/>
          </w:tcPr>
          <w:p w14:paraId="3AA1E24E">
            <w:pPr>
              <w:jc w:val="right"/>
            </w:pPr>
            <w:r>
              <w:rPr>
                <w:rFonts w:hint="eastAsia"/>
              </w:rPr>
              <w:t>-</w:t>
            </w:r>
          </w:p>
        </w:tc>
      </w:tr>
      <w:tr w14:paraId="1017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BD598F">
            <w:r>
              <w:rPr>
                <w:rFonts w:hint="eastAsia"/>
              </w:rPr>
              <w:t>资产支持证券</w:t>
            </w:r>
          </w:p>
        </w:tc>
        <w:tc>
          <w:tcPr>
            <w:tcW w:w="1860" w:type="dxa"/>
            <w:vAlign w:val="center"/>
          </w:tcPr>
          <w:p w14:paraId="38E5755F">
            <w:pPr>
              <w:jc w:val="right"/>
            </w:pPr>
            <w:r>
              <w:rPr>
                <w:rFonts w:hint="eastAsia"/>
              </w:rPr>
              <w:t>-</w:t>
            </w:r>
          </w:p>
        </w:tc>
        <w:tc>
          <w:tcPr>
            <w:tcW w:w="1517" w:type="dxa"/>
            <w:vAlign w:val="center"/>
          </w:tcPr>
          <w:p w14:paraId="7D0404F6">
            <w:pPr>
              <w:jc w:val="right"/>
            </w:pPr>
            <w:r>
              <w:rPr>
                <w:rFonts w:hint="eastAsia"/>
              </w:rPr>
              <w:t>-</w:t>
            </w:r>
          </w:p>
        </w:tc>
        <w:tc>
          <w:tcPr>
            <w:tcW w:w="1860" w:type="dxa"/>
            <w:vAlign w:val="center"/>
          </w:tcPr>
          <w:p w14:paraId="563D8234">
            <w:pPr>
              <w:jc w:val="right"/>
            </w:pPr>
            <w:r>
              <w:rPr>
                <w:rFonts w:hint="eastAsia"/>
              </w:rPr>
              <w:t>-</w:t>
            </w:r>
          </w:p>
        </w:tc>
        <w:tc>
          <w:tcPr>
            <w:tcW w:w="1517" w:type="dxa"/>
            <w:vAlign w:val="center"/>
          </w:tcPr>
          <w:p w14:paraId="74C340A0">
            <w:pPr>
              <w:jc w:val="right"/>
            </w:pPr>
            <w:r>
              <w:rPr>
                <w:rFonts w:hint="eastAsia"/>
              </w:rPr>
              <w:t>-</w:t>
            </w:r>
          </w:p>
        </w:tc>
      </w:tr>
      <w:tr w14:paraId="0578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9E158A">
            <w:r>
              <w:rPr>
                <w:rFonts w:hint="eastAsia"/>
              </w:rPr>
              <w:t>基金</w:t>
            </w:r>
          </w:p>
        </w:tc>
        <w:tc>
          <w:tcPr>
            <w:tcW w:w="1860" w:type="dxa"/>
            <w:vAlign w:val="center"/>
          </w:tcPr>
          <w:p w14:paraId="6CD464E1">
            <w:pPr>
              <w:jc w:val="right"/>
            </w:pPr>
            <w:r>
              <w:rPr>
                <w:rFonts w:hint="eastAsia"/>
              </w:rPr>
              <w:t>27,436,439.56</w:t>
            </w:r>
          </w:p>
        </w:tc>
        <w:tc>
          <w:tcPr>
            <w:tcW w:w="1517" w:type="dxa"/>
            <w:vAlign w:val="center"/>
          </w:tcPr>
          <w:p w14:paraId="4DB8EE5A">
            <w:pPr>
              <w:jc w:val="right"/>
            </w:pPr>
            <w:r>
              <w:rPr>
                <w:rFonts w:hint="eastAsia"/>
              </w:rPr>
              <w:t>-</w:t>
            </w:r>
          </w:p>
        </w:tc>
        <w:tc>
          <w:tcPr>
            <w:tcW w:w="1860" w:type="dxa"/>
            <w:vAlign w:val="center"/>
          </w:tcPr>
          <w:p w14:paraId="162FC808">
            <w:pPr>
              <w:jc w:val="right"/>
            </w:pPr>
            <w:r>
              <w:rPr>
                <w:rFonts w:hint="eastAsia"/>
              </w:rPr>
              <w:t>25,396,884.06</w:t>
            </w:r>
          </w:p>
        </w:tc>
        <w:tc>
          <w:tcPr>
            <w:tcW w:w="1517" w:type="dxa"/>
            <w:vAlign w:val="center"/>
          </w:tcPr>
          <w:p w14:paraId="0D7EDD71">
            <w:pPr>
              <w:jc w:val="right"/>
            </w:pPr>
            <w:r>
              <w:rPr>
                <w:rFonts w:hint="eastAsia"/>
              </w:rPr>
              <w:t>-2,039,555.50</w:t>
            </w:r>
          </w:p>
        </w:tc>
      </w:tr>
      <w:tr w14:paraId="537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AB8A8A">
            <w:r>
              <w:rPr>
                <w:rFonts w:hint="eastAsia"/>
              </w:rPr>
              <w:t>其他</w:t>
            </w:r>
          </w:p>
        </w:tc>
        <w:tc>
          <w:tcPr>
            <w:tcW w:w="1860" w:type="dxa"/>
            <w:vAlign w:val="center"/>
          </w:tcPr>
          <w:p w14:paraId="7D89CB41">
            <w:pPr>
              <w:jc w:val="right"/>
            </w:pPr>
            <w:r>
              <w:rPr>
                <w:rFonts w:hint="eastAsia"/>
              </w:rPr>
              <w:t>-</w:t>
            </w:r>
          </w:p>
        </w:tc>
        <w:tc>
          <w:tcPr>
            <w:tcW w:w="1517" w:type="dxa"/>
            <w:vAlign w:val="center"/>
          </w:tcPr>
          <w:p w14:paraId="36961264">
            <w:pPr>
              <w:jc w:val="right"/>
            </w:pPr>
            <w:r>
              <w:rPr>
                <w:rFonts w:hint="eastAsia"/>
              </w:rPr>
              <w:t>-</w:t>
            </w:r>
          </w:p>
        </w:tc>
        <w:tc>
          <w:tcPr>
            <w:tcW w:w="1860" w:type="dxa"/>
            <w:vAlign w:val="center"/>
          </w:tcPr>
          <w:p w14:paraId="4630E398">
            <w:pPr>
              <w:jc w:val="right"/>
            </w:pPr>
            <w:r>
              <w:rPr>
                <w:rFonts w:hint="eastAsia"/>
              </w:rPr>
              <w:t>-</w:t>
            </w:r>
          </w:p>
        </w:tc>
        <w:tc>
          <w:tcPr>
            <w:tcW w:w="1517" w:type="dxa"/>
            <w:vAlign w:val="center"/>
          </w:tcPr>
          <w:p w14:paraId="1874D067">
            <w:pPr>
              <w:jc w:val="right"/>
            </w:pPr>
            <w:r>
              <w:rPr>
                <w:rFonts w:hint="eastAsia"/>
              </w:rPr>
              <w:t>-</w:t>
            </w:r>
          </w:p>
        </w:tc>
      </w:tr>
      <w:tr w14:paraId="7750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5991FE">
            <w:r>
              <w:rPr>
                <w:rFonts w:hint="eastAsia"/>
              </w:rPr>
              <w:t>合计</w:t>
            </w:r>
          </w:p>
        </w:tc>
        <w:tc>
          <w:tcPr>
            <w:tcW w:w="1860" w:type="dxa"/>
            <w:vAlign w:val="center"/>
          </w:tcPr>
          <w:p w14:paraId="15182464">
            <w:pPr>
              <w:jc w:val="right"/>
            </w:pPr>
            <w:r>
              <w:rPr>
                <w:rFonts w:hint="eastAsia"/>
              </w:rPr>
              <w:t>27,436,439.56</w:t>
            </w:r>
          </w:p>
        </w:tc>
        <w:tc>
          <w:tcPr>
            <w:tcW w:w="1517" w:type="dxa"/>
            <w:vAlign w:val="center"/>
          </w:tcPr>
          <w:p w14:paraId="676E62A4">
            <w:pPr>
              <w:jc w:val="right"/>
            </w:pPr>
            <w:r>
              <w:rPr>
                <w:rFonts w:hint="eastAsia"/>
              </w:rPr>
              <w:t>-</w:t>
            </w:r>
          </w:p>
        </w:tc>
        <w:tc>
          <w:tcPr>
            <w:tcW w:w="1860" w:type="dxa"/>
            <w:vAlign w:val="center"/>
          </w:tcPr>
          <w:p w14:paraId="4FCEBB2D">
            <w:pPr>
              <w:jc w:val="right"/>
            </w:pPr>
            <w:r>
              <w:rPr>
                <w:rFonts w:hint="eastAsia"/>
              </w:rPr>
              <w:t>25,396,884.06</w:t>
            </w:r>
          </w:p>
        </w:tc>
        <w:tc>
          <w:tcPr>
            <w:tcW w:w="1517" w:type="dxa"/>
            <w:vAlign w:val="center"/>
          </w:tcPr>
          <w:p w14:paraId="68DB23C6">
            <w:pPr>
              <w:jc w:val="right"/>
            </w:pPr>
            <w:r>
              <w:rPr>
                <w:rFonts w:hint="eastAsia"/>
              </w:rPr>
              <w:t>-2,039,555.50</w:t>
            </w:r>
          </w:p>
        </w:tc>
      </w:tr>
    </w:tbl>
    <w:p w14:paraId="3DA004BA">
      <w:pPr>
        <w:pStyle w:val="35"/>
      </w:pPr>
      <w:bookmarkStart w:id="79" w:name="_Toc79"/>
      <w:r>
        <w:t>衍生金融资产/负债</w:t>
      </w:r>
      <w:bookmarkEnd w:id="79"/>
    </w:p>
    <w:p w14:paraId="7F8D4C7E">
      <w:pPr>
        <w:pStyle w:val="36"/>
      </w:pPr>
      <w:bookmarkStart w:id="80" w:name="_Toc80"/>
      <w:r>
        <w:t>衍生金融资产/负债期末余额</w:t>
      </w:r>
      <w:bookmarkEnd w:id="80"/>
    </w:p>
    <w:p w14:paraId="31B4D0B3">
      <w:pPr>
        <w:pStyle w:val="18"/>
        <w:rPr>
          <w:rFonts w:hint="eastAsia"/>
        </w:rPr>
      </w:pPr>
      <w:r>
        <w:rPr>
          <w:rFonts w:hint="eastAsia"/>
        </w:rPr>
        <w:t>无。</w:t>
      </w:r>
    </w:p>
    <w:p w14:paraId="2E009F0A">
      <w:pPr>
        <w:pStyle w:val="35"/>
      </w:pPr>
      <w:bookmarkStart w:id="81" w:name="_Toc81"/>
      <w:r>
        <w:t>买入返售金融资产</w:t>
      </w:r>
      <w:bookmarkEnd w:id="81"/>
    </w:p>
    <w:p w14:paraId="74C3AB7A">
      <w:pPr>
        <w:pStyle w:val="36"/>
      </w:pPr>
      <w:bookmarkStart w:id="82" w:name="_Toc82"/>
      <w:r>
        <w:t>各项买入返售金融资产期末余额</w:t>
      </w:r>
      <w:bookmarkEnd w:id="82"/>
    </w:p>
    <w:p w14:paraId="2F300531">
      <w:pPr>
        <w:pStyle w:val="18"/>
        <w:rPr>
          <w:rFonts w:hint="eastAsia"/>
        </w:rPr>
      </w:pPr>
      <w:r>
        <w:rPr>
          <w:rFonts w:hint="eastAsia"/>
        </w:rPr>
        <w:t>无。</w:t>
      </w:r>
    </w:p>
    <w:p w14:paraId="317645BF">
      <w:pPr>
        <w:pStyle w:val="36"/>
      </w:pPr>
      <w:bookmarkStart w:id="83" w:name="_Toc83"/>
      <w:r>
        <w:t>期末买断式逆回购交易中取得的债券</w:t>
      </w:r>
      <w:bookmarkEnd w:id="83"/>
    </w:p>
    <w:p w14:paraId="1E000035">
      <w:pPr>
        <w:pStyle w:val="18"/>
        <w:rPr>
          <w:rFonts w:hint="eastAsia"/>
        </w:rPr>
      </w:pPr>
      <w:r>
        <w:rPr>
          <w:rFonts w:hint="eastAsia"/>
        </w:rPr>
        <w:t>无。</w:t>
      </w:r>
    </w:p>
    <w:p w14:paraId="268BCD8D">
      <w:pPr>
        <w:pStyle w:val="35"/>
      </w:pPr>
      <w:bookmarkStart w:id="84" w:name="_Toc84"/>
      <w:r>
        <w:t>其他资产</w:t>
      </w:r>
      <w:bookmarkEnd w:id="84"/>
    </w:p>
    <w:p w14:paraId="495029AF">
      <w:pPr>
        <w:pStyle w:val="18"/>
        <w:rPr>
          <w:rFonts w:hint="eastAsia"/>
        </w:rPr>
      </w:pPr>
      <w:r>
        <w:rPr>
          <w:rFonts w:hint="eastAsia"/>
        </w:rPr>
        <w:t>无。</w:t>
      </w:r>
    </w:p>
    <w:p w14:paraId="1668211F">
      <w:pPr>
        <w:pStyle w:val="35"/>
      </w:pPr>
      <w:bookmarkStart w:id="85" w:name="_Toc85"/>
      <w:r>
        <w:t>其他负债</w:t>
      </w:r>
      <w:bookmarkEnd w:id="85"/>
    </w:p>
    <w:p w14:paraId="6D0DFC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69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97803F">
            <w:pPr>
              <w:jc w:val="center"/>
            </w:pPr>
            <w:r>
              <w:rPr>
                <w:rFonts w:hint="eastAsia"/>
                <w:b/>
              </w:rPr>
              <w:t>项目</w:t>
            </w:r>
          </w:p>
        </w:tc>
        <w:tc>
          <w:tcPr>
            <w:tcW w:w="2768" w:type="dxa"/>
            <w:shd w:val="clear" w:color="auto" w:fill="BFBFBF"/>
            <w:vAlign w:val="center"/>
          </w:tcPr>
          <w:p w14:paraId="1BAC24C9">
            <w:pPr>
              <w:jc w:val="center"/>
            </w:pPr>
            <w:r>
              <w:rPr>
                <w:rFonts w:hint="eastAsia"/>
                <w:b/>
              </w:rPr>
              <w:t>本期末2025年12月31日</w:t>
            </w:r>
          </w:p>
        </w:tc>
        <w:tc>
          <w:tcPr>
            <w:tcW w:w="2768" w:type="dxa"/>
            <w:shd w:val="clear" w:color="auto" w:fill="BFBFBF"/>
            <w:vAlign w:val="center"/>
          </w:tcPr>
          <w:p w14:paraId="69B9DB03">
            <w:pPr>
              <w:jc w:val="center"/>
            </w:pPr>
            <w:r>
              <w:rPr>
                <w:rFonts w:hint="eastAsia"/>
                <w:b/>
              </w:rPr>
              <w:t>上年度末2024年12月31日</w:t>
            </w:r>
          </w:p>
        </w:tc>
      </w:tr>
      <w:tr w14:paraId="60C5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AFF29">
            <w:r>
              <w:rPr>
                <w:rFonts w:hint="eastAsia"/>
              </w:rPr>
              <w:t>应付券商交易单元保证金</w:t>
            </w:r>
          </w:p>
        </w:tc>
        <w:tc>
          <w:tcPr>
            <w:tcW w:w="2768" w:type="dxa"/>
            <w:vAlign w:val="center"/>
          </w:tcPr>
          <w:p w14:paraId="00047E91">
            <w:pPr>
              <w:jc w:val="right"/>
            </w:pPr>
            <w:r>
              <w:rPr>
                <w:rFonts w:hint="eastAsia"/>
              </w:rPr>
              <w:t>-</w:t>
            </w:r>
          </w:p>
        </w:tc>
        <w:tc>
          <w:tcPr>
            <w:tcW w:w="2768" w:type="dxa"/>
            <w:vAlign w:val="center"/>
          </w:tcPr>
          <w:p w14:paraId="3EDA9533">
            <w:pPr>
              <w:jc w:val="right"/>
            </w:pPr>
            <w:r>
              <w:rPr>
                <w:rFonts w:hint="eastAsia"/>
              </w:rPr>
              <w:t>-</w:t>
            </w:r>
          </w:p>
        </w:tc>
      </w:tr>
      <w:tr w14:paraId="5600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B246C">
            <w:r>
              <w:rPr>
                <w:rFonts w:hint="eastAsia"/>
              </w:rPr>
              <w:t>应付赎回费</w:t>
            </w:r>
          </w:p>
        </w:tc>
        <w:tc>
          <w:tcPr>
            <w:tcW w:w="2768" w:type="dxa"/>
            <w:vAlign w:val="center"/>
          </w:tcPr>
          <w:p w14:paraId="25C857A3">
            <w:pPr>
              <w:jc w:val="right"/>
            </w:pPr>
            <w:r>
              <w:rPr>
                <w:rFonts w:hint="eastAsia"/>
              </w:rPr>
              <w:t>-</w:t>
            </w:r>
          </w:p>
        </w:tc>
        <w:tc>
          <w:tcPr>
            <w:tcW w:w="2768" w:type="dxa"/>
            <w:vAlign w:val="center"/>
          </w:tcPr>
          <w:p w14:paraId="507D044A">
            <w:pPr>
              <w:jc w:val="right"/>
            </w:pPr>
            <w:r>
              <w:rPr>
                <w:rFonts w:hint="eastAsia"/>
              </w:rPr>
              <w:t>-</w:t>
            </w:r>
          </w:p>
        </w:tc>
      </w:tr>
      <w:tr w14:paraId="7A7A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7D3AD">
            <w:r>
              <w:rPr>
                <w:rFonts w:hint="eastAsia"/>
              </w:rPr>
              <w:t>应付证券出借违约金</w:t>
            </w:r>
          </w:p>
        </w:tc>
        <w:tc>
          <w:tcPr>
            <w:tcW w:w="2768" w:type="dxa"/>
            <w:vAlign w:val="center"/>
          </w:tcPr>
          <w:p w14:paraId="3C735A50">
            <w:pPr>
              <w:jc w:val="right"/>
            </w:pPr>
            <w:r>
              <w:rPr>
                <w:rFonts w:hint="eastAsia"/>
              </w:rPr>
              <w:t>-</w:t>
            </w:r>
          </w:p>
        </w:tc>
        <w:tc>
          <w:tcPr>
            <w:tcW w:w="2768" w:type="dxa"/>
            <w:vAlign w:val="center"/>
          </w:tcPr>
          <w:p w14:paraId="457ADBBF">
            <w:pPr>
              <w:jc w:val="right"/>
            </w:pPr>
            <w:r>
              <w:rPr>
                <w:rFonts w:hint="eastAsia"/>
              </w:rPr>
              <w:t>-</w:t>
            </w:r>
          </w:p>
        </w:tc>
      </w:tr>
      <w:tr w14:paraId="1F00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AF2A7">
            <w:r>
              <w:rPr>
                <w:rFonts w:hint="eastAsia"/>
              </w:rPr>
              <w:t>应付交易费用</w:t>
            </w:r>
          </w:p>
        </w:tc>
        <w:tc>
          <w:tcPr>
            <w:tcW w:w="2768" w:type="dxa"/>
            <w:vAlign w:val="center"/>
          </w:tcPr>
          <w:p w14:paraId="7F107BBD">
            <w:pPr>
              <w:jc w:val="right"/>
            </w:pPr>
            <w:r>
              <w:rPr>
                <w:rFonts w:hint="eastAsia"/>
              </w:rPr>
              <w:t>-</w:t>
            </w:r>
          </w:p>
        </w:tc>
        <w:tc>
          <w:tcPr>
            <w:tcW w:w="2768" w:type="dxa"/>
            <w:vAlign w:val="center"/>
          </w:tcPr>
          <w:p w14:paraId="6DD0E826">
            <w:pPr>
              <w:jc w:val="right"/>
            </w:pPr>
            <w:r>
              <w:rPr>
                <w:rFonts w:hint="eastAsia"/>
              </w:rPr>
              <w:t>-</w:t>
            </w:r>
          </w:p>
        </w:tc>
      </w:tr>
      <w:tr w14:paraId="1811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A12F3">
            <w:r>
              <w:rPr>
                <w:rFonts w:hint="eastAsia"/>
              </w:rPr>
              <w:t>其中：交易所市场</w:t>
            </w:r>
          </w:p>
        </w:tc>
        <w:tc>
          <w:tcPr>
            <w:tcW w:w="2768" w:type="dxa"/>
            <w:vAlign w:val="center"/>
          </w:tcPr>
          <w:p w14:paraId="693D089F">
            <w:pPr>
              <w:jc w:val="right"/>
            </w:pPr>
            <w:r>
              <w:rPr>
                <w:rFonts w:hint="eastAsia"/>
              </w:rPr>
              <w:t>-</w:t>
            </w:r>
          </w:p>
        </w:tc>
        <w:tc>
          <w:tcPr>
            <w:tcW w:w="2768" w:type="dxa"/>
            <w:vAlign w:val="center"/>
          </w:tcPr>
          <w:p w14:paraId="1773E8A6">
            <w:pPr>
              <w:jc w:val="right"/>
            </w:pPr>
            <w:r>
              <w:rPr>
                <w:rFonts w:hint="eastAsia"/>
              </w:rPr>
              <w:t>-</w:t>
            </w:r>
          </w:p>
        </w:tc>
      </w:tr>
      <w:tr w14:paraId="7B82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48DA1">
            <w:r>
              <w:rPr>
                <w:rFonts w:hint="eastAsia"/>
              </w:rPr>
              <w:t xml:space="preserve">      银行间市场</w:t>
            </w:r>
          </w:p>
        </w:tc>
        <w:tc>
          <w:tcPr>
            <w:tcW w:w="2768" w:type="dxa"/>
            <w:vAlign w:val="center"/>
          </w:tcPr>
          <w:p w14:paraId="1C463512">
            <w:pPr>
              <w:jc w:val="right"/>
            </w:pPr>
            <w:r>
              <w:rPr>
                <w:rFonts w:hint="eastAsia"/>
              </w:rPr>
              <w:t>-</w:t>
            </w:r>
          </w:p>
        </w:tc>
        <w:tc>
          <w:tcPr>
            <w:tcW w:w="2768" w:type="dxa"/>
            <w:vAlign w:val="center"/>
          </w:tcPr>
          <w:p w14:paraId="7A63D5C9">
            <w:pPr>
              <w:jc w:val="right"/>
            </w:pPr>
            <w:r>
              <w:rPr>
                <w:rFonts w:hint="eastAsia"/>
              </w:rPr>
              <w:t>-</w:t>
            </w:r>
          </w:p>
        </w:tc>
      </w:tr>
      <w:tr w14:paraId="19F2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959F9">
            <w:r>
              <w:rPr>
                <w:rFonts w:hint="eastAsia"/>
              </w:rPr>
              <w:t>应付利息</w:t>
            </w:r>
          </w:p>
        </w:tc>
        <w:tc>
          <w:tcPr>
            <w:tcW w:w="2768" w:type="dxa"/>
            <w:vAlign w:val="center"/>
          </w:tcPr>
          <w:p w14:paraId="69CA0D27">
            <w:pPr>
              <w:jc w:val="right"/>
            </w:pPr>
            <w:r>
              <w:rPr>
                <w:rFonts w:hint="eastAsia"/>
              </w:rPr>
              <w:t>-</w:t>
            </w:r>
          </w:p>
        </w:tc>
        <w:tc>
          <w:tcPr>
            <w:tcW w:w="2768" w:type="dxa"/>
            <w:vAlign w:val="center"/>
          </w:tcPr>
          <w:p w14:paraId="4BD3F262">
            <w:pPr>
              <w:jc w:val="right"/>
            </w:pPr>
            <w:r>
              <w:rPr>
                <w:rFonts w:hint="eastAsia"/>
              </w:rPr>
              <w:t>-</w:t>
            </w:r>
          </w:p>
        </w:tc>
      </w:tr>
      <w:tr w14:paraId="1546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6B4F3">
            <w:r>
              <w:rPr>
                <w:rFonts w:hint="eastAsia"/>
              </w:rPr>
              <w:t>应退退补款</w:t>
            </w:r>
          </w:p>
        </w:tc>
        <w:tc>
          <w:tcPr>
            <w:tcW w:w="2768" w:type="dxa"/>
            <w:vAlign w:val="center"/>
          </w:tcPr>
          <w:p w14:paraId="102924D0">
            <w:pPr>
              <w:jc w:val="right"/>
            </w:pPr>
            <w:r>
              <w:rPr>
                <w:rFonts w:hint="eastAsia"/>
              </w:rPr>
              <w:t>-</w:t>
            </w:r>
          </w:p>
        </w:tc>
        <w:tc>
          <w:tcPr>
            <w:tcW w:w="2768" w:type="dxa"/>
            <w:vAlign w:val="center"/>
          </w:tcPr>
          <w:p w14:paraId="40364D3F">
            <w:pPr>
              <w:jc w:val="right"/>
            </w:pPr>
            <w:r>
              <w:rPr>
                <w:rFonts w:hint="eastAsia"/>
              </w:rPr>
              <w:t>-</w:t>
            </w:r>
          </w:p>
        </w:tc>
      </w:tr>
      <w:tr w14:paraId="56A9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DE52F">
            <w:r>
              <w:rPr>
                <w:rFonts w:hint="eastAsia"/>
              </w:rPr>
              <w:t>预提费用</w:t>
            </w:r>
          </w:p>
        </w:tc>
        <w:tc>
          <w:tcPr>
            <w:tcW w:w="2768" w:type="dxa"/>
            <w:vAlign w:val="center"/>
          </w:tcPr>
          <w:p w14:paraId="1667D283">
            <w:pPr>
              <w:jc w:val="right"/>
            </w:pPr>
            <w:r>
              <w:rPr>
                <w:rFonts w:hint="eastAsia"/>
              </w:rPr>
              <w:t>130,000.00</w:t>
            </w:r>
          </w:p>
        </w:tc>
        <w:tc>
          <w:tcPr>
            <w:tcW w:w="2768" w:type="dxa"/>
            <w:vAlign w:val="center"/>
          </w:tcPr>
          <w:p w14:paraId="38BEF6F9">
            <w:pPr>
              <w:jc w:val="right"/>
            </w:pPr>
            <w:r>
              <w:rPr>
                <w:rFonts w:hint="eastAsia"/>
              </w:rPr>
              <w:t>5,000.00</w:t>
            </w:r>
          </w:p>
        </w:tc>
      </w:tr>
      <w:tr w14:paraId="6595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BF240">
            <w:r>
              <w:rPr>
                <w:rFonts w:hint="eastAsia"/>
              </w:rPr>
              <w:t>应付指数使用费</w:t>
            </w:r>
          </w:p>
        </w:tc>
        <w:tc>
          <w:tcPr>
            <w:tcW w:w="2768" w:type="dxa"/>
            <w:vAlign w:val="center"/>
          </w:tcPr>
          <w:p w14:paraId="19EA2606">
            <w:pPr>
              <w:jc w:val="right"/>
            </w:pPr>
            <w:r>
              <w:rPr>
                <w:rFonts w:hint="eastAsia"/>
              </w:rPr>
              <w:t>-</w:t>
            </w:r>
          </w:p>
        </w:tc>
        <w:tc>
          <w:tcPr>
            <w:tcW w:w="2768" w:type="dxa"/>
            <w:vAlign w:val="center"/>
          </w:tcPr>
          <w:p w14:paraId="08034A76">
            <w:pPr>
              <w:jc w:val="right"/>
            </w:pPr>
            <w:r>
              <w:rPr>
                <w:rFonts w:hint="eastAsia"/>
              </w:rPr>
              <w:t>-</w:t>
            </w:r>
          </w:p>
        </w:tc>
      </w:tr>
      <w:tr w14:paraId="2C2E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13841">
            <w:r>
              <w:rPr>
                <w:rFonts w:hint="eastAsia"/>
              </w:rPr>
              <w:t>可退替代款</w:t>
            </w:r>
          </w:p>
        </w:tc>
        <w:tc>
          <w:tcPr>
            <w:tcW w:w="2768" w:type="dxa"/>
            <w:vAlign w:val="center"/>
          </w:tcPr>
          <w:p w14:paraId="0969E6F6">
            <w:pPr>
              <w:jc w:val="right"/>
            </w:pPr>
            <w:r>
              <w:rPr>
                <w:rFonts w:hint="eastAsia"/>
              </w:rPr>
              <w:t>-</w:t>
            </w:r>
          </w:p>
        </w:tc>
        <w:tc>
          <w:tcPr>
            <w:tcW w:w="2768" w:type="dxa"/>
            <w:vAlign w:val="center"/>
          </w:tcPr>
          <w:p w14:paraId="0405DA6D">
            <w:pPr>
              <w:jc w:val="right"/>
            </w:pPr>
            <w:r>
              <w:rPr>
                <w:rFonts w:hint="eastAsia"/>
              </w:rPr>
              <w:t>-</w:t>
            </w:r>
          </w:p>
        </w:tc>
      </w:tr>
      <w:tr w14:paraId="29E7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9DE7F">
            <w:r>
              <w:rPr>
                <w:rFonts w:hint="eastAsia"/>
              </w:rPr>
              <w:t>合计</w:t>
            </w:r>
          </w:p>
        </w:tc>
        <w:tc>
          <w:tcPr>
            <w:tcW w:w="2768" w:type="dxa"/>
            <w:vAlign w:val="center"/>
          </w:tcPr>
          <w:p w14:paraId="1125D41D">
            <w:pPr>
              <w:jc w:val="right"/>
            </w:pPr>
            <w:r>
              <w:rPr>
                <w:rFonts w:hint="eastAsia"/>
              </w:rPr>
              <w:t>130,000.00</w:t>
            </w:r>
          </w:p>
        </w:tc>
        <w:tc>
          <w:tcPr>
            <w:tcW w:w="2768" w:type="dxa"/>
            <w:vAlign w:val="center"/>
          </w:tcPr>
          <w:p w14:paraId="3D0BB64A">
            <w:pPr>
              <w:jc w:val="right"/>
            </w:pPr>
            <w:r>
              <w:rPr>
                <w:rFonts w:hint="eastAsia"/>
              </w:rPr>
              <w:t>5,000.00</w:t>
            </w:r>
          </w:p>
        </w:tc>
      </w:tr>
    </w:tbl>
    <w:p w14:paraId="143EAE72">
      <w:pPr>
        <w:pStyle w:val="35"/>
      </w:pPr>
      <w:bookmarkStart w:id="86" w:name="_Toc86"/>
      <w:r>
        <w:t>实收基金</w:t>
      </w:r>
      <w:bookmarkEnd w:id="86"/>
    </w:p>
    <w:p w14:paraId="214A40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175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5840095">
            <w:pPr>
              <w:jc w:val="center"/>
            </w:pPr>
            <w:r>
              <w:rPr>
                <w:rFonts w:hint="eastAsia"/>
                <w:b/>
              </w:rPr>
              <w:t>南方恒生生物科技ETF发起联接（QDII）A</w:t>
            </w:r>
          </w:p>
        </w:tc>
      </w:tr>
      <w:tr w14:paraId="47FC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E046CA6">
            <w:pPr>
              <w:jc w:val="center"/>
            </w:pPr>
            <w:r>
              <w:rPr>
                <w:rFonts w:hint="eastAsia"/>
                <w:b/>
              </w:rPr>
              <w:t>项目</w:t>
            </w:r>
          </w:p>
        </w:tc>
        <w:tc>
          <w:tcPr>
            <w:tcW w:w="2491" w:type="dxa"/>
            <w:gridSpan w:val="2"/>
            <w:shd w:val="clear" w:color="auto" w:fill="BFBFBF"/>
            <w:vAlign w:val="center"/>
          </w:tcPr>
          <w:p w14:paraId="3A740617">
            <w:pPr>
              <w:jc w:val="center"/>
            </w:pPr>
            <w:r>
              <w:rPr>
                <w:rFonts w:hint="eastAsia"/>
                <w:b/>
              </w:rPr>
              <w:t>本期2025年1月1日至2025年12月31日</w:t>
            </w:r>
          </w:p>
        </w:tc>
      </w:tr>
      <w:tr w14:paraId="61AE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EF0A84"/>
        </w:tc>
        <w:tc>
          <w:tcPr>
            <w:tcW w:w="2491" w:type="dxa"/>
            <w:shd w:val="clear" w:color="auto" w:fill="BFBFBF"/>
            <w:vAlign w:val="center"/>
          </w:tcPr>
          <w:p w14:paraId="27CDD4D1">
            <w:pPr>
              <w:jc w:val="center"/>
            </w:pPr>
            <w:r>
              <w:rPr>
                <w:rFonts w:hint="eastAsia"/>
                <w:b/>
              </w:rPr>
              <w:t>基金份额（份）</w:t>
            </w:r>
          </w:p>
        </w:tc>
        <w:tc>
          <w:tcPr>
            <w:tcW w:w="2907" w:type="dxa"/>
            <w:shd w:val="clear" w:color="auto" w:fill="BFBFBF"/>
            <w:vAlign w:val="center"/>
          </w:tcPr>
          <w:p w14:paraId="360D4E2F">
            <w:pPr>
              <w:jc w:val="center"/>
            </w:pPr>
            <w:r>
              <w:rPr>
                <w:rFonts w:hint="eastAsia"/>
                <w:b/>
              </w:rPr>
              <w:t>账面金额</w:t>
            </w:r>
          </w:p>
        </w:tc>
      </w:tr>
      <w:tr w14:paraId="60F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6F179C">
            <w:r>
              <w:rPr>
                <w:rFonts w:hint="eastAsia"/>
              </w:rPr>
              <w:t>上年度末</w:t>
            </w:r>
          </w:p>
        </w:tc>
        <w:tc>
          <w:tcPr>
            <w:tcW w:w="2491" w:type="dxa"/>
            <w:vAlign w:val="center"/>
          </w:tcPr>
          <w:p w14:paraId="5717200A">
            <w:pPr>
              <w:jc w:val="right"/>
            </w:pPr>
            <w:r>
              <w:rPr>
                <w:rFonts w:hint="eastAsia"/>
              </w:rPr>
              <w:t>17,277,018.81</w:t>
            </w:r>
          </w:p>
        </w:tc>
        <w:tc>
          <w:tcPr>
            <w:tcW w:w="2907" w:type="dxa"/>
            <w:vAlign w:val="center"/>
          </w:tcPr>
          <w:p w14:paraId="68BC408B">
            <w:pPr>
              <w:jc w:val="right"/>
            </w:pPr>
            <w:r>
              <w:rPr>
                <w:rFonts w:hint="eastAsia"/>
              </w:rPr>
              <w:t>17,277,018.81</w:t>
            </w:r>
          </w:p>
        </w:tc>
      </w:tr>
      <w:tr w14:paraId="0576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B74AFF">
            <w:r>
              <w:rPr>
                <w:rFonts w:hint="eastAsia"/>
              </w:rPr>
              <w:t>本期申购</w:t>
            </w:r>
          </w:p>
        </w:tc>
        <w:tc>
          <w:tcPr>
            <w:tcW w:w="2491" w:type="dxa"/>
            <w:vAlign w:val="center"/>
          </w:tcPr>
          <w:p w14:paraId="33027855">
            <w:pPr>
              <w:jc w:val="right"/>
            </w:pPr>
            <w:r>
              <w:rPr>
                <w:rFonts w:hint="eastAsia"/>
              </w:rPr>
              <w:t>113,193,444.69</w:t>
            </w:r>
          </w:p>
        </w:tc>
        <w:tc>
          <w:tcPr>
            <w:tcW w:w="2907" w:type="dxa"/>
            <w:vAlign w:val="center"/>
          </w:tcPr>
          <w:p w14:paraId="707B678A">
            <w:pPr>
              <w:jc w:val="right"/>
            </w:pPr>
            <w:r>
              <w:rPr>
                <w:rFonts w:hint="eastAsia"/>
              </w:rPr>
              <w:t>113,193,444.69</w:t>
            </w:r>
          </w:p>
        </w:tc>
      </w:tr>
      <w:tr w14:paraId="2E5B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ED290">
            <w:r>
              <w:rPr>
                <w:rFonts w:hint="eastAsia"/>
              </w:rPr>
              <w:t>本期赎回（以“-”号填列）</w:t>
            </w:r>
          </w:p>
        </w:tc>
        <w:tc>
          <w:tcPr>
            <w:tcW w:w="2491" w:type="dxa"/>
            <w:vAlign w:val="center"/>
          </w:tcPr>
          <w:p w14:paraId="290EF72B">
            <w:pPr>
              <w:jc w:val="right"/>
            </w:pPr>
            <w:r>
              <w:rPr>
                <w:rFonts w:hint="eastAsia"/>
              </w:rPr>
              <w:t>-76,975,962.35</w:t>
            </w:r>
          </w:p>
        </w:tc>
        <w:tc>
          <w:tcPr>
            <w:tcW w:w="2907" w:type="dxa"/>
            <w:vAlign w:val="center"/>
          </w:tcPr>
          <w:p w14:paraId="7212A38C">
            <w:pPr>
              <w:jc w:val="right"/>
            </w:pPr>
            <w:r>
              <w:rPr>
                <w:rFonts w:hint="eastAsia"/>
              </w:rPr>
              <w:t>-76,975,962.35</w:t>
            </w:r>
          </w:p>
        </w:tc>
      </w:tr>
      <w:tr w14:paraId="5831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FF2F7">
            <w:r>
              <w:rPr>
                <w:rFonts w:hint="eastAsia"/>
              </w:rPr>
              <w:t>基金拆分/份额折算前</w:t>
            </w:r>
          </w:p>
        </w:tc>
        <w:tc>
          <w:tcPr>
            <w:tcW w:w="2491" w:type="dxa"/>
            <w:vAlign w:val="center"/>
          </w:tcPr>
          <w:p w14:paraId="21FB65A2">
            <w:pPr>
              <w:jc w:val="right"/>
            </w:pPr>
            <w:r>
              <w:rPr>
                <w:rFonts w:hint="eastAsia"/>
              </w:rPr>
              <w:t>-</w:t>
            </w:r>
          </w:p>
        </w:tc>
        <w:tc>
          <w:tcPr>
            <w:tcW w:w="2907" w:type="dxa"/>
            <w:vAlign w:val="center"/>
          </w:tcPr>
          <w:p w14:paraId="493154FC">
            <w:pPr>
              <w:jc w:val="right"/>
            </w:pPr>
            <w:r>
              <w:rPr>
                <w:rFonts w:hint="eastAsia"/>
              </w:rPr>
              <w:t>-</w:t>
            </w:r>
          </w:p>
        </w:tc>
      </w:tr>
      <w:tr w14:paraId="4AF9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D2D9A4">
            <w:r>
              <w:rPr>
                <w:rFonts w:hint="eastAsia"/>
              </w:rPr>
              <w:t>基金拆分/份额折算调整</w:t>
            </w:r>
          </w:p>
        </w:tc>
        <w:tc>
          <w:tcPr>
            <w:tcW w:w="2491" w:type="dxa"/>
            <w:vAlign w:val="center"/>
          </w:tcPr>
          <w:p w14:paraId="3F5FA3B9">
            <w:pPr>
              <w:jc w:val="right"/>
            </w:pPr>
            <w:r>
              <w:rPr>
                <w:rFonts w:hint="eastAsia"/>
              </w:rPr>
              <w:t>-</w:t>
            </w:r>
          </w:p>
        </w:tc>
        <w:tc>
          <w:tcPr>
            <w:tcW w:w="2907" w:type="dxa"/>
            <w:vAlign w:val="center"/>
          </w:tcPr>
          <w:p w14:paraId="50D650AB">
            <w:pPr>
              <w:jc w:val="right"/>
            </w:pPr>
            <w:r>
              <w:rPr>
                <w:rFonts w:hint="eastAsia"/>
              </w:rPr>
              <w:t>-</w:t>
            </w:r>
          </w:p>
        </w:tc>
      </w:tr>
      <w:tr w14:paraId="1C36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F46720">
            <w:r>
              <w:rPr>
                <w:rFonts w:hint="eastAsia"/>
              </w:rPr>
              <w:t>本期申购</w:t>
            </w:r>
          </w:p>
        </w:tc>
        <w:tc>
          <w:tcPr>
            <w:tcW w:w="2491" w:type="dxa"/>
            <w:vAlign w:val="center"/>
          </w:tcPr>
          <w:p w14:paraId="38C00079">
            <w:pPr>
              <w:jc w:val="right"/>
            </w:pPr>
            <w:r>
              <w:rPr>
                <w:rFonts w:hint="eastAsia"/>
              </w:rPr>
              <w:t>-</w:t>
            </w:r>
          </w:p>
        </w:tc>
        <w:tc>
          <w:tcPr>
            <w:tcW w:w="2907" w:type="dxa"/>
            <w:vAlign w:val="center"/>
          </w:tcPr>
          <w:p w14:paraId="32BEEDF8">
            <w:pPr>
              <w:jc w:val="right"/>
            </w:pPr>
            <w:r>
              <w:rPr>
                <w:rFonts w:hint="eastAsia"/>
              </w:rPr>
              <w:t>-</w:t>
            </w:r>
          </w:p>
        </w:tc>
      </w:tr>
      <w:tr w14:paraId="02EE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5E3D0E">
            <w:r>
              <w:rPr>
                <w:rFonts w:hint="eastAsia"/>
              </w:rPr>
              <w:t>本期赎回（以“-”号填列）</w:t>
            </w:r>
          </w:p>
        </w:tc>
        <w:tc>
          <w:tcPr>
            <w:tcW w:w="2491" w:type="dxa"/>
            <w:vAlign w:val="center"/>
          </w:tcPr>
          <w:p w14:paraId="312D7970">
            <w:pPr>
              <w:jc w:val="right"/>
            </w:pPr>
            <w:r>
              <w:rPr>
                <w:rFonts w:hint="eastAsia"/>
              </w:rPr>
              <w:t>-</w:t>
            </w:r>
          </w:p>
        </w:tc>
        <w:tc>
          <w:tcPr>
            <w:tcW w:w="2907" w:type="dxa"/>
            <w:vAlign w:val="center"/>
          </w:tcPr>
          <w:p w14:paraId="40AAEF56">
            <w:pPr>
              <w:jc w:val="right"/>
            </w:pPr>
            <w:r>
              <w:rPr>
                <w:rFonts w:hint="eastAsia"/>
              </w:rPr>
              <w:t>-</w:t>
            </w:r>
          </w:p>
        </w:tc>
      </w:tr>
      <w:tr w14:paraId="2D0A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0EE54F">
            <w:r>
              <w:rPr>
                <w:rFonts w:hint="eastAsia"/>
              </w:rPr>
              <w:t>本期末</w:t>
            </w:r>
          </w:p>
        </w:tc>
        <w:tc>
          <w:tcPr>
            <w:tcW w:w="2491" w:type="dxa"/>
            <w:vAlign w:val="center"/>
          </w:tcPr>
          <w:p w14:paraId="1822CB0A">
            <w:pPr>
              <w:jc w:val="right"/>
            </w:pPr>
            <w:r>
              <w:rPr>
                <w:rFonts w:hint="eastAsia"/>
              </w:rPr>
              <w:t>53,494,501.15</w:t>
            </w:r>
          </w:p>
        </w:tc>
        <w:tc>
          <w:tcPr>
            <w:tcW w:w="2907" w:type="dxa"/>
            <w:vAlign w:val="center"/>
          </w:tcPr>
          <w:p w14:paraId="73E69905">
            <w:pPr>
              <w:jc w:val="right"/>
            </w:pPr>
            <w:r>
              <w:rPr>
                <w:rFonts w:hint="eastAsia"/>
              </w:rPr>
              <w:t>53,494,501.15</w:t>
            </w:r>
          </w:p>
        </w:tc>
      </w:tr>
    </w:tbl>
    <w:p w14:paraId="5E6B5F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0C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7410497">
            <w:pPr>
              <w:jc w:val="center"/>
            </w:pPr>
            <w:r>
              <w:rPr>
                <w:rFonts w:hint="eastAsia"/>
                <w:b/>
              </w:rPr>
              <w:t>南方恒生生物科技ETF发起联接（QDII）C</w:t>
            </w:r>
          </w:p>
        </w:tc>
      </w:tr>
      <w:tr w14:paraId="0548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B1B6E23">
            <w:pPr>
              <w:jc w:val="center"/>
            </w:pPr>
            <w:r>
              <w:rPr>
                <w:rFonts w:hint="eastAsia"/>
                <w:b/>
              </w:rPr>
              <w:t>项目</w:t>
            </w:r>
          </w:p>
        </w:tc>
        <w:tc>
          <w:tcPr>
            <w:tcW w:w="2491" w:type="dxa"/>
            <w:gridSpan w:val="2"/>
            <w:shd w:val="clear" w:color="auto" w:fill="BFBFBF"/>
            <w:vAlign w:val="center"/>
          </w:tcPr>
          <w:p w14:paraId="60AB4210">
            <w:pPr>
              <w:jc w:val="center"/>
            </w:pPr>
            <w:r>
              <w:rPr>
                <w:rFonts w:hint="eastAsia"/>
                <w:b/>
              </w:rPr>
              <w:t>本期2025年1月1日至2025年12月31日</w:t>
            </w:r>
          </w:p>
        </w:tc>
      </w:tr>
      <w:tr w14:paraId="57C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AD27701"/>
        </w:tc>
        <w:tc>
          <w:tcPr>
            <w:tcW w:w="2491" w:type="dxa"/>
            <w:shd w:val="clear" w:color="auto" w:fill="BFBFBF"/>
            <w:vAlign w:val="center"/>
          </w:tcPr>
          <w:p w14:paraId="3CDB79ED">
            <w:pPr>
              <w:jc w:val="center"/>
            </w:pPr>
            <w:r>
              <w:rPr>
                <w:rFonts w:hint="eastAsia"/>
                <w:b/>
              </w:rPr>
              <w:t>基金份额（份）</w:t>
            </w:r>
          </w:p>
        </w:tc>
        <w:tc>
          <w:tcPr>
            <w:tcW w:w="2907" w:type="dxa"/>
            <w:shd w:val="clear" w:color="auto" w:fill="BFBFBF"/>
            <w:vAlign w:val="center"/>
          </w:tcPr>
          <w:p w14:paraId="13A49E4B">
            <w:pPr>
              <w:jc w:val="center"/>
            </w:pPr>
            <w:r>
              <w:rPr>
                <w:rFonts w:hint="eastAsia"/>
                <w:b/>
              </w:rPr>
              <w:t>账面金额</w:t>
            </w:r>
          </w:p>
        </w:tc>
      </w:tr>
      <w:tr w14:paraId="1123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53D3E8">
            <w:r>
              <w:rPr>
                <w:rFonts w:hint="eastAsia"/>
              </w:rPr>
              <w:t>上年度末</w:t>
            </w:r>
          </w:p>
        </w:tc>
        <w:tc>
          <w:tcPr>
            <w:tcW w:w="2491" w:type="dxa"/>
            <w:vAlign w:val="center"/>
          </w:tcPr>
          <w:p w14:paraId="2F16CB76">
            <w:pPr>
              <w:jc w:val="right"/>
            </w:pPr>
            <w:r>
              <w:rPr>
                <w:rFonts w:hint="eastAsia"/>
              </w:rPr>
              <w:t>16,054,141.86</w:t>
            </w:r>
          </w:p>
        </w:tc>
        <w:tc>
          <w:tcPr>
            <w:tcW w:w="2907" w:type="dxa"/>
            <w:vAlign w:val="center"/>
          </w:tcPr>
          <w:p w14:paraId="262A72FB">
            <w:pPr>
              <w:jc w:val="right"/>
            </w:pPr>
            <w:r>
              <w:rPr>
                <w:rFonts w:hint="eastAsia"/>
              </w:rPr>
              <w:t>16,054,141.86</w:t>
            </w:r>
          </w:p>
        </w:tc>
      </w:tr>
      <w:tr w14:paraId="178C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1F4302">
            <w:r>
              <w:rPr>
                <w:rFonts w:hint="eastAsia"/>
              </w:rPr>
              <w:t>本期申购</w:t>
            </w:r>
          </w:p>
        </w:tc>
        <w:tc>
          <w:tcPr>
            <w:tcW w:w="2491" w:type="dxa"/>
            <w:vAlign w:val="center"/>
          </w:tcPr>
          <w:p w14:paraId="68D247F5">
            <w:pPr>
              <w:jc w:val="right"/>
            </w:pPr>
            <w:r>
              <w:rPr>
                <w:rFonts w:hint="eastAsia"/>
              </w:rPr>
              <w:t>238,078,685.34</w:t>
            </w:r>
          </w:p>
        </w:tc>
        <w:tc>
          <w:tcPr>
            <w:tcW w:w="2907" w:type="dxa"/>
            <w:vAlign w:val="center"/>
          </w:tcPr>
          <w:p w14:paraId="51B0DB39">
            <w:pPr>
              <w:jc w:val="right"/>
            </w:pPr>
            <w:r>
              <w:rPr>
                <w:rFonts w:hint="eastAsia"/>
              </w:rPr>
              <w:t>238,078,685.34</w:t>
            </w:r>
          </w:p>
        </w:tc>
      </w:tr>
      <w:tr w14:paraId="2A77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93AF4">
            <w:r>
              <w:rPr>
                <w:rFonts w:hint="eastAsia"/>
              </w:rPr>
              <w:t>本期赎回（以“-”号填列）</w:t>
            </w:r>
          </w:p>
        </w:tc>
        <w:tc>
          <w:tcPr>
            <w:tcW w:w="2491" w:type="dxa"/>
            <w:vAlign w:val="center"/>
          </w:tcPr>
          <w:p w14:paraId="0813AF2D">
            <w:pPr>
              <w:jc w:val="right"/>
            </w:pPr>
            <w:r>
              <w:rPr>
                <w:rFonts w:hint="eastAsia"/>
              </w:rPr>
              <w:t>-172,056,305.78</w:t>
            </w:r>
          </w:p>
        </w:tc>
        <w:tc>
          <w:tcPr>
            <w:tcW w:w="2907" w:type="dxa"/>
            <w:vAlign w:val="center"/>
          </w:tcPr>
          <w:p w14:paraId="0A67F5AE">
            <w:pPr>
              <w:jc w:val="right"/>
            </w:pPr>
            <w:r>
              <w:rPr>
                <w:rFonts w:hint="eastAsia"/>
              </w:rPr>
              <w:t>-172,056,305.78</w:t>
            </w:r>
          </w:p>
        </w:tc>
      </w:tr>
      <w:tr w14:paraId="474F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5101EC">
            <w:r>
              <w:rPr>
                <w:rFonts w:hint="eastAsia"/>
              </w:rPr>
              <w:t>基金拆分/份额折算前</w:t>
            </w:r>
          </w:p>
        </w:tc>
        <w:tc>
          <w:tcPr>
            <w:tcW w:w="2491" w:type="dxa"/>
            <w:vAlign w:val="center"/>
          </w:tcPr>
          <w:p w14:paraId="5602FD77">
            <w:pPr>
              <w:jc w:val="right"/>
            </w:pPr>
            <w:r>
              <w:rPr>
                <w:rFonts w:hint="eastAsia"/>
              </w:rPr>
              <w:t>-</w:t>
            </w:r>
          </w:p>
        </w:tc>
        <w:tc>
          <w:tcPr>
            <w:tcW w:w="2907" w:type="dxa"/>
            <w:vAlign w:val="center"/>
          </w:tcPr>
          <w:p w14:paraId="258183FF">
            <w:pPr>
              <w:jc w:val="right"/>
            </w:pPr>
            <w:r>
              <w:rPr>
                <w:rFonts w:hint="eastAsia"/>
              </w:rPr>
              <w:t>-</w:t>
            </w:r>
          </w:p>
        </w:tc>
      </w:tr>
      <w:tr w14:paraId="4A3E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D0150F">
            <w:r>
              <w:rPr>
                <w:rFonts w:hint="eastAsia"/>
              </w:rPr>
              <w:t>基金拆分/份额折算调整</w:t>
            </w:r>
          </w:p>
        </w:tc>
        <w:tc>
          <w:tcPr>
            <w:tcW w:w="2491" w:type="dxa"/>
            <w:vAlign w:val="center"/>
          </w:tcPr>
          <w:p w14:paraId="1078742E">
            <w:pPr>
              <w:jc w:val="right"/>
            </w:pPr>
            <w:r>
              <w:rPr>
                <w:rFonts w:hint="eastAsia"/>
              </w:rPr>
              <w:t>-</w:t>
            </w:r>
          </w:p>
        </w:tc>
        <w:tc>
          <w:tcPr>
            <w:tcW w:w="2907" w:type="dxa"/>
            <w:vAlign w:val="center"/>
          </w:tcPr>
          <w:p w14:paraId="230D8DBB">
            <w:pPr>
              <w:jc w:val="right"/>
            </w:pPr>
            <w:r>
              <w:rPr>
                <w:rFonts w:hint="eastAsia"/>
              </w:rPr>
              <w:t>-</w:t>
            </w:r>
          </w:p>
        </w:tc>
      </w:tr>
      <w:tr w14:paraId="682B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35D747">
            <w:r>
              <w:rPr>
                <w:rFonts w:hint="eastAsia"/>
              </w:rPr>
              <w:t>本期申购</w:t>
            </w:r>
          </w:p>
        </w:tc>
        <w:tc>
          <w:tcPr>
            <w:tcW w:w="2491" w:type="dxa"/>
            <w:vAlign w:val="center"/>
          </w:tcPr>
          <w:p w14:paraId="07FDD442">
            <w:pPr>
              <w:jc w:val="right"/>
            </w:pPr>
            <w:r>
              <w:rPr>
                <w:rFonts w:hint="eastAsia"/>
              </w:rPr>
              <w:t>-</w:t>
            </w:r>
          </w:p>
        </w:tc>
        <w:tc>
          <w:tcPr>
            <w:tcW w:w="2907" w:type="dxa"/>
            <w:vAlign w:val="center"/>
          </w:tcPr>
          <w:p w14:paraId="3DF9AA55">
            <w:pPr>
              <w:jc w:val="right"/>
            </w:pPr>
            <w:r>
              <w:rPr>
                <w:rFonts w:hint="eastAsia"/>
              </w:rPr>
              <w:t>-</w:t>
            </w:r>
          </w:p>
        </w:tc>
      </w:tr>
      <w:tr w14:paraId="0891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F2478E">
            <w:r>
              <w:rPr>
                <w:rFonts w:hint="eastAsia"/>
              </w:rPr>
              <w:t>本期赎回（以“-”号填列）</w:t>
            </w:r>
          </w:p>
        </w:tc>
        <w:tc>
          <w:tcPr>
            <w:tcW w:w="2491" w:type="dxa"/>
            <w:vAlign w:val="center"/>
          </w:tcPr>
          <w:p w14:paraId="53D802D4">
            <w:pPr>
              <w:jc w:val="right"/>
            </w:pPr>
            <w:r>
              <w:rPr>
                <w:rFonts w:hint="eastAsia"/>
              </w:rPr>
              <w:t>-</w:t>
            </w:r>
          </w:p>
        </w:tc>
        <w:tc>
          <w:tcPr>
            <w:tcW w:w="2907" w:type="dxa"/>
            <w:vAlign w:val="center"/>
          </w:tcPr>
          <w:p w14:paraId="64F21623">
            <w:pPr>
              <w:jc w:val="right"/>
            </w:pPr>
            <w:r>
              <w:rPr>
                <w:rFonts w:hint="eastAsia"/>
              </w:rPr>
              <w:t>-</w:t>
            </w:r>
          </w:p>
        </w:tc>
      </w:tr>
      <w:tr w14:paraId="6D7B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665226">
            <w:r>
              <w:rPr>
                <w:rFonts w:hint="eastAsia"/>
              </w:rPr>
              <w:t>本期末</w:t>
            </w:r>
          </w:p>
        </w:tc>
        <w:tc>
          <w:tcPr>
            <w:tcW w:w="2491" w:type="dxa"/>
            <w:vAlign w:val="center"/>
          </w:tcPr>
          <w:p w14:paraId="4BF892E3">
            <w:pPr>
              <w:jc w:val="right"/>
            </w:pPr>
            <w:r>
              <w:rPr>
                <w:rFonts w:hint="eastAsia"/>
              </w:rPr>
              <w:t>82,076,521.42</w:t>
            </w:r>
          </w:p>
        </w:tc>
        <w:tc>
          <w:tcPr>
            <w:tcW w:w="2907" w:type="dxa"/>
            <w:vAlign w:val="center"/>
          </w:tcPr>
          <w:p w14:paraId="14F38ED9">
            <w:pPr>
              <w:jc w:val="right"/>
            </w:pPr>
            <w:r>
              <w:rPr>
                <w:rFonts w:hint="eastAsia"/>
              </w:rPr>
              <w:t>82,076,521.42</w:t>
            </w:r>
          </w:p>
        </w:tc>
      </w:tr>
    </w:tbl>
    <w:p w14:paraId="148F661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5DA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1CFFDD1">
            <w:pPr>
              <w:jc w:val="center"/>
            </w:pPr>
            <w:r>
              <w:rPr>
                <w:rFonts w:hint="eastAsia"/>
                <w:b/>
              </w:rPr>
              <w:t>南方恒生生物科技ETF发起联接（QDII）I</w:t>
            </w:r>
          </w:p>
        </w:tc>
      </w:tr>
      <w:tr w14:paraId="35C8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4CF37BF">
            <w:pPr>
              <w:jc w:val="center"/>
            </w:pPr>
            <w:r>
              <w:rPr>
                <w:rFonts w:hint="eastAsia"/>
                <w:b/>
              </w:rPr>
              <w:t>项目</w:t>
            </w:r>
          </w:p>
        </w:tc>
        <w:tc>
          <w:tcPr>
            <w:tcW w:w="2491" w:type="dxa"/>
            <w:gridSpan w:val="2"/>
            <w:shd w:val="clear" w:color="auto" w:fill="BFBFBF"/>
            <w:vAlign w:val="center"/>
          </w:tcPr>
          <w:p w14:paraId="1040DC50">
            <w:pPr>
              <w:jc w:val="center"/>
            </w:pPr>
            <w:r>
              <w:rPr>
                <w:rFonts w:hint="eastAsia"/>
                <w:b/>
              </w:rPr>
              <w:t>本期2025年1月1日至2025年12月31日</w:t>
            </w:r>
          </w:p>
        </w:tc>
      </w:tr>
      <w:tr w14:paraId="12BA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976C776"/>
        </w:tc>
        <w:tc>
          <w:tcPr>
            <w:tcW w:w="2491" w:type="dxa"/>
            <w:shd w:val="clear" w:color="auto" w:fill="BFBFBF"/>
            <w:vAlign w:val="center"/>
          </w:tcPr>
          <w:p w14:paraId="4B4D0B22">
            <w:pPr>
              <w:jc w:val="center"/>
            </w:pPr>
            <w:r>
              <w:rPr>
                <w:rFonts w:hint="eastAsia"/>
                <w:b/>
              </w:rPr>
              <w:t>基金份额（份）</w:t>
            </w:r>
          </w:p>
        </w:tc>
        <w:tc>
          <w:tcPr>
            <w:tcW w:w="2907" w:type="dxa"/>
            <w:shd w:val="clear" w:color="auto" w:fill="BFBFBF"/>
            <w:vAlign w:val="center"/>
          </w:tcPr>
          <w:p w14:paraId="20725864">
            <w:pPr>
              <w:jc w:val="center"/>
            </w:pPr>
            <w:r>
              <w:rPr>
                <w:rFonts w:hint="eastAsia"/>
                <w:b/>
              </w:rPr>
              <w:t>账面金额</w:t>
            </w:r>
          </w:p>
        </w:tc>
      </w:tr>
      <w:tr w14:paraId="3325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D6336">
            <w:r>
              <w:rPr>
                <w:rFonts w:hint="eastAsia"/>
              </w:rPr>
              <w:t>上年度末</w:t>
            </w:r>
          </w:p>
        </w:tc>
        <w:tc>
          <w:tcPr>
            <w:tcW w:w="2491" w:type="dxa"/>
            <w:vAlign w:val="center"/>
          </w:tcPr>
          <w:p w14:paraId="12BCAAA7">
            <w:pPr>
              <w:jc w:val="right"/>
            </w:pPr>
            <w:r>
              <w:rPr>
                <w:rFonts w:hint="eastAsia"/>
              </w:rPr>
              <w:t>835,883.55</w:t>
            </w:r>
          </w:p>
        </w:tc>
        <w:tc>
          <w:tcPr>
            <w:tcW w:w="2907" w:type="dxa"/>
            <w:vAlign w:val="center"/>
          </w:tcPr>
          <w:p w14:paraId="2D10C55C">
            <w:pPr>
              <w:jc w:val="right"/>
            </w:pPr>
            <w:r>
              <w:rPr>
                <w:rFonts w:hint="eastAsia"/>
              </w:rPr>
              <w:t>835,883.55</w:t>
            </w:r>
          </w:p>
        </w:tc>
      </w:tr>
      <w:tr w14:paraId="7135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2101A5">
            <w:r>
              <w:rPr>
                <w:rFonts w:hint="eastAsia"/>
              </w:rPr>
              <w:t>本期申购</w:t>
            </w:r>
          </w:p>
        </w:tc>
        <w:tc>
          <w:tcPr>
            <w:tcW w:w="2491" w:type="dxa"/>
            <w:vAlign w:val="center"/>
          </w:tcPr>
          <w:p w14:paraId="3771B838">
            <w:pPr>
              <w:jc w:val="right"/>
            </w:pPr>
            <w:r>
              <w:rPr>
                <w:rFonts w:hint="eastAsia"/>
              </w:rPr>
              <w:t>42,163,180.02</w:t>
            </w:r>
          </w:p>
        </w:tc>
        <w:tc>
          <w:tcPr>
            <w:tcW w:w="2907" w:type="dxa"/>
            <w:vAlign w:val="center"/>
          </w:tcPr>
          <w:p w14:paraId="5FBC0BBD">
            <w:pPr>
              <w:jc w:val="right"/>
            </w:pPr>
            <w:r>
              <w:rPr>
                <w:rFonts w:hint="eastAsia"/>
              </w:rPr>
              <w:t>42,163,180.02</w:t>
            </w:r>
          </w:p>
        </w:tc>
      </w:tr>
      <w:tr w14:paraId="7F67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3F2F83">
            <w:r>
              <w:rPr>
                <w:rFonts w:hint="eastAsia"/>
              </w:rPr>
              <w:t>本期赎回（以“-”号填列）</w:t>
            </w:r>
          </w:p>
        </w:tc>
        <w:tc>
          <w:tcPr>
            <w:tcW w:w="2491" w:type="dxa"/>
            <w:vAlign w:val="center"/>
          </w:tcPr>
          <w:p w14:paraId="3E595024">
            <w:pPr>
              <w:jc w:val="right"/>
            </w:pPr>
            <w:r>
              <w:rPr>
                <w:rFonts w:hint="eastAsia"/>
              </w:rPr>
              <w:t>-28,812,623.57</w:t>
            </w:r>
          </w:p>
        </w:tc>
        <w:tc>
          <w:tcPr>
            <w:tcW w:w="2907" w:type="dxa"/>
            <w:vAlign w:val="center"/>
          </w:tcPr>
          <w:p w14:paraId="41A63F4D">
            <w:pPr>
              <w:jc w:val="right"/>
            </w:pPr>
            <w:r>
              <w:rPr>
                <w:rFonts w:hint="eastAsia"/>
              </w:rPr>
              <w:t>-28,812,623.57</w:t>
            </w:r>
          </w:p>
        </w:tc>
      </w:tr>
      <w:tr w14:paraId="694A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2CAC36">
            <w:r>
              <w:rPr>
                <w:rFonts w:hint="eastAsia"/>
              </w:rPr>
              <w:t>基金拆分/份额折算前</w:t>
            </w:r>
          </w:p>
        </w:tc>
        <w:tc>
          <w:tcPr>
            <w:tcW w:w="2491" w:type="dxa"/>
            <w:vAlign w:val="center"/>
          </w:tcPr>
          <w:p w14:paraId="750C1899">
            <w:pPr>
              <w:jc w:val="right"/>
            </w:pPr>
            <w:r>
              <w:rPr>
                <w:rFonts w:hint="eastAsia"/>
              </w:rPr>
              <w:t>-</w:t>
            </w:r>
          </w:p>
        </w:tc>
        <w:tc>
          <w:tcPr>
            <w:tcW w:w="2907" w:type="dxa"/>
            <w:vAlign w:val="center"/>
          </w:tcPr>
          <w:p w14:paraId="6CFC44EC">
            <w:pPr>
              <w:jc w:val="right"/>
            </w:pPr>
            <w:r>
              <w:rPr>
                <w:rFonts w:hint="eastAsia"/>
              </w:rPr>
              <w:t>-</w:t>
            </w:r>
          </w:p>
        </w:tc>
      </w:tr>
      <w:tr w14:paraId="4F50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2889EE">
            <w:r>
              <w:rPr>
                <w:rFonts w:hint="eastAsia"/>
              </w:rPr>
              <w:t>基金拆分/份额折算调整</w:t>
            </w:r>
          </w:p>
        </w:tc>
        <w:tc>
          <w:tcPr>
            <w:tcW w:w="2491" w:type="dxa"/>
            <w:vAlign w:val="center"/>
          </w:tcPr>
          <w:p w14:paraId="6905F7A8">
            <w:pPr>
              <w:jc w:val="right"/>
            </w:pPr>
            <w:r>
              <w:rPr>
                <w:rFonts w:hint="eastAsia"/>
              </w:rPr>
              <w:t>-</w:t>
            </w:r>
          </w:p>
        </w:tc>
        <w:tc>
          <w:tcPr>
            <w:tcW w:w="2907" w:type="dxa"/>
            <w:vAlign w:val="center"/>
          </w:tcPr>
          <w:p w14:paraId="20043070">
            <w:pPr>
              <w:jc w:val="right"/>
            </w:pPr>
            <w:r>
              <w:rPr>
                <w:rFonts w:hint="eastAsia"/>
              </w:rPr>
              <w:t>-</w:t>
            </w:r>
          </w:p>
        </w:tc>
      </w:tr>
      <w:tr w14:paraId="66C2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D57C97">
            <w:r>
              <w:rPr>
                <w:rFonts w:hint="eastAsia"/>
              </w:rPr>
              <w:t>本期申购</w:t>
            </w:r>
          </w:p>
        </w:tc>
        <w:tc>
          <w:tcPr>
            <w:tcW w:w="2491" w:type="dxa"/>
            <w:vAlign w:val="center"/>
          </w:tcPr>
          <w:p w14:paraId="66F91635">
            <w:pPr>
              <w:jc w:val="right"/>
            </w:pPr>
            <w:r>
              <w:rPr>
                <w:rFonts w:hint="eastAsia"/>
              </w:rPr>
              <w:t>-</w:t>
            </w:r>
          </w:p>
        </w:tc>
        <w:tc>
          <w:tcPr>
            <w:tcW w:w="2907" w:type="dxa"/>
            <w:vAlign w:val="center"/>
          </w:tcPr>
          <w:p w14:paraId="64767E24">
            <w:pPr>
              <w:jc w:val="right"/>
            </w:pPr>
            <w:r>
              <w:rPr>
                <w:rFonts w:hint="eastAsia"/>
              </w:rPr>
              <w:t>-</w:t>
            </w:r>
          </w:p>
        </w:tc>
      </w:tr>
      <w:tr w14:paraId="5C86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347D44">
            <w:r>
              <w:rPr>
                <w:rFonts w:hint="eastAsia"/>
              </w:rPr>
              <w:t>本期赎回（以“-”号填列）</w:t>
            </w:r>
          </w:p>
        </w:tc>
        <w:tc>
          <w:tcPr>
            <w:tcW w:w="2491" w:type="dxa"/>
            <w:vAlign w:val="center"/>
          </w:tcPr>
          <w:p w14:paraId="7ADC6EB1">
            <w:pPr>
              <w:jc w:val="right"/>
            </w:pPr>
            <w:r>
              <w:rPr>
                <w:rFonts w:hint="eastAsia"/>
              </w:rPr>
              <w:t>-</w:t>
            </w:r>
          </w:p>
        </w:tc>
        <w:tc>
          <w:tcPr>
            <w:tcW w:w="2907" w:type="dxa"/>
            <w:vAlign w:val="center"/>
          </w:tcPr>
          <w:p w14:paraId="11D7E70B">
            <w:pPr>
              <w:jc w:val="right"/>
            </w:pPr>
            <w:r>
              <w:rPr>
                <w:rFonts w:hint="eastAsia"/>
              </w:rPr>
              <w:t>-</w:t>
            </w:r>
          </w:p>
        </w:tc>
      </w:tr>
      <w:tr w14:paraId="3A9A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63DEF3">
            <w:r>
              <w:rPr>
                <w:rFonts w:hint="eastAsia"/>
              </w:rPr>
              <w:t>本期末</w:t>
            </w:r>
          </w:p>
        </w:tc>
        <w:tc>
          <w:tcPr>
            <w:tcW w:w="2491" w:type="dxa"/>
            <w:vAlign w:val="center"/>
          </w:tcPr>
          <w:p w14:paraId="78E7D965">
            <w:pPr>
              <w:jc w:val="right"/>
            </w:pPr>
            <w:r>
              <w:rPr>
                <w:rFonts w:hint="eastAsia"/>
              </w:rPr>
              <w:t>14,186,440.00</w:t>
            </w:r>
          </w:p>
        </w:tc>
        <w:tc>
          <w:tcPr>
            <w:tcW w:w="2907" w:type="dxa"/>
            <w:vAlign w:val="center"/>
          </w:tcPr>
          <w:p w14:paraId="41121A24">
            <w:pPr>
              <w:jc w:val="right"/>
            </w:pPr>
            <w:r>
              <w:rPr>
                <w:rFonts w:hint="eastAsia"/>
              </w:rPr>
              <w:t>14,186,440.00</w:t>
            </w:r>
          </w:p>
        </w:tc>
      </w:tr>
    </w:tbl>
    <w:p w14:paraId="4C73415D">
      <w:pPr>
        <w:pStyle w:val="47"/>
        <w:rPr>
          <w:rFonts w:hint="eastAsia"/>
        </w:rPr>
      </w:pPr>
      <w:r>
        <w:rPr>
          <w:rFonts w:hint="eastAsia"/>
        </w:rPr>
        <w:t>注：本基金申购含红利再投份额（如有）、转换入份额（如有）；赎回含转出份额（如有）。</w:t>
      </w:r>
    </w:p>
    <w:p w14:paraId="2CAF225D">
      <w:pPr>
        <w:pStyle w:val="35"/>
      </w:pPr>
      <w:bookmarkStart w:id="87" w:name="_Toc87"/>
      <w:r>
        <w:t>未分配利润</w:t>
      </w:r>
      <w:bookmarkEnd w:id="87"/>
    </w:p>
    <w:p w14:paraId="1198E0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65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FF91B7">
            <w:pPr>
              <w:jc w:val="center"/>
            </w:pPr>
            <w:r>
              <w:rPr>
                <w:rFonts w:hint="eastAsia"/>
                <w:b/>
              </w:rPr>
              <w:t>南方恒生生物科技ETF发起联接（QDII）A</w:t>
            </w:r>
          </w:p>
        </w:tc>
      </w:tr>
      <w:tr w14:paraId="0C9D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7FEEAE">
            <w:pPr>
              <w:jc w:val="center"/>
            </w:pPr>
            <w:r>
              <w:rPr>
                <w:rFonts w:hint="eastAsia"/>
                <w:b/>
              </w:rPr>
              <w:t>项目</w:t>
            </w:r>
          </w:p>
        </w:tc>
        <w:tc>
          <w:tcPr>
            <w:tcW w:w="2076" w:type="dxa"/>
            <w:shd w:val="clear" w:color="auto" w:fill="BFBFBF"/>
            <w:vAlign w:val="center"/>
          </w:tcPr>
          <w:p w14:paraId="6BDEE5D9">
            <w:pPr>
              <w:jc w:val="center"/>
            </w:pPr>
            <w:r>
              <w:rPr>
                <w:rFonts w:hint="eastAsia"/>
                <w:b/>
              </w:rPr>
              <w:t>已实现部分</w:t>
            </w:r>
          </w:p>
        </w:tc>
        <w:tc>
          <w:tcPr>
            <w:tcW w:w="2076" w:type="dxa"/>
            <w:shd w:val="clear" w:color="auto" w:fill="BFBFBF"/>
            <w:vAlign w:val="center"/>
          </w:tcPr>
          <w:p w14:paraId="1C7807B9">
            <w:pPr>
              <w:jc w:val="center"/>
            </w:pPr>
            <w:r>
              <w:rPr>
                <w:rFonts w:hint="eastAsia"/>
                <w:b/>
              </w:rPr>
              <w:t>未实现部分</w:t>
            </w:r>
          </w:p>
        </w:tc>
        <w:tc>
          <w:tcPr>
            <w:tcW w:w="2076" w:type="dxa"/>
            <w:shd w:val="clear" w:color="auto" w:fill="BFBFBF"/>
            <w:vAlign w:val="center"/>
          </w:tcPr>
          <w:p w14:paraId="1D72F750">
            <w:pPr>
              <w:jc w:val="center"/>
            </w:pPr>
            <w:r>
              <w:rPr>
                <w:rFonts w:hint="eastAsia"/>
                <w:b/>
              </w:rPr>
              <w:t>未分配利润合计</w:t>
            </w:r>
          </w:p>
        </w:tc>
      </w:tr>
      <w:tr w14:paraId="6B27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3A9C2">
            <w:r>
              <w:rPr>
                <w:rFonts w:hint="eastAsia"/>
              </w:rPr>
              <w:t>上年度末</w:t>
            </w:r>
          </w:p>
        </w:tc>
        <w:tc>
          <w:tcPr>
            <w:tcW w:w="2076" w:type="dxa"/>
            <w:vAlign w:val="center"/>
          </w:tcPr>
          <w:p w14:paraId="416796A2">
            <w:pPr>
              <w:jc w:val="right"/>
            </w:pPr>
            <w:r>
              <w:rPr>
                <w:rFonts w:hint="eastAsia"/>
              </w:rPr>
              <w:t>-2,041,121.19</w:t>
            </w:r>
          </w:p>
        </w:tc>
        <w:tc>
          <w:tcPr>
            <w:tcW w:w="2076" w:type="dxa"/>
            <w:vAlign w:val="center"/>
          </w:tcPr>
          <w:p w14:paraId="41D51721">
            <w:pPr>
              <w:jc w:val="right"/>
            </w:pPr>
            <w:r>
              <w:rPr>
                <w:rFonts w:hint="eastAsia"/>
              </w:rPr>
              <w:t>-1,601,867.90</w:t>
            </w:r>
          </w:p>
        </w:tc>
        <w:tc>
          <w:tcPr>
            <w:tcW w:w="2076" w:type="dxa"/>
            <w:vAlign w:val="center"/>
          </w:tcPr>
          <w:p w14:paraId="354DCD17">
            <w:pPr>
              <w:jc w:val="right"/>
            </w:pPr>
            <w:r>
              <w:rPr>
                <w:rFonts w:hint="eastAsia"/>
              </w:rPr>
              <w:t>-3,642,989.09</w:t>
            </w:r>
          </w:p>
        </w:tc>
      </w:tr>
      <w:tr w14:paraId="38D6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B62F6">
            <w:r>
              <w:rPr>
                <w:rFonts w:hint="eastAsia"/>
              </w:rPr>
              <w:t>加：会计政策变更</w:t>
            </w:r>
          </w:p>
        </w:tc>
        <w:tc>
          <w:tcPr>
            <w:tcW w:w="2076" w:type="dxa"/>
            <w:vAlign w:val="center"/>
          </w:tcPr>
          <w:p w14:paraId="5C958750">
            <w:pPr>
              <w:jc w:val="right"/>
            </w:pPr>
            <w:r>
              <w:rPr>
                <w:rFonts w:hint="eastAsia"/>
              </w:rPr>
              <w:t>-</w:t>
            </w:r>
          </w:p>
        </w:tc>
        <w:tc>
          <w:tcPr>
            <w:tcW w:w="2076" w:type="dxa"/>
            <w:vAlign w:val="center"/>
          </w:tcPr>
          <w:p w14:paraId="7C437BF5">
            <w:pPr>
              <w:jc w:val="right"/>
            </w:pPr>
            <w:r>
              <w:rPr>
                <w:rFonts w:hint="eastAsia"/>
              </w:rPr>
              <w:t>-</w:t>
            </w:r>
          </w:p>
        </w:tc>
        <w:tc>
          <w:tcPr>
            <w:tcW w:w="2076" w:type="dxa"/>
            <w:vAlign w:val="center"/>
          </w:tcPr>
          <w:p w14:paraId="55875D45">
            <w:pPr>
              <w:jc w:val="right"/>
            </w:pPr>
            <w:r>
              <w:rPr>
                <w:rFonts w:hint="eastAsia"/>
              </w:rPr>
              <w:t>-</w:t>
            </w:r>
          </w:p>
        </w:tc>
      </w:tr>
      <w:tr w14:paraId="18B8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2E2DB2">
            <w:r>
              <w:rPr>
                <w:rFonts w:hint="eastAsia"/>
              </w:rPr>
              <w:t xml:space="preserve">      前期差错更正</w:t>
            </w:r>
          </w:p>
        </w:tc>
        <w:tc>
          <w:tcPr>
            <w:tcW w:w="2076" w:type="dxa"/>
            <w:vAlign w:val="center"/>
          </w:tcPr>
          <w:p w14:paraId="1D89B54A">
            <w:pPr>
              <w:jc w:val="right"/>
            </w:pPr>
            <w:r>
              <w:rPr>
                <w:rFonts w:hint="eastAsia"/>
              </w:rPr>
              <w:t>-</w:t>
            </w:r>
          </w:p>
        </w:tc>
        <w:tc>
          <w:tcPr>
            <w:tcW w:w="2076" w:type="dxa"/>
            <w:vAlign w:val="center"/>
          </w:tcPr>
          <w:p w14:paraId="0C0CC0B1">
            <w:pPr>
              <w:jc w:val="right"/>
            </w:pPr>
            <w:r>
              <w:rPr>
                <w:rFonts w:hint="eastAsia"/>
              </w:rPr>
              <w:t>-</w:t>
            </w:r>
          </w:p>
        </w:tc>
        <w:tc>
          <w:tcPr>
            <w:tcW w:w="2076" w:type="dxa"/>
            <w:vAlign w:val="center"/>
          </w:tcPr>
          <w:p w14:paraId="361C2D72">
            <w:pPr>
              <w:jc w:val="right"/>
            </w:pPr>
            <w:r>
              <w:rPr>
                <w:rFonts w:hint="eastAsia"/>
              </w:rPr>
              <w:t>-</w:t>
            </w:r>
          </w:p>
        </w:tc>
      </w:tr>
      <w:tr w14:paraId="333A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E49936">
            <w:r>
              <w:rPr>
                <w:rFonts w:hint="eastAsia"/>
              </w:rPr>
              <w:t xml:space="preserve">      其他</w:t>
            </w:r>
          </w:p>
        </w:tc>
        <w:tc>
          <w:tcPr>
            <w:tcW w:w="2076" w:type="dxa"/>
            <w:vAlign w:val="center"/>
          </w:tcPr>
          <w:p w14:paraId="1E7101EB">
            <w:pPr>
              <w:jc w:val="right"/>
            </w:pPr>
            <w:r>
              <w:rPr>
                <w:rFonts w:hint="eastAsia"/>
              </w:rPr>
              <w:t>-</w:t>
            </w:r>
          </w:p>
        </w:tc>
        <w:tc>
          <w:tcPr>
            <w:tcW w:w="2076" w:type="dxa"/>
            <w:vAlign w:val="center"/>
          </w:tcPr>
          <w:p w14:paraId="78A18F3B">
            <w:pPr>
              <w:jc w:val="right"/>
            </w:pPr>
            <w:r>
              <w:rPr>
                <w:rFonts w:hint="eastAsia"/>
              </w:rPr>
              <w:t>-</w:t>
            </w:r>
          </w:p>
        </w:tc>
        <w:tc>
          <w:tcPr>
            <w:tcW w:w="2076" w:type="dxa"/>
            <w:vAlign w:val="center"/>
          </w:tcPr>
          <w:p w14:paraId="0270FD5C">
            <w:pPr>
              <w:jc w:val="right"/>
            </w:pPr>
            <w:r>
              <w:rPr>
                <w:rFonts w:hint="eastAsia"/>
              </w:rPr>
              <w:t>-</w:t>
            </w:r>
          </w:p>
        </w:tc>
      </w:tr>
      <w:tr w14:paraId="0BDB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DC0ED9">
            <w:r>
              <w:rPr>
                <w:rFonts w:hint="eastAsia"/>
              </w:rPr>
              <w:t>本期期初</w:t>
            </w:r>
          </w:p>
        </w:tc>
        <w:tc>
          <w:tcPr>
            <w:tcW w:w="2076" w:type="dxa"/>
            <w:vAlign w:val="center"/>
          </w:tcPr>
          <w:p w14:paraId="3552A056">
            <w:pPr>
              <w:jc w:val="right"/>
            </w:pPr>
            <w:r>
              <w:rPr>
                <w:rFonts w:hint="eastAsia"/>
              </w:rPr>
              <w:t>-2,041,121.19</w:t>
            </w:r>
          </w:p>
        </w:tc>
        <w:tc>
          <w:tcPr>
            <w:tcW w:w="2076" w:type="dxa"/>
            <w:vAlign w:val="center"/>
          </w:tcPr>
          <w:p w14:paraId="30A77490">
            <w:pPr>
              <w:jc w:val="right"/>
            </w:pPr>
            <w:r>
              <w:rPr>
                <w:rFonts w:hint="eastAsia"/>
              </w:rPr>
              <w:t>-1,601,867.90</w:t>
            </w:r>
          </w:p>
        </w:tc>
        <w:tc>
          <w:tcPr>
            <w:tcW w:w="2076" w:type="dxa"/>
            <w:vAlign w:val="center"/>
          </w:tcPr>
          <w:p w14:paraId="035AE762">
            <w:pPr>
              <w:jc w:val="right"/>
            </w:pPr>
            <w:r>
              <w:rPr>
                <w:rFonts w:hint="eastAsia"/>
              </w:rPr>
              <w:t>-3,642,989.09</w:t>
            </w:r>
          </w:p>
        </w:tc>
      </w:tr>
      <w:tr w14:paraId="41AC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A117F">
            <w:r>
              <w:rPr>
                <w:rFonts w:hint="eastAsia"/>
              </w:rPr>
              <w:t>本期利润</w:t>
            </w:r>
          </w:p>
        </w:tc>
        <w:tc>
          <w:tcPr>
            <w:tcW w:w="2076" w:type="dxa"/>
            <w:vAlign w:val="center"/>
          </w:tcPr>
          <w:p w14:paraId="36BEDCA0">
            <w:pPr>
              <w:jc w:val="right"/>
            </w:pPr>
            <w:r>
              <w:rPr>
                <w:rFonts w:hint="eastAsia"/>
              </w:rPr>
              <w:t>4,158,472.72</w:t>
            </w:r>
          </w:p>
        </w:tc>
        <w:tc>
          <w:tcPr>
            <w:tcW w:w="2076" w:type="dxa"/>
            <w:vAlign w:val="center"/>
          </w:tcPr>
          <w:p w14:paraId="71AFD7B2">
            <w:pPr>
              <w:jc w:val="right"/>
            </w:pPr>
            <w:r>
              <w:rPr>
                <w:rFonts w:hint="eastAsia"/>
              </w:rPr>
              <w:t>621,264.26</w:t>
            </w:r>
          </w:p>
        </w:tc>
        <w:tc>
          <w:tcPr>
            <w:tcW w:w="2076" w:type="dxa"/>
            <w:vAlign w:val="center"/>
          </w:tcPr>
          <w:p w14:paraId="50E6BC99">
            <w:pPr>
              <w:jc w:val="right"/>
            </w:pPr>
            <w:r>
              <w:rPr>
                <w:rFonts w:hint="eastAsia"/>
              </w:rPr>
              <w:t>4,779,736.98</w:t>
            </w:r>
          </w:p>
        </w:tc>
      </w:tr>
      <w:tr w14:paraId="1386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E71B26">
            <w:r>
              <w:rPr>
                <w:rFonts w:hint="eastAsia"/>
              </w:rPr>
              <w:t>本期基金份额交易产生的变动数</w:t>
            </w:r>
          </w:p>
        </w:tc>
        <w:tc>
          <w:tcPr>
            <w:tcW w:w="2076" w:type="dxa"/>
            <w:vAlign w:val="center"/>
          </w:tcPr>
          <w:p w14:paraId="2A4B567E">
            <w:pPr>
              <w:jc w:val="right"/>
            </w:pPr>
            <w:r>
              <w:rPr>
                <w:rFonts w:hint="eastAsia"/>
              </w:rPr>
              <w:t>-1,740,900.76</w:t>
            </w:r>
          </w:p>
        </w:tc>
        <w:tc>
          <w:tcPr>
            <w:tcW w:w="2076" w:type="dxa"/>
            <w:vAlign w:val="center"/>
          </w:tcPr>
          <w:p w14:paraId="3BC8A082">
            <w:pPr>
              <w:jc w:val="right"/>
            </w:pPr>
            <w:r>
              <w:rPr>
                <w:rFonts w:hint="eastAsia"/>
              </w:rPr>
              <w:t>12,320,615.86</w:t>
            </w:r>
          </w:p>
        </w:tc>
        <w:tc>
          <w:tcPr>
            <w:tcW w:w="2076" w:type="dxa"/>
            <w:vAlign w:val="center"/>
          </w:tcPr>
          <w:p w14:paraId="548D5439">
            <w:pPr>
              <w:jc w:val="right"/>
            </w:pPr>
            <w:r>
              <w:rPr>
                <w:rFonts w:hint="eastAsia"/>
              </w:rPr>
              <w:t>10,579,715.10</w:t>
            </w:r>
          </w:p>
        </w:tc>
      </w:tr>
      <w:tr w14:paraId="722D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D73F5D">
            <w:r>
              <w:rPr>
                <w:rFonts w:hint="eastAsia"/>
              </w:rPr>
              <w:t>其中：基金申购款</w:t>
            </w:r>
          </w:p>
        </w:tc>
        <w:tc>
          <w:tcPr>
            <w:tcW w:w="2076" w:type="dxa"/>
            <w:vAlign w:val="center"/>
          </w:tcPr>
          <w:p w14:paraId="71726F2C">
            <w:pPr>
              <w:jc w:val="right"/>
            </w:pPr>
            <w:r>
              <w:rPr>
                <w:rFonts w:hint="eastAsia"/>
              </w:rPr>
              <w:t>-4,111,068.34</w:t>
            </w:r>
          </w:p>
        </w:tc>
        <w:tc>
          <w:tcPr>
            <w:tcW w:w="2076" w:type="dxa"/>
            <w:vAlign w:val="center"/>
          </w:tcPr>
          <w:p w14:paraId="6EA61626">
            <w:pPr>
              <w:jc w:val="right"/>
            </w:pPr>
            <w:r>
              <w:rPr>
                <w:rFonts w:hint="eastAsia"/>
              </w:rPr>
              <w:t>39,820,379.73</w:t>
            </w:r>
          </w:p>
        </w:tc>
        <w:tc>
          <w:tcPr>
            <w:tcW w:w="2076" w:type="dxa"/>
            <w:vAlign w:val="center"/>
          </w:tcPr>
          <w:p w14:paraId="4EF512ED">
            <w:pPr>
              <w:jc w:val="right"/>
            </w:pPr>
            <w:r>
              <w:rPr>
                <w:rFonts w:hint="eastAsia"/>
              </w:rPr>
              <w:t>35,709,311.39</w:t>
            </w:r>
          </w:p>
        </w:tc>
      </w:tr>
      <w:tr w14:paraId="7CDA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2E2600">
            <w:r>
              <w:rPr>
                <w:rFonts w:hint="eastAsia"/>
              </w:rPr>
              <w:t xml:space="preserve">      基金赎回款</w:t>
            </w:r>
          </w:p>
        </w:tc>
        <w:tc>
          <w:tcPr>
            <w:tcW w:w="2076" w:type="dxa"/>
            <w:vAlign w:val="center"/>
          </w:tcPr>
          <w:p w14:paraId="459792A2">
            <w:pPr>
              <w:jc w:val="right"/>
            </w:pPr>
            <w:r>
              <w:rPr>
                <w:rFonts w:hint="eastAsia"/>
              </w:rPr>
              <w:t>2,370,167.58</w:t>
            </w:r>
          </w:p>
        </w:tc>
        <w:tc>
          <w:tcPr>
            <w:tcW w:w="2076" w:type="dxa"/>
            <w:vAlign w:val="center"/>
          </w:tcPr>
          <w:p w14:paraId="6011AD76">
            <w:pPr>
              <w:jc w:val="right"/>
            </w:pPr>
            <w:r>
              <w:rPr>
                <w:rFonts w:hint="eastAsia"/>
              </w:rPr>
              <w:t>-27,499,763.87</w:t>
            </w:r>
          </w:p>
        </w:tc>
        <w:tc>
          <w:tcPr>
            <w:tcW w:w="2076" w:type="dxa"/>
            <w:vAlign w:val="center"/>
          </w:tcPr>
          <w:p w14:paraId="11FF676B">
            <w:pPr>
              <w:jc w:val="right"/>
            </w:pPr>
            <w:r>
              <w:rPr>
                <w:rFonts w:hint="eastAsia"/>
              </w:rPr>
              <w:t>-25,129,596.29</w:t>
            </w:r>
          </w:p>
        </w:tc>
      </w:tr>
      <w:tr w14:paraId="5525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A51C0">
            <w:r>
              <w:rPr>
                <w:rFonts w:hint="eastAsia"/>
              </w:rPr>
              <w:t>本期已分配利润</w:t>
            </w:r>
          </w:p>
        </w:tc>
        <w:tc>
          <w:tcPr>
            <w:tcW w:w="2076" w:type="dxa"/>
            <w:vAlign w:val="center"/>
          </w:tcPr>
          <w:p w14:paraId="782C6A32">
            <w:pPr>
              <w:jc w:val="right"/>
            </w:pPr>
            <w:r>
              <w:rPr>
                <w:rFonts w:hint="eastAsia"/>
              </w:rPr>
              <w:t>-</w:t>
            </w:r>
          </w:p>
        </w:tc>
        <w:tc>
          <w:tcPr>
            <w:tcW w:w="2076" w:type="dxa"/>
            <w:vAlign w:val="center"/>
          </w:tcPr>
          <w:p w14:paraId="5CA0FDA0">
            <w:pPr>
              <w:jc w:val="right"/>
            </w:pPr>
            <w:r>
              <w:rPr>
                <w:rFonts w:hint="eastAsia"/>
              </w:rPr>
              <w:t>-</w:t>
            </w:r>
          </w:p>
        </w:tc>
        <w:tc>
          <w:tcPr>
            <w:tcW w:w="2076" w:type="dxa"/>
            <w:vAlign w:val="center"/>
          </w:tcPr>
          <w:p w14:paraId="4DBEC7CA">
            <w:pPr>
              <w:jc w:val="right"/>
            </w:pPr>
            <w:r>
              <w:rPr>
                <w:rFonts w:hint="eastAsia"/>
              </w:rPr>
              <w:t>-</w:t>
            </w:r>
          </w:p>
        </w:tc>
      </w:tr>
      <w:tr w14:paraId="277C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1130F9">
            <w:r>
              <w:rPr>
                <w:rFonts w:hint="eastAsia"/>
              </w:rPr>
              <w:t>本期末</w:t>
            </w:r>
          </w:p>
        </w:tc>
        <w:tc>
          <w:tcPr>
            <w:tcW w:w="2076" w:type="dxa"/>
            <w:vAlign w:val="center"/>
          </w:tcPr>
          <w:p w14:paraId="3AED4561">
            <w:pPr>
              <w:jc w:val="right"/>
            </w:pPr>
            <w:r>
              <w:rPr>
                <w:rFonts w:hint="eastAsia"/>
              </w:rPr>
              <w:t>376,450.77</w:t>
            </w:r>
          </w:p>
        </w:tc>
        <w:tc>
          <w:tcPr>
            <w:tcW w:w="2076" w:type="dxa"/>
            <w:vAlign w:val="center"/>
          </w:tcPr>
          <w:p w14:paraId="337DFA75">
            <w:pPr>
              <w:jc w:val="right"/>
            </w:pPr>
            <w:r>
              <w:rPr>
                <w:rFonts w:hint="eastAsia"/>
              </w:rPr>
              <w:t>11,340,012.22</w:t>
            </w:r>
          </w:p>
        </w:tc>
        <w:tc>
          <w:tcPr>
            <w:tcW w:w="2076" w:type="dxa"/>
            <w:vAlign w:val="center"/>
          </w:tcPr>
          <w:p w14:paraId="61BEBBFF">
            <w:pPr>
              <w:jc w:val="right"/>
            </w:pPr>
            <w:r>
              <w:rPr>
                <w:rFonts w:hint="eastAsia"/>
              </w:rPr>
              <w:t>11,716,462.99</w:t>
            </w:r>
          </w:p>
        </w:tc>
      </w:tr>
    </w:tbl>
    <w:p w14:paraId="0FB8AE0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4C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DF8DC0">
            <w:pPr>
              <w:jc w:val="center"/>
            </w:pPr>
            <w:r>
              <w:rPr>
                <w:rFonts w:hint="eastAsia"/>
                <w:b/>
              </w:rPr>
              <w:t>南方恒生生物科技ETF发起联接（QDII）C</w:t>
            </w:r>
          </w:p>
        </w:tc>
      </w:tr>
      <w:tr w14:paraId="49CE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E369A8">
            <w:pPr>
              <w:jc w:val="center"/>
            </w:pPr>
            <w:r>
              <w:rPr>
                <w:rFonts w:hint="eastAsia"/>
                <w:b/>
              </w:rPr>
              <w:t>项目</w:t>
            </w:r>
          </w:p>
        </w:tc>
        <w:tc>
          <w:tcPr>
            <w:tcW w:w="2076" w:type="dxa"/>
            <w:shd w:val="clear" w:color="auto" w:fill="BFBFBF"/>
            <w:vAlign w:val="center"/>
          </w:tcPr>
          <w:p w14:paraId="2D4D8F1B">
            <w:pPr>
              <w:jc w:val="center"/>
            </w:pPr>
            <w:r>
              <w:rPr>
                <w:rFonts w:hint="eastAsia"/>
                <w:b/>
              </w:rPr>
              <w:t>已实现部分</w:t>
            </w:r>
          </w:p>
        </w:tc>
        <w:tc>
          <w:tcPr>
            <w:tcW w:w="2076" w:type="dxa"/>
            <w:shd w:val="clear" w:color="auto" w:fill="BFBFBF"/>
            <w:vAlign w:val="center"/>
          </w:tcPr>
          <w:p w14:paraId="105807D6">
            <w:pPr>
              <w:jc w:val="center"/>
            </w:pPr>
            <w:r>
              <w:rPr>
                <w:rFonts w:hint="eastAsia"/>
                <w:b/>
              </w:rPr>
              <w:t>未实现部分</w:t>
            </w:r>
          </w:p>
        </w:tc>
        <w:tc>
          <w:tcPr>
            <w:tcW w:w="2076" w:type="dxa"/>
            <w:shd w:val="clear" w:color="auto" w:fill="BFBFBF"/>
            <w:vAlign w:val="center"/>
          </w:tcPr>
          <w:p w14:paraId="52D0AC54">
            <w:pPr>
              <w:jc w:val="center"/>
            </w:pPr>
            <w:r>
              <w:rPr>
                <w:rFonts w:hint="eastAsia"/>
                <w:b/>
              </w:rPr>
              <w:t>未分配利润合计</w:t>
            </w:r>
          </w:p>
        </w:tc>
      </w:tr>
      <w:tr w14:paraId="56D4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91E983">
            <w:r>
              <w:rPr>
                <w:rFonts w:hint="eastAsia"/>
              </w:rPr>
              <w:t>上年度末</w:t>
            </w:r>
          </w:p>
        </w:tc>
        <w:tc>
          <w:tcPr>
            <w:tcW w:w="2076" w:type="dxa"/>
            <w:vAlign w:val="center"/>
          </w:tcPr>
          <w:p w14:paraId="10F5285A">
            <w:pPr>
              <w:jc w:val="right"/>
            </w:pPr>
            <w:r>
              <w:rPr>
                <w:rFonts w:hint="eastAsia"/>
              </w:rPr>
              <w:t>-1,953,733.33</w:t>
            </w:r>
          </w:p>
        </w:tc>
        <w:tc>
          <w:tcPr>
            <w:tcW w:w="2076" w:type="dxa"/>
            <w:vAlign w:val="center"/>
          </w:tcPr>
          <w:p w14:paraId="47A85400">
            <w:pPr>
              <w:jc w:val="right"/>
            </w:pPr>
            <w:r>
              <w:rPr>
                <w:rFonts w:hint="eastAsia"/>
              </w:rPr>
              <w:t>-1,490,031.82</w:t>
            </w:r>
          </w:p>
        </w:tc>
        <w:tc>
          <w:tcPr>
            <w:tcW w:w="2076" w:type="dxa"/>
            <w:vAlign w:val="center"/>
          </w:tcPr>
          <w:p w14:paraId="39B4751E">
            <w:pPr>
              <w:jc w:val="right"/>
            </w:pPr>
            <w:r>
              <w:rPr>
                <w:rFonts w:hint="eastAsia"/>
              </w:rPr>
              <w:t>-3,443,765.15</w:t>
            </w:r>
          </w:p>
        </w:tc>
      </w:tr>
      <w:tr w14:paraId="61C7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827B5">
            <w:r>
              <w:rPr>
                <w:rFonts w:hint="eastAsia"/>
              </w:rPr>
              <w:t>加：会计政策变更</w:t>
            </w:r>
          </w:p>
        </w:tc>
        <w:tc>
          <w:tcPr>
            <w:tcW w:w="2076" w:type="dxa"/>
            <w:vAlign w:val="center"/>
          </w:tcPr>
          <w:p w14:paraId="1BBF640F">
            <w:pPr>
              <w:jc w:val="right"/>
            </w:pPr>
            <w:r>
              <w:rPr>
                <w:rFonts w:hint="eastAsia"/>
              </w:rPr>
              <w:t>-</w:t>
            </w:r>
          </w:p>
        </w:tc>
        <w:tc>
          <w:tcPr>
            <w:tcW w:w="2076" w:type="dxa"/>
            <w:vAlign w:val="center"/>
          </w:tcPr>
          <w:p w14:paraId="585BE497">
            <w:pPr>
              <w:jc w:val="right"/>
            </w:pPr>
            <w:r>
              <w:rPr>
                <w:rFonts w:hint="eastAsia"/>
              </w:rPr>
              <w:t>-</w:t>
            </w:r>
          </w:p>
        </w:tc>
        <w:tc>
          <w:tcPr>
            <w:tcW w:w="2076" w:type="dxa"/>
            <w:vAlign w:val="center"/>
          </w:tcPr>
          <w:p w14:paraId="161E3918">
            <w:pPr>
              <w:jc w:val="right"/>
            </w:pPr>
            <w:r>
              <w:rPr>
                <w:rFonts w:hint="eastAsia"/>
              </w:rPr>
              <w:t>-</w:t>
            </w:r>
          </w:p>
        </w:tc>
      </w:tr>
      <w:tr w14:paraId="7B7C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925DB3">
            <w:r>
              <w:rPr>
                <w:rFonts w:hint="eastAsia"/>
              </w:rPr>
              <w:t xml:space="preserve">      前期差错更正</w:t>
            </w:r>
          </w:p>
        </w:tc>
        <w:tc>
          <w:tcPr>
            <w:tcW w:w="2076" w:type="dxa"/>
            <w:vAlign w:val="center"/>
          </w:tcPr>
          <w:p w14:paraId="31678617">
            <w:pPr>
              <w:jc w:val="right"/>
            </w:pPr>
            <w:r>
              <w:rPr>
                <w:rFonts w:hint="eastAsia"/>
              </w:rPr>
              <w:t>-</w:t>
            </w:r>
          </w:p>
        </w:tc>
        <w:tc>
          <w:tcPr>
            <w:tcW w:w="2076" w:type="dxa"/>
            <w:vAlign w:val="center"/>
          </w:tcPr>
          <w:p w14:paraId="2EFEC741">
            <w:pPr>
              <w:jc w:val="right"/>
            </w:pPr>
            <w:r>
              <w:rPr>
                <w:rFonts w:hint="eastAsia"/>
              </w:rPr>
              <w:t>-</w:t>
            </w:r>
          </w:p>
        </w:tc>
        <w:tc>
          <w:tcPr>
            <w:tcW w:w="2076" w:type="dxa"/>
            <w:vAlign w:val="center"/>
          </w:tcPr>
          <w:p w14:paraId="75FFD4ED">
            <w:pPr>
              <w:jc w:val="right"/>
            </w:pPr>
            <w:r>
              <w:rPr>
                <w:rFonts w:hint="eastAsia"/>
              </w:rPr>
              <w:t>-</w:t>
            </w:r>
          </w:p>
        </w:tc>
      </w:tr>
      <w:tr w14:paraId="40B6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DE89FB">
            <w:r>
              <w:rPr>
                <w:rFonts w:hint="eastAsia"/>
              </w:rPr>
              <w:t xml:space="preserve">      其他</w:t>
            </w:r>
          </w:p>
        </w:tc>
        <w:tc>
          <w:tcPr>
            <w:tcW w:w="2076" w:type="dxa"/>
            <w:vAlign w:val="center"/>
          </w:tcPr>
          <w:p w14:paraId="52F2C252">
            <w:pPr>
              <w:jc w:val="right"/>
            </w:pPr>
            <w:r>
              <w:rPr>
                <w:rFonts w:hint="eastAsia"/>
              </w:rPr>
              <w:t>-</w:t>
            </w:r>
          </w:p>
        </w:tc>
        <w:tc>
          <w:tcPr>
            <w:tcW w:w="2076" w:type="dxa"/>
            <w:vAlign w:val="center"/>
          </w:tcPr>
          <w:p w14:paraId="4AC0F439">
            <w:pPr>
              <w:jc w:val="right"/>
            </w:pPr>
            <w:r>
              <w:rPr>
                <w:rFonts w:hint="eastAsia"/>
              </w:rPr>
              <w:t>-</w:t>
            </w:r>
          </w:p>
        </w:tc>
        <w:tc>
          <w:tcPr>
            <w:tcW w:w="2076" w:type="dxa"/>
            <w:vAlign w:val="center"/>
          </w:tcPr>
          <w:p w14:paraId="103F32CE">
            <w:pPr>
              <w:jc w:val="right"/>
            </w:pPr>
            <w:r>
              <w:rPr>
                <w:rFonts w:hint="eastAsia"/>
              </w:rPr>
              <w:t>-</w:t>
            </w:r>
          </w:p>
        </w:tc>
      </w:tr>
      <w:tr w14:paraId="48A3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78B78">
            <w:r>
              <w:rPr>
                <w:rFonts w:hint="eastAsia"/>
              </w:rPr>
              <w:t>本期期初</w:t>
            </w:r>
          </w:p>
        </w:tc>
        <w:tc>
          <w:tcPr>
            <w:tcW w:w="2076" w:type="dxa"/>
            <w:vAlign w:val="center"/>
          </w:tcPr>
          <w:p w14:paraId="3593ADB9">
            <w:pPr>
              <w:jc w:val="right"/>
            </w:pPr>
            <w:r>
              <w:rPr>
                <w:rFonts w:hint="eastAsia"/>
              </w:rPr>
              <w:t>-1,953,733.33</w:t>
            </w:r>
          </w:p>
        </w:tc>
        <w:tc>
          <w:tcPr>
            <w:tcW w:w="2076" w:type="dxa"/>
            <w:vAlign w:val="center"/>
          </w:tcPr>
          <w:p w14:paraId="215A317D">
            <w:pPr>
              <w:jc w:val="right"/>
            </w:pPr>
            <w:r>
              <w:rPr>
                <w:rFonts w:hint="eastAsia"/>
              </w:rPr>
              <w:t>-1,490,031.82</w:t>
            </w:r>
          </w:p>
        </w:tc>
        <w:tc>
          <w:tcPr>
            <w:tcW w:w="2076" w:type="dxa"/>
            <w:vAlign w:val="center"/>
          </w:tcPr>
          <w:p w14:paraId="01C1B9E3">
            <w:pPr>
              <w:jc w:val="right"/>
            </w:pPr>
            <w:r>
              <w:rPr>
                <w:rFonts w:hint="eastAsia"/>
              </w:rPr>
              <w:t>-3,443,765.15</w:t>
            </w:r>
          </w:p>
        </w:tc>
      </w:tr>
      <w:tr w14:paraId="4732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33F49E">
            <w:r>
              <w:rPr>
                <w:rFonts w:hint="eastAsia"/>
              </w:rPr>
              <w:t>本期利润</w:t>
            </w:r>
          </w:p>
        </w:tc>
        <w:tc>
          <w:tcPr>
            <w:tcW w:w="2076" w:type="dxa"/>
            <w:vAlign w:val="center"/>
          </w:tcPr>
          <w:p w14:paraId="538ED7F5">
            <w:pPr>
              <w:jc w:val="right"/>
            </w:pPr>
            <w:r>
              <w:rPr>
                <w:rFonts w:hint="eastAsia"/>
              </w:rPr>
              <w:t>3,336,646.66</w:t>
            </w:r>
          </w:p>
        </w:tc>
        <w:tc>
          <w:tcPr>
            <w:tcW w:w="2076" w:type="dxa"/>
            <w:vAlign w:val="center"/>
          </w:tcPr>
          <w:p w14:paraId="39CED096">
            <w:pPr>
              <w:jc w:val="right"/>
            </w:pPr>
            <w:r>
              <w:rPr>
                <w:rFonts w:hint="eastAsia"/>
              </w:rPr>
              <w:t>-11,014,632.72</w:t>
            </w:r>
          </w:p>
        </w:tc>
        <w:tc>
          <w:tcPr>
            <w:tcW w:w="2076" w:type="dxa"/>
            <w:vAlign w:val="center"/>
          </w:tcPr>
          <w:p w14:paraId="2ED1086D">
            <w:pPr>
              <w:jc w:val="right"/>
            </w:pPr>
            <w:r>
              <w:rPr>
                <w:rFonts w:hint="eastAsia"/>
              </w:rPr>
              <w:t>-7,677,986.06</w:t>
            </w:r>
          </w:p>
        </w:tc>
      </w:tr>
      <w:tr w14:paraId="4F25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DB0D14">
            <w:r>
              <w:rPr>
                <w:rFonts w:hint="eastAsia"/>
              </w:rPr>
              <w:t>本期基金份额交易产生的变动数</w:t>
            </w:r>
          </w:p>
        </w:tc>
        <w:tc>
          <w:tcPr>
            <w:tcW w:w="2076" w:type="dxa"/>
            <w:vAlign w:val="center"/>
          </w:tcPr>
          <w:p w14:paraId="0D2BCE99">
            <w:pPr>
              <w:jc w:val="right"/>
            </w:pPr>
            <w:r>
              <w:rPr>
                <w:rFonts w:hint="eastAsia"/>
              </w:rPr>
              <w:t>-1,444,695.72</w:t>
            </w:r>
          </w:p>
        </w:tc>
        <w:tc>
          <w:tcPr>
            <w:tcW w:w="2076" w:type="dxa"/>
            <w:vAlign w:val="center"/>
          </w:tcPr>
          <w:p w14:paraId="3D5EE6DC">
            <w:pPr>
              <w:jc w:val="right"/>
            </w:pPr>
            <w:r>
              <w:rPr>
                <w:rFonts w:hint="eastAsia"/>
              </w:rPr>
              <w:t>29,782,287.35</w:t>
            </w:r>
          </w:p>
        </w:tc>
        <w:tc>
          <w:tcPr>
            <w:tcW w:w="2076" w:type="dxa"/>
            <w:vAlign w:val="center"/>
          </w:tcPr>
          <w:p w14:paraId="5D8AE55A">
            <w:pPr>
              <w:jc w:val="right"/>
            </w:pPr>
            <w:r>
              <w:rPr>
                <w:rFonts w:hint="eastAsia"/>
              </w:rPr>
              <w:t>28,337,591.63</w:t>
            </w:r>
          </w:p>
        </w:tc>
      </w:tr>
      <w:tr w14:paraId="1301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875483">
            <w:r>
              <w:rPr>
                <w:rFonts w:hint="eastAsia"/>
              </w:rPr>
              <w:t>其中：基金申购款</w:t>
            </w:r>
          </w:p>
        </w:tc>
        <w:tc>
          <w:tcPr>
            <w:tcW w:w="2076" w:type="dxa"/>
            <w:vAlign w:val="center"/>
          </w:tcPr>
          <w:p w14:paraId="2E0BD978">
            <w:pPr>
              <w:jc w:val="right"/>
            </w:pPr>
            <w:r>
              <w:rPr>
                <w:rFonts w:hint="eastAsia"/>
              </w:rPr>
              <w:t>-9,085,360.17</w:t>
            </w:r>
          </w:p>
        </w:tc>
        <w:tc>
          <w:tcPr>
            <w:tcW w:w="2076" w:type="dxa"/>
            <w:vAlign w:val="center"/>
          </w:tcPr>
          <w:p w14:paraId="6758D418">
            <w:pPr>
              <w:jc w:val="right"/>
            </w:pPr>
            <w:r>
              <w:rPr>
                <w:rFonts w:hint="eastAsia"/>
              </w:rPr>
              <w:t>82,728,700.02</w:t>
            </w:r>
          </w:p>
        </w:tc>
        <w:tc>
          <w:tcPr>
            <w:tcW w:w="2076" w:type="dxa"/>
            <w:vAlign w:val="center"/>
          </w:tcPr>
          <w:p w14:paraId="356FE261">
            <w:pPr>
              <w:jc w:val="right"/>
            </w:pPr>
            <w:r>
              <w:rPr>
                <w:rFonts w:hint="eastAsia"/>
              </w:rPr>
              <w:t>73,643,339.85</w:t>
            </w:r>
          </w:p>
        </w:tc>
      </w:tr>
      <w:tr w14:paraId="525F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4D343">
            <w:r>
              <w:rPr>
                <w:rFonts w:hint="eastAsia"/>
              </w:rPr>
              <w:t xml:space="preserve">      基金赎回款</w:t>
            </w:r>
          </w:p>
        </w:tc>
        <w:tc>
          <w:tcPr>
            <w:tcW w:w="2076" w:type="dxa"/>
            <w:vAlign w:val="center"/>
          </w:tcPr>
          <w:p w14:paraId="134C5397">
            <w:pPr>
              <w:jc w:val="right"/>
            </w:pPr>
            <w:r>
              <w:rPr>
                <w:rFonts w:hint="eastAsia"/>
              </w:rPr>
              <w:t>7,640,664.45</w:t>
            </w:r>
          </w:p>
        </w:tc>
        <w:tc>
          <w:tcPr>
            <w:tcW w:w="2076" w:type="dxa"/>
            <w:vAlign w:val="center"/>
          </w:tcPr>
          <w:p w14:paraId="5371F0B0">
            <w:pPr>
              <w:jc w:val="right"/>
            </w:pPr>
            <w:r>
              <w:rPr>
                <w:rFonts w:hint="eastAsia"/>
              </w:rPr>
              <w:t>-52,946,412.67</w:t>
            </w:r>
          </w:p>
        </w:tc>
        <w:tc>
          <w:tcPr>
            <w:tcW w:w="2076" w:type="dxa"/>
            <w:vAlign w:val="center"/>
          </w:tcPr>
          <w:p w14:paraId="610047AD">
            <w:pPr>
              <w:jc w:val="right"/>
            </w:pPr>
            <w:r>
              <w:rPr>
                <w:rFonts w:hint="eastAsia"/>
              </w:rPr>
              <w:t>-45,305,748.22</w:t>
            </w:r>
          </w:p>
        </w:tc>
      </w:tr>
      <w:tr w14:paraId="0B6D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70C28">
            <w:r>
              <w:rPr>
                <w:rFonts w:hint="eastAsia"/>
              </w:rPr>
              <w:t>本期已分配利润</w:t>
            </w:r>
          </w:p>
        </w:tc>
        <w:tc>
          <w:tcPr>
            <w:tcW w:w="2076" w:type="dxa"/>
            <w:vAlign w:val="center"/>
          </w:tcPr>
          <w:p w14:paraId="63B0814C">
            <w:pPr>
              <w:jc w:val="right"/>
            </w:pPr>
            <w:r>
              <w:rPr>
                <w:rFonts w:hint="eastAsia"/>
              </w:rPr>
              <w:t>-</w:t>
            </w:r>
          </w:p>
        </w:tc>
        <w:tc>
          <w:tcPr>
            <w:tcW w:w="2076" w:type="dxa"/>
            <w:vAlign w:val="center"/>
          </w:tcPr>
          <w:p w14:paraId="6FA27F44">
            <w:pPr>
              <w:jc w:val="right"/>
            </w:pPr>
            <w:r>
              <w:rPr>
                <w:rFonts w:hint="eastAsia"/>
              </w:rPr>
              <w:t>-</w:t>
            </w:r>
          </w:p>
        </w:tc>
        <w:tc>
          <w:tcPr>
            <w:tcW w:w="2076" w:type="dxa"/>
            <w:vAlign w:val="center"/>
          </w:tcPr>
          <w:p w14:paraId="6A260D6A">
            <w:pPr>
              <w:jc w:val="right"/>
            </w:pPr>
            <w:r>
              <w:rPr>
                <w:rFonts w:hint="eastAsia"/>
              </w:rPr>
              <w:t>-</w:t>
            </w:r>
          </w:p>
        </w:tc>
      </w:tr>
      <w:tr w14:paraId="052D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ADE01">
            <w:r>
              <w:rPr>
                <w:rFonts w:hint="eastAsia"/>
              </w:rPr>
              <w:t>本期末</w:t>
            </w:r>
          </w:p>
        </w:tc>
        <w:tc>
          <w:tcPr>
            <w:tcW w:w="2076" w:type="dxa"/>
            <w:vAlign w:val="center"/>
          </w:tcPr>
          <w:p w14:paraId="0DB88890">
            <w:pPr>
              <w:jc w:val="right"/>
            </w:pPr>
            <w:r>
              <w:rPr>
                <w:rFonts w:hint="eastAsia"/>
              </w:rPr>
              <w:t>-61,782.39</w:t>
            </w:r>
          </w:p>
        </w:tc>
        <w:tc>
          <w:tcPr>
            <w:tcW w:w="2076" w:type="dxa"/>
            <w:vAlign w:val="center"/>
          </w:tcPr>
          <w:p w14:paraId="151C099E">
            <w:pPr>
              <w:jc w:val="right"/>
            </w:pPr>
            <w:r>
              <w:rPr>
                <w:rFonts w:hint="eastAsia"/>
              </w:rPr>
              <w:t>17,277,622.81</w:t>
            </w:r>
          </w:p>
        </w:tc>
        <w:tc>
          <w:tcPr>
            <w:tcW w:w="2076" w:type="dxa"/>
            <w:vAlign w:val="center"/>
          </w:tcPr>
          <w:p w14:paraId="51E8521E">
            <w:pPr>
              <w:jc w:val="right"/>
            </w:pPr>
            <w:r>
              <w:rPr>
                <w:rFonts w:hint="eastAsia"/>
              </w:rPr>
              <w:t>17,215,840.42</w:t>
            </w:r>
          </w:p>
        </w:tc>
      </w:tr>
    </w:tbl>
    <w:p w14:paraId="572EC91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72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43F59D8">
            <w:pPr>
              <w:jc w:val="center"/>
            </w:pPr>
            <w:r>
              <w:rPr>
                <w:rFonts w:hint="eastAsia"/>
                <w:b/>
              </w:rPr>
              <w:t>南方恒生生物科技ETF发起联接（QDII）I</w:t>
            </w:r>
          </w:p>
        </w:tc>
      </w:tr>
      <w:tr w14:paraId="0ABA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CD49A84">
            <w:pPr>
              <w:jc w:val="center"/>
            </w:pPr>
            <w:r>
              <w:rPr>
                <w:rFonts w:hint="eastAsia"/>
                <w:b/>
              </w:rPr>
              <w:t>项目</w:t>
            </w:r>
          </w:p>
        </w:tc>
        <w:tc>
          <w:tcPr>
            <w:tcW w:w="2076" w:type="dxa"/>
            <w:shd w:val="clear" w:color="auto" w:fill="BFBFBF"/>
            <w:vAlign w:val="center"/>
          </w:tcPr>
          <w:p w14:paraId="36E140B9">
            <w:pPr>
              <w:jc w:val="center"/>
            </w:pPr>
            <w:r>
              <w:rPr>
                <w:rFonts w:hint="eastAsia"/>
                <w:b/>
              </w:rPr>
              <w:t>已实现部分</w:t>
            </w:r>
          </w:p>
        </w:tc>
        <w:tc>
          <w:tcPr>
            <w:tcW w:w="2076" w:type="dxa"/>
            <w:shd w:val="clear" w:color="auto" w:fill="BFBFBF"/>
            <w:vAlign w:val="center"/>
          </w:tcPr>
          <w:p w14:paraId="740BB868">
            <w:pPr>
              <w:jc w:val="center"/>
            </w:pPr>
            <w:r>
              <w:rPr>
                <w:rFonts w:hint="eastAsia"/>
                <w:b/>
              </w:rPr>
              <w:t>未实现部分</w:t>
            </w:r>
          </w:p>
        </w:tc>
        <w:tc>
          <w:tcPr>
            <w:tcW w:w="2076" w:type="dxa"/>
            <w:shd w:val="clear" w:color="auto" w:fill="BFBFBF"/>
            <w:vAlign w:val="center"/>
          </w:tcPr>
          <w:p w14:paraId="0D8E4DBC">
            <w:pPr>
              <w:jc w:val="center"/>
            </w:pPr>
            <w:r>
              <w:rPr>
                <w:rFonts w:hint="eastAsia"/>
                <w:b/>
              </w:rPr>
              <w:t>未分配利润合计</w:t>
            </w:r>
          </w:p>
        </w:tc>
      </w:tr>
      <w:tr w14:paraId="546A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62DE5C">
            <w:r>
              <w:rPr>
                <w:rFonts w:hint="eastAsia"/>
              </w:rPr>
              <w:t>上年度末</w:t>
            </w:r>
          </w:p>
        </w:tc>
        <w:tc>
          <w:tcPr>
            <w:tcW w:w="2076" w:type="dxa"/>
            <w:vAlign w:val="center"/>
          </w:tcPr>
          <w:p w14:paraId="694EFD9C">
            <w:pPr>
              <w:jc w:val="right"/>
            </w:pPr>
            <w:r>
              <w:rPr>
                <w:rFonts w:hint="eastAsia"/>
              </w:rPr>
              <w:t>-96,807.97</w:t>
            </w:r>
          </w:p>
        </w:tc>
        <w:tc>
          <w:tcPr>
            <w:tcW w:w="2076" w:type="dxa"/>
            <w:vAlign w:val="center"/>
          </w:tcPr>
          <w:p w14:paraId="2704C8C6">
            <w:pPr>
              <w:jc w:val="right"/>
            </w:pPr>
            <w:r>
              <w:rPr>
                <w:rFonts w:hint="eastAsia"/>
              </w:rPr>
              <w:t>-77,711.47</w:t>
            </w:r>
          </w:p>
        </w:tc>
        <w:tc>
          <w:tcPr>
            <w:tcW w:w="2076" w:type="dxa"/>
            <w:vAlign w:val="center"/>
          </w:tcPr>
          <w:p w14:paraId="5F0DBD1B">
            <w:pPr>
              <w:jc w:val="right"/>
            </w:pPr>
            <w:r>
              <w:rPr>
                <w:rFonts w:hint="eastAsia"/>
              </w:rPr>
              <w:t>-174,519.44</w:t>
            </w:r>
          </w:p>
        </w:tc>
      </w:tr>
      <w:tr w14:paraId="1FC3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00BCD">
            <w:r>
              <w:rPr>
                <w:rFonts w:hint="eastAsia"/>
              </w:rPr>
              <w:t>加：会计政策变更</w:t>
            </w:r>
          </w:p>
        </w:tc>
        <w:tc>
          <w:tcPr>
            <w:tcW w:w="2076" w:type="dxa"/>
            <w:vAlign w:val="center"/>
          </w:tcPr>
          <w:p w14:paraId="1389B4DD">
            <w:pPr>
              <w:jc w:val="right"/>
            </w:pPr>
            <w:r>
              <w:rPr>
                <w:rFonts w:hint="eastAsia"/>
              </w:rPr>
              <w:t>-</w:t>
            </w:r>
          </w:p>
        </w:tc>
        <w:tc>
          <w:tcPr>
            <w:tcW w:w="2076" w:type="dxa"/>
            <w:vAlign w:val="center"/>
          </w:tcPr>
          <w:p w14:paraId="35F1F351">
            <w:pPr>
              <w:jc w:val="right"/>
            </w:pPr>
            <w:r>
              <w:rPr>
                <w:rFonts w:hint="eastAsia"/>
              </w:rPr>
              <w:t>-</w:t>
            </w:r>
          </w:p>
        </w:tc>
        <w:tc>
          <w:tcPr>
            <w:tcW w:w="2076" w:type="dxa"/>
            <w:vAlign w:val="center"/>
          </w:tcPr>
          <w:p w14:paraId="2852B36F">
            <w:pPr>
              <w:jc w:val="right"/>
            </w:pPr>
            <w:r>
              <w:rPr>
                <w:rFonts w:hint="eastAsia"/>
              </w:rPr>
              <w:t>-</w:t>
            </w:r>
          </w:p>
        </w:tc>
      </w:tr>
      <w:tr w14:paraId="4D3C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A7CFBF">
            <w:r>
              <w:rPr>
                <w:rFonts w:hint="eastAsia"/>
              </w:rPr>
              <w:t xml:space="preserve">      前期差错更正</w:t>
            </w:r>
          </w:p>
        </w:tc>
        <w:tc>
          <w:tcPr>
            <w:tcW w:w="2076" w:type="dxa"/>
            <w:vAlign w:val="center"/>
          </w:tcPr>
          <w:p w14:paraId="6F20B71E">
            <w:pPr>
              <w:jc w:val="right"/>
            </w:pPr>
            <w:r>
              <w:rPr>
                <w:rFonts w:hint="eastAsia"/>
              </w:rPr>
              <w:t>-</w:t>
            </w:r>
          </w:p>
        </w:tc>
        <w:tc>
          <w:tcPr>
            <w:tcW w:w="2076" w:type="dxa"/>
            <w:vAlign w:val="center"/>
          </w:tcPr>
          <w:p w14:paraId="442C0B92">
            <w:pPr>
              <w:jc w:val="right"/>
            </w:pPr>
            <w:r>
              <w:rPr>
                <w:rFonts w:hint="eastAsia"/>
              </w:rPr>
              <w:t>-</w:t>
            </w:r>
          </w:p>
        </w:tc>
        <w:tc>
          <w:tcPr>
            <w:tcW w:w="2076" w:type="dxa"/>
            <w:vAlign w:val="center"/>
          </w:tcPr>
          <w:p w14:paraId="5C50267A">
            <w:pPr>
              <w:jc w:val="right"/>
            </w:pPr>
            <w:r>
              <w:rPr>
                <w:rFonts w:hint="eastAsia"/>
              </w:rPr>
              <w:t>-</w:t>
            </w:r>
          </w:p>
        </w:tc>
      </w:tr>
      <w:tr w14:paraId="5A2F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4409E1">
            <w:r>
              <w:rPr>
                <w:rFonts w:hint="eastAsia"/>
              </w:rPr>
              <w:t xml:space="preserve">      其他</w:t>
            </w:r>
          </w:p>
        </w:tc>
        <w:tc>
          <w:tcPr>
            <w:tcW w:w="2076" w:type="dxa"/>
            <w:vAlign w:val="center"/>
          </w:tcPr>
          <w:p w14:paraId="64DAB4DA">
            <w:pPr>
              <w:jc w:val="right"/>
            </w:pPr>
            <w:r>
              <w:rPr>
                <w:rFonts w:hint="eastAsia"/>
              </w:rPr>
              <w:t>-</w:t>
            </w:r>
          </w:p>
        </w:tc>
        <w:tc>
          <w:tcPr>
            <w:tcW w:w="2076" w:type="dxa"/>
            <w:vAlign w:val="center"/>
          </w:tcPr>
          <w:p w14:paraId="7DDFD906">
            <w:pPr>
              <w:jc w:val="right"/>
            </w:pPr>
            <w:r>
              <w:rPr>
                <w:rFonts w:hint="eastAsia"/>
              </w:rPr>
              <w:t>-</w:t>
            </w:r>
          </w:p>
        </w:tc>
        <w:tc>
          <w:tcPr>
            <w:tcW w:w="2076" w:type="dxa"/>
            <w:vAlign w:val="center"/>
          </w:tcPr>
          <w:p w14:paraId="449EDA0A">
            <w:pPr>
              <w:jc w:val="right"/>
            </w:pPr>
            <w:r>
              <w:rPr>
                <w:rFonts w:hint="eastAsia"/>
              </w:rPr>
              <w:t>-</w:t>
            </w:r>
          </w:p>
        </w:tc>
      </w:tr>
      <w:tr w14:paraId="551C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D55AE">
            <w:r>
              <w:rPr>
                <w:rFonts w:hint="eastAsia"/>
              </w:rPr>
              <w:t>本期期初</w:t>
            </w:r>
          </w:p>
        </w:tc>
        <w:tc>
          <w:tcPr>
            <w:tcW w:w="2076" w:type="dxa"/>
            <w:vAlign w:val="center"/>
          </w:tcPr>
          <w:p w14:paraId="605DC816">
            <w:pPr>
              <w:jc w:val="right"/>
            </w:pPr>
            <w:r>
              <w:rPr>
                <w:rFonts w:hint="eastAsia"/>
              </w:rPr>
              <w:t>-96,807.97</w:t>
            </w:r>
          </w:p>
        </w:tc>
        <w:tc>
          <w:tcPr>
            <w:tcW w:w="2076" w:type="dxa"/>
            <w:vAlign w:val="center"/>
          </w:tcPr>
          <w:p w14:paraId="449E95ED">
            <w:pPr>
              <w:jc w:val="right"/>
            </w:pPr>
            <w:r>
              <w:rPr>
                <w:rFonts w:hint="eastAsia"/>
              </w:rPr>
              <w:t>-77,711.47</w:t>
            </w:r>
          </w:p>
        </w:tc>
        <w:tc>
          <w:tcPr>
            <w:tcW w:w="2076" w:type="dxa"/>
            <w:vAlign w:val="center"/>
          </w:tcPr>
          <w:p w14:paraId="04B20CDF">
            <w:pPr>
              <w:jc w:val="right"/>
            </w:pPr>
            <w:r>
              <w:rPr>
                <w:rFonts w:hint="eastAsia"/>
              </w:rPr>
              <w:t>-174,519.44</w:t>
            </w:r>
          </w:p>
        </w:tc>
      </w:tr>
      <w:tr w14:paraId="2186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6C7990">
            <w:r>
              <w:rPr>
                <w:rFonts w:hint="eastAsia"/>
              </w:rPr>
              <w:t>本期利润</w:t>
            </w:r>
          </w:p>
        </w:tc>
        <w:tc>
          <w:tcPr>
            <w:tcW w:w="2076" w:type="dxa"/>
            <w:vAlign w:val="center"/>
          </w:tcPr>
          <w:p w14:paraId="4E6D98CB">
            <w:pPr>
              <w:jc w:val="right"/>
            </w:pPr>
            <w:r>
              <w:rPr>
                <w:rFonts w:hint="eastAsia"/>
              </w:rPr>
              <w:t>447,773.81</w:t>
            </w:r>
          </w:p>
        </w:tc>
        <w:tc>
          <w:tcPr>
            <w:tcW w:w="2076" w:type="dxa"/>
            <w:vAlign w:val="center"/>
          </w:tcPr>
          <w:p w14:paraId="533F935B">
            <w:pPr>
              <w:jc w:val="right"/>
            </w:pPr>
            <w:r>
              <w:rPr>
                <w:rFonts w:hint="eastAsia"/>
              </w:rPr>
              <w:t>-687,061.24</w:t>
            </w:r>
          </w:p>
        </w:tc>
        <w:tc>
          <w:tcPr>
            <w:tcW w:w="2076" w:type="dxa"/>
            <w:vAlign w:val="center"/>
          </w:tcPr>
          <w:p w14:paraId="5EA1D1B2">
            <w:pPr>
              <w:jc w:val="right"/>
            </w:pPr>
            <w:r>
              <w:rPr>
                <w:rFonts w:hint="eastAsia"/>
              </w:rPr>
              <w:t>-239,287.43</w:t>
            </w:r>
          </w:p>
        </w:tc>
      </w:tr>
      <w:tr w14:paraId="5E85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B06F0">
            <w:r>
              <w:rPr>
                <w:rFonts w:hint="eastAsia"/>
              </w:rPr>
              <w:t>本期基金份额交易产生的变动数</w:t>
            </w:r>
          </w:p>
        </w:tc>
        <w:tc>
          <w:tcPr>
            <w:tcW w:w="2076" w:type="dxa"/>
            <w:vAlign w:val="center"/>
          </w:tcPr>
          <w:p w14:paraId="75CF3D45">
            <w:pPr>
              <w:jc w:val="right"/>
            </w:pPr>
            <w:r>
              <w:rPr>
                <w:rFonts w:hint="eastAsia"/>
              </w:rPr>
              <w:t>-217,886.50</w:t>
            </w:r>
          </w:p>
        </w:tc>
        <w:tc>
          <w:tcPr>
            <w:tcW w:w="2076" w:type="dxa"/>
            <w:vAlign w:val="center"/>
          </w:tcPr>
          <w:p w14:paraId="195C5F4F">
            <w:pPr>
              <w:jc w:val="right"/>
            </w:pPr>
            <w:r>
              <w:rPr>
                <w:rFonts w:hint="eastAsia"/>
              </w:rPr>
              <w:t>3,779,271.11</w:t>
            </w:r>
          </w:p>
        </w:tc>
        <w:tc>
          <w:tcPr>
            <w:tcW w:w="2076" w:type="dxa"/>
            <w:vAlign w:val="center"/>
          </w:tcPr>
          <w:p w14:paraId="5BD43DDD">
            <w:pPr>
              <w:jc w:val="right"/>
            </w:pPr>
            <w:r>
              <w:rPr>
                <w:rFonts w:hint="eastAsia"/>
              </w:rPr>
              <w:t>3,561,384.61</w:t>
            </w:r>
          </w:p>
        </w:tc>
      </w:tr>
      <w:tr w14:paraId="713C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2999EF">
            <w:r>
              <w:rPr>
                <w:rFonts w:hint="eastAsia"/>
              </w:rPr>
              <w:t>其中：基金申购款</w:t>
            </w:r>
          </w:p>
        </w:tc>
        <w:tc>
          <w:tcPr>
            <w:tcW w:w="2076" w:type="dxa"/>
            <w:vAlign w:val="center"/>
          </w:tcPr>
          <w:p w14:paraId="2DDBB0E4">
            <w:pPr>
              <w:jc w:val="right"/>
            </w:pPr>
            <w:r>
              <w:rPr>
                <w:rFonts w:hint="eastAsia"/>
              </w:rPr>
              <w:t>-1,816,596.17</w:t>
            </w:r>
          </w:p>
        </w:tc>
        <w:tc>
          <w:tcPr>
            <w:tcW w:w="2076" w:type="dxa"/>
            <w:vAlign w:val="center"/>
          </w:tcPr>
          <w:p w14:paraId="48E5E4D1">
            <w:pPr>
              <w:jc w:val="right"/>
            </w:pPr>
            <w:r>
              <w:rPr>
                <w:rFonts w:hint="eastAsia"/>
              </w:rPr>
              <w:t>10,891,215.47</w:t>
            </w:r>
          </w:p>
        </w:tc>
        <w:tc>
          <w:tcPr>
            <w:tcW w:w="2076" w:type="dxa"/>
            <w:vAlign w:val="center"/>
          </w:tcPr>
          <w:p w14:paraId="559C4F8E">
            <w:pPr>
              <w:jc w:val="right"/>
            </w:pPr>
            <w:r>
              <w:rPr>
                <w:rFonts w:hint="eastAsia"/>
              </w:rPr>
              <w:t>9,074,619.30</w:t>
            </w:r>
          </w:p>
        </w:tc>
      </w:tr>
      <w:tr w14:paraId="1CE0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00A0A1">
            <w:r>
              <w:rPr>
                <w:rFonts w:hint="eastAsia"/>
              </w:rPr>
              <w:t xml:space="preserve">      基金赎回款</w:t>
            </w:r>
          </w:p>
        </w:tc>
        <w:tc>
          <w:tcPr>
            <w:tcW w:w="2076" w:type="dxa"/>
            <w:vAlign w:val="center"/>
          </w:tcPr>
          <w:p w14:paraId="0476BC17">
            <w:pPr>
              <w:jc w:val="right"/>
            </w:pPr>
            <w:r>
              <w:rPr>
                <w:rFonts w:hint="eastAsia"/>
              </w:rPr>
              <w:t>1,598,709.67</w:t>
            </w:r>
          </w:p>
        </w:tc>
        <w:tc>
          <w:tcPr>
            <w:tcW w:w="2076" w:type="dxa"/>
            <w:vAlign w:val="center"/>
          </w:tcPr>
          <w:p w14:paraId="5237ACC8">
            <w:pPr>
              <w:jc w:val="right"/>
            </w:pPr>
            <w:r>
              <w:rPr>
                <w:rFonts w:hint="eastAsia"/>
              </w:rPr>
              <w:t>-7,111,944.36</w:t>
            </w:r>
          </w:p>
        </w:tc>
        <w:tc>
          <w:tcPr>
            <w:tcW w:w="2076" w:type="dxa"/>
            <w:vAlign w:val="center"/>
          </w:tcPr>
          <w:p w14:paraId="65CC0E1C">
            <w:pPr>
              <w:jc w:val="right"/>
            </w:pPr>
            <w:r>
              <w:rPr>
                <w:rFonts w:hint="eastAsia"/>
              </w:rPr>
              <w:t>-5,513,234.69</w:t>
            </w:r>
          </w:p>
        </w:tc>
      </w:tr>
      <w:tr w14:paraId="3A4C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B818C1">
            <w:r>
              <w:rPr>
                <w:rFonts w:hint="eastAsia"/>
              </w:rPr>
              <w:t>本期已分配利润</w:t>
            </w:r>
          </w:p>
        </w:tc>
        <w:tc>
          <w:tcPr>
            <w:tcW w:w="2076" w:type="dxa"/>
            <w:vAlign w:val="center"/>
          </w:tcPr>
          <w:p w14:paraId="0A40B9DF">
            <w:pPr>
              <w:jc w:val="right"/>
            </w:pPr>
            <w:r>
              <w:rPr>
                <w:rFonts w:hint="eastAsia"/>
              </w:rPr>
              <w:t>-</w:t>
            </w:r>
          </w:p>
        </w:tc>
        <w:tc>
          <w:tcPr>
            <w:tcW w:w="2076" w:type="dxa"/>
            <w:vAlign w:val="center"/>
          </w:tcPr>
          <w:p w14:paraId="18D367E7">
            <w:pPr>
              <w:jc w:val="right"/>
            </w:pPr>
            <w:r>
              <w:rPr>
                <w:rFonts w:hint="eastAsia"/>
              </w:rPr>
              <w:t>-</w:t>
            </w:r>
          </w:p>
        </w:tc>
        <w:tc>
          <w:tcPr>
            <w:tcW w:w="2076" w:type="dxa"/>
            <w:vAlign w:val="center"/>
          </w:tcPr>
          <w:p w14:paraId="725758D0">
            <w:pPr>
              <w:jc w:val="right"/>
            </w:pPr>
            <w:r>
              <w:rPr>
                <w:rFonts w:hint="eastAsia"/>
              </w:rPr>
              <w:t>-</w:t>
            </w:r>
          </w:p>
        </w:tc>
      </w:tr>
      <w:tr w14:paraId="7669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4873F">
            <w:r>
              <w:rPr>
                <w:rFonts w:hint="eastAsia"/>
              </w:rPr>
              <w:t>本期末</w:t>
            </w:r>
          </w:p>
        </w:tc>
        <w:tc>
          <w:tcPr>
            <w:tcW w:w="2076" w:type="dxa"/>
            <w:vAlign w:val="center"/>
          </w:tcPr>
          <w:p w14:paraId="3666E2B5">
            <w:pPr>
              <w:jc w:val="right"/>
            </w:pPr>
            <w:r>
              <w:rPr>
                <w:rFonts w:hint="eastAsia"/>
              </w:rPr>
              <w:t>133,079.34</w:t>
            </w:r>
          </w:p>
        </w:tc>
        <w:tc>
          <w:tcPr>
            <w:tcW w:w="2076" w:type="dxa"/>
            <w:vAlign w:val="center"/>
          </w:tcPr>
          <w:p w14:paraId="221841B9">
            <w:pPr>
              <w:jc w:val="right"/>
            </w:pPr>
            <w:r>
              <w:rPr>
                <w:rFonts w:hint="eastAsia"/>
              </w:rPr>
              <w:t>3,014,498.40</w:t>
            </w:r>
          </w:p>
        </w:tc>
        <w:tc>
          <w:tcPr>
            <w:tcW w:w="2076" w:type="dxa"/>
            <w:vAlign w:val="center"/>
          </w:tcPr>
          <w:p w14:paraId="0BA41E85">
            <w:pPr>
              <w:jc w:val="right"/>
            </w:pPr>
            <w:r>
              <w:rPr>
                <w:rFonts w:hint="eastAsia"/>
              </w:rPr>
              <w:t>3,147,577.74</w:t>
            </w:r>
          </w:p>
        </w:tc>
      </w:tr>
    </w:tbl>
    <w:p w14:paraId="167A2640">
      <w:pPr>
        <w:pStyle w:val="35"/>
      </w:pPr>
      <w:bookmarkStart w:id="88" w:name="_Toc88"/>
      <w:r>
        <w:t>存款利息收入</w:t>
      </w:r>
      <w:bookmarkEnd w:id="88"/>
    </w:p>
    <w:p w14:paraId="31453A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20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0D0B90">
            <w:pPr>
              <w:jc w:val="center"/>
            </w:pPr>
            <w:r>
              <w:rPr>
                <w:rFonts w:hint="eastAsia"/>
                <w:b/>
              </w:rPr>
              <w:t>项目</w:t>
            </w:r>
          </w:p>
        </w:tc>
        <w:tc>
          <w:tcPr>
            <w:tcW w:w="2768" w:type="dxa"/>
            <w:shd w:val="clear" w:color="auto" w:fill="BFBFBF"/>
            <w:vAlign w:val="center"/>
          </w:tcPr>
          <w:p w14:paraId="3ACE1392">
            <w:pPr>
              <w:jc w:val="center"/>
            </w:pPr>
            <w:r>
              <w:rPr>
                <w:rFonts w:hint="eastAsia"/>
                <w:b/>
              </w:rPr>
              <w:t>本期2025年1月1日至2025年12月31日</w:t>
            </w:r>
          </w:p>
        </w:tc>
        <w:tc>
          <w:tcPr>
            <w:tcW w:w="2768" w:type="dxa"/>
            <w:shd w:val="clear" w:color="auto" w:fill="BFBFBF"/>
            <w:vAlign w:val="center"/>
          </w:tcPr>
          <w:p w14:paraId="0F9359AB">
            <w:pPr>
              <w:jc w:val="center"/>
            </w:pPr>
            <w:r>
              <w:rPr>
                <w:rFonts w:hint="eastAsia"/>
                <w:b/>
              </w:rPr>
              <w:t>上年度可比期间2024年1月1日至2024年12月31日</w:t>
            </w:r>
          </w:p>
        </w:tc>
      </w:tr>
      <w:tr w14:paraId="4CAC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BB190">
            <w:r>
              <w:rPr>
                <w:rFonts w:hint="eastAsia"/>
              </w:rPr>
              <w:t>活期存款利息收入</w:t>
            </w:r>
          </w:p>
        </w:tc>
        <w:tc>
          <w:tcPr>
            <w:tcW w:w="2768" w:type="dxa"/>
            <w:vAlign w:val="center"/>
          </w:tcPr>
          <w:p w14:paraId="2DB0E713">
            <w:pPr>
              <w:jc w:val="right"/>
            </w:pPr>
            <w:r>
              <w:rPr>
                <w:rFonts w:hint="eastAsia"/>
              </w:rPr>
              <w:t>32,687.06</w:t>
            </w:r>
          </w:p>
        </w:tc>
        <w:tc>
          <w:tcPr>
            <w:tcW w:w="2768" w:type="dxa"/>
            <w:vAlign w:val="center"/>
          </w:tcPr>
          <w:p w14:paraId="200F6A5F">
            <w:pPr>
              <w:jc w:val="right"/>
            </w:pPr>
            <w:r>
              <w:rPr>
                <w:rFonts w:hint="eastAsia"/>
              </w:rPr>
              <w:t>11,885.03</w:t>
            </w:r>
          </w:p>
        </w:tc>
      </w:tr>
      <w:tr w14:paraId="4A83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1016E">
            <w:r>
              <w:rPr>
                <w:rFonts w:hint="eastAsia"/>
              </w:rPr>
              <w:t>定期存款利息收入</w:t>
            </w:r>
          </w:p>
        </w:tc>
        <w:tc>
          <w:tcPr>
            <w:tcW w:w="2768" w:type="dxa"/>
            <w:vAlign w:val="center"/>
          </w:tcPr>
          <w:p w14:paraId="6D760F72">
            <w:pPr>
              <w:jc w:val="right"/>
            </w:pPr>
            <w:r>
              <w:rPr>
                <w:rFonts w:hint="eastAsia"/>
              </w:rPr>
              <w:t>-</w:t>
            </w:r>
          </w:p>
        </w:tc>
        <w:tc>
          <w:tcPr>
            <w:tcW w:w="2768" w:type="dxa"/>
            <w:vAlign w:val="center"/>
          </w:tcPr>
          <w:p w14:paraId="65B5127E">
            <w:pPr>
              <w:jc w:val="right"/>
            </w:pPr>
            <w:r>
              <w:rPr>
                <w:rFonts w:hint="eastAsia"/>
              </w:rPr>
              <w:t>-</w:t>
            </w:r>
          </w:p>
        </w:tc>
      </w:tr>
      <w:tr w14:paraId="432C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427A7">
            <w:r>
              <w:rPr>
                <w:rFonts w:hint="eastAsia"/>
              </w:rPr>
              <w:t>其他存款利息收入</w:t>
            </w:r>
          </w:p>
        </w:tc>
        <w:tc>
          <w:tcPr>
            <w:tcW w:w="2768" w:type="dxa"/>
            <w:vAlign w:val="center"/>
          </w:tcPr>
          <w:p w14:paraId="296F581C">
            <w:pPr>
              <w:jc w:val="right"/>
            </w:pPr>
            <w:r>
              <w:rPr>
                <w:rFonts w:hint="eastAsia"/>
              </w:rPr>
              <w:t>-</w:t>
            </w:r>
          </w:p>
        </w:tc>
        <w:tc>
          <w:tcPr>
            <w:tcW w:w="2768" w:type="dxa"/>
            <w:vAlign w:val="center"/>
          </w:tcPr>
          <w:p w14:paraId="173767D9">
            <w:pPr>
              <w:jc w:val="right"/>
            </w:pPr>
            <w:r>
              <w:rPr>
                <w:rFonts w:hint="eastAsia"/>
              </w:rPr>
              <w:t>-</w:t>
            </w:r>
          </w:p>
        </w:tc>
      </w:tr>
      <w:tr w14:paraId="2D1E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2A939">
            <w:r>
              <w:rPr>
                <w:rFonts w:hint="eastAsia"/>
              </w:rPr>
              <w:t>结算备付金利息收入</w:t>
            </w:r>
          </w:p>
        </w:tc>
        <w:tc>
          <w:tcPr>
            <w:tcW w:w="2768" w:type="dxa"/>
            <w:vAlign w:val="center"/>
          </w:tcPr>
          <w:p w14:paraId="0BA9364B">
            <w:pPr>
              <w:jc w:val="right"/>
            </w:pPr>
            <w:r>
              <w:rPr>
                <w:rFonts w:hint="eastAsia"/>
              </w:rPr>
              <w:t>448.95</w:t>
            </w:r>
          </w:p>
        </w:tc>
        <w:tc>
          <w:tcPr>
            <w:tcW w:w="2768" w:type="dxa"/>
            <w:vAlign w:val="center"/>
          </w:tcPr>
          <w:p w14:paraId="3E144CF1">
            <w:pPr>
              <w:jc w:val="right"/>
            </w:pPr>
            <w:r>
              <w:rPr>
                <w:rFonts w:hint="eastAsia"/>
              </w:rPr>
              <w:t>258.83</w:t>
            </w:r>
          </w:p>
        </w:tc>
      </w:tr>
      <w:tr w14:paraId="6B01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BDDF4">
            <w:r>
              <w:rPr>
                <w:rFonts w:hint="eastAsia"/>
              </w:rPr>
              <w:t>其他</w:t>
            </w:r>
          </w:p>
        </w:tc>
        <w:tc>
          <w:tcPr>
            <w:tcW w:w="2768" w:type="dxa"/>
            <w:vAlign w:val="center"/>
          </w:tcPr>
          <w:p w14:paraId="29F116E5">
            <w:pPr>
              <w:jc w:val="right"/>
            </w:pPr>
            <w:r>
              <w:rPr>
                <w:rFonts w:hint="eastAsia"/>
              </w:rPr>
              <w:t>3,829.24</w:t>
            </w:r>
          </w:p>
        </w:tc>
        <w:tc>
          <w:tcPr>
            <w:tcW w:w="2768" w:type="dxa"/>
            <w:vAlign w:val="center"/>
          </w:tcPr>
          <w:p w14:paraId="74966C7A">
            <w:pPr>
              <w:jc w:val="right"/>
            </w:pPr>
            <w:r>
              <w:rPr>
                <w:rFonts w:hint="eastAsia"/>
              </w:rPr>
              <w:t>670.79</w:t>
            </w:r>
          </w:p>
        </w:tc>
      </w:tr>
      <w:tr w14:paraId="1B9A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E9568">
            <w:r>
              <w:rPr>
                <w:rFonts w:hint="eastAsia"/>
              </w:rPr>
              <w:t>合计</w:t>
            </w:r>
          </w:p>
        </w:tc>
        <w:tc>
          <w:tcPr>
            <w:tcW w:w="2768" w:type="dxa"/>
            <w:vAlign w:val="center"/>
          </w:tcPr>
          <w:p w14:paraId="0878497C">
            <w:pPr>
              <w:jc w:val="right"/>
            </w:pPr>
            <w:r>
              <w:rPr>
                <w:rFonts w:hint="eastAsia"/>
              </w:rPr>
              <w:t>36,965.25</w:t>
            </w:r>
          </w:p>
        </w:tc>
        <w:tc>
          <w:tcPr>
            <w:tcW w:w="2768" w:type="dxa"/>
            <w:vAlign w:val="center"/>
          </w:tcPr>
          <w:p w14:paraId="050E8804">
            <w:pPr>
              <w:jc w:val="right"/>
            </w:pPr>
            <w:r>
              <w:rPr>
                <w:rFonts w:hint="eastAsia"/>
              </w:rPr>
              <w:t>12,814.65</w:t>
            </w:r>
          </w:p>
        </w:tc>
      </w:tr>
    </w:tbl>
    <w:p w14:paraId="2DA90A72">
      <w:pPr>
        <w:pStyle w:val="35"/>
      </w:pPr>
      <w:bookmarkStart w:id="89" w:name="_Toc89"/>
      <w:r>
        <w:t>股票投资收益</w:t>
      </w:r>
      <w:bookmarkEnd w:id="89"/>
    </w:p>
    <w:p w14:paraId="74FBE912">
      <w:pPr>
        <w:pStyle w:val="36"/>
      </w:pPr>
      <w:bookmarkStart w:id="90" w:name="_Toc90"/>
      <w:r>
        <w:t>股票投资收益项目构成</w:t>
      </w:r>
      <w:bookmarkEnd w:id="90"/>
    </w:p>
    <w:p w14:paraId="311F98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730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6F31328">
            <w:pPr>
              <w:jc w:val="center"/>
            </w:pPr>
            <w:r>
              <w:rPr>
                <w:rFonts w:hint="eastAsia"/>
                <w:b/>
              </w:rPr>
              <w:t>项目</w:t>
            </w:r>
          </w:p>
        </w:tc>
        <w:tc>
          <w:tcPr>
            <w:tcW w:w="2408" w:type="dxa"/>
            <w:shd w:val="clear" w:color="auto" w:fill="BFBFBF"/>
            <w:vAlign w:val="center"/>
          </w:tcPr>
          <w:p w14:paraId="25F15B87">
            <w:pPr>
              <w:jc w:val="center"/>
            </w:pPr>
            <w:r>
              <w:rPr>
                <w:rFonts w:hint="eastAsia"/>
                <w:b/>
              </w:rPr>
              <w:t>本期2025年1月1日至2025年12月31日</w:t>
            </w:r>
          </w:p>
        </w:tc>
        <w:tc>
          <w:tcPr>
            <w:tcW w:w="2740" w:type="dxa"/>
            <w:shd w:val="clear" w:color="auto" w:fill="BFBFBF"/>
            <w:vAlign w:val="center"/>
          </w:tcPr>
          <w:p w14:paraId="5FE37657">
            <w:pPr>
              <w:jc w:val="center"/>
            </w:pPr>
            <w:r>
              <w:rPr>
                <w:rFonts w:hint="eastAsia"/>
                <w:b/>
              </w:rPr>
              <w:t>上年度可比期间2024年1月1日至2024年12月31日</w:t>
            </w:r>
          </w:p>
        </w:tc>
      </w:tr>
      <w:tr w14:paraId="0E5F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D0D6F9">
            <w:r>
              <w:rPr>
                <w:rFonts w:hint="eastAsia"/>
              </w:rPr>
              <w:t>股票投资收益——买卖股票差价收入</w:t>
            </w:r>
          </w:p>
        </w:tc>
        <w:tc>
          <w:tcPr>
            <w:tcW w:w="2408" w:type="dxa"/>
            <w:vAlign w:val="center"/>
          </w:tcPr>
          <w:p w14:paraId="16D25034">
            <w:pPr>
              <w:jc w:val="right"/>
            </w:pPr>
            <w:r>
              <w:rPr>
                <w:rFonts w:hint="eastAsia"/>
              </w:rPr>
              <w:t>-</w:t>
            </w:r>
          </w:p>
        </w:tc>
        <w:tc>
          <w:tcPr>
            <w:tcW w:w="2740" w:type="dxa"/>
            <w:vAlign w:val="center"/>
          </w:tcPr>
          <w:p w14:paraId="5619CEE2">
            <w:pPr>
              <w:jc w:val="right"/>
            </w:pPr>
            <w:r>
              <w:rPr>
                <w:rFonts w:hint="eastAsia"/>
              </w:rPr>
              <w:t>-</w:t>
            </w:r>
          </w:p>
        </w:tc>
      </w:tr>
      <w:tr w14:paraId="3441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C4C70A">
            <w:r>
              <w:rPr>
                <w:rFonts w:hint="eastAsia"/>
              </w:rPr>
              <w:t>股票投资收益——赎回差价收入</w:t>
            </w:r>
          </w:p>
        </w:tc>
        <w:tc>
          <w:tcPr>
            <w:tcW w:w="2408" w:type="dxa"/>
            <w:vAlign w:val="center"/>
          </w:tcPr>
          <w:p w14:paraId="5A17114E">
            <w:pPr>
              <w:jc w:val="right"/>
            </w:pPr>
            <w:r>
              <w:rPr>
                <w:rFonts w:hint="eastAsia"/>
              </w:rPr>
              <w:t>-</w:t>
            </w:r>
          </w:p>
        </w:tc>
        <w:tc>
          <w:tcPr>
            <w:tcW w:w="2740" w:type="dxa"/>
            <w:vAlign w:val="center"/>
          </w:tcPr>
          <w:p w14:paraId="56C81F13">
            <w:pPr>
              <w:jc w:val="right"/>
            </w:pPr>
            <w:r>
              <w:rPr>
                <w:rFonts w:hint="eastAsia"/>
              </w:rPr>
              <w:t>-</w:t>
            </w:r>
          </w:p>
        </w:tc>
      </w:tr>
      <w:tr w14:paraId="7EF8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24C7ED">
            <w:r>
              <w:rPr>
                <w:rFonts w:hint="eastAsia"/>
              </w:rPr>
              <w:t>股票投资收益——申购差价收入</w:t>
            </w:r>
          </w:p>
        </w:tc>
        <w:tc>
          <w:tcPr>
            <w:tcW w:w="2408" w:type="dxa"/>
            <w:vAlign w:val="center"/>
          </w:tcPr>
          <w:p w14:paraId="41B140D5">
            <w:pPr>
              <w:jc w:val="right"/>
            </w:pPr>
            <w:r>
              <w:rPr>
                <w:rFonts w:hint="eastAsia"/>
              </w:rPr>
              <w:t>45.15</w:t>
            </w:r>
          </w:p>
        </w:tc>
        <w:tc>
          <w:tcPr>
            <w:tcW w:w="2740" w:type="dxa"/>
            <w:vAlign w:val="center"/>
          </w:tcPr>
          <w:p w14:paraId="7839E004">
            <w:pPr>
              <w:jc w:val="right"/>
            </w:pPr>
            <w:r>
              <w:rPr>
                <w:rFonts w:hint="eastAsia"/>
              </w:rPr>
              <w:t>-</w:t>
            </w:r>
          </w:p>
        </w:tc>
      </w:tr>
      <w:tr w14:paraId="1E0E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F32BEC">
            <w:r>
              <w:rPr>
                <w:rFonts w:hint="eastAsia"/>
              </w:rPr>
              <w:t>股票投资收益——证券出借差价收入</w:t>
            </w:r>
          </w:p>
        </w:tc>
        <w:tc>
          <w:tcPr>
            <w:tcW w:w="2408" w:type="dxa"/>
            <w:vAlign w:val="center"/>
          </w:tcPr>
          <w:p w14:paraId="390ED993">
            <w:pPr>
              <w:jc w:val="right"/>
            </w:pPr>
            <w:r>
              <w:rPr>
                <w:rFonts w:hint="eastAsia"/>
              </w:rPr>
              <w:t>-</w:t>
            </w:r>
          </w:p>
        </w:tc>
        <w:tc>
          <w:tcPr>
            <w:tcW w:w="2740" w:type="dxa"/>
            <w:vAlign w:val="center"/>
          </w:tcPr>
          <w:p w14:paraId="6F4A29D8">
            <w:pPr>
              <w:jc w:val="right"/>
            </w:pPr>
            <w:r>
              <w:rPr>
                <w:rFonts w:hint="eastAsia"/>
              </w:rPr>
              <w:t>-</w:t>
            </w:r>
          </w:p>
        </w:tc>
      </w:tr>
      <w:tr w14:paraId="2660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04EEA2">
            <w:r>
              <w:rPr>
                <w:rFonts w:hint="eastAsia"/>
              </w:rPr>
              <w:t>合计</w:t>
            </w:r>
          </w:p>
        </w:tc>
        <w:tc>
          <w:tcPr>
            <w:tcW w:w="2408" w:type="dxa"/>
            <w:vAlign w:val="center"/>
          </w:tcPr>
          <w:p w14:paraId="02521B1E">
            <w:pPr>
              <w:jc w:val="right"/>
            </w:pPr>
            <w:r>
              <w:rPr>
                <w:rFonts w:hint="eastAsia"/>
              </w:rPr>
              <w:t>45.15</w:t>
            </w:r>
          </w:p>
        </w:tc>
        <w:tc>
          <w:tcPr>
            <w:tcW w:w="2740" w:type="dxa"/>
            <w:vAlign w:val="center"/>
          </w:tcPr>
          <w:p w14:paraId="2C2202F9">
            <w:pPr>
              <w:jc w:val="right"/>
            </w:pPr>
            <w:r>
              <w:rPr>
                <w:rFonts w:hint="eastAsia"/>
              </w:rPr>
              <w:t>-</w:t>
            </w:r>
          </w:p>
        </w:tc>
      </w:tr>
    </w:tbl>
    <w:p w14:paraId="0F8842E7">
      <w:pPr>
        <w:pStyle w:val="36"/>
      </w:pPr>
      <w:bookmarkStart w:id="91" w:name="_Toc91"/>
      <w:r>
        <w:t>股票投资收益——买卖股票差价收入</w:t>
      </w:r>
      <w:bookmarkEnd w:id="91"/>
    </w:p>
    <w:p w14:paraId="53148E25">
      <w:pPr>
        <w:pStyle w:val="18"/>
        <w:rPr>
          <w:rFonts w:hint="eastAsia"/>
        </w:rPr>
      </w:pPr>
      <w:r>
        <w:rPr>
          <w:rFonts w:hint="eastAsia"/>
        </w:rPr>
        <w:t>无。</w:t>
      </w:r>
    </w:p>
    <w:p w14:paraId="237490A3">
      <w:pPr>
        <w:pStyle w:val="36"/>
      </w:pPr>
      <w:bookmarkStart w:id="92" w:name="_Toc92"/>
      <w:r>
        <w:t>股票投资收益——申购差价收入</w:t>
      </w:r>
      <w:bookmarkEnd w:id="92"/>
    </w:p>
    <w:p w14:paraId="0DA1A3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97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7FF851">
            <w:pPr>
              <w:jc w:val="center"/>
            </w:pPr>
            <w:r>
              <w:rPr>
                <w:rFonts w:hint="eastAsia"/>
                <w:b/>
              </w:rPr>
              <w:t>项目</w:t>
            </w:r>
          </w:p>
        </w:tc>
        <w:tc>
          <w:tcPr>
            <w:tcW w:w="2768" w:type="dxa"/>
            <w:shd w:val="clear" w:color="auto" w:fill="BFBFBF"/>
            <w:vAlign w:val="center"/>
          </w:tcPr>
          <w:p w14:paraId="12B8CF50">
            <w:pPr>
              <w:jc w:val="center"/>
            </w:pPr>
            <w:r>
              <w:rPr>
                <w:rFonts w:hint="eastAsia"/>
                <w:b/>
              </w:rPr>
              <w:t>本期2025年1月1日至2025年12月31日</w:t>
            </w:r>
          </w:p>
        </w:tc>
        <w:tc>
          <w:tcPr>
            <w:tcW w:w="2768" w:type="dxa"/>
            <w:shd w:val="clear" w:color="auto" w:fill="BFBFBF"/>
            <w:vAlign w:val="center"/>
          </w:tcPr>
          <w:p w14:paraId="00B611B7">
            <w:pPr>
              <w:jc w:val="center"/>
            </w:pPr>
            <w:r>
              <w:rPr>
                <w:rFonts w:hint="eastAsia"/>
                <w:b/>
              </w:rPr>
              <w:t>上年度可比期间2024年1月1日至2024年12月31日</w:t>
            </w:r>
          </w:p>
        </w:tc>
      </w:tr>
      <w:tr w14:paraId="1F71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608FA">
            <w:r>
              <w:rPr>
                <w:rFonts w:hint="eastAsia"/>
              </w:rPr>
              <w:t>申购基金份额总额</w:t>
            </w:r>
          </w:p>
        </w:tc>
        <w:tc>
          <w:tcPr>
            <w:tcW w:w="2768" w:type="dxa"/>
            <w:vAlign w:val="center"/>
          </w:tcPr>
          <w:p w14:paraId="05E7361F">
            <w:pPr>
              <w:jc w:val="right"/>
            </w:pPr>
            <w:r>
              <w:rPr>
                <w:rFonts w:hint="eastAsia"/>
              </w:rPr>
              <w:t>5,240,400.00</w:t>
            </w:r>
          </w:p>
        </w:tc>
        <w:tc>
          <w:tcPr>
            <w:tcW w:w="2768" w:type="dxa"/>
            <w:vAlign w:val="center"/>
          </w:tcPr>
          <w:p w14:paraId="35DAE292">
            <w:pPr>
              <w:jc w:val="right"/>
            </w:pPr>
            <w:r>
              <w:rPr>
                <w:rFonts w:hint="eastAsia"/>
              </w:rPr>
              <w:t>-</w:t>
            </w:r>
          </w:p>
        </w:tc>
      </w:tr>
      <w:tr w14:paraId="1A13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B803C">
            <w:r>
              <w:rPr>
                <w:rFonts w:hint="eastAsia"/>
              </w:rPr>
              <w:t>减：现金支付申购款总额</w:t>
            </w:r>
          </w:p>
        </w:tc>
        <w:tc>
          <w:tcPr>
            <w:tcW w:w="2768" w:type="dxa"/>
            <w:vAlign w:val="center"/>
          </w:tcPr>
          <w:p w14:paraId="506C67DE">
            <w:pPr>
              <w:jc w:val="right"/>
            </w:pPr>
            <w:r>
              <w:rPr>
                <w:rFonts w:hint="eastAsia"/>
              </w:rPr>
              <w:t>5,240,354.85</w:t>
            </w:r>
          </w:p>
        </w:tc>
        <w:tc>
          <w:tcPr>
            <w:tcW w:w="2768" w:type="dxa"/>
            <w:vAlign w:val="center"/>
          </w:tcPr>
          <w:p w14:paraId="5E2885B0">
            <w:pPr>
              <w:jc w:val="right"/>
            </w:pPr>
            <w:r>
              <w:rPr>
                <w:rFonts w:hint="eastAsia"/>
              </w:rPr>
              <w:t>-</w:t>
            </w:r>
          </w:p>
        </w:tc>
      </w:tr>
      <w:tr w14:paraId="6BE9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ECD42">
            <w:r>
              <w:rPr>
                <w:rFonts w:hint="eastAsia"/>
              </w:rPr>
              <w:t>减：申购股票成本总额</w:t>
            </w:r>
          </w:p>
        </w:tc>
        <w:tc>
          <w:tcPr>
            <w:tcW w:w="2768" w:type="dxa"/>
            <w:vAlign w:val="center"/>
          </w:tcPr>
          <w:p w14:paraId="786539BA">
            <w:pPr>
              <w:jc w:val="right"/>
            </w:pPr>
            <w:r>
              <w:rPr>
                <w:rFonts w:hint="eastAsia"/>
              </w:rPr>
              <w:t>-</w:t>
            </w:r>
          </w:p>
        </w:tc>
        <w:tc>
          <w:tcPr>
            <w:tcW w:w="2768" w:type="dxa"/>
            <w:vAlign w:val="center"/>
          </w:tcPr>
          <w:p w14:paraId="3B865B8E">
            <w:pPr>
              <w:jc w:val="right"/>
            </w:pPr>
            <w:r>
              <w:rPr>
                <w:rFonts w:hint="eastAsia"/>
              </w:rPr>
              <w:t>-</w:t>
            </w:r>
          </w:p>
        </w:tc>
      </w:tr>
      <w:tr w14:paraId="1493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3ABBD">
            <w:r>
              <w:rPr>
                <w:rFonts w:hint="eastAsia"/>
              </w:rPr>
              <w:t>减：交易费用</w:t>
            </w:r>
          </w:p>
        </w:tc>
        <w:tc>
          <w:tcPr>
            <w:tcW w:w="2768" w:type="dxa"/>
            <w:vAlign w:val="center"/>
          </w:tcPr>
          <w:p w14:paraId="63613210">
            <w:pPr>
              <w:jc w:val="right"/>
            </w:pPr>
            <w:r>
              <w:rPr>
                <w:rFonts w:hint="eastAsia"/>
              </w:rPr>
              <w:t>-</w:t>
            </w:r>
          </w:p>
        </w:tc>
        <w:tc>
          <w:tcPr>
            <w:tcW w:w="2768" w:type="dxa"/>
            <w:vAlign w:val="center"/>
          </w:tcPr>
          <w:p w14:paraId="16B7AFBC">
            <w:pPr>
              <w:jc w:val="right"/>
            </w:pPr>
            <w:r>
              <w:rPr>
                <w:rFonts w:hint="eastAsia"/>
              </w:rPr>
              <w:t>-</w:t>
            </w:r>
          </w:p>
        </w:tc>
      </w:tr>
      <w:tr w14:paraId="442C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3CFE9">
            <w:r>
              <w:rPr>
                <w:rFonts w:hint="eastAsia"/>
              </w:rPr>
              <w:t>申购差价收入</w:t>
            </w:r>
          </w:p>
        </w:tc>
        <w:tc>
          <w:tcPr>
            <w:tcW w:w="2768" w:type="dxa"/>
            <w:vAlign w:val="center"/>
          </w:tcPr>
          <w:p w14:paraId="649B0EFB">
            <w:pPr>
              <w:jc w:val="right"/>
            </w:pPr>
            <w:r>
              <w:rPr>
                <w:rFonts w:hint="eastAsia"/>
              </w:rPr>
              <w:t>45.15</w:t>
            </w:r>
          </w:p>
        </w:tc>
        <w:tc>
          <w:tcPr>
            <w:tcW w:w="2768" w:type="dxa"/>
            <w:vAlign w:val="center"/>
          </w:tcPr>
          <w:p w14:paraId="13DE5773">
            <w:pPr>
              <w:jc w:val="right"/>
            </w:pPr>
            <w:r>
              <w:rPr>
                <w:rFonts w:hint="eastAsia"/>
              </w:rPr>
              <w:t>-</w:t>
            </w:r>
          </w:p>
        </w:tc>
      </w:tr>
    </w:tbl>
    <w:p w14:paraId="42590D7C">
      <w:pPr>
        <w:pStyle w:val="35"/>
      </w:pPr>
      <w:bookmarkStart w:id="93" w:name="_Toc93"/>
      <w:r>
        <w:t>基金投资收益</w:t>
      </w:r>
      <w:bookmarkEnd w:id="93"/>
    </w:p>
    <w:p w14:paraId="6531A3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CA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6CC1EE">
            <w:pPr>
              <w:jc w:val="center"/>
            </w:pPr>
            <w:r>
              <w:rPr>
                <w:rFonts w:hint="eastAsia"/>
                <w:b/>
              </w:rPr>
              <w:t>项目</w:t>
            </w:r>
          </w:p>
        </w:tc>
        <w:tc>
          <w:tcPr>
            <w:tcW w:w="2768" w:type="dxa"/>
            <w:shd w:val="clear" w:color="auto" w:fill="BFBFBF"/>
            <w:vAlign w:val="center"/>
          </w:tcPr>
          <w:p w14:paraId="773EB66F">
            <w:pPr>
              <w:jc w:val="center"/>
            </w:pPr>
            <w:r>
              <w:rPr>
                <w:rFonts w:hint="eastAsia"/>
                <w:b/>
              </w:rPr>
              <w:t>本期2025年1月1日至2025年12月31日</w:t>
            </w:r>
          </w:p>
        </w:tc>
        <w:tc>
          <w:tcPr>
            <w:tcW w:w="2768" w:type="dxa"/>
            <w:shd w:val="clear" w:color="auto" w:fill="BFBFBF"/>
            <w:vAlign w:val="center"/>
          </w:tcPr>
          <w:p w14:paraId="025167AB">
            <w:pPr>
              <w:jc w:val="center"/>
            </w:pPr>
            <w:r>
              <w:rPr>
                <w:rFonts w:hint="eastAsia"/>
                <w:b/>
              </w:rPr>
              <w:t>上年度可比期间2024年1月1日至2024年12月31日</w:t>
            </w:r>
          </w:p>
        </w:tc>
      </w:tr>
      <w:tr w14:paraId="3A56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57125">
            <w:r>
              <w:rPr>
                <w:rFonts w:hint="eastAsia"/>
              </w:rPr>
              <w:t>卖出/赎回基金成交总额</w:t>
            </w:r>
          </w:p>
        </w:tc>
        <w:tc>
          <w:tcPr>
            <w:tcW w:w="2768" w:type="dxa"/>
            <w:vAlign w:val="center"/>
          </w:tcPr>
          <w:p w14:paraId="4B658B82">
            <w:pPr>
              <w:jc w:val="right"/>
            </w:pPr>
            <w:r>
              <w:rPr>
                <w:rFonts w:hint="eastAsia"/>
              </w:rPr>
              <w:t>69,510,054.10</w:t>
            </w:r>
          </w:p>
        </w:tc>
        <w:tc>
          <w:tcPr>
            <w:tcW w:w="2768" w:type="dxa"/>
            <w:vAlign w:val="center"/>
          </w:tcPr>
          <w:p w14:paraId="4947DA21">
            <w:pPr>
              <w:jc w:val="right"/>
            </w:pPr>
            <w:r>
              <w:rPr>
                <w:rFonts w:hint="eastAsia"/>
              </w:rPr>
              <w:t>19,601,380.20</w:t>
            </w:r>
          </w:p>
        </w:tc>
      </w:tr>
      <w:tr w14:paraId="43F1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35758">
            <w:r>
              <w:rPr>
                <w:rFonts w:hint="eastAsia"/>
              </w:rPr>
              <w:t>减：卖出/赎回基金成本总额</w:t>
            </w:r>
          </w:p>
        </w:tc>
        <w:tc>
          <w:tcPr>
            <w:tcW w:w="2768" w:type="dxa"/>
            <w:vAlign w:val="center"/>
          </w:tcPr>
          <w:p w14:paraId="69AE10DE">
            <w:pPr>
              <w:jc w:val="right"/>
            </w:pPr>
            <w:r>
              <w:rPr>
                <w:rFonts w:hint="eastAsia"/>
              </w:rPr>
              <w:t>61,388,285.60</w:t>
            </w:r>
          </w:p>
        </w:tc>
        <w:tc>
          <w:tcPr>
            <w:tcW w:w="2768" w:type="dxa"/>
            <w:vAlign w:val="center"/>
          </w:tcPr>
          <w:p w14:paraId="06B775B1">
            <w:pPr>
              <w:jc w:val="right"/>
            </w:pPr>
            <w:r>
              <w:rPr>
                <w:rFonts w:hint="eastAsia"/>
              </w:rPr>
              <w:t>22,291,076.76</w:t>
            </w:r>
          </w:p>
        </w:tc>
      </w:tr>
      <w:tr w14:paraId="5169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37EA5">
            <w:r>
              <w:rPr>
                <w:rFonts w:hint="eastAsia"/>
              </w:rPr>
              <w:t>减：买卖基金差价收入应缴纳增值税额</w:t>
            </w:r>
          </w:p>
        </w:tc>
        <w:tc>
          <w:tcPr>
            <w:tcW w:w="2768" w:type="dxa"/>
            <w:vAlign w:val="center"/>
          </w:tcPr>
          <w:p w14:paraId="5A7A335A">
            <w:pPr>
              <w:jc w:val="right"/>
            </w:pPr>
            <w:r>
              <w:rPr>
                <w:rFonts w:hint="eastAsia"/>
              </w:rPr>
              <w:t>236,556.36</w:t>
            </w:r>
          </w:p>
        </w:tc>
        <w:tc>
          <w:tcPr>
            <w:tcW w:w="2768" w:type="dxa"/>
            <w:vAlign w:val="center"/>
          </w:tcPr>
          <w:p w14:paraId="5A068E40">
            <w:pPr>
              <w:jc w:val="right"/>
            </w:pPr>
            <w:r>
              <w:rPr>
                <w:rFonts w:hint="eastAsia"/>
              </w:rPr>
              <w:t>-</w:t>
            </w:r>
          </w:p>
        </w:tc>
      </w:tr>
      <w:tr w14:paraId="0477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9A145">
            <w:r>
              <w:rPr>
                <w:rFonts w:hint="eastAsia"/>
              </w:rPr>
              <w:t>减：交易费用</w:t>
            </w:r>
          </w:p>
        </w:tc>
        <w:tc>
          <w:tcPr>
            <w:tcW w:w="2768" w:type="dxa"/>
            <w:vAlign w:val="center"/>
          </w:tcPr>
          <w:p w14:paraId="26750558">
            <w:pPr>
              <w:jc w:val="right"/>
            </w:pPr>
            <w:r>
              <w:rPr>
                <w:rFonts w:hint="eastAsia"/>
              </w:rPr>
              <w:t>11,364.39</w:t>
            </w:r>
          </w:p>
        </w:tc>
        <w:tc>
          <w:tcPr>
            <w:tcW w:w="2768" w:type="dxa"/>
            <w:vAlign w:val="center"/>
          </w:tcPr>
          <w:p w14:paraId="0F803A58">
            <w:pPr>
              <w:jc w:val="right"/>
            </w:pPr>
            <w:r>
              <w:rPr>
                <w:rFonts w:hint="eastAsia"/>
              </w:rPr>
              <w:t>1,765.31</w:t>
            </w:r>
          </w:p>
        </w:tc>
      </w:tr>
      <w:tr w14:paraId="423E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D8EAE">
            <w:r>
              <w:rPr>
                <w:rFonts w:hint="eastAsia"/>
              </w:rPr>
              <w:t>基金投资收益</w:t>
            </w:r>
          </w:p>
        </w:tc>
        <w:tc>
          <w:tcPr>
            <w:tcW w:w="2768" w:type="dxa"/>
            <w:vAlign w:val="center"/>
          </w:tcPr>
          <w:p w14:paraId="43F90609">
            <w:pPr>
              <w:jc w:val="right"/>
            </w:pPr>
            <w:r>
              <w:rPr>
                <w:rFonts w:hint="eastAsia"/>
              </w:rPr>
              <w:t>7,873,847.75</w:t>
            </w:r>
          </w:p>
        </w:tc>
        <w:tc>
          <w:tcPr>
            <w:tcW w:w="2768" w:type="dxa"/>
            <w:vAlign w:val="center"/>
          </w:tcPr>
          <w:p w14:paraId="5D5D9AB7">
            <w:pPr>
              <w:jc w:val="right"/>
            </w:pPr>
            <w:r>
              <w:rPr>
                <w:rFonts w:hint="eastAsia"/>
              </w:rPr>
              <w:t>-2,691,461.87</w:t>
            </w:r>
          </w:p>
        </w:tc>
      </w:tr>
    </w:tbl>
    <w:p w14:paraId="079DC538">
      <w:pPr>
        <w:pStyle w:val="47"/>
        <w:rPr>
          <w:rFonts w:hint="eastAsia"/>
        </w:rPr>
      </w:pPr>
      <w:r>
        <w:rPr>
          <w:rFonts w:hint="eastAsia"/>
        </w:rPr>
        <w:t>注：上述交易费用（如有）包含基金买卖或申赎产生的交易费用。</w:t>
      </w:r>
    </w:p>
    <w:p w14:paraId="0B522C62">
      <w:pPr>
        <w:pStyle w:val="35"/>
      </w:pPr>
      <w:bookmarkStart w:id="94" w:name="_Toc94"/>
      <w:r>
        <w:t>债券投资收益</w:t>
      </w:r>
      <w:bookmarkEnd w:id="94"/>
    </w:p>
    <w:p w14:paraId="40BD01EE">
      <w:pPr>
        <w:pStyle w:val="36"/>
      </w:pPr>
      <w:bookmarkStart w:id="95" w:name="_Toc95"/>
      <w:r>
        <w:t>债券投资收益项目构成</w:t>
      </w:r>
      <w:bookmarkEnd w:id="95"/>
    </w:p>
    <w:p w14:paraId="776A4A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015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EE4461">
            <w:pPr>
              <w:jc w:val="center"/>
            </w:pPr>
            <w:r>
              <w:rPr>
                <w:rFonts w:hint="eastAsia"/>
                <w:b/>
              </w:rPr>
              <w:t>项目</w:t>
            </w:r>
          </w:p>
        </w:tc>
        <w:tc>
          <w:tcPr>
            <w:tcW w:w="2469" w:type="dxa"/>
            <w:shd w:val="clear" w:color="auto" w:fill="BFBFBF"/>
            <w:vAlign w:val="center"/>
          </w:tcPr>
          <w:p w14:paraId="0C104891">
            <w:pPr>
              <w:jc w:val="center"/>
            </w:pPr>
            <w:r>
              <w:rPr>
                <w:rFonts w:hint="eastAsia"/>
                <w:b/>
              </w:rPr>
              <w:t>本期2025年1月1日至2025年12月31日</w:t>
            </w:r>
          </w:p>
        </w:tc>
        <w:tc>
          <w:tcPr>
            <w:tcW w:w="2801" w:type="dxa"/>
            <w:shd w:val="clear" w:color="auto" w:fill="BFBFBF"/>
            <w:vAlign w:val="center"/>
          </w:tcPr>
          <w:p w14:paraId="5CFF5411">
            <w:pPr>
              <w:jc w:val="center"/>
            </w:pPr>
            <w:r>
              <w:rPr>
                <w:rFonts w:hint="eastAsia"/>
                <w:b/>
              </w:rPr>
              <w:t>上年度可比期间2024年1月1日至2024年12月31日</w:t>
            </w:r>
          </w:p>
        </w:tc>
      </w:tr>
      <w:tr w14:paraId="3047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145F27">
            <w:r>
              <w:rPr>
                <w:rFonts w:hint="eastAsia"/>
              </w:rPr>
              <w:t>债券投资收益——利息收入</w:t>
            </w:r>
          </w:p>
        </w:tc>
        <w:tc>
          <w:tcPr>
            <w:tcW w:w="2469" w:type="dxa"/>
            <w:vAlign w:val="center"/>
          </w:tcPr>
          <w:p w14:paraId="4F59D452">
            <w:pPr>
              <w:jc w:val="right"/>
            </w:pPr>
            <w:r>
              <w:rPr>
                <w:rFonts w:hint="eastAsia"/>
              </w:rPr>
              <w:t>10,106.31</w:t>
            </w:r>
          </w:p>
        </w:tc>
        <w:tc>
          <w:tcPr>
            <w:tcW w:w="2801" w:type="dxa"/>
            <w:vAlign w:val="center"/>
          </w:tcPr>
          <w:p w14:paraId="14DA2DE0">
            <w:pPr>
              <w:jc w:val="right"/>
            </w:pPr>
            <w:r>
              <w:rPr>
                <w:rFonts w:hint="eastAsia"/>
              </w:rPr>
              <w:t>1,920.82</w:t>
            </w:r>
          </w:p>
        </w:tc>
      </w:tr>
      <w:tr w14:paraId="0C59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DFB58B">
            <w:r>
              <w:rPr>
                <w:rFonts w:hint="eastAsia"/>
              </w:rPr>
              <w:t>债券投资收益——买卖债券（债转股及债券到期兑付）差价收入</w:t>
            </w:r>
          </w:p>
        </w:tc>
        <w:tc>
          <w:tcPr>
            <w:tcW w:w="2469" w:type="dxa"/>
            <w:vAlign w:val="center"/>
          </w:tcPr>
          <w:p w14:paraId="1AA3A714">
            <w:pPr>
              <w:jc w:val="right"/>
            </w:pPr>
            <w:r>
              <w:rPr>
                <w:rFonts w:hint="eastAsia"/>
              </w:rPr>
              <w:t>-</w:t>
            </w:r>
          </w:p>
        </w:tc>
        <w:tc>
          <w:tcPr>
            <w:tcW w:w="2801" w:type="dxa"/>
            <w:vAlign w:val="center"/>
          </w:tcPr>
          <w:p w14:paraId="2F2C5A20">
            <w:pPr>
              <w:jc w:val="right"/>
            </w:pPr>
            <w:r>
              <w:rPr>
                <w:rFonts w:hint="eastAsia"/>
              </w:rPr>
              <w:t>-68.00</w:t>
            </w:r>
          </w:p>
        </w:tc>
      </w:tr>
      <w:tr w14:paraId="1786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E76955">
            <w:r>
              <w:rPr>
                <w:rFonts w:hint="eastAsia"/>
              </w:rPr>
              <w:t>债券投资收益——赎回差价收入</w:t>
            </w:r>
          </w:p>
        </w:tc>
        <w:tc>
          <w:tcPr>
            <w:tcW w:w="2469" w:type="dxa"/>
            <w:vAlign w:val="center"/>
          </w:tcPr>
          <w:p w14:paraId="4A51637D">
            <w:pPr>
              <w:jc w:val="right"/>
            </w:pPr>
            <w:r>
              <w:rPr>
                <w:rFonts w:hint="eastAsia"/>
              </w:rPr>
              <w:t>-</w:t>
            </w:r>
          </w:p>
        </w:tc>
        <w:tc>
          <w:tcPr>
            <w:tcW w:w="2801" w:type="dxa"/>
            <w:vAlign w:val="center"/>
          </w:tcPr>
          <w:p w14:paraId="56C1E276">
            <w:pPr>
              <w:jc w:val="right"/>
            </w:pPr>
            <w:r>
              <w:rPr>
                <w:rFonts w:hint="eastAsia"/>
              </w:rPr>
              <w:t>-</w:t>
            </w:r>
          </w:p>
        </w:tc>
      </w:tr>
      <w:tr w14:paraId="7E1F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7BAC77">
            <w:r>
              <w:rPr>
                <w:rFonts w:hint="eastAsia"/>
              </w:rPr>
              <w:t>债券投资收益——申购差价收入</w:t>
            </w:r>
          </w:p>
        </w:tc>
        <w:tc>
          <w:tcPr>
            <w:tcW w:w="2469" w:type="dxa"/>
            <w:vAlign w:val="center"/>
          </w:tcPr>
          <w:p w14:paraId="36C6D909">
            <w:pPr>
              <w:jc w:val="right"/>
            </w:pPr>
            <w:r>
              <w:rPr>
                <w:rFonts w:hint="eastAsia"/>
              </w:rPr>
              <w:t>-</w:t>
            </w:r>
          </w:p>
        </w:tc>
        <w:tc>
          <w:tcPr>
            <w:tcW w:w="2801" w:type="dxa"/>
            <w:vAlign w:val="center"/>
          </w:tcPr>
          <w:p w14:paraId="3FBD4289">
            <w:pPr>
              <w:jc w:val="right"/>
            </w:pPr>
            <w:r>
              <w:rPr>
                <w:rFonts w:hint="eastAsia"/>
              </w:rPr>
              <w:t>-</w:t>
            </w:r>
          </w:p>
        </w:tc>
      </w:tr>
      <w:tr w14:paraId="6797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3D1399">
            <w:r>
              <w:rPr>
                <w:rFonts w:hint="eastAsia"/>
              </w:rPr>
              <w:t>合计</w:t>
            </w:r>
          </w:p>
        </w:tc>
        <w:tc>
          <w:tcPr>
            <w:tcW w:w="2469" w:type="dxa"/>
            <w:vAlign w:val="center"/>
          </w:tcPr>
          <w:p w14:paraId="723CCA11">
            <w:pPr>
              <w:jc w:val="right"/>
            </w:pPr>
            <w:r>
              <w:rPr>
                <w:rFonts w:hint="eastAsia"/>
              </w:rPr>
              <w:t>10,106.31</w:t>
            </w:r>
          </w:p>
        </w:tc>
        <w:tc>
          <w:tcPr>
            <w:tcW w:w="2801" w:type="dxa"/>
            <w:vAlign w:val="center"/>
          </w:tcPr>
          <w:p w14:paraId="1DDD0620">
            <w:pPr>
              <w:jc w:val="right"/>
            </w:pPr>
            <w:r>
              <w:rPr>
                <w:rFonts w:hint="eastAsia"/>
              </w:rPr>
              <w:t>1,852.82</w:t>
            </w:r>
          </w:p>
        </w:tc>
      </w:tr>
    </w:tbl>
    <w:p w14:paraId="73A0A062">
      <w:pPr>
        <w:pStyle w:val="36"/>
      </w:pPr>
      <w:bookmarkStart w:id="96" w:name="_Toc96"/>
      <w:r>
        <w:t>债券投资收益——买卖债券差价收入</w:t>
      </w:r>
      <w:bookmarkEnd w:id="96"/>
    </w:p>
    <w:p w14:paraId="01503B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E6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7C88E9">
            <w:pPr>
              <w:jc w:val="center"/>
            </w:pPr>
            <w:r>
              <w:rPr>
                <w:rFonts w:hint="eastAsia"/>
                <w:b/>
              </w:rPr>
              <w:t>项目</w:t>
            </w:r>
          </w:p>
        </w:tc>
        <w:tc>
          <w:tcPr>
            <w:tcW w:w="2768" w:type="dxa"/>
            <w:shd w:val="clear" w:color="auto" w:fill="BFBFBF"/>
            <w:vAlign w:val="center"/>
          </w:tcPr>
          <w:p w14:paraId="6B7FD8E2">
            <w:pPr>
              <w:jc w:val="center"/>
            </w:pPr>
            <w:r>
              <w:rPr>
                <w:rFonts w:hint="eastAsia"/>
                <w:b/>
              </w:rPr>
              <w:t>本期2025年1月1日至2025年12月31日</w:t>
            </w:r>
          </w:p>
        </w:tc>
        <w:tc>
          <w:tcPr>
            <w:tcW w:w="2768" w:type="dxa"/>
            <w:shd w:val="clear" w:color="auto" w:fill="BFBFBF"/>
            <w:vAlign w:val="center"/>
          </w:tcPr>
          <w:p w14:paraId="65F4EFAE">
            <w:pPr>
              <w:jc w:val="center"/>
            </w:pPr>
            <w:r>
              <w:rPr>
                <w:rFonts w:hint="eastAsia"/>
                <w:b/>
              </w:rPr>
              <w:t>上年度可比期间2024年1月1日至2024年12月31日</w:t>
            </w:r>
          </w:p>
        </w:tc>
      </w:tr>
      <w:tr w14:paraId="4584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FFD3E">
            <w:r>
              <w:rPr>
                <w:rFonts w:hint="eastAsia"/>
              </w:rPr>
              <w:t>卖出债券（债转股及债券到期兑付）成交总额</w:t>
            </w:r>
          </w:p>
        </w:tc>
        <w:tc>
          <w:tcPr>
            <w:tcW w:w="2768" w:type="dxa"/>
            <w:vAlign w:val="center"/>
          </w:tcPr>
          <w:p w14:paraId="5AF4D21B">
            <w:pPr>
              <w:jc w:val="right"/>
            </w:pPr>
            <w:r>
              <w:rPr>
                <w:rFonts w:hint="eastAsia"/>
              </w:rPr>
              <w:t>-</w:t>
            </w:r>
          </w:p>
        </w:tc>
        <w:tc>
          <w:tcPr>
            <w:tcW w:w="2768" w:type="dxa"/>
            <w:vAlign w:val="center"/>
          </w:tcPr>
          <w:p w14:paraId="155CAACD">
            <w:pPr>
              <w:jc w:val="right"/>
            </w:pPr>
            <w:r>
              <w:rPr>
                <w:rFonts w:hint="eastAsia"/>
              </w:rPr>
              <w:t>306,150.00</w:t>
            </w:r>
          </w:p>
        </w:tc>
      </w:tr>
      <w:tr w14:paraId="20C4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71BB4">
            <w:r>
              <w:rPr>
                <w:rFonts w:hint="eastAsia"/>
              </w:rPr>
              <w:t>减：卖出债券（债转股及债券到期兑付）成本总额</w:t>
            </w:r>
          </w:p>
        </w:tc>
        <w:tc>
          <w:tcPr>
            <w:tcW w:w="2768" w:type="dxa"/>
            <w:vAlign w:val="center"/>
          </w:tcPr>
          <w:p w14:paraId="051DAD2B">
            <w:pPr>
              <w:jc w:val="right"/>
            </w:pPr>
            <w:r>
              <w:rPr>
                <w:rFonts w:hint="eastAsia"/>
              </w:rPr>
              <w:t>-</w:t>
            </w:r>
          </w:p>
        </w:tc>
        <w:tc>
          <w:tcPr>
            <w:tcW w:w="2768" w:type="dxa"/>
            <w:vAlign w:val="center"/>
          </w:tcPr>
          <w:p w14:paraId="7337E1E6">
            <w:pPr>
              <w:jc w:val="right"/>
            </w:pPr>
            <w:r>
              <w:rPr>
                <w:rFonts w:hint="eastAsia"/>
              </w:rPr>
              <w:t>300,068.00</w:t>
            </w:r>
          </w:p>
        </w:tc>
      </w:tr>
      <w:tr w14:paraId="289B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96168">
            <w:r>
              <w:rPr>
                <w:rFonts w:hint="eastAsia"/>
              </w:rPr>
              <w:t>减：应计利息总额</w:t>
            </w:r>
          </w:p>
        </w:tc>
        <w:tc>
          <w:tcPr>
            <w:tcW w:w="2768" w:type="dxa"/>
            <w:vAlign w:val="center"/>
          </w:tcPr>
          <w:p w14:paraId="4D12C4F8">
            <w:pPr>
              <w:jc w:val="right"/>
            </w:pPr>
            <w:r>
              <w:rPr>
                <w:rFonts w:hint="eastAsia"/>
              </w:rPr>
              <w:t>-</w:t>
            </w:r>
          </w:p>
        </w:tc>
        <w:tc>
          <w:tcPr>
            <w:tcW w:w="2768" w:type="dxa"/>
            <w:vAlign w:val="center"/>
          </w:tcPr>
          <w:p w14:paraId="6C0CABCE">
            <w:pPr>
              <w:jc w:val="right"/>
            </w:pPr>
            <w:r>
              <w:rPr>
                <w:rFonts w:hint="eastAsia"/>
              </w:rPr>
              <w:t>6,150.00</w:t>
            </w:r>
          </w:p>
        </w:tc>
      </w:tr>
      <w:tr w14:paraId="045E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CAFF0">
            <w:r>
              <w:rPr>
                <w:rFonts w:hint="eastAsia"/>
              </w:rPr>
              <w:t>减：交易费用</w:t>
            </w:r>
          </w:p>
        </w:tc>
        <w:tc>
          <w:tcPr>
            <w:tcW w:w="2768" w:type="dxa"/>
            <w:vAlign w:val="center"/>
          </w:tcPr>
          <w:p w14:paraId="613845A5">
            <w:pPr>
              <w:jc w:val="right"/>
            </w:pPr>
            <w:r>
              <w:rPr>
                <w:rFonts w:hint="eastAsia"/>
              </w:rPr>
              <w:t>-</w:t>
            </w:r>
          </w:p>
        </w:tc>
        <w:tc>
          <w:tcPr>
            <w:tcW w:w="2768" w:type="dxa"/>
            <w:vAlign w:val="center"/>
          </w:tcPr>
          <w:p w14:paraId="2035634E">
            <w:pPr>
              <w:jc w:val="right"/>
            </w:pPr>
            <w:r>
              <w:rPr>
                <w:rFonts w:hint="eastAsia"/>
              </w:rPr>
              <w:t>-</w:t>
            </w:r>
          </w:p>
        </w:tc>
      </w:tr>
      <w:tr w14:paraId="6DFF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AA57D">
            <w:r>
              <w:rPr>
                <w:rFonts w:hint="eastAsia"/>
              </w:rPr>
              <w:t>买卖债券差价收入</w:t>
            </w:r>
          </w:p>
        </w:tc>
        <w:tc>
          <w:tcPr>
            <w:tcW w:w="2768" w:type="dxa"/>
            <w:vAlign w:val="center"/>
          </w:tcPr>
          <w:p w14:paraId="4537C331">
            <w:pPr>
              <w:jc w:val="right"/>
            </w:pPr>
            <w:r>
              <w:rPr>
                <w:rFonts w:hint="eastAsia"/>
              </w:rPr>
              <w:t>-</w:t>
            </w:r>
          </w:p>
        </w:tc>
        <w:tc>
          <w:tcPr>
            <w:tcW w:w="2768" w:type="dxa"/>
            <w:vAlign w:val="center"/>
          </w:tcPr>
          <w:p w14:paraId="29984740">
            <w:pPr>
              <w:jc w:val="right"/>
            </w:pPr>
            <w:r>
              <w:rPr>
                <w:rFonts w:hint="eastAsia"/>
              </w:rPr>
              <w:t>-68.00</w:t>
            </w:r>
          </w:p>
        </w:tc>
      </w:tr>
    </w:tbl>
    <w:p w14:paraId="0398B151">
      <w:pPr>
        <w:pStyle w:val="47"/>
        <w:rPr>
          <w:rFonts w:hint="eastAsia"/>
        </w:rPr>
      </w:pPr>
      <w:r>
        <w:rPr>
          <w:rFonts w:hint="eastAsia"/>
        </w:rPr>
        <w:t>注：上述交易费用（如有）包含债券买卖产生的交易费用。</w:t>
      </w:r>
    </w:p>
    <w:p w14:paraId="0A7886FB">
      <w:pPr>
        <w:pStyle w:val="35"/>
      </w:pPr>
      <w:bookmarkStart w:id="97" w:name="_Toc97"/>
      <w:r>
        <w:t>资产支持证券投资收益</w:t>
      </w:r>
      <w:bookmarkEnd w:id="97"/>
    </w:p>
    <w:p w14:paraId="4BF62C3C">
      <w:pPr>
        <w:pStyle w:val="36"/>
      </w:pPr>
      <w:bookmarkStart w:id="98" w:name="_Toc98"/>
      <w:r>
        <w:t>资产支持证券投资收益——买卖资产支持证券差价收入</w:t>
      </w:r>
      <w:bookmarkEnd w:id="98"/>
    </w:p>
    <w:p w14:paraId="72F3D7BB">
      <w:pPr>
        <w:pStyle w:val="18"/>
        <w:rPr>
          <w:rFonts w:hint="eastAsia"/>
        </w:rPr>
      </w:pPr>
      <w:r>
        <w:rPr>
          <w:rFonts w:hint="eastAsia"/>
        </w:rPr>
        <w:t>无。</w:t>
      </w:r>
    </w:p>
    <w:p w14:paraId="0100395B">
      <w:pPr>
        <w:pStyle w:val="35"/>
      </w:pPr>
      <w:bookmarkStart w:id="99" w:name="_Toc99"/>
      <w:r>
        <w:t>衍生工具收益</w:t>
      </w:r>
      <w:bookmarkEnd w:id="99"/>
    </w:p>
    <w:p w14:paraId="266B4BB2">
      <w:pPr>
        <w:pStyle w:val="36"/>
      </w:pPr>
      <w:bookmarkStart w:id="100" w:name="_Toc100"/>
      <w:r>
        <w:t>衍生工具收益——买卖权证差价收入</w:t>
      </w:r>
      <w:bookmarkEnd w:id="100"/>
    </w:p>
    <w:p w14:paraId="087650C6">
      <w:pPr>
        <w:pStyle w:val="18"/>
        <w:rPr>
          <w:rFonts w:hint="eastAsia"/>
        </w:rPr>
      </w:pPr>
      <w:r>
        <w:rPr>
          <w:rFonts w:hint="eastAsia"/>
        </w:rPr>
        <w:t>无。</w:t>
      </w:r>
    </w:p>
    <w:p w14:paraId="050AC734">
      <w:pPr>
        <w:pStyle w:val="36"/>
      </w:pPr>
      <w:bookmarkStart w:id="101" w:name="_Toc101"/>
      <w:r>
        <w:t>衍生工具收益——其他投资收益</w:t>
      </w:r>
      <w:bookmarkEnd w:id="101"/>
    </w:p>
    <w:p w14:paraId="0D75BEA8">
      <w:pPr>
        <w:pStyle w:val="18"/>
        <w:rPr>
          <w:rFonts w:hint="eastAsia"/>
        </w:rPr>
      </w:pPr>
      <w:r>
        <w:rPr>
          <w:rFonts w:hint="eastAsia"/>
        </w:rPr>
        <w:t>无。</w:t>
      </w:r>
    </w:p>
    <w:p w14:paraId="66B39734">
      <w:pPr>
        <w:pStyle w:val="35"/>
      </w:pPr>
      <w:bookmarkStart w:id="102" w:name="_Toc102"/>
      <w:r>
        <w:t>股利收益</w:t>
      </w:r>
      <w:bookmarkEnd w:id="102"/>
    </w:p>
    <w:p w14:paraId="2E99AE99">
      <w:pPr>
        <w:pStyle w:val="18"/>
        <w:rPr>
          <w:rFonts w:hint="eastAsia"/>
        </w:rPr>
      </w:pPr>
      <w:r>
        <w:rPr>
          <w:rFonts w:hint="eastAsia"/>
        </w:rPr>
        <w:t>无。</w:t>
      </w:r>
    </w:p>
    <w:p w14:paraId="19B24041">
      <w:pPr>
        <w:pStyle w:val="35"/>
      </w:pPr>
      <w:bookmarkStart w:id="103" w:name="_Toc103"/>
      <w:r>
        <w:t>公允价值变动收益</w:t>
      </w:r>
      <w:bookmarkEnd w:id="103"/>
    </w:p>
    <w:p w14:paraId="7C6EDC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38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E362B2">
            <w:pPr>
              <w:jc w:val="center"/>
            </w:pPr>
            <w:r>
              <w:rPr>
                <w:rFonts w:hint="eastAsia"/>
                <w:b/>
              </w:rPr>
              <w:t>项目名称</w:t>
            </w:r>
          </w:p>
        </w:tc>
        <w:tc>
          <w:tcPr>
            <w:tcW w:w="2768" w:type="dxa"/>
            <w:shd w:val="clear" w:color="auto" w:fill="BFBFBF"/>
            <w:vAlign w:val="center"/>
          </w:tcPr>
          <w:p w14:paraId="5261B493">
            <w:pPr>
              <w:jc w:val="center"/>
            </w:pPr>
            <w:r>
              <w:rPr>
                <w:rFonts w:hint="eastAsia"/>
                <w:b/>
              </w:rPr>
              <w:t>本期2025年1月1日至2025年12月31日</w:t>
            </w:r>
          </w:p>
        </w:tc>
        <w:tc>
          <w:tcPr>
            <w:tcW w:w="2768" w:type="dxa"/>
            <w:shd w:val="clear" w:color="auto" w:fill="BFBFBF"/>
            <w:vAlign w:val="center"/>
          </w:tcPr>
          <w:p w14:paraId="6F335076">
            <w:pPr>
              <w:jc w:val="center"/>
            </w:pPr>
            <w:r>
              <w:rPr>
                <w:rFonts w:hint="eastAsia"/>
                <w:b/>
              </w:rPr>
              <w:t>上年度可比期间2024年1月1日至2024年12月31日</w:t>
            </w:r>
          </w:p>
        </w:tc>
      </w:tr>
      <w:tr w14:paraId="6180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47444">
            <w:r>
              <w:rPr>
                <w:rFonts w:hint="eastAsia"/>
              </w:rPr>
              <w:t>1.交易性金融资产</w:t>
            </w:r>
          </w:p>
        </w:tc>
        <w:tc>
          <w:tcPr>
            <w:tcW w:w="2768" w:type="dxa"/>
            <w:vAlign w:val="center"/>
          </w:tcPr>
          <w:p w14:paraId="68E95C5F">
            <w:pPr>
              <w:jc w:val="right"/>
            </w:pPr>
            <w:r>
              <w:rPr>
                <w:rFonts w:hint="eastAsia"/>
              </w:rPr>
              <w:t>-11,080,429.70</w:t>
            </w:r>
          </w:p>
        </w:tc>
        <w:tc>
          <w:tcPr>
            <w:tcW w:w="2768" w:type="dxa"/>
            <w:vAlign w:val="center"/>
          </w:tcPr>
          <w:p w14:paraId="02C0BD44">
            <w:pPr>
              <w:jc w:val="right"/>
            </w:pPr>
            <w:r>
              <w:rPr>
                <w:rFonts w:hint="eastAsia"/>
              </w:rPr>
              <w:t>-501,120.98</w:t>
            </w:r>
          </w:p>
        </w:tc>
      </w:tr>
      <w:tr w14:paraId="1861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93B84">
            <w:r>
              <w:rPr>
                <w:rFonts w:hint="eastAsia"/>
              </w:rPr>
              <w:t>——股票投资</w:t>
            </w:r>
          </w:p>
        </w:tc>
        <w:tc>
          <w:tcPr>
            <w:tcW w:w="2768" w:type="dxa"/>
            <w:vAlign w:val="center"/>
          </w:tcPr>
          <w:p w14:paraId="29886567">
            <w:pPr>
              <w:jc w:val="right"/>
            </w:pPr>
            <w:r>
              <w:rPr>
                <w:rFonts w:hint="eastAsia"/>
              </w:rPr>
              <w:t>-</w:t>
            </w:r>
          </w:p>
        </w:tc>
        <w:tc>
          <w:tcPr>
            <w:tcW w:w="2768" w:type="dxa"/>
            <w:vAlign w:val="center"/>
          </w:tcPr>
          <w:p w14:paraId="79429E48">
            <w:pPr>
              <w:jc w:val="right"/>
            </w:pPr>
            <w:r>
              <w:rPr>
                <w:rFonts w:hint="eastAsia"/>
              </w:rPr>
              <w:t>-</w:t>
            </w:r>
          </w:p>
        </w:tc>
      </w:tr>
      <w:tr w14:paraId="2EE7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E3A96">
            <w:r>
              <w:rPr>
                <w:rFonts w:hint="eastAsia"/>
              </w:rPr>
              <w:t>——债券投资</w:t>
            </w:r>
          </w:p>
        </w:tc>
        <w:tc>
          <w:tcPr>
            <w:tcW w:w="2768" w:type="dxa"/>
            <w:vAlign w:val="center"/>
          </w:tcPr>
          <w:p w14:paraId="3ECC2428">
            <w:pPr>
              <w:jc w:val="right"/>
            </w:pPr>
            <w:r>
              <w:rPr>
                <w:rFonts w:hint="eastAsia"/>
              </w:rPr>
              <w:t>2,113.00</w:t>
            </w:r>
          </w:p>
        </w:tc>
        <w:tc>
          <w:tcPr>
            <w:tcW w:w="2768" w:type="dxa"/>
            <w:vAlign w:val="center"/>
          </w:tcPr>
          <w:p w14:paraId="273CDBF1">
            <w:pPr>
              <w:jc w:val="right"/>
            </w:pPr>
            <w:r>
              <w:rPr>
                <w:rFonts w:hint="eastAsia"/>
              </w:rPr>
              <w:t>38.00</w:t>
            </w:r>
          </w:p>
        </w:tc>
      </w:tr>
      <w:tr w14:paraId="2D16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012D5">
            <w:r>
              <w:rPr>
                <w:rFonts w:hint="eastAsia"/>
              </w:rPr>
              <w:t>——资产支持证券投资</w:t>
            </w:r>
          </w:p>
        </w:tc>
        <w:tc>
          <w:tcPr>
            <w:tcW w:w="2768" w:type="dxa"/>
            <w:vAlign w:val="center"/>
          </w:tcPr>
          <w:p w14:paraId="53117CDF">
            <w:pPr>
              <w:jc w:val="right"/>
            </w:pPr>
            <w:r>
              <w:rPr>
                <w:rFonts w:hint="eastAsia"/>
              </w:rPr>
              <w:t>-</w:t>
            </w:r>
          </w:p>
        </w:tc>
        <w:tc>
          <w:tcPr>
            <w:tcW w:w="2768" w:type="dxa"/>
            <w:vAlign w:val="center"/>
          </w:tcPr>
          <w:p w14:paraId="69AB5909">
            <w:pPr>
              <w:jc w:val="right"/>
            </w:pPr>
            <w:r>
              <w:rPr>
                <w:rFonts w:hint="eastAsia"/>
              </w:rPr>
              <w:t>-</w:t>
            </w:r>
          </w:p>
        </w:tc>
      </w:tr>
      <w:tr w14:paraId="20D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47846">
            <w:r>
              <w:rPr>
                <w:rFonts w:hint="eastAsia"/>
              </w:rPr>
              <w:t>——基金投资</w:t>
            </w:r>
          </w:p>
        </w:tc>
        <w:tc>
          <w:tcPr>
            <w:tcW w:w="2768" w:type="dxa"/>
            <w:vAlign w:val="center"/>
          </w:tcPr>
          <w:p w14:paraId="5CDDDD07">
            <w:pPr>
              <w:jc w:val="right"/>
            </w:pPr>
            <w:r>
              <w:rPr>
                <w:rFonts w:hint="eastAsia"/>
              </w:rPr>
              <w:t>-11,082,542.70</w:t>
            </w:r>
          </w:p>
        </w:tc>
        <w:tc>
          <w:tcPr>
            <w:tcW w:w="2768" w:type="dxa"/>
            <w:vAlign w:val="center"/>
          </w:tcPr>
          <w:p w14:paraId="31C0B49F">
            <w:pPr>
              <w:jc w:val="right"/>
            </w:pPr>
            <w:r>
              <w:rPr>
                <w:rFonts w:hint="eastAsia"/>
              </w:rPr>
              <w:t>-501,158.98</w:t>
            </w:r>
          </w:p>
        </w:tc>
      </w:tr>
      <w:tr w14:paraId="2BEE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75A15">
            <w:r>
              <w:rPr>
                <w:rFonts w:hint="eastAsia"/>
              </w:rPr>
              <w:t>——贵金属投资</w:t>
            </w:r>
          </w:p>
        </w:tc>
        <w:tc>
          <w:tcPr>
            <w:tcW w:w="2768" w:type="dxa"/>
            <w:vAlign w:val="center"/>
          </w:tcPr>
          <w:p w14:paraId="09C6B97A">
            <w:pPr>
              <w:jc w:val="right"/>
            </w:pPr>
            <w:r>
              <w:rPr>
                <w:rFonts w:hint="eastAsia"/>
              </w:rPr>
              <w:t>-</w:t>
            </w:r>
          </w:p>
        </w:tc>
        <w:tc>
          <w:tcPr>
            <w:tcW w:w="2768" w:type="dxa"/>
            <w:vAlign w:val="center"/>
          </w:tcPr>
          <w:p w14:paraId="43302B51">
            <w:pPr>
              <w:jc w:val="right"/>
            </w:pPr>
            <w:r>
              <w:rPr>
                <w:rFonts w:hint="eastAsia"/>
              </w:rPr>
              <w:t>-</w:t>
            </w:r>
          </w:p>
        </w:tc>
      </w:tr>
      <w:tr w14:paraId="6CA7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C37DF">
            <w:r>
              <w:rPr>
                <w:rFonts w:hint="eastAsia"/>
              </w:rPr>
              <w:t>——其他</w:t>
            </w:r>
          </w:p>
        </w:tc>
        <w:tc>
          <w:tcPr>
            <w:tcW w:w="2768" w:type="dxa"/>
            <w:vAlign w:val="center"/>
          </w:tcPr>
          <w:p w14:paraId="4C243C52">
            <w:pPr>
              <w:jc w:val="right"/>
            </w:pPr>
            <w:r>
              <w:rPr>
                <w:rFonts w:hint="eastAsia"/>
              </w:rPr>
              <w:t>-</w:t>
            </w:r>
          </w:p>
        </w:tc>
        <w:tc>
          <w:tcPr>
            <w:tcW w:w="2768" w:type="dxa"/>
            <w:vAlign w:val="center"/>
          </w:tcPr>
          <w:p w14:paraId="7DD47F1E">
            <w:pPr>
              <w:jc w:val="right"/>
            </w:pPr>
            <w:r>
              <w:rPr>
                <w:rFonts w:hint="eastAsia"/>
              </w:rPr>
              <w:t>-</w:t>
            </w:r>
          </w:p>
        </w:tc>
      </w:tr>
      <w:tr w14:paraId="2EB3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90DDE">
            <w:r>
              <w:rPr>
                <w:rFonts w:hint="eastAsia"/>
              </w:rPr>
              <w:t>2.衍生工具</w:t>
            </w:r>
          </w:p>
        </w:tc>
        <w:tc>
          <w:tcPr>
            <w:tcW w:w="2768" w:type="dxa"/>
            <w:vAlign w:val="center"/>
          </w:tcPr>
          <w:p w14:paraId="1ACF3D46">
            <w:pPr>
              <w:jc w:val="right"/>
            </w:pPr>
            <w:r>
              <w:rPr>
                <w:rFonts w:hint="eastAsia"/>
              </w:rPr>
              <w:t>-</w:t>
            </w:r>
          </w:p>
        </w:tc>
        <w:tc>
          <w:tcPr>
            <w:tcW w:w="2768" w:type="dxa"/>
            <w:vAlign w:val="center"/>
          </w:tcPr>
          <w:p w14:paraId="010F8DCF">
            <w:pPr>
              <w:jc w:val="right"/>
            </w:pPr>
            <w:r>
              <w:rPr>
                <w:rFonts w:hint="eastAsia"/>
              </w:rPr>
              <w:t>-</w:t>
            </w:r>
          </w:p>
        </w:tc>
      </w:tr>
      <w:tr w14:paraId="79E2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BC68D">
            <w:r>
              <w:rPr>
                <w:rFonts w:hint="eastAsia"/>
              </w:rPr>
              <w:t>——权证投资</w:t>
            </w:r>
          </w:p>
        </w:tc>
        <w:tc>
          <w:tcPr>
            <w:tcW w:w="2768" w:type="dxa"/>
            <w:vAlign w:val="center"/>
          </w:tcPr>
          <w:p w14:paraId="21C4D32C">
            <w:pPr>
              <w:jc w:val="right"/>
            </w:pPr>
            <w:r>
              <w:rPr>
                <w:rFonts w:hint="eastAsia"/>
              </w:rPr>
              <w:t>-</w:t>
            </w:r>
          </w:p>
        </w:tc>
        <w:tc>
          <w:tcPr>
            <w:tcW w:w="2768" w:type="dxa"/>
            <w:vAlign w:val="center"/>
          </w:tcPr>
          <w:p w14:paraId="354360C7">
            <w:pPr>
              <w:jc w:val="right"/>
            </w:pPr>
            <w:r>
              <w:rPr>
                <w:rFonts w:hint="eastAsia"/>
              </w:rPr>
              <w:t>-</w:t>
            </w:r>
          </w:p>
        </w:tc>
      </w:tr>
      <w:tr w14:paraId="241C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67B80">
            <w:r>
              <w:rPr>
                <w:rFonts w:hint="eastAsia"/>
              </w:rPr>
              <w:t>——期货投资</w:t>
            </w:r>
          </w:p>
        </w:tc>
        <w:tc>
          <w:tcPr>
            <w:tcW w:w="2768" w:type="dxa"/>
            <w:vAlign w:val="center"/>
          </w:tcPr>
          <w:p w14:paraId="679C5EB1">
            <w:pPr>
              <w:jc w:val="right"/>
            </w:pPr>
            <w:r>
              <w:rPr>
                <w:rFonts w:hint="eastAsia"/>
              </w:rPr>
              <w:t>-</w:t>
            </w:r>
          </w:p>
        </w:tc>
        <w:tc>
          <w:tcPr>
            <w:tcW w:w="2768" w:type="dxa"/>
            <w:vAlign w:val="center"/>
          </w:tcPr>
          <w:p w14:paraId="6B9D0A6A">
            <w:pPr>
              <w:jc w:val="right"/>
            </w:pPr>
            <w:r>
              <w:rPr>
                <w:rFonts w:hint="eastAsia"/>
              </w:rPr>
              <w:t>-</w:t>
            </w:r>
          </w:p>
        </w:tc>
      </w:tr>
      <w:tr w14:paraId="4434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E1C71">
            <w:r>
              <w:rPr>
                <w:rFonts w:hint="eastAsia"/>
              </w:rPr>
              <w:t>3.其他</w:t>
            </w:r>
          </w:p>
        </w:tc>
        <w:tc>
          <w:tcPr>
            <w:tcW w:w="2768" w:type="dxa"/>
            <w:vAlign w:val="center"/>
          </w:tcPr>
          <w:p w14:paraId="0B4CFB0B">
            <w:pPr>
              <w:jc w:val="right"/>
            </w:pPr>
            <w:r>
              <w:rPr>
                <w:rFonts w:hint="eastAsia"/>
              </w:rPr>
              <w:t>-</w:t>
            </w:r>
          </w:p>
        </w:tc>
        <w:tc>
          <w:tcPr>
            <w:tcW w:w="2768" w:type="dxa"/>
            <w:vAlign w:val="center"/>
          </w:tcPr>
          <w:p w14:paraId="1F8C4B5A">
            <w:pPr>
              <w:jc w:val="right"/>
            </w:pPr>
            <w:r>
              <w:rPr>
                <w:rFonts w:hint="eastAsia"/>
              </w:rPr>
              <w:t>-</w:t>
            </w:r>
          </w:p>
        </w:tc>
      </w:tr>
      <w:tr w14:paraId="64B3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78E67">
            <w:r>
              <w:rPr>
                <w:rFonts w:hint="eastAsia"/>
              </w:rPr>
              <w:t>减：应税金融商品公允价值变动产生的预估增值税</w:t>
            </w:r>
          </w:p>
        </w:tc>
        <w:tc>
          <w:tcPr>
            <w:tcW w:w="2768" w:type="dxa"/>
            <w:vAlign w:val="center"/>
          </w:tcPr>
          <w:p w14:paraId="206B4342">
            <w:pPr>
              <w:jc w:val="right"/>
            </w:pPr>
            <w:r>
              <w:rPr>
                <w:rFonts w:hint="eastAsia"/>
              </w:rPr>
              <w:t>-</w:t>
            </w:r>
          </w:p>
        </w:tc>
        <w:tc>
          <w:tcPr>
            <w:tcW w:w="2768" w:type="dxa"/>
            <w:vAlign w:val="center"/>
          </w:tcPr>
          <w:p w14:paraId="56616F0D">
            <w:pPr>
              <w:jc w:val="right"/>
            </w:pPr>
            <w:r>
              <w:rPr>
                <w:rFonts w:hint="eastAsia"/>
              </w:rPr>
              <w:t>-</w:t>
            </w:r>
          </w:p>
        </w:tc>
      </w:tr>
      <w:tr w14:paraId="1275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121C0">
            <w:r>
              <w:rPr>
                <w:rFonts w:hint="eastAsia"/>
              </w:rPr>
              <w:t>合计</w:t>
            </w:r>
          </w:p>
        </w:tc>
        <w:tc>
          <w:tcPr>
            <w:tcW w:w="2768" w:type="dxa"/>
            <w:vAlign w:val="center"/>
          </w:tcPr>
          <w:p w14:paraId="6306F178">
            <w:pPr>
              <w:jc w:val="right"/>
            </w:pPr>
            <w:r>
              <w:rPr>
                <w:rFonts w:hint="eastAsia"/>
              </w:rPr>
              <w:t>-11,080,429.70</w:t>
            </w:r>
          </w:p>
        </w:tc>
        <w:tc>
          <w:tcPr>
            <w:tcW w:w="2768" w:type="dxa"/>
            <w:vAlign w:val="center"/>
          </w:tcPr>
          <w:p w14:paraId="18E59532">
            <w:pPr>
              <w:jc w:val="right"/>
            </w:pPr>
            <w:r>
              <w:rPr>
                <w:rFonts w:hint="eastAsia"/>
              </w:rPr>
              <w:t>-501,120.98</w:t>
            </w:r>
          </w:p>
        </w:tc>
      </w:tr>
    </w:tbl>
    <w:p w14:paraId="447527BC">
      <w:pPr>
        <w:pStyle w:val="35"/>
      </w:pPr>
      <w:bookmarkStart w:id="104" w:name="_Toc104"/>
      <w:r>
        <w:t>其他收入</w:t>
      </w:r>
      <w:bookmarkEnd w:id="104"/>
    </w:p>
    <w:p w14:paraId="002008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8A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D73D14">
            <w:pPr>
              <w:jc w:val="center"/>
            </w:pPr>
            <w:r>
              <w:rPr>
                <w:rFonts w:hint="eastAsia"/>
                <w:b/>
              </w:rPr>
              <w:t>项目</w:t>
            </w:r>
          </w:p>
        </w:tc>
        <w:tc>
          <w:tcPr>
            <w:tcW w:w="2469" w:type="dxa"/>
            <w:shd w:val="clear" w:color="auto" w:fill="BFBFBF"/>
            <w:vAlign w:val="center"/>
          </w:tcPr>
          <w:p w14:paraId="79A5D6EC">
            <w:pPr>
              <w:jc w:val="center"/>
            </w:pPr>
            <w:r>
              <w:rPr>
                <w:rFonts w:hint="eastAsia"/>
                <w:b/>
              </w:rPr>
              <w:t>本期2025年1月1日至2025年12月31日</w:t>
            </w:r>
          </w:p>
        </w:tc>
        <w:tc>
          <w:tcPr>
            <w:tcW w:w="2801" w:type="dxa"/>
            <w:shd w:val="clear" w:color="auto" w:fill="BFBFBF"/>
            <w:vAlign w:val="center"/>
          </w:tcPr>
          <w:p w14:paraId="390866E6">
            <w:pPr>
              <w:jc w:val="center"/>
            </w:pPr>
            <w:r>
              <w:rPr>
                <w:rFonts w:hint="eastAsia"/>
                <w:b/>
              </w:rPr>
              <w:t>上年度可比期间2024年1月1日至2024年12月31日</w:t>
            </w:r>
          </w:p>
        </w:tc>
      </w:tr>
      <w:tr w14:paraId="5676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38AE68">
            <w:r>
              <w:rPr>
                <w:rFonts w:hint="eastAsia"/>
              </w:rPr>
              <w:t>基金赎回费收入</w:t>
            </w:r>
          </w:p>
        </w:tc>
        <w:tc>
          <w:tcPr>
            <w:tcW w:w="2469" w:type="dxa"/>
            <w:vAlign w:val="center"/>
          </w:tcPr>
          <w:p w14:paraId="4E89E10B">
            <w:pPr>
              <w:jc w:val="right"/>
            </w:pPr>
            <w:r>
              <w:rPr>
                <w:rFonts w:hint="eastAsia"/>
              </w:rPr>
              <w:t>207,986.28</w:t>
            </w:r>
          </w:p>
        </w:tc>
        <w:tc>
          <w:tcPr>
            <w:tcW w:w="2801" w:type="dxa"/>
            <w:vAlign w:val="center"/>
          </w:tcPr>
          <w:p w14:paraId="534A871A">
            <w:pPr>
              <w:jc w:val="right"/>
            </w:pPr>
            <w:r>
              <w:rPr>
                <w:rFonts w:hint="eastAsia"/>
              </w:rPr>
              <w:t>17,263.10</w:t>
            </w:r>
          </w:p>
        </w:tc>
      </w:tr>
      <w:tr w14:paraId="0267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7BEE9B">
            <w:r>
              <w:rPr>
                <w:rFonts w:hint="eastAsia"/>
              </w:rPr>
              <w:t>其他</w:t>
            </w:r>
          </w:p>
        </w:tc>
        <w:tc>
          <w:tcPr>
            <w:tcW w:w="2469" w:type="dxa"/>
            <w:vAlign w:val="center"/>
          </w:tcPr>
          <w:p w14:paraId="2387E18E">
            <w:pPr>
              <w:jc w:val="right"/>
            </w:pPr>
            <w:r>
              <w:rPr>
                <w:rFonts w:hint="eastAsia"/>
              </w:rPr>
              <w:t>189,638.38</w:t>
            </w:r>
          </w:p>
        </w:tc>
        <w:tc>
          <w:tcPr>
            <w:tcW w:w="2801" w:type="dxa"/>
            <w:vAlign w:val="center"/>
          </w:tcPr>
          <w:p w14:paraId="71BF49B1">
            <w:pPr>
              <w:jc w:val="right"/>
            </w:pPr>
            <w:r>
              <w:rPr>
                <w:rFonts w:hint="eastAsia"/>
              </w:rPr>
              <w:t>-</w:t>
            </w:r>
          </w:p>
        </w:tc>
      </w:tr>
      <w:tr w14:paraId="35E6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59BCA3">
            <w:r>
              <w:rPr>
                <w:rFonts w:hint="eastAsia"/>
              </w:rPr>
              <w:t>合计</w:t>
            </w:r>
          </w:p>
        </w:tc>
        <w:tc>
          <w:tcPr>
            <w:tcW w:w="2469" w:type="dxa"/>
            <w:vAlign w:val="center"/>
          </w:tcPr>
          <w:p w14:paraId="09254697">
            <w:pPr>
              <w:jc w:val="right"/>
            </w:pPr>
            <w:r>
              <w:rPr>
                <w:rFonts w:hint="eastAsia"/>
              </w:rPr>
              <w:t>397,624.66</w:t>
            </w:r>
          </w:p>
        </w:tc>
        <w:tc>
          <w:tcPr>
            <w:tcW w:w="2801" w:type="dxa"/>
            <w:vAlign w:val="center"/>
          </w:tcPr>
          <w:p w14:paraId="0A62CF79">
            <w:pPr>
              <w:jc w:val="right"/>
            </w:pPr>
            <w:r>
              <w:rPr>
                <w:rFonts w:hint="eastAsia"/>
              </w:rPr>
              <w:t>17,263.10</w:t>
            </w:r>
          </w:p>
        </w:tc>
      </w:tr>
    </w:tbl>
    <w:p w14:paraId="63F2C160">
      <w:pPr>
        <w:pStyle w:val="35"/>
      </w:pPr>
      <w:bookmarkStart w:id="105" w:name="_Toc105"/>
      <w:r>
        <w:t>其他费用</w:t>
      </w:r>
      <w:bookmarkEnd w:id="105"/>
    </w:p>
    <w:p w14:paraId="4F5A0B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4B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F5EE7A">
            <w:pPr>
              <w:jc w:val="center"/>
            </w:pPr>
            <w:r>
              <w:rPr>
                <w:rFonts w:hint="eastAsia"/>
                <w:b/>
              </w:rPr>
              <w:t>项目</w:t>
            </w:r>
          </w:p>
        </w:tc>
        <w:tc>
          <w:tcPr>
            <w:tcW w:w="2768" w:type="dxa"/>
            <w:shd w:val="clear" w:color="auto" w:fill="BFBFBF"/>
            <w:vAlign w:val="center"/>
          </w:tcPr>
          <w:p w14:paraId="140DB485">
            <w:pPr>
              <w:jc w:val="center"/>
            </w:pPr>
            <w:r>
              <w:rPr>
                <w:rFonts w:hint="eastAsia"/>
                <w:b/>
              </w:rPr>
              <w:t>本期2025年1月1日至2025年12月31日</w:t>
            </w:r>
          </w:p>
        </w:tc>
        <w:tc>
          <w:tcPr>
            <w:tcW w:w="2768" w:type="dxa"/>
            <w:shd w:val="clear" w:color="auto" w:fill="BFBFBF"/>
            <w:vAlign w:val="center"/>
          </w:tcPr>
          <w:p w14:paraId="023DED19">
            <w:pPr>
              <w:jc w:val="center"/>
            </w:pPr>
            <w:r>
              <w:rPr>
                <w:rFonts w:hint="eastAsia"/>
                <w:b/>
              </w:rPr>
              <w:t>上年度可比期间2024年1月1日至2024年12月31日</w:t>
            </w:r>
          </w:p>
        </w:tc>
      </w:tr>
      <w:tr w14:paraId="4C3B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78730">
            <w:r>
              <w:rPr>
                <w:rFonts w:hint="eastAsia"/>
              </w:rPr>
              <w:t>审计费用</w:t>
            </w:r>
          </w:p>
        </w:tc>
        <w:tc>
          <w:tcPr>
            <w:tcW w:w="2768" w:type="dxa"/>
            <w:vAlign w:val="center"/>
          </w:tcPr>
          <w:p w14:paraId="51915322">
            <w:pPr>
              <w:jc w:val="right"/>
            </w:pPr>
            <w:r>
              <w:rPr>
                <w:rFonts w:hint="eastAsia"/>
              </w:rPr>
              <w:t>10,000.00</w:t>
            </w:r>
          </w:p>
        </w:tc>
        <w:tc>
          <w:tcPr>
            <w:tcW w:w="2768" w:type="dxa"/>
            <w:vAlign w:val="center"/>
          </w:tcPr>
          <w:p w14:paraId="56C3690F">
            <w:pPr>
              <w:jc w:val="right"/>
            </w:pPr>
            <w:r>
              <w:rPr>
                <w:rFonts w:hint="eastAsia"/>
              </w:rPr>
              <w:t>5,000.00</w:t>
            </w:r>
          </w:p>
        </w:tc>
      </w:tr>
      <w:tr w14:paraId="2680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0A3A3">
            <w:r>
              <w:rPr>
                <w:rFonts w:hint="eastAsia"/>
              </w:rPr>
              <w:t>信息披露费</w:t>
            </w:r>
          </w:p>
        </w:tc>
        <w:tc>
          <w:tcPr>
            <w:tcW w:w="2768" w:type="dxa"/>
            <w:vAlign w:val="center"/>
          </w:tcPr>
          <w:p w14:paraId="010006BD">
            <w:pPr>
              <w:jc w:val="right"/>
            </w:pPr>
            <w:r>
              <w:rPr>
                <w:rFonts w:hint="eastAsia"/>
              </w:rPr>
              <w:t>120,000.00</w:t>
            </w:r>
          </w:p>
        </w:tc>
        <w:tc>
          <w:tcPr>
            <w:tcW w:w="2768" w:type="dxa"/>
            <w:vAlign w:val="center"/>
          </w:tcPr>
          <w:p w14:paraId="0F890C71">
            <w:pPr>
              <w:jc w:val="right"/>
            </w:pPr>
            <w:r>
              <w:rPr>
                <w:rFonts w:hint="eastAsia"/>
              </w:rPr>
              <w:t>-</w:t>
            </w:r>
          </w:p>
        </w:tc>
      </w:tr>
      <w:tr w14:paraId="7959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A0DC5">
            <w:r>
              <w:rPr>
                <w:rFonts w:hint="eastAsia"/>
              </w:rPr>
              <w:t>证券出借违约金</w:t>
            </w:r>
          </w:p>
        </w:tc>
        <w:tc>
          <w:tcPr>
            <w:tcW w:w="2768" w:type="dxa"/>
            <w:vAlign w:val="center"/>
          </w:tcPr>
          <w:p w14:paraId="4AA3DC07">
            <w:pPr>
              <w:jc w:val="right"/>
            </w:pPr>
            <w:r>
              <w:rPr>
                <w:rFonts w:hint="eastAsia"/>
              </w:rPr>
              <w:t>-</w:t>
            </w:r>
          </w:p>
        </w:tc>
        <w:tc>
          <w:tcPr>
            <w:tcW w:w="2768" w:type="dxa"/>
            <w:vAlign w:val="center"/>
          </w:tcPr>
          <w:p w14:paraId="14ABB2AC">
            <w:pPr>
              <w:jc w:val="right"/>
            </w:pPr>
            <w:r>
              <w:rPr>
                <w:rFonts w:hint="eastAsia"/>
              </w:rPr>
              <w:t>-</w:t>
            </w:r>
          </w:p>
        </w:tc>
      </w:tr>
      <w:tr w14:paraId="7B9C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45EB8">
            <w:r>
              <w:rPr>
                <w:rFonts w:hint="eastAsia"/>
              </w:rPr>
              <w:t>银行费用</w:t>
            </w:r>
          </w:p>
        </w:tc>
        <w:tc>
          <w:tcPr>
            <w:tcW w:w="2768" w:type="dxa"/>
            <w:vAlign w:val="center"/>
          </w:tcPr>
          <w:p w14:paraId="18163AF2">
            <w:pPr>
              <w:jc w:val="right"/>
            </w:pPr>
            <w:r>
              <w:rPr>
                <w:rFonts w:hint="eastAsia"/>
              </w:rPr>
              <w:t>7,609.58</w:t>
            </w:r>
          </w:p>
        </w:tc>
        <w:tc>
          <w:tcPr>
            <w:tcW w:w="2768" w:type="dxa"/>
            <w:vAlign w:val="center"/>
          </w:tcPr>
          <w:p w14:paraId="6577F035">
            <w:pPr>
              <w:jc w:val="right"/>
            </w:pPr>
            <w:r>
              <w:rPr>
                <w:rFonts w:hint="eastAsia"/>
              </w:rPr>
              <w:t>3,264.40</w:t>
            </w:r>
          </w:p>
        </w:tc>
      </w:tr>
      <w:tr w14:paraId="7F98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F2840">
            <w:r>
              <w:rPr>
                <w:rFonts w:hint="eastAsia"/>
              </w:rPr>
              <w:t>其他</w:t>
            </w:r>
          </w:p>
        </w:tc>
        <w:tc>
          <w:tcPr>
            <w:tcW w:w="2768" w:type="dxa"/>
            <w:vAlign w:val="center"/>
          </w:tcPr>
          <w:p w14:paraId="06809FA9">
            <w:pPr>
              <w:jc w:val="right"/>
            </w:pPr>
            <w:r>
              <w:rPr>
                <w:rFonts w:hint="eastAsia"/>
              </w:rPr>
              <w:t>-</w:t>
            </w:r>
          </w:p>
        </w:tc>
        <w:tc>
          <w:tcPr>
            <w:tcW w:w="2768" w:type="dxa"/>
            <w:vAlign w:val="center"/>
          </w:tcPr>
          <w:p w14:paraId="1D9BD1D6">
            <w:pPr>
              <w:jc w:val="right"/>
            </w:pPr>
            <w:r>
              <w:rPr>
                <w:rFonts w:hint="eastAsia"/>
              </w:rPr>
              <w:t>60.00</w:t>
            </w:r>
          </w:p>
        </w:tc>
      </w:tr>
      <w:tr w14:paraId="4511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EF388">
            <w:r>
              <w:rPr>
                <w:rFonts w:hint="eastAsia"/>
              </w:rPr>
              <w:t>合计</w:t>
            </w:r>
          </w:p>
        </w:tc>
        <w:tc>
          <w:tcPr>
            <w:tcW w:w="2768" w:type="dxa"/>
            <w:vAlign w:val="center"/>
          </w:tcPr>
          <w:p w14:paraId="440707C4">
            <w:pPr>
              <w:jc w:val="right"/>
            </w:pPr>
            <w:r>
              <w:rPr>
                <w:rFonts w:hint="eastAsia"/>
              </w:rPr>
              <w:t>137,609.58</w:t>
            </w:r>
          </w:p>
        </w:tc>
        <w:tc>
          <w:tcPr>
            <w:tcW w:w="2768" w:type="dxa"/>
            <w:vAlign w:val="center"/>
          </w:tcPr>
          <w:p w14:paraId="5F8A0A3C">
            <w:pPr>
              <w:jc w:val="right"/>
            </w:pPr>
            <w:r>
              <w:rPr>
                <w:rFonts w:hint="eastAsia"/>
              </w:rPr>
              <w:t>8,324.40</w:t>
            </w:r>
          </w:p>
        </w:tc>
      </w:tr>
    </w:tbl>
    <w:p w14:paraId="7EAD8521">
      <w:pPr>
        <w:pStyle w:val="28"/>
      </w:pPr>
      <w:bookmarkStart w:id="106" w:name="_Toc106"/>
      <w:r>
        <w:t>或有事项、资产负债表日后事项的说明</w:t>
      </w:r>
      <w:bookmarkEnd w:id="106"/>
    </w:p>
    <w:p w14:paraId="19122780">
      <w:pPr>
        <w:pStyle w:val="35"/>
      </w:pPr>
      <w:bookmarkStart w:id="107" w:name="_Toc107"/>
      <w:r>
        <w:t>或有事项</w:t>
      </w:r>
      <w:bookmarkEnd w:id="107"/>
    </w:p>
    <w:p w14:paraId="6239B3C1">
      <w:pPr>
        <w:pStyle w:val="18"/>
        <w:rPr>
          <w:rFonts w:hint="eastAsia"/>
        </w:rPr>
      </w:pPr>
      <w:r>
        <w:rPr>
          <w:rFonts w:hint="eastAsia"/>
        </w:rPr>
        <w:t>无。</w:t>
      </w:r>
    </w:p>
    <w:p w14:paraId="74596CA9">
      <w:pPr>
        <w:pStyle w:val="35"/>
      </w:pPr>
      <w:bookmarkStart w:id="108" w:name="_Toc108"/>
      <w:r>
        <w:t>资产负债表日后事项</w:t>
      </w:r>
      <w:bookmarkEnd w:id="108"/>
    </w:p>
    <w:p w14:paraId="57F26113">
      <w:pPr>
        <w:pStyle w:val="18"/>
        <w:rPr>
          <w:rFonts w:hint="eastAsia"/>
        </w:rPr>
      </w:pPr>
      <w:r>
        <w:rPr>
          <w:rFonts w:hint="eastAsia"/>
        </w:rPr>
        <w:t>截至财务报告批准报出日，本基金无需要披露的资产负债表日后事项。</w:t>
      </w:r>
    </w:p>
    <w:p w14:paraId="0700C9F2">
      <w:pPr>
        <w:pStyle w:val="28"/>
      </w:pPr>
      <w:bookmarkStart w:id="109" w:name="_Toc109"/>
      <w:r>
        <w:t>关联方关系</w:t>
      </w:r>
      <w:bookmarkEnd w:id="1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54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3607929">
            <w:pPr>
              <w:jc w:val="center"/>
            </w:pPr>
            <w:r>
              <w:rPr>
                <w:rFonts w:hint="eastAsia"/>
                <w:b/>
              </w:rPr>
              <w:t>关联方名称</w:t>
            </w:r>
          </w:p>
        </w:tc>
        <w:tc>
          <w:tcPr>
            <w:tcW w:w="3322" w:type="dxa"/>
            <w:shd w:val="clear" w:color="auto" w:fill="BFBFBF"/>
            <w:vAlign w:val="center"/>
          </w:tcPr>
          <w:p w14:paraId="3F3FB543">
            <w:pPr>
              <w:jc w:val="center"/>
            </w:pPr>
            <w:r>
              <w:rPr>
                <w:rFonts w:hint="eastAsia"/>
                <w:b/>
              </w:rPr>
              <w:t>与本基金的关系</w:t>
            </w:r>
          </w:p>
        </w:tc>
      </w:tr>
      <w:tr w14:paraId="64FD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3B58FC">
            <w:r>
              <w:rPr>
                <w:rFonts w:hint="eastAsia"/>
              </w:rPr>
              <w:t>南方基金管理股份有限公司（“南方基金”）</w:t>
            </w:r>
          </w:p>
        </w:tc>
        <w:tc>
          <w:tcPr>
            <w:tcW w:w="3322" w:type="dxa"/>
            <w:vAlign w:val="center"/>
          </w:tcPr>
          <w:p w14:paraId="017EEAFC">
            <w:r>
              <w:rPr>
                <w:rFonts w:hint="eastAsia"/>
              </w:rPr>
              <w:t>基金管理人、登记机构、基金销售机构</w:t>
            </w:r>
          </w:p>
        </w:tc>
      </w:tr>
      <w:tr w14:paraId="14AA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C5D05F">
            <w:r>
              <w:rPr>
                <w:rFonts w:hint="eastAsia"/>
              </w:rPr>
              <w:t>中国农业银行股份有限公司（“中国农业银行”）</w:t>
            </w:r>
          </w:p>
        </w:tc>
        <w:tc>
          <w:tcPr>
            <w:tcW w:w="3322" w:type="dxa"/>
            <w:vAlign w:val="center"/>
          </w:tcPr>
          <w:p w14:paraId="1CE377C4">
            <w:r>
              <w:rPr>
                <w:rFonts w:hint="eastAsia"/>
              </w:rPr>
              <w:t>基金托管人、基金销售机构</w:t>
            </w:r>
          </w:p>
        </w:tc>
      </w:tr>
      <w:tr w14:paraId="393E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F25D6">
            <w:r>
              <w:rPr>
                <w:rFonts w:hint="eastAsia"/>
              </w:rPr>
              <w:t>美国花旗银行有限公司（“花旗银行”）</w:t>
            </w:r>
          </w:p>
        </w:tc>
        <w:tc>
          <w:tcPr>
            <w:tcW w:w="3322" w:type="dxa"/>
            <w:vAlign w:val="center"/>
          </w:tcPr>
          <w:p w14:paraId="2ADDD06C">
            <w:r>
              <w:rPr>
                <w:rFonts w:hint="eastAsia"/>
              </w:rPr>
              <w:t>境外资产托管人</w:t>
            </w:r>
          </w:p>
        </w:tc>
      </w:tr>
      <w:tr w14:paraId="6B49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4D7FB1">
            <w:r>
              <w:rPr>
                <w:rFonts w:hint="eastAsia"/>
              </w:rPr>
              <w:t>华泰证券股份有限公司（“华泰证券”）</w:t>
            </w:r>
          </w:p>
        </w:tc>
        <w:tc>
          <w:tcPr>
            <w:tcW w:w="3322" w:type="dxa"/>
            <w:vAlign w:val="center"/>
          </w:tcPr>
          <w:p w14:paraId="0C40E1E5">
            <w:r>
              <w:rPr>
                <w:rFonts w:hint="eastAsia"/>
              </w:rPr>
              <w:t>基金管理人的股东、基金销售机构</w:t>
            </w:r>
          </w:p>
        </w:tc>
      </w:tr>
      <w:tr w14:paraId="0CFC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34BAD1">
            <w:r>
              <w:rPr>
                <w:rFonts w:hint="eastAsia"/>
              </w:rPr>
              <w:t>兴业证券股份有限公司（“兴业证券”）</w:t>
            </w:r>
          </w:p>
        </w:tc>
        <w:tc>
          <w:tcPr>
            <w:tcW w:w="3322" w:type="dxa"/>
            <w:vAlign w:val="center"/>
          </w:tcPr>
          <w:p w14:paraId="22AA2968">
            <w:r>
              <w:rPr>
                <w:rFonts w:hint="eastAsia"/>
              </w:rPr>
              <w:t>基金管理人的股东</w:t>
            </w:r>
          </w:p>
        </w:tc>
      </w:tr>
      <w:tr w14:paraId="3E46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F21076">
            <w:r>
              <w:rPr>
                <w:rFonts w:hint="eastAsia"/>
              </w:rPr>
              <w:t>南方资本管理有限公司（“南方资本”）</w:t>
            </w:r>
          </w:p>
        </w:tc>
        <w:tc>
          <w:tcPr>
            <w:tcW w:w="3322" w:type="dxa"/>
            <w:vAlign w:val="center"/>
          </w:tcPr>
          <w:p w14:paraId="6DB72D78">
            <w:r>
              <w:rPr>
                <w:rFonts w:hint="eastAsia"/>
              </w:rPr>
              <w:t>基金管理人的子公司</w:t>
            </w:r>
          </w:p>
        </w:tc>
      </w:tr>
      <w:tr w14:paraId="7FCF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C45F33">
            <w:r>
              <w:rPr>
                <w:rFonts w:hint="eastAsia"/>
              </w:rPr>
              <w:t>南方东英资产管理有限公司（“南方东英”）</w:t>
            </w:r>
          </w:p>
        </w:tc>
        <w:tc>
          <w:tcPr>
            <w:tcW w:w="3322" w:type="dxa"/>
            <w:vAlign w:val="center"/>
          </w:tcPr>
          <w:p w14:paraId="3415775A">
            <w:r>
              <w:rPr>
                <w:rFonts w:hint="eastAsia"/>
              </w:rPr>
              <w:t>基金管理人的子公司</w:t>
            </w:r>
          </w:p>
        </w:tc>
      </w:tr>
      <w:tr w14:paraId="771F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6B5474">
            <w:r>
              <w:rPr>
                <w:rFonts w:hint="eastAsia"/>
              </w:rPr>
              <w:t>厦门国际信托有限公司（“厦门国际信托”）</w:t>
            </w:r>
          </w:p>
        </w:tc>
        <w:tc>
          <w:tcPr>
            <w:tcW w:w="3322" w:type="dxa"/>
            <w:vAlign w:val="center"/>
          </w:tcPr>
          <w:p w14:paraId="424D6771">
            <w:r>
              <w:rPr>
                <w:rFonts w:hint="eastAsia"/>
              </w:rPr>
              <w:t>基金管理人的股东</w:t>
            </w:r>
          </w:p>
        </w:tc>
      </w:tr>
      <w:tr w14:paraId="1E65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71D0CC">
            <w:r>
              <w:rPr>
                <w:rFonts w:hint="eastAsia"/>
              </w:rPr>
              <w:t>深圳市投资控股有限公司（“深圳投资控股”）</w:t>
            </w:r>
          </w:p>
        </w:tc>
        <w:tc>
          <w:tcPr>
            <w:tcW w:w="3322" w:type="dxa"/>
            <w:vAlign w:val="center"/>
          </w:tcPr>
          <w:p w14:paraId="5FC68FA6">
            <w:r>
              <w:rPr>
                <w:rFonts w:hint="eastAsia"/>
              </w:rPr>
              <w:t>基金管理人的股东</w:t>
            </w:r>
          </w:p>
        </w:tc>
      </w:tr>
      <w:tr w14:paraId="242C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7585CC">
            <w:r>
              <w:rPr>
                <w:rFonts w:hint="eastAsia"/>
              </w:rPr>
              <w:t>厦门合泽吉企业管理合伙企业（有限合伙）</w:t>
            </w:r>
          </w:p>
        </w:tc>
        <w:tc>
          <w:tcPr>
            <w:tcW w:w="3322" w:type="dxa"/>
            <w:vAlign w:val="center"/>
          </w:tcPr>
          <w:p w14:paraId="3D10A471">
            <w:r>
              <w:rPr>
                <w:rFonts w:hint="eastAsia"/>
              </w:rPr>
              <w:t>基金管理人的股东</w:t>
            </w:r>
          </w:p>
        </w:tc>
      </w:tr>
      <w:tr w14:paraId="7874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62F917">
            <w:r>
              <w:rPr>
                <w:rFonts w:hint="eastAsia"/>
              </w:rPr>
              <w:t>厦门合泽祥企业管理合伙企业（有限合伙）</w:t>
            </w:r>
          </w:p>
        </w:tc>
        <w:tc>
          <w:tcPr>
            <w:tcW w:w="3322" w:type="dxa"/>
            <w:vAlign w:val="center"/>
          </w:tcPr>
          <w:p w14:paraId="56EBBDD7">
            <w:r>
              <w:rPr>
                <w:rFonts w:hint="eastAsia"/>
              </w:rPr>
              <w:t>基金管理人的股东</w:t>
            </w:r>
          </w:p>
        </w:tc>
      </w:tr>
      <w:tr w14:paraId="4C93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51DEE9">
            <w:r>
              <w:rPr>
                <w:rFonts w:hint="eastAsia"/>
              </w:rPr>
              <w:t>厦门合泽益企业管理合伙企业（有限合伙）</w:t>
            </w:r>
          </w:p>
        </w:tc>
        <w:tc>
          <w:tcPr>
            <w:tcW w:w="3322" w:type="dxa"/>
            <w:vAlign w:val="center"/>
          </w:tcPr>
          <w:p w14:paraId="462F2350">
            <w:r>
              <w:rPr>
                <w:rFonts w:hint="eastAsia"/>
              </w:rPr>
              <w:t>基金管理人的股东</w:t>
            </w:r>
          </w:p>
        </w:tc>
      </w:tr>
      <w:tr w14:paraId="72B3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52709F">
            <w:r>
              <w:rPr>
                <w:rFonts w:hint="eastAsia"/>
              </w:rPr>
              <w:t>厦门合泽盈企业管理合伙企业（有限合伙）</w:t>
            </w:r>
          </w:p>
        </w:tc>
        <w:tc>
          <w:tcPr>
            <w:tcW w:w="3322" w:type="dxa"/>
            <w:vAlign w:val="center"/>
          </w:tcPr>
          <w:p w14:paraId="4817D5C0">
            <w:r>
              <w:rPr>
                <w:rFonts w:hint="eastAsia"/>
              </w:rPr>
              <w:t>基金管理人的股东</w:t>
            </w:r>
          </w:p>
        </w:tc>
      </w:tr>
      <w:tr w14:paraId="6F5C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36734E">
            <w:r>
              <w:rPr>
                <w:rFonts w:hint="eastAsia"/>
              </w:rPr>
              <w:t>南方恒生生物科技交易型开放式指数证券投资基金（“目标ETF”）</w:t>
            </w:r>
          </w:p>
        </w:tc>
        <w:tc>
          <w:tcPr>
            <w:tcW w:w="3322" w:type="dxa"/>
            <w:vAlign w:val="center"/>
          </w:tcPr>
          <w:p w14:paraId="4709F822">
            <w:r>
              <w:rPr>
                <w:rFonts w:hint="eastAsia"/>
              </w:rPr>
              <w:t>本基金的基金管理人管理的其他基金</w:t>
            </w:r>
          </w:p>
        </w:tc>
      </w:tr>
    </w:tbl>
    <w:p w14:paraId="321F5977">
      <w:pPr>
        <w:pStyle w:val="47"/>
        <w:rPr>
          <w:rFonts w:hint="eastAsia"/>
        </w:rPr>
      </w:pPr>
      <w:r>
        <w:rPr>
          <w:rFonts w:hint="eastAsia"/>
        </w:rPr>
        <w:t>注：下述关联交易均在正常业务范围内按一般商业条款订立。</w:t>
      </w:r>
    </w:p>
    <w:p w14:paraId="7A819A5B">
      <w:pPr>
        <w:pStyle w:val="28"/>
      </w:pPr>
      <w:bookmarkStart w:id="110" w:name="_Toc110"/>
      <w:r>
        <w:t>本报告期及上年度可比期间的关联方交易</w:t>
      </w:r>
      <w:bookmarkEnd w:id="110"/>
    </w:p>
    <w:p w14:paraId="7B8C54F4">
      <w:pPr>
        <w:pStyle w:val="35"/>
      </w:pPr>
      <w:bookmarkStart w:id="111" w:name="_Toc111"/>
      <w:r>
        <w:t>通过关联方交易单元进行的交易</w:t>
      </w:r>
      <w:bookmarkEnd w:id="111"/>
    </w:p>
    <w:p w14:paraId="1D717B7E">
      <w:pPr>
        <w:pStyle w:val="36"/>
      </w:pPr>
      <w:bookmarkStart w:id="112" w:name="_Toc112"/>
      <w:r>
        <w:t>股票交易</w:t>
      </w:r>
      <w:bookmarkEnd w:id="112"/>
    </w:p>
    <w:p w14:paraId="2E2419C2">
      <w:pPr>
        <w:pStyle w:val="18"/>
        <w:rPr>
          <w:rFonts w:hint="eastAsia"/>
        </w:rPr>
      </w:pPr>
      <w:r>
        <w:rPr>
          <w:rFonts w:hint="eastAsia"/>
        </w:rPr>
        <w:t>无。</w:t>
      </w:r>
    </w:p>
    <w:p w14:paraId="18B2251F">
      <w:pPr>
        <w:pStyle w:val="36"/>
      </w:pPr>
      <w:bookmarkStart w:id="113" w:name="_Toc113"/>
      <w:r>
        <w:t>债券交易</w:t>
      </w:r>
      <w:bookmarkEnd w:id="113"/>
    </w:p>
    <w:p w14:paraId="3747975D">
      <w:pPr>
        <w:pStyle w:val="18"/>
        <w:rPr>
          <w:rFonts w:hint="eastAsia"/>
        </w:rPr>
      </w:pPr>
      <w:r>
        <w:rPr>
          <w:rFonts w:hint="eastAsia"/>
        </w:rPr>
        <w:t>无。</w:t>
      </w:r>
    </w:p>
    <w:p w14:paraId="4CE43579">
      <w:pPr>
        <w:pStyle w:val="36"/>
      </w:pPr>
      <w:bookmarkStart w:id="114" w:name="_Toc114"/>
      <w:r>
        <w:t>债券回购交易</w:t>
      </w:r>
      <w:bookmarkEnd w:id="114"/>
    </w:p>
    <w:p w14:paraId="75BFEE27">
      <w:pPr>
        <w:pStyle w:val="18"/>
        <w:rPr>
          <w:rFonts w:hint="eastAsia"/>
        </w:rPr>
      </w:pPr>
      <w:r>
        <w:rPr>
          <w:rFonts w:hint="eastAsia"/>
        </w:rPr>
        <w:t>无。</w:t>
      </w:r>
    </w:p>
    <w:p w14:paraId="2EADB19E">
      <w:pPr>
        <w:pStyle w:val="36"/>
      </w:pPr>
      <w:bookmarkStart w:id="115" w:name="_Toc115"/>
      <w:r>
        <w:t>基金交易</w:t>
      </w:r>
      <w:bookmarkEnd w:id="115"/>
    </w:p>
    <w:p w14:paraId="2F1A0B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7F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F54865">
            <w:pPr>
              <w:jc w:val="center"/>
            </w:pPr>
            <w:r>
              <w:rPr>
                <w:rFonts w:hint="eastAsia"/>
                <w:b/>
              </w:rPr>
              <w:t>关联方名称</w:t>
            </w:r>
          </w:p>
        </w:tc>
        <w:tc>
          <w:tcPr>
            <w:tcW w:w="1661" w:type="dxa"/>
            <w:gridSpan w:val="2"/>
            <w:shd w:val="clear" w:color="auto" w:fill="BFBFBF"/>
            <w:vAlign w:val="center"/>
          </w:tcPr>
          <w:p w14:paraId="08A9F44C">
            <w:pPr>
              <w:jc w:val="center"/>
            </w:pPr>
            <w:r>
              <w:rPr>
                <w:rFonts w:hint="eastAsia"/>
                <w:b/>
              </w:rPr>
              <w:t>本期2025年1月1日至2025年12月31日</w:t>
            </w:r>
          </w:p>
        </w:tc>
        <w:tc>
          <w:tcPr>
            <w:tcW w:w="1661" w:type="dxa"/>
            <w:gridSpan w:val="2"/>
            <w:shd w:val="clear" w:color="auto" w:fill="BFBFBF"/>
            <w:vAlign w:val="center"/>
          </w:tcPr>
          <w:p w14:paraId="73226B8B">
            <w:pPr>
              <w:jc w:val="center"/>
            </w:pPr>
            <w:r>
              <w:rPr>
                <w:rFonts w:hint="eastAsia"/>
                <w:b/>
              </w:rPr>
              <w:t>上年度可比期间2024年1月1日至2024年12月31日</w:t>
            </w:r>
          </w:p>
        </w:tc>
      </w:tr>
      <w:tr w14:paraId="34BB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C476C9"/>
        </w:tc>
        <w:tc>
          <w:tcPr>
            <w:tcW w:w="1661" w:type="dxa"/>
            <w:shd w:val="clear" w:color="auto" w:fill="BFBFBF"/>
            <w:vAlign w:val="center"/>
          </w:tcPr>
          <w:p w14:paraId="22416016">
            <w:pPr>
              <w:jc w:val="center"/>
            </w:pPr>
            <w:r>
              <w:rPr>
                <w:rFonts w:hint="eastAsia"/>
                <w:b/>
              </w:rPr>
              <w:t>成交金额</w:t>
            </w:r>
          </w:p>
        </w:tc>
        <w:tc>
          <w:tcPr>
            <w:tcW w:w="1661" w:type="dxa"/>
            <w:shd w:val="clear" w:color="auto" w:fill="BFBFBF"/>
            <w:vAlign w:val="center"/>
          </w:tcPr>
          <w:p w14:paraId="74FA2EFA">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31870492">
            <w:pPr>
              <w:jc w:val="center"/>
              <w:rPr>
                <w:rFonts w:hint="eastAsia"/>
                <w:b/>
              </w:rPr>
            </w:pPr>
            <w:r>
              <w:rPr>
                <w:rFonts w:hint="eastAsia"/>
                <w:b/>
              </w:rPr>
              <w:t>成交金额</w:t>
            </w:r>
          </w:p>
        </w:tc>
        <w:tc>
          <w:tcPr>
            <w:tcW w:w="1661" w:type="dxa"/>
            <w:shd w:val="clear" w:color="auto" w:fill="BFBFBF"/>
            <w:vAlign w:val="center"/>
          </w:tcPr>
          <w:p w14:paraId="7161D1C2">
            <w:pPr>
              <w:jc w:val="center"/>
              <w:rPr>
                <w:rFonts w:hint="eastAsia"/>
                <w:b/>
              </w:rPr>
            </w:pPr>
            <w:r>
              <w:rPr>
                <w:rFonts w:hint="eastAsia"/>
                <w:b/>
              </w:rPr>
              <w:t>占当期基金
</w:t>
            </w:r>
            <w:r>
              <w:rPr>
                <w:rFonts w:hint="eastAsia"/>
                <w:b/>
              </w:rPr>
              <w:br w:type="textWrapping"/>
            </w:r>
            <w:r>
              <w:rPr>
                <w:rFonts w:hint="eastAsia"/>
                <w:b/>
              </w:rPr>
              <w:t>成交总额的比例</w:t>
            </w:r>
          </w:p>
        </w:tc>
      </w:tr>
      <w:tr w14:paraId="6540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EE495">
            <w:r>
              <w:rPr>
                <w:rFonts w:hint="eastAsia"/>
              </w:rPr>
              <w:t>华泰证券</w:t>
            </w:r>
          </w:p>
        </w:tc>
        <w:tc>
          <w:tcPr>
            <w:tcW w:w="1661" w:type="dxa"/>
            <w:vAlign w:val="center"/>
          </w:tcPr>
          <w:p w14:paraId="38D97FFA">
            <w:pPr>
              <w:jc w:val="right"/>
            </w:pPr>
            <w:r>
              <w:rPr>
                <w:rFonts w:hint="eastAsia"/>
              </w:rPr>
              <w:t>289,350,921.60</w:t>
            </w:r>
          </w:p>
        </w:tc>
        <w:tc>
          <w:tcPr>
            <w:tcW w:w="1661" w:type="dxa"/>
            <w:vAlign w:val="center"/>
          </w:tcPr>
          <w:p w14:paraId="4D0E571C">
            <w:pPr>
              <w:jc w:val="right"/>
            </w:pPr>
            <w:r>
              <w:rPr>
                <w:rFonts w:hint="eastAsia"/>
              </w:rPr>
              <w:t>100.00%</w:t>
            </w:r>
          </w:p>
        </w:tc>
        <w:tc>
          <w:tcPr>
            <w:tcW w:w="1661" w:type="dxa"/>
            <w:vAlign w:val="center"/>
          </w:tcPr>
          <w:p w14:paraId="5C643233">
            <w:pPr>
              <w:jc w:val="right"/>
            </w:pPr>
            <w:r>
              <w:rPr>
                <w:rFonts w:hint="eastAsia"/>
              </w:rPr>
              <w:t>44,905,653.90</w:t>
            </w:r>
          </w:p>
        </w:tc>
        <w:tc>
          <w:tcPr>
            <w:tcW w:w="1661" w:type="dxa"/>
            <w:vAlign w:val="center"/>
          </w:tcPr>
          <w:p w14:paraId="5135114E">
            <w:pPr>
              <w:jc w:val="right"/>
            </w:pPr>
            <w:r>
              <w:rPr>
                <w:rFonts w:hint="eastAsia"/>
              </w:rPr>
              <w:t>100.00%</w:t>
            </w:r>
          </w:p>
        </w:tc>
      </w:tr>
    </w:tbl>
    <w:p w14:paraId="58EC134A">
      <w:pPr>
        <w:pStyle w:val="36"/>
      </w:pPr>
      <w:bookmarkStart w:id="116" w:name="_Toc116"/>
      <w:r>
        <w:t>权证交易</w:t>
      </w:r>
      <w:bookmarkEnd w:id="116"/>
    </w:p>
    <w:p w14:paraId="7111A949">
      <w:pPr>
        <w:pStyle w:val="18"/>
        <w:rPr>
          <w:rFonts w:hint="eastAsia"/>
        </w:rPr>
      </w:pPr>
      <w:r>
        <w:rPr>
          <w:rFonts w:hint="eastAsia"/>
        </w:rPr>
        <w:t>无。</w:t>
      </w:r>
    </w:p>
    <w:p w14:paraId="745FF861">
      <w:pPr>
        <w:pStyle w:val="36"/>
      </w:pPr>
      <w:bookmarkStart w:id="117" w:name="_Toc117"/>
      <w:r>
        <w:t>应支付关联方的佣金</w:t>
      </w:r>
      <w:bookmarkEnd w:id="117"/>
    </w:p>
    <w:p w14:paraId="0861C5C9">
      <w:pPr>
        <w:pStyle w:val="18"/>
        <w:rPr>
          <w:rFonts w:hint="eastAsia"/>
        </w:rPr>
      </w:pPr>
      <w:r>
        <w:rPr>
          <w:rFonts w:hint="eastAsia"/>
        </w:rPr>
        <w:t>无。</w:t>
      </w:r>
    </w:p>
    <w:p w14:paraId="0FD09B72">
      <w:pPr>
        <w:pStyle w:val="35"/>
      </w:pPr>
      <w:bookmarkStart w:id="118" w:name="_Toc118"/>
      <w:r>
        <w:t>关联方报酬</w:t>
      </w:r>
      <w:bookmarkEnd w:id="118"/>
    </w:p>
    <w:p w14:paraId="3E542D4F">
      <w:pPr>
        <w:pStyle w:val="36"/>
      </w:pPr>
      <w:bookmarkStart w:id="119" w:name="_Toc119"/>
      <w:r>
        <w:t>基金管理费</w:t>
      </w:r>
      <w:bookmarkEnd w:id="119"/>
    </w:p>
    <w:p w14:paraId="2EC282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6A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AB7EB8">
            <w:pPr>
              <w:jc w:val="center"/>
            </w:pPr>
            <w:r>
              <w:rPr>
                <w:rFonts w:hint="eastAsia"/>
                <w:b/>
              </w:rPr>
              <w:t>项目</w:t>
            </w:r>
          </w:p>
        </w:tc>
        <w:tc>
          <w:tcPr>
            <w:tcW w:w="2768" w:type="dxa"/>
            <w:shd w:val="clear" w:color="auto" w:fill="BFBFBF"/>
            <w:vAlign w:val="center"/>
          </w:tcPr>
          <w:p w14:paraId="76ADA9C9">
            <w:pPr>
              <w:jc w:val="center"/>
            </w:pPr>
            <w:r>
              <w:rPr>
                <w:rFonts w:hint="eastAsia"/>
                <w:b/>
              </w:rPr>
              <w:t>本期2025年1月1日至2025年12月31日</w:t>
            </w:r>
          </w:p>
        </w:tc>
        <w:tc>
          <w:tcPr>
            <w:tcW w:w="2768" w:type="dxa"/>
            <w:shd w:val="clear" w:color="auto" w:fill="BFBFBF"/>
            <w:vAlign w:val="center"/>
          </w:tcPr>
          <w:p w14:paraId="1F44A819">
            <w:pPr>
              <w:jc w:val="center"/>
            </w:pPr>
            <w:r>
              <w:rPr>
                <w:rFonts w:hint="eastAsia"/>
                <w:b/>
              </w:rPr>
              <w:t>上年度可比期间2024年1月1日至2024年12月31日</w:t>
            </w:r>
          </w:p>
        </w:tc>
      </w:tr>
      <w:tr w14:paraId="3760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92D9A">
            <w:r>
              <w:rPr>
                <w:rFonts w:hint="eastAsia"/>
              </w:rPr>
              <w:t>当期发生的基金应支付的管理费</w:t>
            </w:r>
          </w:p>
        </w:tc>
        <w:tc>
          <w:tcPr>
            <w:tcW w:w="2768" w:type="dxa"/>
            <w:vAlign w:val="center"/>
          </w:tcPr>
          <w:p w14:paraId="5644B7BF">
            <w:pPr>
              <w:jc w:val="right"/>
            </w:pPr>
            <w:r>
              <w:rPr>
                <w:rFonts w:hint="eastAsia"/>
              </w:rPr>
              <w:t>40,255.21</w:t>
            </w:r>
          </w:p>
        </w:tc>
        <w:tc>
          <w:tcPr>
            <w:tcW w:w="2768" w:type="dxa"/>
            <w:vAlign w:val="center"/>
          </w:tcPr>
          <w:p w14:paraId="4791CF7A">
            <w:pPr>
              <w:jc w:val="right"/>
            </w:pPr>
            <w:r>
              <w:rPr>
                <w:rFonts w:hint="eastAsia"/>
              </w:rPr>
              <w:t>100,923.49</w:t>
            </w:r>
          </w:p>
        </w:tc>
      </w:tr>
      <w:tr w14:paraId="0BC1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20BA3">
            <w:r>
              <w:rPr>
                <w:rFonts w:hint="eastAsia"/>
              </w:rPr>
              <w:t>其中：应支付销售机构的客户维护费</w:t>
            </w:r>
          </w:p>
        </w:tc>
        <w:tc>
          <w:tcPr>
            <w:tcW w:w="2768" w:type="dxa"/>
            <w:vAlign w:val="center"/>
          </w:tcPr>
          <w:p w14:paraId="7B14BC8B">
            <w:pPr>
              <w:jc w:val="right"/>
            </w:pPr>
            <w:r>
              <w:rPr>
                <w:rFonts w:hint="eastAsia"/>
              </w:rPr>
              <w:t>155,534.45</w:t>
            </w:r>
          </w:p>
        </w:tc>
        <w:tc>
          <w:tcPr>
            <w:tcW w:w="2768" w:type="dxa"/>
            <w:vAlign w:val="center"/>
          </w:tcPr>
          <w:p w14:paraId="62B51C1A">
            <w:pPr>
              <w:jc w:val="right"/>
            </w:pPr>
            <w:r>
              <w:rPr>
                <w:rFonts w:hint="eastAsia"/>
              </w:rPr>
              <w:t>24,371.45</w:t>
            </w:r>
          </w:p>
        </w:tc>
      </w:tr>
      <w:tr w14:paraId="3EFC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62A5B">
            <w:r>
              <w:rPr>
                <w:rFonts w:hint="eastAsia"/>
              </w:rPr>
              <w:t xml:space="preserve">      应支付基金管理人的净管理费</w:t>
            </w:r>
          </w:p>
        </w:tc>
        <w:tc>
          <w:tcPr>
            <w:tcW w:w="2768" w:type="dxa"/>
            <w:vAlign w:val="center"/>
          </w:tcPr>
          <w:p w14:paraId="30AB14A1">
            <w:pPr>
              <w:jc w:val="right"/>
            </w:pPr>
            <w:r>
              <w:rPr>
                <w:rFonts w:hint="eastAsia"/>
              </w:rPr>
              <w:t>-115,279.24</w:t>
            </w:r>
          </w:p>
        </w:tc>
        <w:tc>
          <w:tcPr>
            <w:tcW w:w="2768" w:type="dxa"/>
            <w:vAlign w:val="center"/>
          </w:tcPr>
          <w:p w14:paraId="4858A104">
            <w:pPr>
              <w:jc w:val="right"/>
            </w:pPr>
            <w:r>
              <w:rPr>
                <w:rFonts w:hint="eastAsia"/>
              </w:rPr>
              <w:t>76,552.04</w:t>
            </w:r>
          </w:p>
        </w:tc>
      </w:tr>
    </w:tbl>
    <w:p w14:paraId="0C6AB08E">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791DC7A8">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4AEC942A">
      <w:pPr>
        <w:pStyle w:val="47"/>
        <w:rPr>
          <w:rFonts w:hint="eastAsia"/>
        </w:rPr>
      </w:pPr>
      <w:r>
        <w:tab/>
      </w:r>
      <w:r>
        <w:rPr>
          <w:rFonts w:hint="eastAsia"/>
        </w:rPr>
        <w:t>日管理人报酬＝(前一日基金资产净值-前一日所持有目标ETF基金份额部分的基金资产)×0.50%÷当年天数。</w:t>
      </w:r>
    </w:p>
    <w:p w14:paraId="6C4F7EF6">
      <w:pPr>
        <w:pStyle w:val="36"/>
      </w:pPr>
      <w:bookmarkStart w:id="120" w:name="_Toc120"/>
      <w:r>
        <w:t>基金托管费</w:t>
      </w:r>
      <w:bookmarkEnd w:id="120"/>
    </w:p>
    <w:p w14:paraId="2445DF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85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0F520E">
            <w:pPr>
              <w:jc w:val="center"/>
            </w:pPr>
            <w:r>
              <w:rPr>
                <w:rFonts w:hint="eastAsia"/>
                <w:b/>
              </w:rPr>
              <w:t>项目</w:t>
            </w:r>
          </w:p>
        </w:tc>
        <w:tc>
          <w:tcPr>
            <w:tcW w:w="2768" w:type="dxa"/>
            <w:shd w:val="clear" w:color="auto" w:fill="BFBFBF"/>
            <w:vAlign w:val="center"/>
          </w:tcPr>
          <w:p w14:paraId="09C9D4E6">
            <w:pPr>
              <w:jc w:val="center"/>
            </w:pPr>
            <w:r>
              <w:rPr>
                <w:rFonts w:hint="eastAsia"/>
                <w:b/>
              </w:rPr>
              <w:t>本期2025年1月1日至2025年12月31日</w:t>
            </w:r>
          </w:p>
        </w:tc>
        <w:tc>
          <w:tcPr>
            <w:tcW w:w="2768" w:type="dxa"/>
            <w:shd w:val="clear" w:color="auto" w:fill="BFBFBF"/>
            <w:vAlign w:val="center"/>
          </w:tcPr>
          <w:p w14:paraId="3A77C53C">
            <w:pPr>
              <w:jc w:val="center"/>
            </w:pPr>
            <w:r>
              <w:rPr>
                <w:rFonts w:hint="eastAsia"/>
                <w:b/>
              </w:rPr>
              <w:t>上年度可比期间2024年1月1日至2024年12月31日</w:t>
            </w:r>
          </w:p>
        </w:tc>
      </w:tr>
      <w:tr w14:paraId="7A8F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285DF">
            <w:r>
              <w:rPr>
                <w:rFonts w:hint="eastAsia"/>
              </w:rPr>
              <w:t>当期发生的基金应支付的托管费</w:t>
            </w:r>
          </w:p>
        </w:tc>
        <w:tc>
          <w:tcPr>
            <w:tcW w:w="2768" w:type="dxa"/>
            <w:vAlign w:val="center"/>
          </w:tcPr>
          <w:p w14:paraId="2622286B">
            <w:pPr>
              <w:jc w:val="right"/>
            </w:pPr>
            <w:r>
              <w:rPr>
                <w:rFonts w:hint="eastAsia"/>
              </w:rPr>
              <w:t>12,076.50</w:t>
            </w:r>
          </w:p>
        </w:tc>
        <w:tc>
          <w:tcPr>
            <w:tcW w:w="2768" w:type="dxa"/>
            <w:vAlign w:val="center"/>
          </w:tcPr>
          <w:p w14:paraId="7C0CF9B2">
            <w:pPr>
              <w:jc w:val="right"/>
            </w:pPr>
            <w:r>
              <w:rPr>
                <w:rFonts w:hint="eastAsia"/>
              </w:rPr>
              <w:t>30,277.01</w:t>
            </w:r>
          </w:p>
        </w:tc>
      </w:tr>
    </w:tbl>
    <w:p w14:paraId="446ABB98">
      <w:pPr>
        <w:pStyle w:val="47"/>
        <w:rPr>
          <w:rFonts w:hint="eastAsia"/>
        </w:rPr>
      </w:pPr>
      <w:r>
        <w:rPr>
          <w:rFonts w:hint="eastAsia"/>
        </w:rPr>
        <w:t>注：本基金基金财产中投资于目标ETF的部分不收取托管费，支付基金托管人的托管费按前一日基金资产净值扣除本基金持有的目标ETF基金份额部分的基金资产后的余额（若为负数，则取零）的0.15%的年费率计提，逐日累计至每月月底，按月支付。其计算公式为：</w:t>
      </w:r>
    </w:p>
    <w:p w14:paraId="736102D5">
      <w:pPr>
        <w:pStyle w:val="47"/>
        <w:rPr>
          <w:rFonts w:hint="eastAsia"/>
        </w:rPr>
      </w:pPr>
      <w:r>
        <w:tab/>
      </w:r>
      <w:r>
        <w:rPr>
          <w:rFonts w:hint="eastAsia"/>
        </w:rPr>
        <w:t>日托管费＝(前一日基金资产净值-前一日所持有目标ETF基金份额部分的基金资产)×0.15%÷当年天数。</w:t>
      </w:r>
    </w:p>
    <w:p w14:paraId="6859AE4A">
      <w:pPr>
        <w:pStyle w:val="36"/>
      </w:pPr>
      <w:bookmarkStart w:id="121" w:name="_Toc121"/>
      <w:r>
        <w:t>销售服务费</w:t>
      </w:r>
      <w:bookmarkEnd w:id="121"/>
    </w:p>
    <w:p w14:paraId="6DA1AA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DA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80D022">
            <w:r>
              <w:rPr>
                <w:rFonts w:hint="eastAsia"/>
              </w:rPr>
              <w:t>获得销售服务费的各关联方名称</w:t>
            </w:r>
          </w:p>
        </w:tc>
        <w:tc>
          <w:tcPr>
            <w:tcW w:w="1661" w:type="dxa"/>
            <w:gridSpan w:val="4"/>
            <w:vAlign w:val="center"/>
          </w:tcPr>
          <w:p w14:paraId="18E748CA">
            <w:r>
              <w:rPr>
                <w:rFonts w:hint="eastAsia"/>
              </w:rPr>
              <w:t>本期2025年1月1日至2025年12月31日</w:t>
            </w:r>
          </w:p>
        </w:tc>
      </w:tr>
      <w:tr w14:paraId="2B74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EE56B1"/>
        </w:tc>
        <w:tc>
          <w:tcPr>
            <w:tcW w:w="1661" w:type="dxa"/>
            <w:gridSpan w:val="4"/>
            <w:vAlign w:val="center"/>
          </w:tcPr>
          <w:p w14:paraId="573937DD">
            <w:r>
              <w:rPr>
                <w:rFonts w:hint="eastAsia"/>
              </w:rPr>
              <w:t>当期发生的基金应支付的销售服务费</w:t>
            </w:r>
          </w:p>
        </w:tc>
      </w:tr>
      <w:tr w14:paraId="525C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A98C9E"/>
        </w:tc>
        <w:tc>
          <w:tcPr>
            <w:tcW w:w="1661" w:type="dxa"/>
            <w:vAlign w:val="center"/>
          </w:tcPr>
          <w:p w14:paraId="4F3C4A5F">
            <w:r>
              <w:rPr>
                <w:rFonts w:hint="eastAsia"/>
              </w:rPr>
              <w:t>南方恒生生物科技ETF发起联接（QDII）A</w:t>
            </w:r>
          </w:p>
        </w:tc>
        <w:tc>
          <w:tcPr>
            <w:tcW w:w="1661" w:type="dxa"/>
            <w:vAlign w:val="center"/>
          </w:tcPr>
          <w:p w14:paraId="59473EAB">
            <w:r>
              <w:rPr>
                <w:rFonts w:hint="eastAsia"/>
              </w:rPr>
              <w:t>南方恒生生物科技ETF发起联接（QDII）C</w:t>
            </w:r>
          </w:p>
        </w:tc>
        <w:tc>
          <w:tcPr>
            <w:tcW w:w="1661" w:type="dxa"/>
            <w:vAlign w:val="center"/>
          </w:tcPr>
          <w:p w14:paraId="43659AF8">
            <w:r>
              <w:rPr>
                <w:rFonts w:hint="eastAsia"/>
              </w:rPr>
              <w:t>南方恒生生物科技ETF发起联接（QDII）I</w:t>
            </w:r>
          </w:p>
        </w:tc>
        <w:tc>
          <w:tcPr>
            <w:tcW w:w="1661" w:type="dxa"/>
            <w:vAlign w:val="center"/>
          </w:tcPr>
          <w:p w14:paraId="20AC7CAE">
            <w:r>
              <w:rPr>
                <w:rFonts w:hint="eastAsia"/>
              </w:rPr>
              <w:t>合计</w:t>
            </w:r>
          </w:p>
        </w:tc>
      </w:tr>
      <w:tr w14:paraId="4D3B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AE0E2">
            <w:r>
              <w:rPr>
                <w:rFonts w:hint="eastAsia"/>
              </w:rPr>
              <w:t>华泰证券</w:t>
            </w:r>
          </w:p>
        </w:tc>
        <w:tc>
          <w:tcPr>
            <w:tcW w:w="1661" w:type="dxa"/>
            <w:vAlign w:val="center"/>
          </w:tcPr>
          <w:p w14:paraId="7E9D0C6E">
            <w:pPr>
              <w:jc w:val="right"/>
            </w:pPr>
            <w:r>
              <w:rPr>
                <w:rFonts w:hint="eastAsia"/>
              </w:rPr>
              <w:t>-</w:t>
            </w:r>
          </w:p>
        </w:tc>
        <w:tc>
          <w:tcPr>
            <w:tcW w:w="1661" w:type="dxa"/>
            <w:vAlign w:val="center"/>
          </w:tcPr>
          <w:p w14:paraId="5398B30B">
            <w:pPr>
              <w:jc w:val="right"/>
            </w:pPr>
            <w:r>
              <w:rPr>
                <w:rFonts w:hint="eastAsia"/>
              </w:rPr>
              <w:t>159.14</w:t>
            </w:r>
          </w:p>
        </w:tc>
        <w:tc>
          <w:tcPr>
            <w:tcW w:w="1661" w:type="dxa"/>
            <w:vAlign w:val="center"/>
          </w:tcPr>
          <w:p w14:paraId="00A06359">
            <w:pPr>
              <w:jc w:val="right"/>
            </w:pPr>
            <w:r>
              <w:rPr>
                <w:rFonts w:hint="eastAsia"/>
              </w:rPr>
              <w:t>-</w:t>
            </w:r>
          </w:p>
        </w:tc>
        <w:tc>
          <w:tcPr>
            <w:tcW w:w="1661" w:type="dxa"/>
            <w:vAlign w:val="center"/>
          </w:tcPr>
          <w:p w14:paraId="1D8E0578">
            <w:pPr>
              <w:jc w:val="right"/>
            </w:pPr>
            <w:r>
              <w:rPr>
                <w:rFonts w:hint="eastAsia"/>
              </w:rPr>
              <w:t>159.14</w:t>
            </w:r>
          </w:p>
        </w:tc>
      </w:tr>
      <w:tr w14:paraId="6D7A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FC30CB">
            <w:r>
              <w:rPr>
                <w:rFonts w:hint="eastAsia"/>
              </w:rPr>
              <w:t>南方基金</w:t>
            </w:r>
          </w:p>
        </w:tc>
        <w:tc>
          <w:tcPr>
            <w:tcW w:w="1661" w:type="dxa"/>
            <w:vAlign w:val="center"/>
          </w:tcPr>
          <w:p w14:paraId="19BEA644">
            <w:pPr>
              <w:jc w:val="right"/>
            </w:pPr>
            <w:r>
              <w:rPr>
                <w:rFonts w:hint="eastAsia"/>
              </w:rPr>
              <w:t>-</w:t>
            </w:r>
          </w:p>
        </w:tc>
        <w:tc>
          <w:tcPr>
            <w:tcW w:w="1661" w:type="dxa"/>
            <w:vAlign w:val="center"/>
          </w:tcPr>
          <w:p w14:paraId="038D5863">
            <w:pPr>
              <w:jc w:val="right"/>
            </w:pPr>
            <w:r>
              <w:rPr>
                <w:rFonts w:hint="eastAsia"/>
              </w:rPr>
              <w:t>11,087.10</w:t>
            </w:r>
          </w:p>
        </w:tc>
        <w:tc>
          <w:tcPr>
            <w:tcW w:w="1661" w:type="dxa"/>
            <w:vAlign w:val="center"/>
          </w:tcPr>
          <w:p w14:paraId="7FCF75BB">
            <w:pPr>
              <w:jc w:val="right"/>
            </w:pPr>
            <w:r>
              <w:rPr>
                <w:rFonts w:hint="eastAsia"/>
              </w:rPr>
              <w:t>636.36</w:t>
            </w:r>
          </w:p>
        </w:tc>
        <w:tc>
          <w:tcPr>
            <w:tcW w:w="1661" w:type="dxa"/>
            <w:vAlign w:val="center"/>
          </w:tcPr>
          <w:p w14:paraId="24F87C1A">
            <w:pPr>
              <w:jc w:val="right"/>
            </w:pPr>
            <w:r>
              <w:rPr>
                <w:rFonts w:hint="eastAsia"/>
              </w:rPr>
              <w:t>11,723.46</w:t>
            </w:r>
          </w:p>
        </w:tc>
      </w:tr>
      <w:tr w14:paraId="2E58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22026F">
            <w:r>
              <w:rPr>
                <w:rFonts w:hint="eastAsia"/>
              </w:rPr>
              <w:t>农业银行</w:t>
            </w:r>
          </w:p>
        </w:tc>
        <w:tc>
          <w:tcPr>
            <w:tcW w:w="1661" w:type="dxa"/>
            <w:vAlign w:val="center"/>
          </w:tcPr>
          <w:p w14:paraId="3A3C93E1">
            <w:pPr>
              <w:jc w:val="right"/>
            </w:pPr>
            <w:r>
              <w:rPr>
                <w:rFonts w:hint="eastAsia"/>
              </w:rPr>
              <w:t>-</w:t>
            </w:r>
          </w:p>
        </w:tc>
        <w:tc>
          <w:tcPr>
            <w:tcW w:w="1661" w:type="dxa"/>
            <w:vAlign w:val="center"/>
          </w:tcPr>
          <w:p w14:paraId="365E1AFA">
            <w:pPr>
              <w:jc w:val="right"/>
            </w:pPr>
            <w:r>
              <w:rPr>
                <w:rFonts w:hint="eastAsia"/>
              </w:rPr>
              <w:t>17,705.16</w:t>
            </w:r>
          </w:p>
        </w:tc>
        <w:tc>
          <w:tcPr>
            <w:tcW w:w="1661" w:type="dxa"/>
            <w:vAlign w:val="center"/>
          </w:tcPr>
          <w:p w14:paraId="0FF8EFA8">
            <w:pPr>
              <w:jc w:val="right"/>
            </w:pPr>
            <w:r>
              <w:rPr>
                <w:rFonts w:hint="eastAsia"/>
              </w:rPr>
              <w:t>-</w:t>
            </w:r>
          </w:p>
        </w:tc>
        <w:tc>
          <w:tcPr>
            <w:tcW w:w="1661" w:type="dxa"/>
            <w:vAlign w:val="center"/>
          </w:tcPr>
          <w:p w14:paraId="6BAD9831">
            <w:pPr>
              <w:jc w:val="right"/>
            </w:pPr>
            <w:r>
              <w:rPr>
                <w:rFonts w:hint="eastAsia"/>
              </w:rPr>
              <w:t>17,705.16</w:t>
            </w:r>
          </w:p>
        </w:tc>
      </w:tr>
      <w:tr w14:paraId="500A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516BA">
            <w:r>
              <w:rPr>
                <w:rFonts w:hint="eastAsia"/>
              </w:rPr>
              <w:t>合计</w:t>
            </w:r>
          </w:p>
        </w:tc>
        <w:tc>
          <w:tcPr>
            <w:tcW w:w="1661" w:type="dxa"/>
            <w:vAlign w:val="center"/>
          </w:tcPr>
          <w:p w14:paraId="3F0B5D07">
            <w:pPr>
              <w:jc w:val="right"/>
            </w:pPr>
            <w:r>
              <w:rPr>
                <w:rFonts w:hint="eastAsia"/>
              </w:rPr>
              <w:t>-</w:t>
            </w:r>
          </w:p>
        </w:tc>
        <w:tc>
          <w:tcPr>
            <w:tcW w:w="1661" w:type="dxa"/>
            <w:vAlign w:val="center"/>
          </w:tcPr>
          <w:p w14:paraId="640CE700">
            <w:pPr>
              <w:jc w:val="right"/>
            </w:pPr>
            <w:r>
              <w:rPr>
                <w:rFonts w:hint="eastAsia"/>
              </w:rPr>
              <w:t>28,951.40</w:t>
            </w:r>
          </w:p>
        </w:tc>
        <w:tc>
          <w:tcPr>
            <w:tcW w:w="1661" w:type="dxa"/>
            <w:vAlign w:val="center"/>
          </w:tcPr>
          <w:p w14:paraId="39ECA93B">
            <w:pPr>
              <w:jc w:val="right"/>
            </w:pPr>
            <w:r>
              <w:rPr>
                <w:rFonts w:hint="eastAsia"/>
              </w:rPr>
              <w:t>636.36</w:t>
            </w:r>
          </w:p>
        </w:tc>
        <w:tc>
          <w:tcPr>
            <w:tcW w:w="1661" w:type="dxa"/>
            <w:vAlign w:val="center"/>
          </w:tcPr>
          <w:p w14:paraId="1E2D748E">
            <w:pPr>
              <w:jc w:val="right"/>
            </w:pPr>
            <w:r>
              <w:rPr>
                <w:rFonts w:hint="eastAsia"/>
              </w:rPr>
              <w:t>29,587.76</w:t>
            </w:r>
          </w:p>
        </w:tc>
      </w:tr>
      <w:tr w14:paraId="7CF7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E9AEAA">
            <w:r>
              <w:rPr>
                <w:rFonts w:hint="eastAsia"/>
              </w:rPr>
              <w:t>获得销售服务费的各关联方名称</w:t>
            </w:r>
          </w:p>
        </w:tc>
        <w:tc>
          <w:tcPr>
            <w:tcW w:w="1661" w:type="dxa"/>
            <w:gridSpan w:val="4"/>
            <w:vAlign w:val="center"/>
          </w:tcPr>
          <w:p w14:paraId="0B5B392C">
            <w:r>
              <w:rPr>
                <w:rFonts w:hint="eastAsia"/>
              </w:rPr>
              <w:t>上年度可比期间2024年1月1日至2024年12月31日</w:t>
            </w:r>
          </w:p>
        </w:tc>
      </w:tr>
      <w:tr w14:paraId="509C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4E011A"/>
        </w:tc>
        <w:tc>
          <w:tcPr>
            <w:tcW w:w="1661" w:type="dxa"/>
            <w:gridSpan w:val="4"/>
            <w:vAlign w:val="center"/>
          </w:tcPr>
          <w:p w14:paraId="3B270261">
            <w:r>
              <w:rPr>
                <w:rFonts w:hint="eastAsia"/>
              </w:rPr>
              <w:t>当期发生的基金应支付的销售服务费</w:t>
            </w:r>
          </w:p>
        </w:tc>
      </w:tr>
      <w:tr w14:paraId="3013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778B9F"/>
        </w:tc>
        <w:tc>
          <w:tcPr>
            <w:tcW w:w="1661" w:type="dxa"/>
            <w:vAlign w:val="center"/>
          </w:tcPr>
          <w:p w14:paraId="317E4CD1">
            <w:r>
              <w:rPr>
                <w:rFonts w:hint="eastAsia"/>
              </w:rPr>
              <w:t>南方恒生生物科技ETF发起联接（QDII）A</w:t>
            </w:r>
          </w:p>
        </w:tc>
        <w:tc>
          <w:tcPr>
            <w:tcW w:w="1661" w:type="dxa"/>
            <w:vAlign w:val="center"/>
          </w:tcPr>
          <w:p w14:paraId="206E970D">
            <w:r>
              <w:rPr>
                <w:rFonts w:hint="eastAsia"/>
              </w:rPr>
              <w:t>南方恒生生物科技ETF发起联接（QDII）C</w:t>
            </w:r>
          </w:p>
        </w:tc>
        <w:tc>
          <w:tcPr>
            <w:tcW w:w="1661" w:type="dxa"/>
            <w:vAlign w:val="center"/>
          </w:tcPr>
          <w:p w14:paraId="67765552">
            <w:r>
              <w:rPr>
                <w:rFonts w:hint="eastAsia"/>
              </w:rPr>
              <w:t>南方恒生生物科技ETF发起联接（QDII）I</w:t>
            </w:r>
          </w:p>
        </w:tc>
        <w:tc>
          <w:tcPr>
            <w:tcW w:w="1661" w:type="dxa"/>
            <w:vAlign w:val="center"/>
          </w:tcPr>
          <w:p w14:paraId="6BB465B1">
            <w:r>
              <w:rPr>
                <w:rFonts w:hint="eastAsia"/>
              </w:rPr>
              <w:t>合计</w:t>
            </w:r>
          </w:p>
        </w:tc>
      </w:tr>
      <w:tr w14:paraId="4AB6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527B5C">
            <w:r>
              <w:rPr>
                <w:rFonts w:hint="eastAsia"/>
              </w:rPr>
              <w:t>华泰证券</w:t>
            </w:r>
          </w:p>
        </w:tc>
        <w:tc>
          <w:tcPr>
            <w:tcW w:w="1661" w:type="dxa"/>
            <w:vAlign w:val="center"/>
          </w:tcPr>
          <w:p w14:paraId="30BD277F">
            <w:pPr>
              <w:jc w:val="right"/>
            </w:pPr>
            <w:r>
              <w:rPr>
                <w:rFonts w:hint="eastAsia"/>
              </w:rPr>
              <w:t>-</w:t>
            </w:r>
          </w:p>
        </w:tc>
        <w:tc>
          <w:tcPr>
            <w:tcW w:w="1661" w:type="dxa"/>
            <w:vAlign w:val="center"/>
          </w:tcPr>
          <w:p w14:paraId="6D3792C4">
            <w:pPr>
              <w:jc w:val="right"/>
            </w:pPr>
            <w:r>
              <w:rPr>
                <w:rFonts w:hint="eastAsia"/>
              </w:rPr>
              <w:t>6.52</w:t>
            </w:r>
          </w:p>
        </w:tc>
        <w:tc>
          <w:tcPr>
            <w:tcW w:w="1661" w:type="dxa"/>
            <w:vAlign w:val="center"/>
          </w:tcPr>
          <w:p w14:paraId="4897AEEB">
            <w:pPr>
              <w:jc w:val="right"/>
            </w:pPr>
            <w:r>
              <w:rPr>
                <w:rFonts w:hint="eastAsia"/>
              </w:rPr>
              <w:t>-</w:t>
            </w:r>
          </w:p>
        </w:tc>
        <w:tc>
          <w:tcPr>
            <w:tcW w:w="1661" w:type="dxa"/>
            <w:vAlign w:val="center"/>
          </w:tcPr>
          <w:p w14:paraId="526CAD67">
            <w:pPr>
              <w:jc w:val="right"/>
            </w:pPr>
            <w:r>
              <w:rPr>
                <w:rFonts w:hint="eastAsia"/>
              </w:rPr>
              <w:t>6.52</w:t>
            </w:r>
          </w:p>
        </w:tc>
      </w:tr>
      <w:tr w14:paraId="6B0A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AB176">
            <w:r>
              <w:rPr>
                <w:rFonts w:hint="eastAsia"/>
              </w:rPr>
              <w:t>南方基金</w:t>
            </w:r>
          </w:p>
        </w:tc>
        <w:tc>
          <w:tcPr>
            <w:tcW w:w="1661" w:type="dxa"/>
            <w:vAlign w:val="center"/>
          </w:tcPr>
          <w:p w14:paraId="78D763FD">
            <w:pPr>
              <w:jc w:val="right"/>
            </w:pPr>
            <w:r>
              <w:rPr>
                <w:rFonts w:hint="eastAsia"/>
              </w:rPr>
              <w:t>-</w:t>
            </w:r>
          </w:p>
        </w:tc>
        <w:tc>
          <w:tcPr>
            <w:tcW w:w="1661" w:type="dxa"/>
            <w:vAlign w:val="center"/>
          </w:tcPr>
          <w:p w14:paraId="50DF622A">
            <w:pPr>
              <w:jc w:val="right"/>
            </w:pPr>
            <w:r>
              <w:rPr>
                <w:rFonts w:hint="eastAsia"/>
              </w:rPr>
              <w:t>1,884.00</w:t>
            </w:r>
          </w:p>
        </w:tc>
        <w:tc>
          <w:tcPr>
            <w:tcW w:w="1661" w:type="dxa"/>
            <w:vAlign w:val="center"/>
          </w:tcPr>
          <w:p w14:paraId="7F2284EB">
            <w:pPr>
              <w:jc w:val="right"/>
            </w:pPr>
            <w:r>
              <w:rPr>
                <w:rFonts w:hint="eastAsia"/>
              </w:rPr>
              <w:t>30.02</w:t>
            </w:r>
          </w:p>
        </w:tc>
        <w:tc>
          <w:tcPr>
            <w:tcW w:w="1661" w:type="dxa"/>
            <w:vAlign w:val="center"/>
          </w:tcPr>
          <w:p w14:paraId="3B93F0F3">
            <w:pPr>
              <w:jc w:val="right"/>
            </w:pPr>
            <w:r>
              <w:rPr>
                <w:rFonts w:hint="eastAsia"/>
              </w:rPr>
              <w:t>1,914.02</w:t>
            </w:r>
          </w:p>
        </w:tc>
      </w:tr>
      <w:tr w14:paraId="3A64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673186">
            <w:r>
              <w:rPr>
                <w:rFonts w:hint="eastAsia"/>
              </w:rPr>
              <w:t>农业银行</w:t>
            </w:r>
          </w:p>
        </w:tc>
        <w:tc>
          <w:tcPr>
            <w:tcW w:w="1661" w:type="dxa"/>
            <w:vAlign w:val="center"/>
          </w:tcPr>
          <w:p w14:paraId="0F4EF284">
            <w:pPr>
              <w:jc w:val="right"/>
            </w:pPr>
            <w:r>
              <w:rPr>
                <w:rFonts w:hint="eastAsia"/>
              </w:rPr>
              <w:t>-</w:t>
            </w:r>
          </w:p>
        </w:tc>
        <w:tc>
          <w:tcPr>
            <w:tcW w:w="1661" w:type="dxa"/>
            <w:vAlign w:val="center"/>
          </w:tcPr>
          <w:p w14:paraId="284E0A6F">
            <w:pPr>
              <w:jc w:val="right"/>
            </w:pPr>
            <w:r>
              <w:rPr>
                <w:rFonts w:hint="eastAsia"/>
              </w:rPr>
              <w:t>870.45</w:t>
            </w:r>
          </w:p>
        </w:tc>
        <w:tc>
          <w:tcPr>
            <w:tcW w:w="1661" w:type="dxa"/>
            <w:vAlign w:val="center"/>
          </w:tcPr>
          <w:p w14:paraId="2CF7563C">
            <w:pPr>
              <w:jc w:val="right"/>
            </w:pPr>
            <w:r>
              <w:rPr>
                <w:rFonts w:hint="eastAsia"/>
              </w:rPr>
              <w:t>-</w:t>
            </w:r>
          </w:p>
        </w:tc>
        <w:tc>
          <w:tcPr>
            <w:tcW w:w="1661" w:type="dxa"/>
            <w:vAlign w:val="center"/>
          </w:tcPr>
          <w:p w14:paraId="70FF9B6A">
            <w:pPr>
              <w:jc w:val="right"/>
            </w:pPr>
            <w:r>
              <w:rPr>
                <w:rFonts w:hint="eastAsia"/>
              </w:rPr>
              <w:t>870.45</w:t>
            </w:r>
          </w:p>
        </w:tc>
      </w:tr>
      <w:tr w14:paraId="4963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6D9CC">
            <w:r>
              <w:rPr>
                <w:rFonts w:hint="eastAsia"/>
              </w:rPr>
              <w:t>合计</w:t>
            </w:r>
          </w:p>
        </w:tc>
        <w:tc>
          <w:tcPr>
            <w:tcW w:w="1661" w:type="dxa"/>
            <w:vAlign w:val="center"/>
          </w:tcPr>
          <w:p w14:paraId="3E594BFE">
            <w:pPr>
              <w:jc w:val="right"/>
            </w:pPr>
            <w:r>
              <w:rPr>
                <w:rFonts w:hint="eastAsia"/>
              </w:rPr>
              <w:t>-</w:t>
            </w:r>
          </w:p>
        </w:tc>
        <w:tc>
          <w:tcPr>
            <w:tcW w:w="1661" w:type="dxa"/>
            <w:vAlign w:val="center"/>
          </w:tcPr>
          <w:p w14:paraId="1BC94B48">
            <w:pPr>
              <w:jc w:val="right"/>
            </w:pPr>
            <w:r>
              <w:rPr>
                <w:rFonts w:hint="eastAsia"/>
              </w:rPr>
              <w:t>2,760.97</w:t>
            </w:r>
          </w:p>
        </w:tc>
        <w:tc>
          <w:tcPr>
            <w:tcW w:w="1661" w:type="dxa"/>
            <w:vAlign w:val="center"/>
          </w:tcPr>
          <w:p w14:paraId="7483E48A">
            <w:pPr>
              <w:jc w:val="right"/>
            </w:pPr>
            <w:r>
              <w:rPr>
                <w:rFonts w:hint="eastAsia"/>
              </w:rPr>
              <w:t>30.02</w:t>
            </w:r>
          </w:p>
        </w:tc>
        <w:tc>
          <w:tcPr>
            <w:tcW w:w="1661" w:type="dxa"/>
            <w:vAlign w:val="center"/>
          </w:tcPr>
          <w:p w14:paraId="25D6EDA0">
            <w:pPr>
              <w:jc w:val="right"/>
            </w:pPr>
            <w:r>
              <w:rPr>
                <w:rFonts w:hint="eastAsia"/>
              </w:rPr>
              <w:t>2,790.99</w:t>
            </w:r>
          </w:p>
        </w:tc>
      </w:tr>
    </w:tbl>
    <w:p w14:paraId="71ED7E93">
      <w:pPr>
        <w:pStyle w:val="47"/>
        <w:rPr>
          <w:rFonts w:hint="eastAsia"/>
        </w:rPr>
      </w:pPr>
      <w:r>
        <w:rPr>
          <w:rFonts w:hint="eastAsia"/>
        </w:rPr>
        <w:t>注：1.支付基金销售机构的销售服务费按前一日C类、I类基金份额的基金资产净值的约定年费率计提，逐日累计至每月月底，按月支付给南方基金，再由南方基金计算并支付给各基金销售机构。C类、I类基金份额约定的销售服务费年费率分别为0.30%、0.10%。其计算公式为：</w:t>
      </w:r>
    </w:p>
    <w:p w14:paraId="33DAE4C3">
      <w:pPr>
        <w:pStyle w:val="47"/>
        <w:rPr>
          <w:rFonts w:hint="eastAsia"/>
        </w:rPr>
      </w:pPr>
      <w:r>
        <w:tab/>
      </w:r>
      <w:r>
        <w:rPr>
          <w:rFonts w:hint="eastAsia"/>
        </w:rPr>
        <w:t>日销售服务费＝前一日各类基金份额的基金资产净值×约定年费率÷当年天数。</w:t>
      </w:r>
    </w:p>
    <w:p w14:paraId="2A6A4F83">
      <w:pPr>
        <w:pStyle w:val="47"/>
        <w:rPr>
          <w:rFonts w:hint="eastAsia"/>
        </w:rPr>
      </w:pPr>
      <w:r>
        <w:tab/>
      </w:r>
      <w:r>
        <w:rPr>
          <w:rFonts w:hint="eastAsia"/>
        </w:rPr>
        <w:t>2.根据《南方基金管理股份有限公司关于旗下部分指数基金增设I类基金份额并修订基金合同的公告》，自2024年4月22日起本基金新增I类基金份额，销售服务费适用0.10%的年费率。</w:t>
      </w:r>
    </w:p>
    <w:p w14:paraId="2733FA01">
      <w:pPr>
        <w:pStyle w:val="47"/>
        <w:rPr>
          <w:rFonts w:hint="eastAsia"/>
        </w:rPr>
      </w:pPr>
      <w:r>
        <w:tab/>
      </w:r>
      <w:r>
        <w:rPr>
          <w:rFonts w:hint="eastAsia"/>
        </w:rPr>
        <w:t>3.根据《南方基金关于开展旗下部分基金销售服务费费率优惠活动的公告》，自2024年4月23日起，本基金I类基金份额的销售服务费适用0.01%的年费率。</w:t>
      </w:r>
    </w:p>
    <w:p w14:paraId="05F6B46B">
      <w:pPr>
        <w:pStyle w:val="35"/>
      </w:pPr>
      <w:bookmarkStart w:id="122" w:name="_Toc122"/>
      <w:r>
        <w:t>与关联方进行银行间同业市场的债券（含回购）交易</w:t>
      </w:r>
      <w:bookmarkEnd w:id="122"/>
    </w:p>
    <w:p w14:paraId="3C634305">
      <w:pPr>
        <w:pStyle w:val="18"/>
        <w:rPr>
          <w:rFonts w:hint="eastAsia"/>
        </w:rPr>
      </w:pPr>
      <w:r>
        <w:rPr>
          <w:rFonts w:hint="eastAsia"/>
        </w:rPr>
        <w:t>无。</w:t>
      </w:r>
    </w:p>
    <w:p w14:paraId="70F0656E">
      <w:pPr>
        <w:pStyle w:val="35"/>
      </w:pPr>
      <w:bookmarkStart w:id="123" w:name="_Toc123"/>
      <w:r>
        <w:t>报告期内转融通证券出借业务发生重大关联交易事项的说明</w:t>
      </w:r>
      <w:bookmarkEnd w:id="123"/>
    </w:p>
    <w:p w14:paraId="21971BB5">
      <w:pPr>
        <w:pStyle w:val="36"/>
      </w:pPr>
      <w:bookmarkStart w:id="124" w:name="_Toc124"/>
      <w:r>
        <w:t>与关联方通过约定申报方式进行的适用固定期限费率的证券出借业务的情况</w:t>
      </w:r>
      <w:bookmarkEnd w:id="124"/>
    </w:p>
    <w:p w14:paraId="42C4E129">
      <w:pPr>
        <w:pStyle w:val="18"/>
        <w:rPr>
          <w:rFonts w:hint="eastAsia"/>
        </w:rPr>
      </w:pPr>
      <w:r>
        <w:rPr>
          <w:rFonts w:hint="eastAsia"/>
        </w:rPr>
        <w:t>无。</w:t>
      </w:r>
    </w:p>
    <w:p w14:paraId="19902935">
      <w:pPr>
        <w:pStyle w:val="36"/>
      </w:pPr>
      <w:bookmarkStart w:id="125" w:name="_Toc125"/>
      <w:r>
        <w:t>与关联方通过约定申报方式进行的适用市场化期限费率的证券出借业务的情况</w:t>
      </w:r>
      <w:bookmarkEnd w:id="125"/>
    </w:p>
    <w:p w14:paraId="1852F383">
      <w:pPr>
        <w:pStyle w:val="18"/>
        <w:rPr>
          <w:rFonts w:hint="eastAsia"/>
        </w:rPr>
      </w:pPr>
      <w:r>
        <w:rPr>
          <w:rFonts w:hint="eastAsia"/>
        </w:rPr>
        <w:t>无。</w:t>
      </w:r>
    </w:p>
    <w:p w14:paraId="497D0D94">
      <w:pPr>
        <w:pStyle w:val="35"/>
      </w:pPr>
      <w:bookmarkStart w:id="126" w:name="_Toc126"/>
      <w:r>
        <w:t>各关联方投资本基金的情况</w:t>
      </w:r>
      <w:bookmarkEnd w:id="126"/>
    </w:p>
    <w:p w14:paraId="20E67254">
      <w:pPr>
        <w:pStyle w:val="36"/>
      </w:pPr>
      <w:bookmarkStart w:id="127" w:name="_Toc127"/>
      <w:r>
        <w:t>报告期内基金管理人运用固有资金投资本基金的情况</w:t>
      </w:r>
      <w:bookmarkEnd w:id="127"/>
    </w:p>
    <w:p w14:paraId="5618CE7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9C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408CC460">
            <w:pPr>
              <w:jc w:val="center"/>
            </w:pPr>
            <w:r>
              <w:rPr>
                <w:rFonts w:hint="eastAsia"/>
                <w:b/>
              </w:rPr>
              <w:t>项目</w:t>
            </w:r>
          </w:p>
        </w:tc>
        <w:tc>
          <w:tcPr>
            <w:tcW w:w="2076" w:type="dxa"/>
            <w:gridSpan w:val="3"/>
            <w:shd w:val="clear" w:color="auto" w:fill="BFBFBF"/>
            <w:vAlign w:val="center"/>
          </w:tcPr>
          <w:p w14:paraId="6D2A1FFE">
            <w:pPr>
              <w:jc w:val="center"/>
            </w:pPr>
            <w:r>
              <w:rPr>
                <w:rFonts w:hint="eastAsia"/>
                <w:b/>
              </w:rPr>
              <w:t>本期2025年1月1日至2025年12月31日</w:t>
            </w:r>
          </w:p>
        </w:tc>
      </w:tr>
      <w:tr w14:paraId="3981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3FEFACB"/>
        </w:tc>
        <w:tc>
          <w:tcPr>
            <w:tcW w:w="2076" w:type="dxa"/>
            <w:shd w:val="clear" w:color="auto" w:fill="BFBFBF"/>
            <w:vAlign w:val="center"/>
          </w:tcPr>
          <w:p w14:paraId="648550B4">
            <w:pPr>
              <w:jc w:val="center"/>
            </w:pPr>
            <w:r>
              <w:rPr>
                <w:rFonts w:hint="eastAsia"/>
                <w:b/>
              </w:rPr>
              <w:t>南方恒生生物科技ETF发起联接（QDII）A</w:t>
            </w:r>
          </w:p>
        </w:tc>
        <w:tc>
          <w:tcPr>
            <w:tcW w:w="2076" w:type="dxa"/>
            <w:shd w:val="clear" w:color="auto" w:fill="BFBFBF"/>
            <w:vAlign w:val="center"/>
          </w:tcPr>
          <w:p w14:paraId="535AAE75">
            <w:pPr>
              <w:jc w:val="center"/>
            </w:pPr>
            <w:r>
              <w:rPr>
                <w:rFonts w:hint="eastAsia"/>
                <w:b/>
              </w:rPr>
              <w:t>南方恒生生物科技ETF发起联接（QDII）C</w:t>
            </w:r>
          </w:p>
        </w:tc>
        <w:tc>
          <w:tcPr>
            <w:tcW w:w="2076" w:type="dxa"/>
            <w:shd w:val="clear" w:color="auto" w:fill="BFBFBF"/>
            <w:vAlign w:val="center"/>
          </w:tcPr>
          <w:p w14:paraId="262188E6">
            <w:pPr>
              <w:jc w:val="center"/>
            </w:pPr>
            <w:r>
              <w:rPr>
                <w:rFonts w:hint="eastAsia"/>
                <w:b/>
              </w:rPr>
              <w:t>南方恒生生物科技ETF发起联接（QDII）I</w:t>
            </w:r>
          </w:p>
        </w:tc>
      </w:tr>
      <w:tr w14:paraId="7E1F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B12A7">
            <w:r>
              <w:rPr>
                <w:rFonts w:hint="eastAsia"/>
              </w:rPr>
              <w:t>报告期初持有的基金份额</w:t>
            </w:r>
          </w:p>
        </w:tc>
        <w:tc>
          <w:tcPr>
            <w:tcW w:w="2076" w:type="dxa"/>
            <w:vAlign w:val="center"/>
          </w:tcPr>
          <w:p w14:paraId="519AD459">
            <w:pPr>
              <w:jc w:val="right"/>
            </w:pPr>
            <w:r>
              <w:rPr>
                <w:rFonts w:hint="eastAsia"/>
              </w:rPr>
              <w:t>10,002,916.95</w:t>
            </w:r>
          </w:p>
        </w:tc>
        <w:tc>
          <w:tcPr>
            <w:tcW w:w="2076" w:type="dxa"/>
            <w:vAlign w:val="center"/>
          </w:tcPr>
          <w:p w14:paraId="16B20476">
            <w:pPr>
              <w:jc w:val="right"/>
            </w:pPr>
            <w:r>
              <w:rPr>
                <w:rFonts w:hint="eastAsia"/>
              </w:rPr>
              <w:t>-</w:t>
            </w:r>
          </w:p>
        </w:tc>
        <w:tc>
          <w:tcPr>
            <w:tcW w:w="2076" w:type="dxa"/>
            <w:vAlign w:val="center"/>
          </w:tcPr>
          <w:p w14:paraId="176E5A00">
            <w:pPr>
              <w:jc w:val="right"/>
            </w:pPr>
            <w:r>
              <w:rPr>
                <w:rFonts w:hint="eastAsia"/>
              </w:rPr>
              <w:t>-</w:t>
            </w:r>
          </w:p>
        </w:tc>
      </w:tr>
      <w:tr w14:paraId="1E36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0A62A">
            <w:r>
              <w:rPr>
                <w:rFonts w:hint="eastAsia"/>
              </w:rPr>
              <w:t>报告期间申购/买入总份额</w:t>
            </w:r>
          </w:p>
        </w:tc>
        <w:tc>
          <w:tcPr>
            <w:tcW w:w="2076" w:type="dxa"/>
            <w:vAlign w:val="center"/>
          </w:tcPr>
          <w:p w14:paraId="5AA34171">
            <w:pPr>
              <w:jc w:val="right"/>
            </w:pPr>
            <w:r>
              <w:rPr>
                <w:rFonts w:hint="eastAsia"/>
              </w:rPr>
              <w:t>-</w:t>
            </w:r>
          </w:p>
        </w:tc>
        <w:tc>
          <w:tcPr>
            <w:tcW w:w="2076" w:type="dxa"/>
            <w:vAlign w:val="center"/>
          </w:tcPr>
          <w:p w14:paraId="23492B59">
            <w:pPr>
              <w:jc w:val="right"/>
            </w:pPr>
            <w:r>
              <w:rPr>
                <w:rFonts w:hint="eastAsia"/>
              </w:rPr>
              <w:t>-</w:t>
            </w:r>
          </w:p>
        </w:tc>
        <w:tc>
          <w:tcPr>
            <w:tcW w:w="2076" w:type="dxa"/>
            <w:vAlign w:val="center"/>
          </w:tcPr>
          <w:p w14:paraId="1AC34B7A">
            <w:pPr>
              <w:jc w:val="right"/>
            </w:pPr>
            <w:r>
              <w:rPr>
                <w:rFonts w:hint="eastAsia"/>
              </w:rPr>
              <w:t>-</w:t>
            </w:r>
          </w:p>
        </w:tc>
      </w:tr>
      <w:tr w14:paraId="70AD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79642C">
            <w:r>
              <w:rPr>
                <w:rFonts w:hint="eastAsia"/>
              </w:rPr>
              <w:t>报告期间因拆分变动份额</w:t>
            </w:r>
          </w:p>
        </w:tc>
        <w:tc>
          <w:tcPr>
            <w:tcW w:w="2076" w:type="dxa"/>
            <w:vAlign w:val="center"/>
          </w:tcPr>
          <w:p w14:paraId="628354D4">
            <w:pPr>
              <w:jc w:val="right"/>
            </w:pPr>
            <w:r>
              <w:rPr>
                <w:rFonts w:hint="eastAsia"/>
              </w:rPr>
              <w:t>-</w:t>
            </w:r>
          </w:p>
        </w:tc>
        <w:tc>
          <w:tcPr>
            <w:tcW w:w="2076" w:type="dxa"/>
            <w:vAlign w:val="center"/>
          </w:tcPr>
          <w:p w14:paraId="171CDC61">
            <w:pPr>
              <w:jc w:val="right"/>
            </w:pPr>
            <w:r>
              <w:rPr>
                <w:rFonts w:hint="eastAsia"/>
              </w:rPr>
              <w:t>-</w:t>
            </w:r>
          </w:p>
        </w:tc>
        <w:tc>
          <w:tcPr>
            <w:tcW w:w="2076" w:type="dxa"/>
            <w:vAlign w:val="center"/>
          </w:tcPr>
          <w:p w14:paraId="7D8DD691">
            <w:pPr>
              <w:jc w:val="right"/>
            </w:pPr>
            <w:r>
              <w:rPr>
                <w:rFonts w:hint="eastAsia"/>
              </w:rPr>
              <w:t>-</w:t>
            </w:r>
          </w:p>
        </w:tc>
      </w:tr>
      <w:tr w14:paraId="019B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4172E7">
            <w:r>
              <w:rPr>
                <w:rFonts w:hint="eastAsia"/>
              </w:rPr>
              <w:t>减：报告期间赎回/卖出总份额</w:t>
            </w:r>
          </w:p>
        </w:tc>
        <w:tc>
          <w:tcPr>
            <w:tcW w:w="2076" w:type="dxa"/>
            <w:vAlign w:val="center"/>
          </w:tcPr>
          <w:p w14:paraId="652DB744">
            <w:pPr>
              <w:jc w:val="right"/>
            </w:pPr>
            <w:r>
              <w:rPr>
                <w:rFonts w:hint="eastAsia"/>
              </w:rPr>
              <w:t>-</w:t>
            </w:r>
          </w:p>
        </w:tc>
        <w:tc>
          <w:tcPr>
            <w:tcW w:w="2076" w:type="dxa"/>
            <w:vAlign w:val="center"/>
          </w:tcPr>
          <w:p w14:paraId="6075328C">
            <w:pPr>
              <w:jc w:val="right"/>
            </w:pPr>
            <w:r>
              <w:rPr>
                <w:rFonts w:hint="eastAsia"/>
              </w:rPr>
              <w:t>-</w:t>
            </w:r>
          </w:p>
        </w:tc>
        <w:tc>
          <w:tcPr>
            <w:tcW w:w="2076" w:type="dxa"/>
            <w:vAlign w:val="center"/>
          </w:tcPr>
          <w:p w14:paraId="360D2C3A">
            <w:pPr>
              <w:jc w:val="right"/>
            </w:pPr>
            <w:r>
              <w:rPr>
                <w:rFonts w:hint="eastAsia"/>
              </w:rPr>
              <w:t>-</w:t>
            </w:r>
          </w:p>
        </w:tc>
      </w:tr>
      <w:tr w14:paraId="3B33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6C946">
            <w:r>
              <w:rPr>
                <w:rFonts w:hint="eastAsia"/>
              </w:rPr>
              <w:t>报告期末持有的基金份额</w:t>
            </w:r>
          </w:p>
        </w:tc>
        <w:tc>
          <w:tcPr>
            <w:tcW w:w="2076" w:type="dxa"/>
            <w:vAlign w:val="center"/>
          </w:tcPr>
          <w:p w14:paraId="07A395B9">
            <w:pPr>
              <w:jc w:val="right"/>
            </w:pPr>
            <w:r>
              <w:rPr>
                <w:rFonts w:hint="eastAsia"/>
              </w:rPr>
              <w:t>10,002,916.95</w:t>
            </w:r>
          </w:p>
        </w:tc>
        <w:tc>
          <w:tcPr>
            <w:tcW w:w="2076" w:type="dxa"/>
            <w:vAlign w:val="center"/>
          </w:tcPr>
          <w:p w14:paraId="47071D9C">
            <w:pPr>
              <w:jc w:val="right"/>
            </w:pPr>
            <w:r>
              <w:rPr>
                <w:rFonts w:hint="eastAsia"/>
              </w:rPr>
              <w:t>-</w:t>
            </w:r>
          </w:p>
        </w:tc>
        <w:tc>
          <w:tcPr>
            <w:tcW w:w="2076" w:type="dxa"/>
            <w:vAlign w:val="center"/>
          </w:tcPr>
          <w:p w14:paraId="5E41ED78">
            <w:pPr>
              <w:jc w:val="right"/>
            </w:pPr>
            <w:r>
              <w:rPr>
                <w:rFonts w:hint="eastAsia"/>
              </w:rPr>
              <w:t>-</w:t>
            </w:r>
          </w:p>
        </w:tc>
      </w:tr>
      <w:tr w14:paraId="6CA9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D64D03">
            <w:r>
              <w:rPr>
                <w:rFonts w:hint="eastAsia"/>
              </w:rPr>
              <w:t>报告期末持有的基金份额占基金总份额比例</w:t>
            </w:r>
          </w:p>
        </w:tc>
        <w:tc>
          <w:tcPr>
            <w:tcW w:w="2076" w:type="dxa"/>
            <w:vAlign w:val="center"/>
          </w:tcPr>
          <w:p w14:paraId="57C55D02">
            <w:pPr>
              <w:jc w:val="right"/>
            </w:pPr>
            <w:r>
              <w:rPr>
                <w:rFonts w:hint="eastAsia"/>
              </w:rPr>
              <w:t>6.68%</w:t>
            </w:r>
          </w:p>
        </w:tc>
        <w:tc>
          <w:tcPr>
            <w:tcW w:w="2076" w:type="dxa"/>
            <w:vAlign w:val="center"/>
          </w:tcPr>
          <w:p w14:paraId="751D81CC">
            <w:pPr>
              <w:jc w:val="right"/>
            </w:pPr>
            <w:r>
              <w:rPr>
                <w:rFonts w:hint="eastAsia"/>
              </w:rPr>
              <w:t>-</w:t>
            </w:r>
          </w:p>
        </w:tc>
        <w:tc>
          <w:tcPr>
            <w:tcW w:w="2076" w:type="dxa"/>
            <w:vAlign w:val="center"/>
          </w:tcPr>
          <w:p w14:paraId="488BF266">
            <w:pPr>
              <w:jc w:val="right"/>
            </w:pPr>
            <w:r>
              <w:rPr>
                <w:rFonts w:hint="eastAsia"/>
              </w:rPr>
              <w:t>-</w:t>
            </w:r>
          </w:p>
        </w:tc>
      </w:tr>
    </w:tbl>
    <w:p w14:paraId="65B0D59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E8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63D1EA7">
            <w:pPr>
              <w:jc w:val="center"/>
            </w:pPr>
            <w:r>
              <w:rPr>
                <w:rFonts w:hint="eastAsia"/>
                <w:b/>
              </w:rPr>
              <w:t>项目</w:t>
            </w:r>
          </w:p>
        </w:tc>
        <w:tc>
          <w:tcPr>
            <w:tcW w:w="2076" w:type="dxa"/>
            <w:gridSpan w:val="3"/>
            <w:shd w:val="clear" w:color="auto" w:fill="BFBFBF"/>
            <w:vAlign w:val="center"/>
          </w:tcPr>
          <w:p w14:paraId="5085855A">
            <w:pPr>
              <w:jc w:val="center"/>
            </w:pPr>
            <w:r>
              <w:rPr>
                <w:rFonts w:hint="eastAsia"/>
                <w:b/>
              </w:rPr>
              <w:t>上年度可比期间2024年1月1日至2024年12月31日</w:t>
            </w:r>
          </w:p>
        </w:tc>
      </w:tr>
      <w:tr w14:paraId="2D4C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EE9495"/>
        </w:tc>
        <w:tc>
          <w:tcPr>
            <w:tcW w:w="2076" w:type="dxa"/>
            <w:shd w:val="clear" w:color="auto" w:fill="BFBFBF"/>
            <w:vAlign w:val="center"/>
          </w:tcPr>
          <w:p w14:paraId="5962BF55">
            <w:pPr>
              <w:jc w:val="center"/>
            </w:pPr>
            <w:r>
              <w:rPr>
                <w:rFonts w:hint="eastAsia"/>
                <w:b/>
              </w:rPr>
              <w:t>南方恒生生物科技ETF发起联接（QDII）A</w:t>
            </w:r>
          </w:p>
        </w:tc>
        <w:tc>
          <w:tcPr>
            <w:tcW w:w="2076" w:type="dxa"/>
            <w:shd w:val="clear" w:color="auto" w:fill="BFBFBF"/>
            <w:vAlign w:val="center"/>
          </w:tcPr>
          <w:p w14:paraId="69D3C2E1">
            <w:pPr>
              <w:jc w:val="center"/>
            </w:pPr>
            <w:r>
              <w:rPr>
                <w:rFonts w:hint="eastAsia"/>
                <w:b/>
              </w:rPr>
              <w:t>南方恒生生物科技ETF发起联接（QDII）C</w:t>
            </w:r>
          </w:p>
        </w:tc>
        <w:tc>
          <w:tcPr>
            <w:tcW w:w="2076" w:type="dxa"/>
            <w:shd w:val="clear" w:color="auto" w:fill="BFBFBF"/>
            <w:vAlign w:val="center"/>
          </w:tcPr>
          <w:p w14:paraId="1BE6114A">
            <w:pPr>
              <w:jc w:val="center"/>
            </w:pPr>
            <w:r>
              <w:rPr>
                <w:rFonts w:hint="eastAsia"/>
                <w:b/>
              </w:rPr>
              <w:t>南方恒生生物科技ETF发起联接（QDII）I</w:t>
            </w:r>
          </w:p>
        </w:tc>
      </w:tr>
      <w:tr w14:paraId="76BF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E2D3C6">
            <w:r>
              <w:rPr>
                <w:rFonts w:hint="eastAsia"/>
              </w:rPr>
              <w:t>报告期初持有的基金份额</w:t>
            </w:r>
          </w:p>
        </w:tc>
        <w:tc>
          <w:tcPr>
            <w:tcW w:w="2076" w:type="dxa"/>
            <w:vAlign w:val="center"/>
          </w:tcPr>
          <w:p w14:paraId="641C1E9B">
            <w:pPr>
              <w:jc w:val="right"/>
            </w:pPr>
            <w:r>
              <w:rPr>
                <w:rFonts w:hint="eastAsia"/>
              </w:rPr>
              <w:t>10,002,916.95</w:t>
            </w:r>
          </w:p>
        </w:tc>
        <w:tc>
          <w:tcPr>
            <w:tcW w:w="2076" w:type="dxa"/>
            <w:vAlign w:val="center"/>
          </w:tcPr>
          <w:p w14:paraId="78B9DDDD">
            <w:pPr>
              <w:jc w:val="right"/>
            </w:pPr>
            <w:r>
              <w:rPr>
                <w:rFonts w:hint="eastAsia"/>
              </w:rPr>
              <w:t>-</w:t>
            </w:r>
          </w:p>
        </w:tc>
        <w:tc>
          <w:tcPr>
            <w:tcW w:w="2076" w:type="dxa"/>
            <w:vAlign w:val="center"/>
          </w:tcPr>
          <w:p w14:paraId="043A2DF3">
            <w:pPr>
              <w:jc w:val="right"/>
            </w:pPr>
            <w:r>
              <w:rPr>
                <w:rFonts w:hint="eastAsia"/>
              </w:rPr>
              <w:t>-</w:t>
            </w:r>
          </w:p>
        </w:tc>
      </w:tr>
      <w:tr w14:paraId="6D52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29475B">
            <w:r>
              <w:rPr>
                <w:rFonts w:hint="eastAsia"/>
              </w:rPr>
              <w:t>报告期间申购/买入总份额</w:t>
            </w:r>
          </w:p>
        </w:tc>
        <w:tc>
          <w:tcPr>
            <w:tcW w:w="2076" w:type="dxa"/>
            <w:vAlign w:val="center"/>
          </w:tcPr>
          <w:p w14:paraId="412DA70A">
            <w:pPr>
              <w:jc w:val="right"/>
            </w:pPr>
            <w:r>
              <w:rPr>
                <w:rFonts w:hint="eastAsia"/>
              </w:rPr>
              <w:t>-</w:t>
            </w:r>
          </w:p>
        </w:tc>
        <w:tc>
          <w:tcPr>
            <w:tcW w:w="2076" w:type="dxa"/>
            <w:vAlign w:val="center"/>
          </w:tcPr>
          <w:p w14:paraId="3E2FBF5E">
            <w:pPr>
              <w:jc w:val="right"/>
            </w:pPr>
            <w:r>
              <w:rPr>
                <w:rFonts w:hint="eastAsia"/>
              </w:rPr>
              <w:t>-</w:t>
            </w:r>
          </w:p>
        </w:tc>
        <w:tc>
          <w:tcPr>
            <w:tcW w:w="2076" w:type="dxa"/>
            <w:vAlign w:val="center"/>
          </w:tcPr>
          <w:p w14:paraId="34827BC5">
            <w:pPr>
              <w:jc w:val="right"/>
            </w:pPr>
            <w:r>
              <w:rPr>
                <w:rFonts w:hint="eastAsia"/>
              </w:rPr>
              <w:t>-</w:t>
            </w:r>
          </w:p>
        </w:tc>
      </w:tr>
      <w:tr w14:paraId="4BC1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BBC988">
            <w:r>
              <w:rPr>
                <w:rFonts w:hint="eastAsia"/>
              </w:rPr>
              <w:t>报告期间因拆分变动份额</w:t>
            </w:r>
          </w:p>
        </w:tc>
        <w:tc>
          <w:tcPr>
            <w:tcW w:w="2076" w:type="dxa"/>
            <w:vAlign w:val="center"/>
          </w:tcPr>
          <w:p w14:paraId="483E938E">
            <w:pPr>
              <w:jc w:val="right"/>
            </w:pPr>
            <w:r>
              <w:rPr>
                <w:rFonts w:hint="eastAsia"/>
              </w:rPr>
              <w:t>-</w:t>
            </w:r>
          </w:p>
        </w:tc>
        <w:tc>
          <w:tcPr>
            <w:tcW w:w="2076" w:type="dxa"/>
            <w:vAlign w:val="center"/>
          </w:tcPr>
          <w:p w14:paraId="21DB6A75">
            <w:pPr>
              <w:jc w:val="right"/>
            </w:pPr>
            <w:r>
              <w:rPr>
                <w:rFonts w:hint="eastAsia"/>
              </w:rPr>
              <w:t>-</w:t>
            </w:r>
          </w:p>
        </w:tc>
        <w:tc>
          <w:tcPr>
            <w:tcW w:w="2076" w:type="dxa"/>
            <w:vAlign w:val="center"/>
          </w:tcPr>
          <w:p w14:paraId="411F3CD7">
            <w:pPr>
              <w:jc w:val="right"/>
            </w:pPr>
            <w:r>
              <w:rPr>
                <w:rFonts w:hint="eastAsia"/>
              </w:rPr>
              <w:t>-</w:t>
            </w:r>
          </w:p>
        </w:tc>
      </w:tr>
      <w:tr w14:paraId="06AA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B8168">
            <w:r>
              <w:rPr>
                <w:rFonts w:hint="eastAsia"/>
              </w:rPr>
              <w:t>减：报告期间赎回/卖出总份额</w:t>
            </w:r>
          </w:p>
        </w:tc>
        <w:tc>
          <w:tcPr>
            <w:tcW w:w="2076" w:type="dxa"/>
            <w:vAlign w:val="center"/>
          </w:tcPr>
          <w:p w14:paraId="57275131">
            <w:pPr>
              <w:jc w:val="right"/>
            </w:pPr>
            <w:r>
              <w:rPr>
                <w:rFonts w:hint="eastAsia"/>
              </w:rPr>
              <w:t>-</w:t>
            </w:r>
          </w:p>
        </w:tc>
        <w:tc>
          <w:tcPr>
            <w:tcW w:w="2076" w:type="dxa"/>
            <w:vAlign w:val="center"/>
          </w:tcPr>
          <w:p w14:paraId="67919A0B">
            <w:pPr>
              <w:jc w:val="right"/>
            </w:pPr>
            <w:r>
              <w:rPr>
                <w:rFonts w:hint="eastAsia"/>
              </w:rPr>
              <w:t>-</w:t>
            </w:r>
          </w:p>
        </w:tc>
        <w:tc>
          <w:tcPr>
            <w:tcW w:w="2076" w:type="dxa"/>
            <w:vAlign w:val="center"/>
          </w:tcPr>
          <w:p w14:paraId="7A818129">
            <w:pPr>
              <w:jc w:val="right"/>
            </w:pPr>
            <w:r>
              <w:rPr>
                <w:rFonts w:hint="eastAsia"/>
              </w:rPr>
              <w:t>-</w:t>
            </w:r>
          </w:p>
        </w:tc>
      </w:tr>
      <w:tr w14:paraId="1A5D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341936">
            <w:r>
              <w:rPr>
                <w:rFonts w:hint="eastAsia"/>
              </w:rPr>
              <w:t>报告期末持有的基金份额</w:t>
            </w:r>
          </w:p>
        </w:tc>
        <w:tc>
          <w:tcPr>
            <w:tcW w:w="2076" w:type="dxa"/>
            <w:vAlign w:val="center"/>
          </w:tcPr>
          <w:p w14:paraId="3085224D">
            <w:pPr>
              <w:jc w:val="right"/>
            </w:pPr>
            <w:r>
              <w:rPr>
                <w:rFonts w:hint="eastAsia"/>
              </w:rPr>
              <w:t>10,002,916.95</w:t>
            </w:r>
          </w:p>
        </w:tc>
        <w:tc>
          <w:tcPr>
            <w:tcW w:w="2076" w:type="dxa"/>
            <w:vAlign w:val="center"/>
          </w:tcPr>
          <w:p w14:paraId="556A61CC">
            <w:pPr>
              <w:jc w:val="right"/>
            </w:pPr>
            <w:r>
              <w:rPr>
                <w:rFonts w:hint="eastAsia"/>
              </w:rPr>
              <w:t>-</w:t>
            </w:r>
          </w:p>
        </w:tc>
        <w:tc>
          <w:tcPr>
            <w:tcW w:w="2076" w:type="dxa"/>
            <w:vAlign w:val="center"/>
          </w:tcPr>
          <w:p w14:paraId="3B725D23">
            <w:pPr>
              <w:jc w:val="right"/>
            </w:pPr>
            <w:r>
              <w:rPr>
                <w:rFonts w:hint="eastAsia"/>
              </w:rPr>
              <w:t>-</w:t>
            </w:r>
          </w:p>
        </w:tc>
      </w:tr>
      <w:tr w14:paraId="15E0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B7F8C">
            <w:r>
              <w:rPr>
                <w:rFonts w:hint="eastAsia"/>
              </w:rPr>
              <w:t>报告期末持有的基金份额占基金总份额比例</w:t>
            </w:r>
          </w:p>
        </w:tc>
        <w:tc>
          <w:tcPr>
            <w:tcW w:w="2076" w:type="dxa"/>
            <w:vAlign w:val="center"/>
          </w:tcPr>
          <w:p w14:paraId="1135DC85">
            <w:pPr>
              <w:jc w:val="right"/>
            </w:pPr>
            <w:r>
              <w:rPr>
                <w:rFonts w:hint="eastAsia"/>
              </w:rPr>
              <w:t>29.28%</w:t>
            </w:r>
          </w:p>
        </w:tc>
        <w:tc>
          <w:tcPr>
            <w:tcW w:w="2076" w:type="dxa"/>
            <w:vAlign w:val="center"/>
          </w:tcPr>
          <w:p w14:paraId="31C79743">
            <w:pPr>
              <w:jc w:val="right"/>
            </w:pPr>
            <w:r>
              <w:rPr>
                <w:rFonts w:hint="eastAsia"/>
              </w:rPr>
              <w:t>-</w:t>
            </w:r>
          </w:p>
        </w:tc>
        <w:tc>
          <w:tcPr>
            <w:tcW w:w="2076" w:type="dxa"/>
            <w:vAlign w:val="center"/>
          </w:tcPr>
          <w:p w14:paraId="74013C30">
            <w:pPr>
              <w:jc w:val="right"/>
            </w:pPr>
            <w:r>
              <w:rPr>
                <w:rFonts w:hint="eastAsia"/>
              </w:rPr>
              <w:t>-</w:t>
            </w:r>
          </w:p>
        </w:tc>
      </w:tr>
    </w:tbl>
    <w:p w14:paraId="28298531">
      <w:pPr>
        <w:pStyle w:val="47"/>
        <w:rPr>
          <w:rFonts w:hint="eastAsia"/>
        </w:rPr>
      </w:pPr>
      <w:r>
        <w:rPr>
          <w:rFonts w:hint="eastAsia"/>
        </w:rPr>
        <w:t>注：基金管理人南方基金投资本基金适用的认(申)购/赎回费率按照本基金招募说明书的规定执行。</w:t>
      </w:r>
    </w:p>
    <w:p w14:paraId="0F5CAC92">
      <w:pPr>
        <w:pStyle w:val="36"/>
      </w:pPr>
      <w:bookmarkStart w:id="128" w:name="_Toc128"/>
      <w:r>
        <w:t>报告期末除基金管理人之外的其他关联方投资本基金的情况</w:t>
      </w:r>
      <w:bookmarkEnd w:id="128"/>
    </w:p>
    <w:p w14:paraId="072DA6E8">
      <w:pPr>
        <w:pStyle w:val="18"/>
        <w:rPr>
          <w:rFonts w:hint="eastAsia"/>
        </w:rPr>
      </w:pPr>
      <w:r>
        <w:rPr>
          <w:rFonts w:hint="eastAsia"/>
        </w:rPr>
        <w:t>无。</w:t>
      </w:r>
    </w:p>
    <w:p w14:paraId="6A8DFDC1">
      <w:pPr>
        <w:pStyle w:val="35"/>
      </w:pPr>
      <w:bookmarkStart w:id="129" w:name="_Toc129"/>
      <w:r>
        <w:t>由关联方保管的银行存款余额及当期产生的利息收入</w:t>
      </w:r>
      <w:bookmarkEnd w:id="129"/>
    </w:p>
    <w:p w14:paraId="436EC8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24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9952E82">
            <w:pPr>
              <w:jc w:val="center"/>
            </w:pPr>
            <w:r>
              <w:rPr>
                <w:rFonts w:hint="eastAsia"/>
                <w:b/>
              </w:rPr>
              <w:t>关联方名称</w:t>
            </w:r>
          </w:p>
        </w:tc>
        <w:tc>
          <w:tcPr>
            <w:tcW w:w="1661" w:type="dxa"/>
            <w:gridSpan w:val="2"/>
            <w:shd w:val="clear" w:color="auto" w:fill="BFBFBF"/>
            <w:vAlign w:val="center"/>
          </w:tcPr>
          <w:p w14:paraId="1B39DF1A">
            <w:pPr>
              <w:jc w:val="center"/>
            </w:pPr>
            <w:r>
              <w:rPr>
                <w:rFonts w:hint="eastAsia"/>
                <w:b/>
              </w:rPr>
              <w:t>本期2025年1月1日至2025年12月31日</w:t>
            </w:r>
          </w:p>
        </w:tc>
        <w:tc>
          <w:tcPr>
            <w:tcW w:w="1661" w:type="dxa"/>
            <w:gridSpan w:val="2"/>
            <w:shd w:val="clear" w:color="auto" w:fill="BFBFBF"/>
            <w:vAlign w:val="center"/>
          </w:tcPr>
          <w:p w14:paraId="5734766F">
            <w:pPr>
              <w:jc w:val="center"/>
            </w:pPr>
            <w:r>
              <w:rPr>
                <w:rFonts w:hint="eastAsia"/>
                <w:b/>
              </w:rPr>
              <w:t>上年度可比期间2024年1月1日至2024年12月31日</w:t>
            </w:r>
          </w:p>
        </w:tc>
      </w:tr>
      <w:tr w14:paraId="1BF3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58D232"/>
        </w:tc>
        <w:tc>
          <w:tcPr>
            <w:tcW w:w="1661" w:type="dxa"/>
            <w:shd w:val="clear" w:color="auto" w:fill="BFBFBF"/>
            <w:vAlign w:val="center"/>
          </w:tcPr>
          <w:p w14:paraId="389810B3">
            <w:pPr>
              <w:jc w:val="center"/>
            </w:pPr>
            <w:r>
              <w:rPr>
                <w:rFonts w:hint="eastAsia"/>
                <w:b/>
              </w:rPr>
              <w:t>期末余额</w:t>
            </w:r>
          </w:p>
        </w:tc>
        <w:tc>
          <w:tcPr>
            <w:tcW w:w="1661" w:type="dxa"/>
            <w:shd w:val="clear" w:color="auto" w:fill="BFBFBF"/>
            <w:vAlign w:val="center"/>
          </w:tcPr>
          <w:p w14:paraId="018EFD55">
            <w:pPr>
              <w:jc w:val="center"/>
            </w:pPr>
            <w:r>
              <w:rPr>
                <w:rFonts w:hint="eastAsia"/>
                <w:b/>
              </w:rPr>
              <w:t>当期利息收入</w:t>
            </w:r>
          </w:p>
        </w:tc>
        <w:tc>
          <w:tcPr>
            <w:tcW w:w="1661" w:type="dxa"/>
            <w:shd w:val="clear" w:color="auto" w:fill="BFBFBF"/>
            <w:vAlign w:val="center"/>
          </w:tcPr>
          <w:p w14:paraId="6FD98FA8">
            <w:pPr>
              <w:jc w:val="center"/>
            </w:pPr>
            <w:r>
              <w:rPr>
                <w:rFonts w:hint="eastAsia"/>
                <w:b/>
              </w:rPr>
              <w:t>期末余额</w:t>
            </w:r>
          </w:p>
        </w:tc>
        <w:tc>
          <w:tcPr>
            <w:tcW w:w="1661" w:type="dxa"/>
            <w:shd w:val="clear" w:color="auto" w:fill="BFBFBF"/>
            <w:vAlign w:val="center"/>
          </w:tcPr>
          <w:p w14:paraId="635925D4">
            <w:pPr>
              <w:jc w:val="center"/>
            </w:pPr>
            <w:r>
              <w:rPr>
                <w:rFonts w:hint="eastAsia"/>
                <w:b/>
              </w:rPr>
              <w:t>当期利息收入</w:t>
            </w:r>
          </w:p>
        </w:tc>
      </w:tr>
      <w:tr w14:paraId="7688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78E55">
            <w:r>
              <w:rPr>
                <w:rFonts w:hint="eastAsia"/>
              </w:rPr>
              <w:t>中国农业银行</w:t>
            </w:r>
          </w:p>
        </w:tc>
        <w:tc>
          <w:tcPr>
            <w:tcW w:w="1661" w:type="dxa"/>
            <w:vAlign w:val="center"/>
          </w:tcPr>
          <w:p w14:paraId="677B24FF">
            <w:pPr>
              <w:jc w:val="right"/>
            </w:pPr>
            <w:r>
              <w:rPr>
                <w:rFonts w:hint="eastAsia"/>
              </w:rPr>
              <w:t>10,723,747.36</w:t>
            </w:r>
          </w:p>
        </w:tc>
        <w:tc>
          <w:tcPr>
            <w:tcW w:w="1661" w:type="dxa"/>
            <w:vAlign w:val="center"/>
          </w:tcPr>
          <w:p w14:paraId="2B52B6C0">
            <w:pPr>
              <w:jc w:val="right"/>
            </w:pPr>
            <w:r>
              <w:rPr>
                <w:rFonts w:hint="eastAsia"/>
              </w:rPr>
              <w:t>32,687.06</w:t>
            </w:r>
          </w:p>
        </w:tc>
        <w:tc>
          <w:tcPr>
            <w:tcW w:w="1661" w:type="dxa"/>
            <w:vAlign w:val="center"/>
          </w:tcPr>
          <w:p w14:paraId="37328282">
            <w:pPr>
              <w:jc w:val="right"/>
            </w:pPr>
            <w:r>
              <w:rPr>
                <w:rFonts w:hint="eastAsia"/>
              </w:rPr>
              <w:t>1,460,991.21</w:t>
            </w:r>
          </w:p>
        </w:tc>
        <w:tc>
          <w:tcPr>
            <w:tcW w:w="1661" w:type="dxa"/>
            <w:vAlign w:val="center"/>
          </w:tcPr>
          <w:p w14:paraId="60E74FC9">
            <w:pPr>
              <w:jc w:val="right"/>
            </w:pPr>
            <w:r>
              <w:rPr>
                <w:rFonts w:hint="eastAsia"/>
              </w:rPr>
              <w:t>11,885.03</w:t>
            </w:r>
          </w:p>
        </w:tc>
      </w:tr>
    </w:tbl>
    <w:p w14:paraId="47834A4D">
      <w:pPr>
        <w:pStyle w:val="47"/>
        <w:rPr>
          <w:rFonts w:hint="eastAsia"/>
        </w:rPr>
      </w:pPr>
      <w:r>
        <w:rPr>
          <w:rFonts w:hint="eastAsia"/>
        </w:rPr>
        <w:t>注：本基金的银行存款由基金托管人和境外资产托管人保管，按银行约定利率计息。</w:t>
      </w:r>
    </w:p>
    <w:p w14:paraId="08003E56">
      <w:pPr>
        <w:pStyle w:val="35"/>
      </w:pPr>
      <w:bookmarkStart w:id="130" w:name="_Toc130"/>
      <w:r>
        <w:t>本基金在承销期内参与关联方承销证券的情况</w:t>
      </w:r>
      <w:bookmarkEnd w:id="130"/>
    </w:p>
    <w:p w14:paraId="6265E3A7">
      <w:pPr>
        <w:pStyle w:val="18"/>
        <w:rPr>
          <w:rFonts w:hint="eastAsia"/>
        </w:rPr>
      </w:pPr>
      <w:r>
        <w:rPr>
          <w:rFonts w:hint="eastAsia"/>
        </w:rPr>
        <w:t>无。</w:t>
      </w:r>
    </w:p>
    <w:p w14:paraId="3840DF96">
      <w:pPr>
        <w:pStyle w:val="35"/>
      </w:pPr>
      <w:bookmarkStart w:id="131" w:name="_Toc131"/>
      <w:r>
        <w:t>其他关联交易事项的说明</w:t>
      </w:r>
      <w:bookmarkEnd w:id="131"/>
    </w:p>
    <w:p w14:paraId="010DD47C">
      <w:pPr>
        <w:pStyle w:val="18"/>
        <w:rPr>
          <w:rFonts w:hint="eastAsia"/>
        </w:rPr>
      </w:pPr>
      <w:r>
        <w:rPr>
          <w:rFonts w:hint="eastAsia"/>
        </w:rPr>
        <w:t>于本期末，本基金持有目标ETF基金份额，成本总额为人民币185,909,960.55元，估值总额为人民币172,787,862.35元，占本基金基金净资产的比例为95.02%（于上期末，本基金持有目标ETF基金份额，成本总额为人民币27,436,439.56元，估值总额为人民币25,396,884.06元，占本基金基金净资产的比例为94.39%）。</w:t>
      </w:r>
    </w:p>
    <w:p w14:paraId="7A4C406E">
      <w:pPr>
        <w:pStyle w:val="28"/>
      </w:pPr>
      <w:bookmarkStart w:id="132" w:name="_Toc132"/>
      <w:r>
        <w:t>利润分配情况——固定净值型货币市场基金之外的基金</w:t>
      </w:r>
      <w:bookmarkEnd w:id="132"/>
    </w:p>
    <w:p w14:paraId="47973576">
      <w:pPr>
        <w:pStyle w:val="47"/>
        <w:rPr>
          <w:rFonts w:hint="eastAsia"/>
        </w:rPr>
      </w:pPr>
      <w:r>
        <w:rPr>
          <w:rFonts w:hint="eastAsia"/>
        </w:rPr>
        <w:t>注：本期无。本基金报告期后分红情况（如有）详见本报告“资产负债表日后事项”部分内容。</w:t>
      </w:r>
    </w:p>
    <w:p w14:paraId="2A9D2E54">
      <w:pPr>
        <w:pStyle w:val="28"/>
      </w:pPr>
      <w:bookmarkStart w:id="133" w:name="_Toc133"/>
      <w:r>
        <w:t>期末（2025年12月31日）本基金持有的流通受限证券</w:t>
      </w:r>
      <w:bookmarkEnd w:id="133"/>
    </w:p>
    <w:p w14:paraId="54F57E0D">
      <w:pPr>
        <w:pStyle w:val="35"/>
      </w:pPr>
      <w:bookmarkStart w:id="134" w:name="_Toc134"/>
      <w:r>
        <w:t>因认购新发/增发证券而于期末持有的流通受限证券</w:t>
      </w:r>
      <w:bookmarkEnd w:id="134"/>
    </w:p>
    <w:p w14:paraId="663CD862">
      <w:pPr>
        <w:pStyle w:val="18"/>
        <w:rPr>
          <w:rFonts w:hint="eastAsia"/>
        </w:rPr>
      </w:pPr>
      <w:r>
        <w:rPr>
          <w:rFonts w:hint="eastAsia"/>
        </w:rPr>
        <w:t>无。</w:t>
      </w:r>
    </w:p>
    <w:p w14:paraId="0DBCAFC8">
      <w:pPr>
        <w:pStyle w:val="35"/>
      </w:pPr>
      <w:bookmarkStart w:id="135" w:name="_Toc135"/>
      <w:r>
        <w:t>期末持有的暂时停牌等流通受限股票</w:t>
      </w:r>
      <w:bookmarkEnd w:id="135"/>
    </w:p>
    <w:p w14:paraId="3C244840">
      <w:pPr>
        <w:pStyle w:val="18"/>
        <w:rPr>
          <w:rFonts w:hint="eastAsia"/>
        </w:rPr>
      </w:pPr>
      <w:r>
        <w:rPr>
          <w:rFonts w:hint="eastAsia"/>
        </w:rPr>
        <w:t>无。</w:t>
      </w:r>
    </w:p>
    <w:p w14:paraId="2896A52B">
      <w:pPr>
        <w:pStyle w:val="35"/>
      </w:pPr>
      <w:bookmarkStart w:id="136" w:name="_Toc136"/>
      <w:r>
        <w:t>期末债券正回购交易中作为抵押的债券</w:t>
      </w:r>
      <w:bookmarkEnd w:id="136"/>
    </w:p>
    <w:p w14:paraId="200B646B">
      <w:pPr>
        <w:pStyle w:val="36"/>
      </w:pPr>
      <w:bookmarkStart w:id="137" w:name="_Toc137"/>
      <w:r>
        <w:t>银行间市场债券正回购</w:t>
      </w:r>
      <w:bookmarkEnd w:id="137"/>
    </w:p>
    <w:p w14:paraId="5AA44DB3">
      <w:pPr>
        <w:pStyle w:val="18"/>
        <w:rPr>
          <w:rFonts w:hint="eastAsia"/>
        </w:rPr>
      </w:pPr>
      <w:r>
        <w:rPr>
          <w:rFonts w:hint="eastAsia"/>
        </w:rPr>
        <w:t>无。</w:t>
      </w:r>
    </w:p>
    <w:p w14:paraId="52DC33EC">
      <w:pPr>
        <w:pStyle w:val="36"/>
      </w:pPr>
      <w:bookmarkStart w:id="138" w:name="_Toc138"/>
      <w:r>
        <w:t>交易所市场债券正回购</w:t>
      </w:r>
      <w:bookmarkEnd w:id="138"/>
    </w:p>
    <w:p w14:paraId="2147E19A">
      <w:pPr>
        <w:pStyle w:val="18"/>
        <w:rPr>
          <w:rFonts w:hint="eastAsia"/>
        </w:rPr>
      </w:pPr>
      <w:r>
        <w:rPr>
          <w:rFonts w:hint="eastAsia"/>
        </w:rPr>
        <w:t>截至本报告期末2025年12月31日止，基金从事证券交易所债券正回购交易形成的卖出回购证券款余额2,502,393.16元，于2026年1月6日（先后）到期。该类交易要求本基金在回购期内持有的证券交易所交易的债券和/或在新质押式回购下转入质押库的债券，按证券交易所规定的比例折算为标准券后，不低于债券回购交易的余额。</w:t>
      </w:r>
    </w:p>
    <w:p w14:paraId="1EB4046B">
      <w:pPr>
        <w:pStyle w:val="35"/>
      </w:pPr>
      <w:bookmarkStart w:id="139" w:name="_Toc139"/>
      <w:r>
        <w:t>期末参与转融通证券出借业务的证券</w:t>
      </w:r>
      <w:bookmarkEnd w:id="139"/>
    </w:p>
    <w:p w14:paraId="29E6928F">
      <w:pPr>
        <w:pStyle w:val="18"/>
        <w:rPr>
          <w:rFonts w:hint="eastAsia"/>
        </w:rPr>
      </w:pPr>
      <w:r>
        <w:rPr>
          <w:rFonts w:hint="eastAsia"/>
        </w:rPr>
        <w:t>无。</w:t>
      </w:r>
    </w:p>
    <w:p w14:paraId="4C57D003">
      <w:pPr>
        <w:pStyle w:val="28"/>
      </w:pPr>
      <w:bookmarkStart w:id="140" w:name="_Toc140"/>
      <w:r>
        <w:t>金融工具风险及管理</w:t>
      </w:r>
      <w:bookmarkEnd w:id="140"/>
    </w:p>
    <w:p w14:paraId="4B46C2D0">
      <w:pPr>
        <w:pStyle w:val="35"/>
      </w:pPr>
      <w:bookmarkStart w:id="141" w:name="_Toc141"/>
      <w:r>
        <w:t>风险管理政策和组织架构</w:t>
      </w:r>
      <w:bookmarkEnd w:id="141"/>
    </w:p>
    <w:p w14:paraId="5997BE77">
      <w:pPr>
        <w:pStyle w:val="18"/>
        <w:rPr>
          <w:rFonts w:hint="eastAsia"/>
        </w:rPr>
      </w:pPr>
      <w:r>
        <w:rPr>
          <w:rFonts w:hint="eastAsia"/>
        </w:rPr>
        <w:t>本基金为完全被动式指数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659B70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4DF5F4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C70930F">
      <w:pPr>
        <w:pStyle w:val="35"/>
      </w:pPr>
      <w:bookmarkStart w:id="142" w:name="_Toc142"/>
      <w:r>
        <w:t>信用风险</w:t>
      </w:r>
      <w:bookmarkEnd w:id="142"/>
    </w:p>
    <w:p w14:paraId="6D7FBDB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756854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5438A87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89E1507">
      <w:pPr>
        <w:pStyle w:val="18"/>
        <w:rPr>
          <w:rFonts w:hint="eastAsia"/>
        </w:rPr>
      </w:pPr>
      <w:r>
        <w:rPr>
          <w:rFonts w:hint="eastAsia"/>
        </w:rPr>
        <w:t>于本期末，本基金未持有除国债、央行票据和政策性金融债以外的债券(上期末：本基金无债券投资)。</w:t>
      </w:r>
    </w:p>
    <w:p w14:paraId="1921D16F">
      <w:pPr>
        <w:pStyle w:val="35"/>
      </w:pPr>
      <w:bookmarkStart w:id="143" w:name="_Toc143"/>
      <w:r>
        <w:t>流动性风险</w:t>
      </w:r>
      <w:bookmarkEnd w:id="143"/>
    </w:p>
    <w:p w14:paraId="4AA8114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EB7604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E456713">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4C50EA8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3F3E8A2">
      <w:pPr>
        <w:pStyle w:val="36"/>
      </w:pPr>
      <w:bookmarkStart w:id="144" w:name="_Toc144"/>
      <w:r>
        <w:t>报告期内本基金组合资产的流动性风险分析</w:t>
      </w:r>
      <w:bookmarkEnd w:id="144"/>
    </w:p>
    <w:p w14:paraId="612E352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255BCF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7D7773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41E5293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37407FC">
      <w:pPr>
        <w:pStyle w:val="35"/>
      </w:pPr>
      <w:bookmarkStart w:id="145" w:name="_Toc145"/>
      <w:r>
        <w:t>市场风险</w:t>
      </w:r>
      <w:bookmarkEnd w:id="145"/>
    </w:p>
    <w:p w14:paraId="457CF05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3017AA0">
      <w:pPr>
        <w:pStyle w:val="36"/>
      </w:pPr>
      <w:bookmarkStart w:id="146" w:name="_Toc146"/>
      <w:r>
        <w:t>利率风险</w:t>
      </w:r>
      <w:bookmarkEnd w:id="146"/>
    </w:p>
    <w:p w14:paraId="2EDF60B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A2310D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4B5D0E6">
      <w:pPr>
        <w:pStyle w:val="37"/>
      </w:pPr>
      <w:bookmarkStart w:id="147" w:name="_Toc147"/>
      <w:r>
        <w:t>利率风险敞口</w:t>
      </w:r>
      <w:bookmarkEnd w:id="147"/>
    </w:p>
    <w:p w14:paraId="0ABD87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3C0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7EBD7">
            <w:r>
              <w:rPr>
                <w:rFonts w:hint="eastAsia"/>
              </w:rPr>
              <w:t>本期末2025年12月31日</w:t>
            </w:r>
          </w:p>
        </w:tc>
        <w:tc>
          <w:tcPr>
            <w:tcW w:w="1384" w:type="dxa"/>
            <w:vAlign w:val="center"/>
          </w:tcPr>
          <w:p w14:paraId="67477E46">
            <w:r>
              <w:rPr>
                <w:rFonts w:hint="eastAsia"/>
              </w:rPr>
              <w:t>1年以内</w:t>
            </w:r>
          </w:p>
        </w:tc>
        <w:tc>
          <w:tcPr>
            <w:tcW w:w="1384" w:type="dxa"/>
            <w:vAlign w:val="center"/>
          </w:tcPr>
          <w:p w14:paraId="279C4605">
            <w:r>
              <w:rPr>
                <w:rFonts w:hint="eastAsia"/>
              </w:rPr>
              <w:t>1-5年</w:t>
            </w:r>
          </w:p>
        </w:tc>
        <w:tc>
          <w:tcPr>
            <w:tcW w:w="1384" w:type="dxa"/>
            <w:vAlign w:val="center"/>
          </w:tcPr>
          <w:p w14:paraId="16CF39E8">
            <w:r>
              <w:rPr>
                <w:rFonts w:hint="eastAsia"/>
              </w:rPr>
              <w:t>5年以上</w:t>
            </w:r>
          </w:p>
        </w:tc>
        <w:tc>
          <w:tcPr>
            <w:tcW w:w="1384" w:type="dxa"/>
            <w:vAlign w:val="center"/>
          </w:tcPr>
          <w:p w14:paraId="051B9E1C">
            <w:r>
              <w:rPr>
                <w:rFonts w:hint="eastAsia"/>
              </w:rPr>
              <w:t>不计息</w:t>
            </w:r>
          </w:p>
        </w:tc>
        <w:tc>
          <w:tcPr>
            <w:tcW w:w="1384" w:type="dxa"/>
            <w:vAlign w:val="center"/>
          </w:tcPr>
          <w:p w14:paraId="56B221F4">
            <w:r>
              <w:rPr>
                <w:rFonts w:hint="eastAsia"/>
              </w:rPr>
              <w:t>合计</w:t>
            </w:r>
          </w:p>
        </w:tc>
      </w:tr>
      <w:tr w14:paraId="6447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582EA">
            <w:r>
              <w:rPr>
                <w:rFonts w:hint="eastAsia"/>
              </w:rPr>
              <w:t>资产</w:t>
            </w:r>
          </w:p>
        </w:tc>
        <w:tc>
          <w:tcPr>
            <w:tcW w:w="1384" w:type="dxa"/>
            <w:vAlign w:val="center"/>
          </w:tcPr>
          <w:p w14:paraId="443E540C"/>
        </w:tc>
        <w:tc>
          <w:tcPr>
            <w:tcW w:w="1384" w:type="dxa"/>
            <w:vAlign w:val="center"/>
          </w:tcPr>
          <w:p w14:paraId="362F1981"/>
        </w:tc>
        <w:tc>
          <w:tcPr>
            <w:tcW w:w="1384" w:type="dxa"/>
            <w:vAlign w:val="center"/>
          </w:tcPr>
          <w:p w14:paraId="0A4013BE"/>
        </w:tc>
        <w:tc>
          <w:tcPr>
            <w:tcW w:w="1384" w:type="dxa"/>
            <w:vAlign w:val="center"/>
          </w:tcPr>
          <w:p w14:paraId="0148B3B0"/>
        </w:tc>
        <w:tc>
          <w:tcPr>
            <w:tcW w:w="1384" w:type="dxa"/>
            <w:vAlign w:val="center"/>
          </w:tcPr>
          <w:p w14:paraId="63EE4BAC"/>
        </w:tc>
      </w:tr>
      <w:tr w14:paraId="073A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9956D">
            <w:r>
              <w:rPr>
                <w:rFonts w:hint="eastAsia"/>
              </w:rPr>
              <w:t>货币资金</w:t>
            </w:r>
          </w:p>
        </w:tc>
        <w:tc>
          <w:tcPr>
            <w:tcW w:w="1384" w:type="dxa"/>
            <w:vAlign w:val="center"/>
          </w:tcPr>
          <w:p w14:paraId="3045DA16">
            <w:pPr>
              <w:jc w:val="right"/>
            </w:pPr>
            <w:r>
              <w:rPr>
                <w:rFonts w:hint="eastAsia"/>
              </w:rPr>
              <w:t>10,723,747.36</w:t>
            </w:r>
          </w:p>
        </w:tc>
        <w:tc>
          <w:tcPr>
            <w:tcW w:w="1384" w:type="dxa"/>
            <w:vAlign w:val="center"/>
          </w:tcPr>
          <w:p w14:paraId="4C8227D0">
            <w:pPr>
              <w:jc w:val="right"/>
            </w:pPr>
            <w:r>
              <w:rPr>
                <w:rFonts w:hint="eastAsia"/>
              </w:rPr>
              <w:t>-</w:t>
            </w:r>
          </w:p>
        </w:tc>
        <w:tc>
          <w:tcPr>
            <w:tcW w:w="1384" w:type="dxa"/>
            <w:vAlign w:val="center"/>
          </w:tcPr>
          <w:p w14:paraId="5B4D733F">
            <w:pPr>
              <w:jc w:val="right"/>
            </w:pPr>
            <w:r>
              <w:rPr>
                <w:rFonts w:hint="eastAsia"/>
              </w:rPr>
              <w:t>-</w:t>
            </w:r>
          </w:p>
        </w:tc>
        <w:tc>
          <w:tcPr>
            <w:tcW w:w="1384" w:type="dxa"/>
            <w:vAlign w:val="center"/>
          </w:tcPr>
          <w:p w14:paraId="325700B7">
            <w:pPr>
              <w:jc w:val="right"/>
            </w:pPr>
            <w:r>
              <w:rPr>
                <w:rFonts w:hint="eastAsia"/>
              </w:rPr>
              <w:t>-</w:t>
            </w:r>
          </w:p>
        </w:tc>
        <w:tc>
          <w:tcPr>
            <w:tcW w:w="1384" w:type="dxa"/>
            <w:vAlign w:val="center"/>
          </w:tcPr>
          <w:p w14:paraId="23819B78">
            <w:pPr>
              <w:jc w:val="right"/>
            </w:pPr>
            <w:r>
              <w:rPr>
                <w:rFonts w:hint="eastAsia"/>
              </w:rPr>
              <w:t>10,723,747.36</w:t>
            </w:r>
          </w:p>
        </w:tc>
      </w:tr>
      <w:tr w14:paraId="2B9A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6DFB1">
            <w:r>
              <w:rPr>
                <w:rFonts w:hint="eastAsia"/>
              </w:rPr>
              <w:t>结算备付金</w:t>
            </w:r>
          </w:p>
        </w:tc>
        <w:tc>
          <w:tcPr>
            <w:tcW w:w="1384" w:type="dxa"/>
            <w:vAlign w:val="center"/>
          </w:tcPr>
          <w:p w14:paraId="2C7BD68E">
            <w:pPr>
              <w:jc w:val="right"/>
            </w:pPr>
            <w:r>
              <w:rPr>
                <w:rFonts w:hint="eastAsia"/>
              </w:rPr>
              <w:t>106,498.50</w:t>
            </w:r>
          </w:p>
        </w:tc>
        <w:tc>
          <w:tcPr>
            <w:tcW w:w="1384" w:type="dxa"/>
            <w:vAlign w:val="center"/>
          </w:tcPr>
          <w:p w14:paraId="0DDBCAB5">
            <w:pPr>
              <w:jc w:val="right"/>
            </w:pPr>
            <w:r>
              <w:rPr>
                <w:rFonts w:hint="eastAsia"/>
              </w:rPr>
              <w:t>-</w:t>
            </w:r>
          </w:p>
        </w:tc>
        <w:tc>
          <w:tcPr>
            <w:tcW w:w="1384" w:type="dxa"/>
            <w:vAlign w:val="center"/>
          </w:tcPr>
          <w:p w14:paraId="63AD559C">
            <w:pPr>
              <w:jc w:val="right"/>
            </w:pPr>
            <w:r>
              <w:rPr>
                <w:rFonts w:hint="eastAsia"/>
              </w:rPr>
              <w:t>-</w:t>
            </w:r>
          </w:p>
        </w:tc>
        <w:tc>
          <w:tcPr>
            <w:tcW w:w="1384" w:type="dxa"/>
            <w:vAlign w:val="center"/>
          </w:tcPr>
          <w:p w14:paraId="5CE839F9">
            <w:pPr>
              <w:jc w:val="right"/>
            </w:pPr>
            <w:r>
              <w:rPr>
                <w:rFonts w:hint="eastAsia"/>
              </w:rPr>
              <w:t>-</w:t>
            </w:r>
          </w:p>
        </w:tc>
        <w:tc>
          <w:tcPr>
            <w:tcW w:w="1384" w:type="dxa"/>
            <w:vAlign w:val="center"/>
          </w:tcPr>
          <w:p w14:paraId="317D615A">
            <w:pPr>
              <w:jc w:val="right"/>
            </w:pPr>
            <w:r>
              <w:rPr>
                <w:rFonts w:hint="eastAsia"/>
              </w:rPr>
              <w:t>106,498.50</w:t>
            </w:r>
          </w:p>
        </w:tc>
      </w:tr>
      <w:tr w14:paraId="7DE4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D35F7">
            <w:r>
              <w:rPr>
                <w:rFonts w:hint="eastAsia"/>
              </w:rPr>
              <w:t>存出保证金</w:t>
            </w:r>
          </w:p>
        </w:tc>
        <w:tc>
          <w:tcPr>
            <w:tcW w:w="1384" w:type="dxa"/>
            <w:vAlign w:val="center"/>
          </w:tcPr>
          <w:p w14:paraId="56594BC6">
            <w:pPr>
              <w:jc w:val="right"/>
            </w:pPr>
            <w:r>
              <w:rPr>
                <w:rFonts w:hint="eastAsia"/>
              </w:rPr>
              <w:t>72,141.61</w:t>
            </w:r>
          </w:p>
        </w:tc>
        <w:tc>
          <w:tcPr>
            <w:tcW w:w="1384" w:type="dxa"/>
            <w:vAlign w:val="center"/>
          </w:tcPr>
          <w:p w14:paraId="07CD29E8">
            <w:pPr>
              <w:jc w:val="right"/>
            </w:pPr>
            <w:r>
              <w:rPr>
                <w:rFonts w:hint="eastAsia"/>
              </w:rPr>
              <w:t>-</w:t>
            </w:r>
          </w:p>
        </w:tc>
        <w:tc>
          <w:tcPr>
            <w:tcW w:w="1384" w:type="dxa"/>
            <w:vAlign w:val="center"/>
          </w:tcPr>
          <w:p w14:paraId="462FB904">
            <w:pPr>
              <w:jc w:val="right"/>
            </w:pPr>
            <w:r>
              <w:rPr>
                <w:rFonts w:hint="eastAsia"/>
              </w:rPr>
              <w:t>-</w:t>
            </w:r>
          </w:p>
        </w:tc>
        <w:tc>
          <w:tcPr>
            <w:tcW w:w="1384" w:type="dxa"/>
            <w:vAlign w:val="center"/>
          </w:tcPr>
          <w:p w14:paraId="44D40D06">
            <w:pPr>
              <w:jc w:val="right"/>
            </w:pPr>
            <w:r>
              <w:rPr>
                <w:rFonts w:hint="eastAsia"/>
              </w:rPr>
              <w:t>-</w:t>
            </w:r>
          </w:p>
        </w:tc>
        <w:tc>
          <w:tcPr>
            <w:tcW w:w="1384" w:type="dxa"/>
            <w:vAlign w:val="center"/>
          </w:tcPr>
          <w:p w14:paraId="1C1C0409">
            <w:pPr>
              <w:jc w:val="right"/>
            </w:pPr>
            <w:r>
              <w:rPr>
                <w:rFonts w:hint="eastAsia"/>
              </w:rPr>
              <w:t>72,141.61</w:t>
            </w:r>
          </w:p>
        </w:tc>
      </w:tr>
      <w:tr w14:paraId="5BB3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4B0B0">
            <w:r>
              <w:rPr>
                <w:rFonts w:hint="eastAsia"/>
              </w:rPr>
              <w:t>交易性金融资产</w:t>
            </w:r>
          </w:p>
        </w:tc>
        <w:tc>
          <w:tcPr>
            <w:tcW w:w="1384" w:type="dxa"/>
            <w:vAlign w:val="center"/>
          </w:tcPr>
          <w:p w14:paraId="1917F003">
            <w:pPr>
              <w:jc w:val="right"/>
            </w:pPr>
            <w:r>
              <w:rPr>
                <w:rFonts w:hint="eastAsia"/>
              </w:rPr>
              <w:t>3,033,465.21</w:t>
            </w:r>
          </w:p>
        </w:tc>
        <w:tc>
          <w:tcPr>
            <w:tcW w:w="1384" w:type="dxa"/>
            <w:vAlign w:val="center"/>
          </w:tcPr>
          <w:p w14:paraId="079F4B1F">
            <w:pPr>
              <w:jc w:val="right"/>
            </w:pPr>
            <w:r>
              <w:rPr>
                <w:rFonts w:hint="eastAsia"/>
              </w:rPr>
              <w:t>-</w:t>
            </w:r>
          </w:p>
        </w:tc>
        <w:tc>
          <w:tcPr>
            <w:tcW w:w="1384" w:type="dxa"/>
            <w:vAlign w:val="center"/>
          </w:tcPr>
          <w:p w14:paraId="3FDE69A9">
            <w:pPr>
              <w:jc w:val="right"/>
            </w:pPr>
            <w:r>
              <w:rPr>
                <w:rFonts w:hint="eastAsia"/>
              </w:rPr>
              <w:t>-</w:t>
            </w:r>
          </w:p>
        </w:tc>
        <w:tc>
          <w:tcPr>
            <w:tcW w:w="1384" w:type="dxa"/>
            <w:vAlign w:val="center"/>
          </w:tcPr>
          <w:p w14:paraId="5B0D5CA8">
            <w:pPr>
              <w:jc w:val="right"/>
            </w:pPr>
            <w:r>
              <w:rPr>
                <w:rFonts w:hint="eastAsia"/>
              </w:rPr>
              <w:t>172,787,862.35</w:t>
            </w:r>
          </w:p>
        </w:tc>
        <w:tc>
          <w:tcPr>
            <w:tcW w:w="1384" w:type="dxa"/>
            <w:vAlign w:val="center"/>
          </w:tcPr>
          <w:p w14:paraId="6C0AC603">
            <w:pPr>
              <w:jc w:val="right"/>
            </w:pPr>
            <w:r>
              <w:rPr>
                <w:rFonts w:hint="eastAsia"/>
              </w:rPr>
              <w:t>175,821,327.56</w:t>
            </w:r>
          </w:p>
        </w:tc>
      </w:tr>
      <w:tr w14:paraId="27E1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AE026">
            <w:r>
              <w:rPr>
                <w:rFonts w:hint="eastAsia"/>
              </w:rPr>
              <w:t>衍生金融资产</w:t>
            </w:r>
          </w:p>
        </w:tc>
        <w:tc>
          <w:tcPr>
            <w:tcW w:w="1384" w:type="dxa"/>
            <w:vAlign w:val="center"/>
          </w:tcPr>
          <w:p w14:paraId="0D31268A">
            <w:pPr>
              <w:jc w:val="right"/>
            </w:pPr>
            <w:r>
              <w:rPr>
                <w:rFonts w:hint="eastAsia"/>
              </w:rPr>
              <w:t>-</w:t>
            </w:r>
          </w:p>
        </w:tc>
        <w:tc>
          <w:tcPr>
            <w:tcW w:w="1384" w:type="dxa"/>
            <w:vAlign w:val="center"/>
          </w:tcPr>
          <w:p w14:paraId="11F04940">
            <w:pPr>
              <w:jc w:val="right"/>
            </w:pPr>
            <w:r>
              <w:rPr>
                <w:rFonts w:hint="eastAsia"/>
              </w:rPr>
              <w:t>-</w:t>
            </w:r>
          </w:p>
        </w:tc>
        <w:tc>
          <w:tcPr>
            <w:tcW w:w="1384" w:type="dxa"/>
            <w:vAlign w:val="center"/>
          </w:tcPr>
          <w:p w14:paraId="70A122E0">
            <w:pPr>
              <w:jc w:val="right"/>
            </w:pPr>
            <w:r>
              <w:rPr>
                <w:rFonts w:hint="eastAsia"/>
              </w:rPr>
              <w:t>-</w:t>
            </w:r>
          </w:p>
        </w:tc>
        <w:tc>
          <w:tcPr>
            <w:tcW w:w="1384" w:type="dxa"/>
            <w:vAlign w:val="center"/>
          </w:tcPr>
          <w:p w14:paraId="1C618506">
            <w:pPr>
              <w:jc w:val="right"/>
            </w:pPr>
            <w:r>
              <w:rPr>
                <w:rFonts w:hint="eastAsia"/>
              </w:rPr>
              <w:t>-</w:t>
            </w:r>
          </w:p>
        </w:tc>
        <w:tc>
          <w:tcPr>
            <w:tcW w:w="1384" w:type="dxa"/>
            <w:vAlign w:val="center"/>
          </w:tcPr>
          <w:p w14:paraId="7FB049B8">
            <w:pPr>
              <w:jc w:val="right"/>
            </w:pPr>
            <w:r>
              <w:rPr>
                <w:rFonts w:hint="eastAsia"/>
              </w:rPr>
              <w:t>-</w:t>
            </w:r>
          </w:p>
        </w:tc>
      </w:tr>
      <w:tr w14:paraId="45B2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E9904">
            <w:r>
              <w:rPr>
                <w:rFonts w:hint="eastAsia"/>
              </w:rPr>
              <w:t>买入返售金融资产</w:t>
            </w:r>
          </w:p>
        </w:tc>
        <w:tc>
          <w:tcPr>
            <w:tcW w:w="1384" w:type="dxa"/>
            <w:vAlign w:val="center"/>
          </w:tcPr>
          <w:p w14:paraId="290C863B">
            <w:pPr>
              <w:jc w:val="right"/>
            </w:pPr>
            <w:r>
              <w:rPr>
                <w:rFonts w:hint="eastAsia"/>
              </w:rPr>
              <w:t>-</w:t>
            </w:r>
          </w:p>
        </w:tc>
        <w:tc>
          <w:tcPr>
            <w:tcW w:w="1384" w:type="dxa"/>
            <w:vAlign w:val="center"/>
          </w:tcPr>
          <w:p w14:paraId="17438963">
            <w:pPr>
              <w:jc w:val="right"/>
            </w:pPr>
            <w:r>
              <w:rPr>
                <w:rFonts w:hint="eastAsia"/>
              </w:rPr>
              <w:t>-</w:t>
            </w:r>
          </w:p>
        </w:tc>
        <w:tc>
          <w:tcPr>
            <w:tcW w:w="1384" w:type="dxa"/>
            <w:vAlign w:val="center"/>
          </w:tcPr>
          <w:p w14:paraId="11906E65">
            <w:pPr>
              <w:jc w:val="right"/>
            </w:pPr>
            <w:r>
              <w:rPr>
                <w:rFonts w:hint="eastAsia"/>
              </w:rPr>
              <w:t>-</w:t>
            </w:r>
          </w:p>
        </w:tc>
        <w:tc>
          <w:tcPr>
            <w:tcW w:w="1384" w:type="dxa"/>
            <w:vAlign w:val="center"/>
          </w:tcPr>
          <w:p w14:paraId="30C7AF28">
            <w:pPr>
              <w:jc w:val="right"/>
            </w:pPr>
            <w:r>
              <w:rPr>
                <w:rFonts w:hint="eastAsia"/>
              </w:rPr>
              <w:t>-</w:t>
            </w:r>
          </w:p>
        </w:tc>
        <w:tc>
          <w:tcPr>
            <w:tcW w:w="1384" w:type="dxa"/>
            <w:vAlign w:val="center"/>
          </w:tcPr>
          <w:p w14:paraId="7EC1A88A">
            <w:pPr>
              <w:jc w:val="right"/>
            </w:pPr>
            <w:r>
              <w:rPr>
                <w:rFonts w:hint="eastAsia"/>
              </w:rPr>
              <w:t>-</w:t>
            </w:r>
          </w:p>
        </w:tc>
      </w:tr>
      <w:tr w14:paraId="2D97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5C0E8">
            <w:r>
              <w:rPr>
                <w:rFonts w:hint="eastAsia"/>
              </w:rPr>
              <w:t>债权投资</w:t>
            </w:r>
          </w:p>
        </w:tc>
        <w:tc>
          <w:tcPr>
            <w:tcW w:w="1384" w:type="dxa"/>
            <w:vAlign w:val="center"/>
          </w:tcPr>
          <w:p w14:paraId="3E4C365B">
            <w:pPr>
              <w:jc w:val="right"/>
            </w:pPr>
            <w:r>
              <w:rPr>
                <w:rFonts w:hint="eastAsia"/>
              </w:rPr>
              <w:t>-</w:t>
            </w:r>
          </w:p>
        </w:tc>
        <w:tc>
          <w:tcPr>
            <w:tcW w:w="1384" w:type="dxa"/>
            <w:vAlign w:val="center"/>
          </w:tcPr>
          <w:p w14:paraId="3DF38815">
            <w:pPr>
              <w:jc w:val="right"/>
            </w:pPr>
            <w:r>
              <w:rPr>
                <w:rFonts w:hint="eastAsia"/>
              </w:rPr>
              <w:t>-</w:t>
            </w:r>
          </w:p>
        </w:tc>
        <w:tc>
          <w:tcPr>
            <w:tcW w:w="1384" w:type="dxa"/>
            <w:vAlign w:val="center"/>
          </w:tcPr>
          <w:p w14:paraId="16C649EC">
            <w:pPr>
              <w:jc w:val="right"/>
            </w:pPr>
            <w:r>
              <w:rPr>
                <w:rFonts w:hint="eastAsia"/>
              </w:rPr>
              <w:t>-</w:t>
            </w:r>
          </w:p>
        </w:tc>
        <w:tc>
          <w:tcPr>
            <w:tcW w:w="1384" w:type="dxa"/>
            <w:vAlign w:val="center"/>
          </w:tcPr>
          <w:p w14:paraId="37722D84">
            <w:pPr>
              <w:jc w:val="right"/>
            </w:pPr>
            <w:r>
              <w:rPr>
                <w:rFonts w:hint="eastAsia"/>
              </w:rPr>
              <w:t>-</w:t>
            </w:r>
          </w:p>
        </w:tc>
        <w:tc>
          <w:tcPr>
            <w:tcW w:w="1384" w:type="dxa"/>
            <w:vAlign w:val="center"/>
          </w:tcPr>
          <w:p w14:paraId="69BD1F6C">
            <w:pPr>
              <w:jc w:val="right"/>
            </w:pPr>
            <w:r>
              <w:rPr>
                <w:rFonts w:hint="eastAsia"/>
              </w:rPr>
              <w:t>-</w:t>
            </w:r>
          </w:p>
        </w:tc>
      </w:tr>
      <w:tr w14:paraId="58EA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D4ED4">
            <w:r>
              <w:rPr>
                <w:rFonts w:hint="eastAsia"/>
              </w:rPr>
              <w:t>其他债权投资</w:t>
            </w:r>
          </w:p>
        </w:tc>
        <w:tc>
          <w:tcPr>
            <w:tcW w:w="1384" w:type="dxa"/>
            <w:vAlign w:val="center"/>
          </w:tcPr>
          <w:p w14:paraId="21C5211D">
            <w:pPr>
              <w:jc w:val="right"/>
            </w:pPr>
            <w:r>
              <w:rPr>
                <w:rFonts w:hint="eastAsia"/>
              </w:rPr>
              <w:t>-</w:t>
            </w:r>
          </w:p>
        </w:tc>
        <w:tc>
          <w:tcPr>
            <w:tcW w:w="1384" w:type="dxa"/>
            <w:vAlign w:val="center"/>
          </w:tcPr>
          <w:p w14:paraId="4877706F">
            <w:pPr>
              <w:jc w:val="right"/>
            </w:pPr>
            <w:r>
              <w:rPr>
                <w:rFonts w:hint="eastAsia"/>
              </w:rPr>
              <w:t>-</w:t>
            </w:r>
          </w:p>
        </w:tc>
        <w:tc>
          <w:tcPr>
            <w:tcW w:w="1384" w:type="dxa"/>
            <w:vAlign w:val="center"/>
          </w:tcPr>
          <w:p w14:paraId="6E11D90D">
            <w:pPr>
              <w:jc w:val="right"/>
            </w:pPr>
            <w:r>
              <w:rPr>
                <w:rFonts w:hint="eastAsia"/>
              </w:rPr>
              <w:t>-</w:t>
            </w:r>
          </w:p>
        </w:tc>
        <w:tc>
          <w:tcPr>
            <w:tcW w:w="1384" w:type="dxa"/>
            <w:vAlign w:val="center"/>
          </w:tcPr>
          <w:p w14:paraId="5A2FE106">
            <w:pPr>
              <w:jc w:val="right"/>
            </w:pPr>
            <w:r>
              <w:rPr>
                <w:rFonts w:hint="eastAsia"/>
              </w:rPr>
              <w:t>-</w:t>
            </w:r>
          </w:p>
        </w:tc>
        <w:tc>
          <w:tcPr>
            <w:tcW w:w="1384" w:type="dxa"/>
            <w:vAlign w:val="center"/>
          </w:tcPr>
          <w:p w14:paraId="0B3C1E5D">
            <w:pPr>
              <w:jc w:val="right"/>
            </w:pPr>
            <w:r>
              <w:rPr>
                <w:rFonts w:hint="eastAsia"/>
              </w:rPr>
              <w:t>-</w:t>
            </w:r>
          </w:p>
        </w:tc>
      </w:tr>
      <w:tr w14:paraId="03BD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0668F">
            <w:r>
              <w:rPr>
                <w:rFonts w:hint="eastAsia"/>
              </w:rPr>
              <w:t>其他权益工具投资</w:t>
            </w:r>
          </w:p>
        </w:tc>
        <w:tc>
          <w:tcPr>
            <w:tcW w:w="1384" w:type="dxa"/>
            <w:vAlign w:val="center"/>
          </w:tcPr>
          <w:p w14:paraId="0E4ED352">
            <w:pPr>
              <w:jc w:val="right"/>
            </w:pPr>
            <w:r>
              <w:rPr>
                <w:rFonts w:hint="eastAsia"/>
              </w:rPr>
              <w:t>-</w:t>
            </w:r>
          </w:p>
        </w:tc>
        <w:tc>
          <w:tcPr>
            <w:tcW w:w="1384" w:type="dxa"/>
            <w:vAlign w:val="center"/>
          </w:tcPr>
          <w:p w14:paraId="196A8DAA">
            <w:pPr>
              <w:jc w:val="right"/>
            </w:pPr>
            <w:r>
              <w:rPr>
                <w:rFonts w:hint="eastAsia"/>
              </w:rPr>
              <w:t>-</w:t>
            </w:r>
          </w:p>
        </w:tc>
        <w:tc>
          <w:tcPr>
            <w:tcW w:w="1384" w:type="dxa"/>
            <w:vAlign w:val="center"/>
          </w:tcPr>
          <w:p w14:paraId="17CFACA9">
            <w:pPr>
              <w:jc w:val="right"/>
            </w:pPr>
            <w:r>
              <w:rPr>
                <w:rFonts w:hint="eastAsia"/>
              </w:rPr>
              <w:t>-</w:t>
            </w:r>
          </w:p>
        </w:tc>
        <w:tc>
          <w:tcPr>
            <w:tcW w:w="1384" w:type="dxa"/>
            <w:vAlign w:val="center"/>
          </w:tcPr>
          <w:p w14:paraId="47E4FD9C">
            <w:pPr>
              <w:jc w:val="right"/>
            </w:pPr>
            <w:r>
              <w:rPr>
                <w:rFonts w:hint="eastAsia"/>
              </w:rPr>
              <w:t>-</w:t>
            </w:r>
          </w:p>
        </w:tc>
        <w:tc>
          <w:tcPr>
            <w:tcW w:w="1384" w:type="dxa"/>
            <w:vAlign w:val="center"/>
          </w:tcPr>
          <w:p w14:paraId="0F77CFD3">
            <w:pPr>
              <w:jc w:val="right"/>
            </w:pPr>
            <w:r>
              <w:rPr>
                <w:rFonts w:hint="eastAsia"/>
              </w:rPr>
              <w:t>-</w:t>
            </w:r>
          </w:p>
        </w:tc>
      </w:tr>
      <w:tr w14:paraId="6E5C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4D712">
            <w:r>
              <w:rPr>
                <w:rFonts w:hint="eastAsia"/>
              </w:rPr>
              <w:t>应收清算款</w:t>
            </w:r>
          </w:p>
        </w:tc>
        <w:tc>
          <w:tcPr>
            <w:tcW w:w="1384" w:type="dxa"/>
            <w:vAlign w:val="center"/>
          </w:tcPr>
          <w:p w14:paraId="6400D272">
            <w:pPr>
              <w:jc w:val="right"/>
            </w:pPr>
            <w:r>
              <w:rPr>
                <w:rFonts w:hint="eastAsia"/>
              </w:rPr>
              <w:t>-</w:t>
            </w:r>
          </w:p>
        </w:tc>
        <w:tc>
          <w:tcPr>
            <w:tcW w:w="1384" w:type="dxa"/>
            <w:vAlign w:val="center"/>
          </w:tcPr>
          <w:p w14:paraId="5F370DD4">
            <w:pPr>
              <w:jc w:val="right"/>
            </w:pPr>
            <w:r>
              <w:rPr>
                <w:rFonts w:hint="eastAsia"/>
              </w:rPr>
              <w:t>-</w:t>
            </w:r>
          </w:p>
        </w:tc>
        <w:tc>
          <w:tcPr>
            <w:tcW w:w="1384" w:type="dxa"/>
            <w:vAlign w:val="center"/>
          </w:tcPr>
          <w:p w14:paraId="3D292006">
            <w:pPr>
              <w:jc w:val="right"/>
            </w:pPr>
            <w:r>
              <w:rPr>
                <w:rFonts w:hint="eastAsia"/>
              </w:rPr>
              <w:t>-</w:t>
            </w:r>
          </w:p>
        </w:tc>
        <w:tc>
          <w:tcPr>
            <w:tcW w:w="1384" w:type="dxa"/>
            <w:vAlign w:val="center"/>
          </w:tcPr>
          <w:p w14:paraId="6724A372">
            <w:pPr>
              <w:jc w:val="right"/>
            </w:pPr>
            <w:r>
              <w:rPr>
                <w:rFonts w:hint="eastAsia"/>
              </w:rPr>
              <w:t>-</w:t>
            </w:r>
          </w:p>
        </w:tc>
        <w:tc>
          <w:tcPr>
            <w:tcW w:w="1384" w:type="dxa"/>
            <w:vAlign w:val="center"/>
          </w:tcPr>
          <w:p w14:paraId="66DDFEF6">
            <w:pPr>
              <w:jc w:val="right"/>
            </w:pPr>
            <w:r>
              <w:rPr>
                <w:rFonts w:hint="eastAsia"/>
              </w:rPr>
              <w:t>-</w:t>
            </w:r>
          </w:p>
        </w:tc>
      </w:tr>
      <w:tr w14:paraId="6037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6C9D1">
            <w:r>
              <w:rPr>
                <w:rFonts w:hint="eastAsia"/>
              </w:rPr>
              <w:t>应收股利</w:t>
            </w:r>
          </w:p>
        </w:tc>
        <w:tc>
          <w:tcPr>
            <w:tcW w:w="1384" w:type="dxa"/>
            <w:vAlign w:val="center"/>
          </w:tcPr>
          <w:p w14:paraId="362425F5">
            <w:pPr>
              <w:jc w:val="right"/>
            </w:pPr>
            <w:r>
              <w:rPr>
                <w:rFonts w:hint="eastAsia"/>
              </w:rPr>
              <w:t>-</w:t>
            </w:r>
          </w:p>
        </w:tc>
        <w:tc>
          <w:tcPr>
            <w:tcW w:w="1384" w:type="dxa"/>
            <w:vAlign w:val="center"/>
          </w:tcPr>
          <w:p w14:paraId="0CE3A4DD">
            <w:pPr>
              <w:jc w:val="right"/>
            </w:pPr>
            <w:r>
              <w:rPr>
                <w:rFonts w:hint="eastAsia"/>
              </w:rPr>
              <w:t>-</w:t>
            </w:r>
          </w:p>
        </w:tc>
        <w:tc>
          <w:tcPr>
            <w:tcW w:w="1384" w:type="dxa"/>
            <w:vAlign w:val="center"/>
          </w:tcPr>
          <w:p w14:paraId="63ACC634">
            <w:pPr>
              <w:jc w:val="right"/>
            </w:pPr>
            <w:r>
              <w:rPr>
                <w:rFonts w:hint="eastAsia"/>
              </w:rPr>
              <w:t>-</w:t>
            </w:r>
          </w:p>
        </w:tc>
        <w:tc>
          <w:tcPr>
            <w:tcW w:w="1384" w:type="dxa"/>
            <w:vAlign w:val="center"/>
          </w:tcPr>
          <w:p w14:paraId="6E0893CB">
            <w:pPr>
              <w:jc w:val="right"/>
            </w:pPr>
            <w:r>
              <w:rPr>
                <w:rFonts w:hint="eastAsia"/>
              </w:rPr>
              <w:t>-</w:t>
            </w:r>
          </w:p>
        </w:tc>
        <w:tc>
          <w:tcPr>
            <w:tcW w:w="1384" w:type="dxa"/>
            <w:vAlign w:val="center"/>
          </w:tcPr>
          <w:p w14:paraId="33051D8C">
            <w:pPr>
              <w:jc w:val="right"/>
            </w:pPr>
            <w:r>
              <w:rPr>
                <w:rFonts w:hint="eastAsia"/>
              </w:rPr>
              <w:t>-</w:t>
            </w:r>
          </w:p>
        </w:tc>
      </w:tr>
      <w:tr w14:paraId="6401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4895F">
            <w:r>
              <w:rPr>
                <w:rFonts w:hint="eastAsia"/>
              </w:rPr>
              <w:t>应收申购款</w:t>
            </w:r>
          </w:p>
        </w:tc>
        <w:tc>
          <w:tcPr>
            <w:tcW w:w="1384" w:type="dxa"/>
            <w:vAlign w:val="center"/>
          </w:tcPr>
          <w:p w14:paraId="37ABB2A4">
            <w:pPr>
              <w:jc w:val="right"/>
            </w:pPr>
            <w:r>
              <w:rPr>
                <w:rFonts w:hint="eastAsia"/>
              </w:rPr>
              <w:t>-</w:t>
            </w:r>
          </w:p>
        </w:tc>
        <w:tc>
          <w:tcPr>
            <w:tcW w:w="1384" w:type="dxa"/>
            <w:vAlign w:val="center"/>
          </w:tcPr>
          <w:p w14:paraId="107F178C">
            <w:pPr>
              <w:jc w:val="right"/>
            </w:pPr>
            <w:r>
              <w:rPr>
                <w:rFonts w:hint="eastAsia"/>
              </w:rPr>
              <w:t>-</w:t>
            </w:r>
          </w:p>
        </w:tc>
        <w:tc>
          <w:tcPr>
            <w:tcW w:w="1384" w:type="dxa"/>
            <w:vAlign w:val="center"/>
          </w:tcPr>
          <w:p w14:paraId="0AA88EE3">
            <w:pPr>
              <w:jc w:val="right"/>
            </w:pPr>
            <w:r>
              <w:rPr>
                <w:rFonts w:hint="eastAsia"/>
              </w:rPr>
              <w:t>-</w:t>
            </w:r>
          </w:p>
        </w:tc>
        <w:tc>
          <w:tcPr>
            <w:tcW w:w="1384" w:type="dxa"/>
            <w:vAlign w:val="center"/>
          </w:tcPr>
          <w:p w14:paraId="6B3B00F8">
            <w:pPr>
              <w:jc w:val="right"/>
            </w:pPr>
            <w:r>
              <w:rPr>
                <w:rFonts w:hint="eastAsia"/>
              </w:rPr>
              <w:t>945,904.54</w:t>
            </w:r>
          </w:p>
        </w:tc>
        <w:tc>
          <w:tcPr>
            <w:tcW w:w="1384" w:type="dxa"/>
            <w:vAlign w:val="center"/>
          </w:tcPr>
          <w:p w14:paraId="7B680170">
            <w:pPr>
              <w:jc w:val="right"/>
            </w:pPr>
            <w:r>
              <w:rPr>
                <w:rFonts w:hint="eastAsia"/>
              </w:rPr>
              <w:t>945,904.54</w:t>
            </w:r>
          </w:p>
        </w:tc>
      </w:tr>
      <w:tr w14:paraId="4416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BFBC1">
            <w:r>
              <w:rPr>
                <w:rFonts w:hint="eastAsia"/>
              </w:rPr>
              <w:t>递延所得税资产</w:t>
            </w:r>
          </w:p>
        </w:tc>
        <w:tc>
          <w:tcPr>
            <w:tcW w:w="1384" w:type="dxa"/>
            <w:vAlign w:val="center"/>
          </w:tcPr>
          <w:p w14:paraId="44C1F76E">
            <w:pPr>
              <w:jc w:val="right"/>
            </w:pPr>
            <w:r>
              <w:rPr>
                <w:rFonts w:hint="eastAsia"/>
              </w:rPr>
              <w:t>-</w:t>
            </w:r>
          </w:p>
        </w:tc>
        <w:tc>
          <w:tcPr>
            <w:tcW w:w="1384" w:type="dxa"/>
            <w:vAlign w:val="center"/>
          </w:tcPr>
          <w:p w14:paraId="3A300A10">
            <w:pPr>
              <w:jc w:val="right"/>
            </w:pPr>
            <w:r>
              <w:rPr>
                <w:rFonts w:hint="eastAsia"/>
              </w:rPr>
              <w:t>-</w:t>
            </w:r>
          </w:p>
        </w:tc>
        <w:tc>
          <w:tcPr>
            <w:tcW w:w="1384" w:type="dxa"/>
            <w:vAlign w:val="center"/>
          </w:tcPr>
          <w:p w14:paraId="41A11086">
            <w:pPr>
              <w:jc w:val="right"/>
            </w:pPr>
            <w:r>
              <w:rPr>
                <w:rFonts w:hint="eastAsia"/>
              </w:rPr>
              <w:t>-</w:t>
            </w:r>
          </w:p>
        </w:tc>
        <w:tc>
          <w:tcPr>
            <w:tcW w:w="1384" w:type="dxa"/>
            <w:vAlign w:val="center"/>
          </w:tcPr>
          <w:p w14:paraId="33ABA414">
            <w:pPr>
              <w:jc w:val="right"/>
            </w:pPr>
            <w:r>
              <w:rPr>
                <w:rFonts w:hint="eastAsia"/>
              </w:rPr>
              <w:t>-</w:t>
            </w:r>
          </w:p>
        </w:tc>
        <w:tc>
          <w:tcPr>
            <w:tcW w:w="1384" w:type="dxa"/>
            <w:vAlign w:val="center"/>
          </w:tcPr>
          <w:p w14:paraId="77695CA5">
            <w:pPr>
              <w:jc w:val="right"/>
            </w:pPr>
            <w:r>
              <w:rPr>
                <w:rFonts w:hint="eastAsia"/>
              </w:rPr>
              <w:t>-</w:t>
            </w:r>
          </w:p>
        </w:tc>
      </w:tr>
      <w:tr w14:paraId="3F42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E051C">
            <w:r>
              <w:rPr>
                <w:rFonts w:hint="eastAsia"/>
              </w:rPr>
              <w:t>其他资产</w:t>
            </w:r>
          </w:p>
        </w:tc>
        <w:tc>
          <w:tcPr>
            <w:tcW w:w="1384" w:type="dxa"/>
            <w:vAlign w:val="center"/>
          </w:tcPr>
          <w:p w14:paraId="212519B0">
            <w:pPr>
              <w:jc w:val="right"/>
            </w:pPr>
            <w:r>
              <w:rPr>
                <w:rFonts w:hint="eastAsia"/>
              </w:rPr>
              <w:t>-</w:t>
            </w:r>
          </w:p>
        </w:tc>
        <w:tc>
          <w:tcPr>
            <w:tcW w:w="1384" w:type="dxa"/>
            <w:vAlign w:val="center"/>
          </w:tcPr>
          <w:p w14:paraId="36EA21F6">
            <w:pPr>
              <w:jc w:val="right"/>
            </w:pPr>
            <w:r>
              <w:rPr>
                <w:rFonts w:hint="eastAsia"/>
              </w:rPr>
              <w:t>-</w:t>
            </w:r>
          </w:p>
        </w:tc>
        <w:tc>
          <w:tcPr>
            <w:tcW w:w="1384" w:type="dxa"/>
            <w:vAlign w:val="center"/>
          </w:tcPr>
          <w:p w14:paraId="0B41C9BC">
            <w:pPr>
              <w:jc w:val="right"/>
            </w:pPr>
            <w:r>
              <w:rPr>
                <w:rFonts w:hint="eastAsia"/>
              </w:rPr>
              <w:t>-</w:t>
            </w:r>
          </w:p>
        </w:tc>
        <w:tc>
          <w:tcPr>
            <w:tcW w:w="1384" w:type="dxa"/>
            <w:vAlign w:val="center"/>
          </w:tcPr>
          <w:p w14:paraId="601434DF">
            <w:pPr>
              <w:jc w:val="right"/>
            </w:pPr>
            <w:r>
              <w:rPr>
                <w:rFonts w:hint="eastAsia"/>
              </w:rPr>
              <w:t>-</w:t>
            </w:r>
          </w:p>
        </w:tc>
        <w:tc>
          <w:tcPr>
            <w:tcW w:w="1384" w:type="dxa"/>
            <w:vAlign w:val="center"/>
          </w:tcPr>
          <w:p w14:paraId="1E465DE0">
            <w:pPr>
              <w:jc w:val="right"/>
            </w:pPr>
            <w:r>
              <w:rPr>
                <w:rFonts w:hint="eastAsia"/>
              </w:rPr>
              <w:t>-</w:t>
            </w:r>
          </w:p>
        </w:tc>
      </w:tr>
      <w:tr w14:paraId="1779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13CCF">
            <w:r>
              <w:rPr>
                <w:rFonts w:hint="eastAsia"/>
              </w:rPr>
              <w:t>资产总计</w:t>
            </w:r>
          </w:p>
        </w:tc>
        <w:tc>
          <w:tcPr>
            <w:tcW w:w="1384" w:type="dxa"/>
            <w:vAlign w:val="center"/>
          </w:tcPr>
          <w:p w14:paraId="67361FD0">
            <w:pPr>
              <w:jc w:val="right"/>
            </w:pPr>
            <w:r>
              <w:rPr>
                <w:rFonts w:hint="eastAsia"/>
              </w:rPr>
              <w:t>13,935,852.68</w:t>
            </w:r>
          </w:p>
        </w:tc>
        <w:tc>
          <w:tcPr>
            <w:tcW w:w="1384" w:type="dxa"/>
            <w:vAlign w:val="center"/>
          </w:tcPr>
          <w:p w14:paraId="62F1F61B">
            <w:pPr>
              <w:jc w:val="right"/>
            </w:pPr>
            <w:r>
              <w:rPr>
                <w:rFonts w:hint="eastAsia"/>
              </w:rPr>
              <w:t>-</w:t>
            </w:r>
          </w:p>
        </w:tc>
        <w:tc>
          <w:tcPr>
            <w:tcW w:w="1384" w:type="dxa"/>
            <w:vAlign w:val="center"/>
          </w:tcPr>
          <w:p w14:paraId="41BCF5C7">
            <w:pPr>
              <w:jc w:val="right"/>
            </w:pPr>
            <w:r>
              <w:rPr>
                <w:rFonts w:hint="eastAsia"/>
              </w:rPr>
              <w:t>-</w:t>
            </w:r>
          </w:p>
        </w:tc>
        <w:tc>
          <w:tcPr>
            <w:tcW w:w="1384" w:type="dxa"/>
            <w:vAlign w:val="center"/>
          </w:tcPr>
          <w:p w14:paraId="04A608BA">
            <w:pPr>
              <w:jc w:val="right"/>
            </w:pPr>
            <w:r>
              <w:rPr>
                <w:rFonts w:hint="eastAsia"/>
              </w:rPr>
              <w:t>173,733,766.89</w:t>
            </w:r>
          </w:p>
        </w:tc>
        <w:tc>
          <w:tcPr>
            <w:tcW w:w="1384" w:type="dxa"/>
            <w:vAlign w:val="center"/>
          </w:tcPr>
          <w:p w14:paraId="7D3A290F">
            <w:pPr>
              <w:jc w:val="right"/>
            </w:pPr>
            <w:r>
              <w:rPr>
                <w:rFonts w:hint="eastAsia"/>
              </w:rPr>
              <w:t>187,669,619.57</w:t>
            </w:r>
          </w:p>
        </w:tc>
      </w:tr>
      <w:tr w14:paraId="26E2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106DE">
            <w:r>
              <w:rPr>
                <w:rFonts w:hint="eastAsia"/>
              </w:rPr>
              <w:t>负债</w:t>
            </w:r>
          </w:p>
        </w:tc>
        <w:tc>
          <w:tcPr>
            <w:tcW w:w="1384" w:type="dxa"/>
            <w:vAlign w:val="center"/>
          </w:tcPr>
          <w:p w14:paraId="2FD7BEF9"/>
        </w:tc>
        <w:tc>
          <w:tcPr>
            <w:tcW w:w="1384" w:type="dxa"/>
            <w:vAlign w:val="center"/>
          </w:tcPr>
          <w:p w14:paraId="499B1AB7"/>
        </w:tc>
        <w:tc>
          <w:tcPr>
            <w:tcW w:w="1384" w:type="dxa"/>
            <w:vAlign w:val="center"/>
          </w:tcPr>
          <w:p w14:paraId="2BE4CC24"/>
        </w:tc>
        <w:tc>
          <w:tcPr>
            <w:tcW w:w="1384" w:type="dxa"/>
            <w:vAlign w:val="center"/>
          </w:tcPr>
          <w:p w14:paraId="0EF1CDD1"/>
        </w:tc>
        <w:tc>
          <w:tcPr>
            <w:tcW w:w="1384" w:type="dxa"/>
            <w:vAlign w:val="center"/>
          </w:tcPr>
          <w:p w14:paraId="17691E58"/>
        </w:tc>
      </w:tr>
      <w:tr w14:paraId="23B8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C700A">
            <w:r>
              <w:rPr>
                <w:rFonts w:hint="eastAsia"/>
              </w:rPr>
              <w:t>短期借款</w:t>
            </w:r>
          </w:p>
        </w:tc>
        <w:tc>
          <w:tcPr>
            <w:tcW w:w="1384" w:type="dxa"/>
            <w:vAlign w:val="center"/>
          </w:tcPr>
          <w:p w14:paraId="461A6582">
            <w:pPr>
              <w:jc w:val="right"/>
            </w:pPr>
            <w:r>
              <w:rPr>
                <w:rFonts w:hint="eastAsia"/>
              </w:rPr>
              <w:t>-</w:t>
            </w:r>
          </w:p>
        </w:tc>
        <w:tc>
          <w:tcPr>
            <w:tcW w:w="1384" w:type="dxa"/>
            <w:vAlign w:val="center"/>
          </w:tcPr>
          <w:p w14:paraId="145941A8">
            <w:pPr>
              <w:jc w:val="right"/>
            </w:pPr>
            <w:r>
              <w:rPr>
                <w:rFonts w:hint="eastAsia"/>
              </w:rPr>
              <w:t>-</w:t>
            </w:r>
          </w:p>
        </w:tc>
        <w:tc>
          <w:tcPr>
            <w:tcW w:w="1384" w:type="dxa"/>
            <w:vAlign w:val="center"/>
          </w:tcPr>
          <w:p w14:paraId="63C6CEA7">
            <w:pPr>
              <w:jc w:val="right"/>
            </w:pPr>
            <w:r>
              <w:rPr>
                <w:rFonts w:hint="eastAsia"/>
              </w:rPr>
              <w:t>-</w:t>
            </w:r>
          </w:p>
        </w:tc>
        <w:tc>
          <w:tcPr>
            <w:tcW w:w="1384" w:type="dxa"/>
            <w:vAlign w:val="center"/>
          </w:tcPr>
          <w:p w14:paraId="415EA50E">
            <w:pPr>
              <w:jc w:val="right"/>
            </w:pPr>
            <w:r>
              <w:rPr>
                <w:rFonts w:hint="eastAsia"/>
              </w:rPr>
              <w:t>-</w:t>
            </w:r>
          </w:p>
        </w:tc>
        <w:tc>
          <w:tcPr>
            <w:tcW w:w="1384" w:type="dxa"/>
            <w:vAlign w:val="center"/>
          </w:tcPr>
          <w:p w14:paraId="205EF843">
            <w:pPr>
              <w:jc w:val="right"/>
            </w:pPr>
            <w:r>
              <w:rPr>
                <w:rFonts w:hint="eastAsia"/>
              </w:rPr>
              <w:t>-</w:t>
            </w:r>
          </w:p>
        </w:tc>
      </w:tr>
      <w:tr w14:paraId="334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488AB">
            <w:r>
              <w:rPr>
                <w:rFonts w:hint="eastAsia"/>
              </w:rPr>
              <w:t>交易性金融负债</w:t>
            </w:r>
          </w:p>
        </w:tc>
        <w:tc>
          <w:tcPr>
            <w:tcW w:w="1384" w:type="dxa"/>
            <w:vAlign w:val="center"/>
          </w:tcPr>
          <w:p w14:paraId="5E24BDCF">
            <w:pPr>
              <w:jc w:val="right"/>
            </w:pPr>
            <w:r>
              <w:rPr>
                <w:rFonts w:hint="eastAsia"/>
              </w:rPr>
              <w:t>-</w:t>
            </w:r>
          </w:p>
        </w:tc>
        <w:tc>
          <w:tcPr>
            <w:tcW w:w="1384" w:type="dxa"/>
            <w:vAlign w:val="center"/>
          </w:tcPr>
          <w:p w14:paraId="60D83DB2">
            <w:pPr>
              <w:jc w:val="right"/>
            </w:pPr>
            <w:r>
              <w:rPr>
                <w:rFonts w:hint="eastAsia"/>
              </w:rPr>
              <w:t>-</w:t>
            </w:r>
          </w:p>
        </w:tc>
        <w:tc>
          <w:tcPr>
            <w:tcW w:w="1384" w:type="dxa"/>
            <w:vAlign w:val="center"/>
          </w:tcPr>
          <w:p w14:paraId="3D5B529A">
            <w:pPr>
              <w:jc w:val="right"/>
            </w:pPr>
            <w:r>
              <w:rPr>
                <w:rFonts w:hint="eastAsia"/>
              </w:rPr>
              <w:t>-</w:t>
            </w:r>
          </w:p>
        </w:tc>
        <w:tc>
          <w:tcPr>
            <w:tcW w:w="1384" w:type="dxa"/>
            <w:vAlign w:val="center"/>
          </w:tcPr>
          <w:p w14:paraId="11CF2B52">
            <w:pPr>
              <w:jc w:val="right"/>
            </w:pPr>
            <w:r>
              <w:rPr>
                <w:rFonts w:hint="eastAsia"/>
              </w:rPr>
              <w:t>-</w:t>
            </w:r>
          </w:p>
        </w:tc>
        <w:tc>
          <w:tcPr>
            <w:tcW w:w="1384" w:type="dxa"/>
            <w:vAlign w:val="center"/>
          </w:tcPr>
          <w:p w14:paraId="71B05227">
            <w:pPr>
              <w:jc w:val="right"/>
            </w:pPr>
            <w:r>
              <w:rPr>
                <w:rFonts w:hint="eastAsia"/>
              </w:rPr>
              <w:t>-</w:t>
            </w:r>
          </w:p>
        </w:tc>
      </w:tr>
      <w:tr w14:paraId="75AF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83EC6">
            <w:r>
              <w:rPr>
                <w:rFonts w:hint="eastAsia"/>
              </w:rPr>
              <w:t>衍生金融负债</w:t>
            </w:r>
          </w:p>
        </w:tc>
        <w:tc>
          <w:tcPr>
            <w:tcW w:w="1384" w:type="dxa"/>
            <w:vAlign w:val="center"/>
          </w:tcPr>
          <w:p w14:paraId="68D7AA7E">
            <w:pPr>
              <w:jc w:val="right"/>
            </w:pPr>
            <w:r>
              <w:rPr>
                <w:rFonts w:hint="eastAsia"/>
              </w:rPr>
              <w:t>-</w:t>
            </w:r>
          </w:p>
        </w:tc>
        <w:tc>
          <w:tcPr>
            <w:tcW w:w="1384" w:type="dxa"/>
            <w:vAlign w:val="center"/>
          </w:tcPr>
          <w:p w14:paraId="33F240FB">
            <w:pPr>
              <w:jc w:val="right"/>
            </w:pPr>
            <w:r>
              <w:rPr>
                <w:rFonts w:hint="eastAsia"/>
              </w:rPr>
              <w:t>-</w:t>
            </w:r>
          </w:p>
        </w:tc>
        <w:tc>
          <w:tcPr>
            <w:tcW w:w="1384" w:type="dxa"/>
            <w:vAlign w:val="center"/>
          </w:tcPr>
          <w:p w14:paraId="7C4BE71E">
            <w:pPr>
              <w:jc w:val="right"/>
            </w:pPr>
            <w:r>
              <w:rPr>
                <w:rFonts w:hint="eastAsia"/>
              </w:rPr>
              <w:t>-</w:t>
            </w:r>
          </w:p>
        </w:tc>
        <w:tc>
          <w:tcPr>
            <w:tcW w:w="1384" w:type="dxa"/>
            <w:vAlign w:val="center"/>
          </w:tcPr>
          <w:p w14:paraId="664D17D7">
            <w:pPr>
              <w:jc w:val="right"/>
            </w:pPr>
            <w:r>
              <w:rPr>
                <w:rFonts w:hint="eastAsia"/>
              </w:rPr>
              <w:t>-</w:t>
            </w:r>
          </w:p>
        </w:tc>
        <w:tc>
          <w:tcPr>
            <w:tcW w:w="1384" w:type="dxa"/>
            <w:vAlign w:val="center"/>
          </w:tcPr>
          <w:p w14:paraId="16F623D3">
            <w:pPr>
              <w:jc w:val="right"/>
            </w:pPr>
            <w:r>
              <w:rPr>
                <w:rFonts w:hint="eastAsia"/>
              </w:rPr>
              <w:t>-</w:t>
            </w:r>
          </w:p>
        </w:tc>
      </w:tr>
      <w:tr w14:paraId="0BF4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56349">
            <w:r>
              <w:rPr>
                <w:rFonts w:hint="eastAsia"/>
              </w:rPr>
              <w:t>卖出回购金融资产款</w:t>
            </w:r>
          </w:p>
        </w:tc>
        <w:tc>
          <w:tcPr>
            <w:tcW w:w="1384" w:type="dxa"/>
            <w:vAlign w:val="center"/>
          </w:tcPr>
          <w:p w14:paraId="085F9A80">
            <w:pPr>
              <w:jc w:val="right"/>
            </w:pPr>
            <w:r>
              <w:rPr>
                <w:rFonts w:hint="eastAsia"/>
              </w:rPr>
              <w:t>2,502,393.16</w:t>
            </w:r>
          </w:p>
        </w:tc>
        <w:tc>
          <w:tcPr>
            <w:tcW w:w="1384" w:type="dxa"/>
            <w:vAlign w:val="center"/>
          </w:tcPr>
          <w:p w14:paraId="546357C8">
            <w:pPr>
              <w:jc w:val="right"/>
            </w:pPr>
            <w:r>
              <w:rPr>
                <w:rFonts w:hint="eastAsia"/>
              </w:rPr>
              <w:t>-</w:t>
            </w:r>
          </w:p>
        </w:tc>
        <w:tc>
          <w:tcPr>
            <w:tcW w:w="1384" w:type="dxa"/>
            <w:vAlign w:val="center"/>
          </w:tcPr>
          <w:p w14:paraId="3AFF89C1">
            <w:pPr>
              <w:jc w:val="right"/>
            </w:pPr>
            <w:r>
              <w:rPr>
                <w:rFonts w:hint="eastAsia"/>
              </w:rPr>
              <w:t>-</w:t>
            </w:r>
          </w:p>
        </w:tc>
        <w:tc>
          <w:tcPr>
            <w:tcW w:w="1384" w:type="dxa"/>
            <w:vAlign w:val="center"/>
          </w:tcPr>
          <w:p w14:paraId="0F8252FC">
            <w:pPr>
              <w:jc w:val="right"/>
            </w:pPr>
            <w:r>
              <w:rPr>
                <w:rFonts w:hint="eastAsia"/>
              </w:rPr>
              <w:t>-</w:t>
            </w:r>
          </w:p>
        </w:tc>
        <w:tc>
          <w:tcPr>
            <w:tcW w:w="1384" w:type="dxa"/>
            <w:vAlign w:val="center"/>
          </w:tcPr>
          <w:p w14:paraId="74F13E61">
            <w:pPr>
              <w:jc w:val="right"/>
            </w:pPr>
            <w:r>
              <w:rPr>
                <w:rFonts w:hint="eastAsia"/>
              </w:rPr>
              <w:t>2,502,393.16</w:t>
            </w:r>
          </w:p>
        </w:tc>
      </w:tr>
      <w:tr w14:paraId="3E32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18327">
            <w:r>
              <w:rPr>
                <w:rFonts w:hint="eastAsia"/>
              </w:rPr>
              <w:t>应付清算款</w:t>
            </w:r>
          </w:p>
        </w:tc>
        <w:tc>
          <w:tcPr>
            <w:tcW w:w="1384" w:type="dxa"/>
            <w:vAlign w:val="center"/>
          </w:tcPr>
          <w:p w14:paraId="14C42930">
            <w:pPr>
              <w:jc w:val="right"/>
            </w:pPr>
            <w:r>
              <w:rPr>
                <w:rFonts w:hint="eastAsia"/>
              </w:rPr>
              <w:t>-</w:t>
            </w:r>
          </w:p>
        </w:tc>
        <w:tc>
          <w:tcPr>
            <w:tcW w:w="1384" w:type="dxa"/>
            <w:vAlign w:val="center"/>
          </w:tcPr>
          <w:p w14:paraId="11D77C4B">
            <w:pPr>
              <w:jc w:val="right"/>
            </w:pPr>
            <w:r>
              <w:rPr>
                <w:rFonts w:hint="eastAsia"/>
              </w:rPr>
              <w:t>-</w:t>
            </w:r>
          </w:p>
        </w:tc>
        <w:tc>
          <w:tcPr>
            <w:tcW w:w="1384" w:type="dxa"/>
            <w:vAlign w:val="center"/>
          </w:tcPr>
          <w:p w14:paraId="35337B80">
            <w:pPr>
              <w:jc w:val="right"/>
            </w:pPr>
            <w:r>
              <w:rPr>
                <w:rFonts w:hint="eastAsia"/>
              </w:rPr>
              <w:t>-</w:t>
            </w:r>
          </w:p>
        </w:tc>
        <w:tc>
          <w:tcPr>
            <w:tcW w:w="1384" w:type="dxa"/>
            <w:vAlign w:val="center"/>
          </w:tcPr>
          <w:p w14:paraId="6F78CF16">
            <w:pPr>
              <w:jc w:val="right"/>
            </w:pPr>
            <w:r>
              <w:rPr>
                <w:rFonts w:hint="eastAsia"/>
              </w:rPr>
              <w:t>-</w:t>
            </w:r>
          </w:p>
        </w:tc>
        <w:tc>
          <w:tcPr>
            <w:tcW w:w="1384" w:type="dxa"/>
            <w:vAlign w:val="center"/>
          </w:tcPr>
          <w:p w14:paraId="37F9A52B">
            <w:pPr>
              <w:jc w:val="right"/>
            </w:pPr>
            <w:r>
              <w:rPr>
                <w:rFonts w:hint="eastAsia"/>
              </w:rPr>
              <w:t>-</w:t>
            </w:r>
          </w:p>
        </w:tc>
      </w:tr>
      <w:tr w14:paraId="6EB2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4B3F3">
            <w:r>
              <w:rPr>
                <w:rFonts w:hint="eastAsia"/>
              </w:rPr>
              <w:t>应付赎回款</w:t>
            </w:r>
          </w:p>
        </w:tc>
        <w:tc>
          <w:tcPr>
            <w:tcW w:w="1384" w:type="dxa"/>
            <w:vAlign w:val="center"/>
          </w:tcPr>
          <w:p w14:paraId="7CFD7C32">
            <w:pPr>
              <w:jc w:val="right"/>
            </w:pPr>
            <w:r>
              <w:rPr>
                <w:rFonts w:hint="eastAsia"/>
              </w:rPr>
              <w:t>-</w:t>
            </w:r>
          </w:p>
        </w:tc>
        <w:tc>
          <w:tcPr>
            <w:tcW w:w="1384" w:type="dxa"/>
            <w:vAlign w:val="center"/>
          </w:tcPr>
          <w:p w14:paraId="5EB964C2">
            <w:pPr>
              <w:jc w:val="right"/>
            </w:pPr>
            <w:r>
              <w:rPr>
                <w:rFonts w:hint="eastAsia"/>
              </w:rPr>
              <w:t>-</w:t>
            </w:r>
          </w:p>
        </w:tc>
        <w:tc>
          <w:tcPr>
            <w:tcW w:w="1384" w:type="dxa"/>
            <w:vAlign w:val="center"/>
          </w:tcPr>
          <w:p w14:paraId="151997E0">
            <w:pPr>
              <w:jc w:val="right"/>
            </w:pPr>
            <w:r>
              <w:rPr>
                <w:rFonts w:hint="eastAsia"/>
              </w:rPr>
              <w:t>-</w:t>
            </w:r>
          </w:p>
        </w:tc>
        <w:tc>
          <w:tcPr>
            <w:tcW w:w="1384" w:type="dxa"/>
            <w:vAlign w:val="center"/>
          </w:tcPr>
          <w:p w14:paraId="755D2778">
            <w:pPr>
              <w:jc w:val="right"/>
            </w:pPr>
            <w:r>
              <w:rPr>
                <w:rFonts w:hint="eastAsia"/>
              </w:rPr>
              <w:t>3,166,677.08</w:t>
            </w:r>
          </w:p>
        </w:tc>
        <w:tc>
          <w:tcPr>
            <w:tcW w:w="1384" w:type="dxa"/>
            <w:vAlign w:val="center"/>
          </w:tcPr>
          <w:p w14:paraId="64EDCC57">
            <w:pPr>
              <w:jc w:val="right"/>
            </w:pPr>
            <w:r>
              <w:rPr>
                <w:rFonts w:hint="eastAsia"/>
              </w:rPr>
              <w:t>3,166,677.08</w:t>
            </w:r>
          </w:p>
        </w:tc>
      </w:tr>
      <w:tr w14:paraId="047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D67FD">
            <w:r>
              <w:rPr>
                <w:rFonts w:hint="eastAsia"/>
              </w:rPr>
              <w:t>应付管理人报酬</w:t>
            </w:r>
          </w:p>
        </w:tc>
        <w:tc>
          <w:tcPr>
            <w:tcW w:w="1384" w:type="dxa"/>
            <w:vAlign w:val="center"/>
          </w:tcPr>
          <w:p w14:paraId="168A7127">
            <w:pPr>
              <w:jc w:val="right"/>
            </w:pPr>
            <w:r>
              <w:rPr>
                <w:rFonts w:hint="eastAsia"/>
              </w:rPr>
              <w:t>-</w:t>
            </w:r>
          </w:p>
        </w:tc>
        <w:tc>
          <w:tcPr>
            <w:tcW w:w="1384" w:type="dxa"/>
            <w:vAlign w:val="center"/>
          </w:tcPr>
          <w:p w14:paraId="0110440E">
            <w:pPr>
              <w:jc w:val="right"/>
            </w:pPr>
            <w:r>
              <w:rPr>
                <w:rFonts w:hint="eastAsia"/>
              </w:rPr>
              <w:t>-</w:t>
            </w:r>
          </w:p>
        </w:tc>
        <w:tc>
          <w:tcPr>
            <w:tcW w:w="1384" w:type="dxa"/>
            <w:vAlign w:val="center"/>
          </w:tcPr>
          <w:p w14:paraId="189D814E">
            <w:pPr>
              <w:jc w:val="right"/>
            </w:pPr>
            <w:r>
              <w:rPr>
                <w:rFonts w:hint="eastAsia"/>
              </w:rPr>
              <w:t>-</w:t>
            </w:r>
          </w:p>
        </w:tc>
        <w:tc>
          <w:tcPr>
            <w:tcW w:w="1384" w:type="dxa"/>
            <w:vAlign w:val="center"/>
          </w:tcPr>
          <w:p w14:paraId="0543310E">
            <w:pPr>
              <w:jc w:val="right"/>
            </w:pPr>
            <w:r>
              <w:rPr>
                <w:rFonts w:hint="eastAsia"/>
              </w:rPr>
              <w:t>4,055.81</w:t>
            </w:r>
          </w:p>
        </w:tc>
        <w:tc>
          <w:tcPr>
            <w:tcW w:w="1384" w:type="dxa"/>
            <w:vAlign w:val="center"/>
          </w:tcPr>
          <w:p w14:paraId="217DBC85">
            <w:pPr>
              <w:jc w:val="right"/>
            </w:pPr>
            <w:r>
              <w:rPr>
                <w:rFonts w:hint="eastAsia"/>
              </w:rPr>
              <w:t>4,055.81</w:t>
            </w:r>
          </w:p>
        </w:tc>
      </w:tr>
      <w:tr w14:paraId="0496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B5FC9">
            <w:r>
              <w:rPr>
                <w:rFonts w:hint="eastAsia"/>
              </w:rPr>
              <w:t>应付托管费</w:t>
            </w:r>
          </w:p>
        </w:tc>
        <w:tc>
          <w:tcPr>
            <w:tcW w:w="1384" w:type="dxa"/>
            <w:vAlign w:val="center"/>
          </w:tcPr>
          <w:p w14:paraId="0CAAB66C">
            <w:pPr>
              <w:jc w:val="right"/>
            </w:pPr>
            <w:r>
              <w:rPr>
                <w:rFonts w:hint="eastAsia"/>
              </w:rPr>
              <w:t>-</w:t>
            </w:r>
          </w:p>
        </w:tc>
        <w:tc>
          <w:tcPr>
            <w:tcW w:w="1384" w:type="dxa"/>
            <w:vAlign w:val="center"/>
          </w:tcPr>
          <w:p w14:paraId="3D631A53">
            <w:pPr>
              <w:jc w:val="right"/>
            </w:pPr>
            <w:r>
              <w:rPr>
                <w:rFonts w:hint="eastAsia"/>
              </w:rPr>
              <w:t>-</w:t>
            </w:r>
          </w:p>
        </w:tc>
        <w:tc>
          <w:tcPr>
            <w:tcW w:w="1384" w:type="dxa"/>
            <w:vAlign w:val="center"/>
          </w:tcPr>
          <w:p w14:paraId="2FF68828">
            <w:pPr>
              <w:jc w:val="right"/>
            </w:pPr>
            <w:r>
              <w:rPr>
                <w:rFonts w:hint="eastAsia"/>
              </w:rPr>
              <w:t>-</w:t>
            </w:r>
          </w:p>
        </w:tc>
        <w:tc>
          <w:tcPr>
            <w:tcW w:w="1384" w:type="dxa"/>
            <w:vAlign w:val="center"/>
          </w:tcPr>
          <w:p w14:paraId="34642959">
            <w:pPr>
              <w:jc w:val="right"/>
            </w:pPr>
            <w:r>
              <w:rPr>
                <w:rFonts w:hint="eastAsia"/>
              </w:rPr>
              <w:t>1,216.71</w:t>
            </w:r>
          </w:p>
        </w:tc>
        <w:tc>
          <w:tcPr>
            <w:tcW w:w="1384" w:type="dxa"/>
            <w:vAlign w:val="center"/>
          </w:tcPr>
          <w:p w14:paraId="6562267F">
            <w:pPr>
              <w:jc w:val="right"/>
            </w:pPr>
            <w:r>
              <w:rPr>
                <w:rFonts w:hint="eastAsia"/>
              </w:rPr>
              <w:t>1,216.71</w:t>
            </w:r>
          </w:p>
        </w:tc>
      </w:tr>
      <w:tr w14:paraId="736E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39ADB">
            <w:r>
              <w:rPr>
                <w:rFonts w:hint="eastAsia"/>
              </w:rPr>
              <w:t>应付销售服务费</w:t>
            </w:r>
          </w:p>
        </w:tc>
        <w:tc>
          <w:tcPr>
            <w:tcW w:w="1384" w:type="dxa"/>
            <w:vAlign w:val="center"/>
          </w:tcPr>
          <w:p w14:paraId="751B47E5">
            <w:pPr>
              <w:jc w:val="right"/>
            </w:pPr>
            <w:r>
              <w:rPr>
                <w:rFonts w:hint="eastAsia"/>
              </w:rPr>
              <w:t>-</w:t>
            </w:r>
          </w:p>
        </w:tc>
        <w:tc>
          <w:tcPr>
            <w:tcW w:w="1384" w:type="dxa"/>
            <w:vAlign w:val="center"/>
          </w:tcPr>
          <w:p w14:paraId="57895F24">
            <w:pPr>
              <w:jc w:val="right"/>
            </w:pPr>
            <w:r>
              <w:rPr>
                <w:rFonts w:hint="eastAsia"/>
              </w:rPr>
              <w:t>-</w:t>
            </w:r>
          </w:p>
        </w:tc>
        <w:tc>
          <w:tcPr>
            <w:tcW w:w="1384" w:type="dxa"/>
            <w:vAlign w:val="center"/>
          </w:tcPr>
          <w:p w14:paraId="1A35F985">
            <w:pPr>
              <w:jc w:val="right"/>
            </w:pPr>
            <w:r>
              <w:rPr>
                <w:rFonts w:hint="eastAsia"/>
              </w:rPr>
              <w:t>-</w:t>
            </w:r>
          </w:p>
        </w:tc>
        <w:tc>
          <w:tcPr>
            <w:tcW w:w="1384" w:type="dxa"/>
            <w:vAlign w:val="center"/>
          </w:tcPr>
          <w:p w14:paraId="4E14FB2F">
            <w:pPr>
              <w:jc w:val="right"/>
            </w:pPr>
            <w:r>
              <w:rPr>
                <w:rFonts w:hint="eastAsia"/>
              </w:rPr>
              <w:t>26,976.24</w:t>
            </w:r>
          </w:p>
        </w:tc>
        <w:tc>
          <w:tcPr>
            <w:tcW w:w="1384" w:type="dxa"/>
            <w:vAlign w:val="center"/>
          </w:tcPr>
          <w:p w14:paraId="48AF430E">
            <w:pPr>
              <w:jc w:val="right"/>
            </w:pPr>
            <w:r>
              <w:rPr>
                <w:rFonts w:hint="eastAsia"/>
              </w:rPr>
              <w:t>26,976.24</w:t>
            </w:r>
          </w:p>
        </w:tc>
      </w:tr>
      <w:tr w14:paraId="3E46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A7223">
            <w:r>
              <w:rPr>
                <w:rFonts w:hint="eastAsia"/>
              </w:rPr>
              <w:t>应付投资顾问费</w:t>
            </w:r>
          </w:p>
        </w:tc>
        <w:tc>
          <w:tcPr>
            <w:tcW w:w="1384" w:type="dxa"/>
            <w:vAlign w:val="center"/>
          </w:tcPr>
          <w:p w14:paraId="34564749">
            <w:pPr>
              <w:jc w:val="right"/>
            </w:pPr>
            <w:r>
              <w:rPr>
                <w:rFonts w:hint="eastAsia"/>
              </w:rPr>
              <w:t>-</w:t>
            </w:r>
          </w:p>
        </w:tc>
        <w:tc>
          <w:tcPr>
            <w:tcW w:w="1384" w:type="dxa"/>
            <w:vAlign w:val="center"/>
          </w:tcPr>
          <w:p w14:paraId="7E6AF20C">
            <w:pPr>
              <w:jc w:val="right"/>
            </w:pPr>
            <w:r>
              <w:rPr>
                <w:rFonts w:hint="eastAsia"/>
              </w:rPr>
              <w:t>-</w:t>
            </w:r>
          </w:p>
        </w:tc>
        <w:tc>
          <w:tcPr>
            <w:tcW w:w="1384" w:type="dxa"/>
            <w:vAlign w:val="center"/>
          </w:tcPr>
          <w:p w14:paraId="470235BF">
            <w:pPr>
              <w:jc w:val="right"/>
            </w:pPr>
            <w:r>
              <w:rPr>
                <w:rFonts w:hint="eastAsia"/>
              </w:rPr>
              <w:t>-</w:t>
            </w:r>
          </w:p>
        </w:tc>
        <w:tc>
          <w:tcPr>
            <w:tcW w:w="1384" w:type="dxa"/>
            <w:vAlign w:val="center"/>
          </w:tcPr>
          <w:p w14:paraId="78CEEB5E">
            <w:pPr>
              <w:jc w:val="right"/>
            </w:pPr>
            <w:r>
              <w:rPr>
                <w:rFonts w:hint="eastAsia"/>
              </w:rPr>
              <w:t>-</w:t>
            </w:r>
          </w:p>
        </w:tc>
        <w:tc>
          <w:tcPr>
            <w:tcW w:w="1384" w:type="dxa"/>
            <w:vAlign w:val="center"/>
          </w:tcPr>
          <w:p w14:paraId="16CDE4F0">
            <w:pPr>
              <w:jc w:val="right"/>
            </w:pPr>
            <w:r>
              <w:rPr>
                <w:rFonts w:hint="eastAsia"/>
              </w:rPr>
              <w:t>-</w:t>
            </w:r>
          </w:p>
        </w:tc>
      </w:tr>
      <w:tr w14:paraId="4C2F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475B0">
            <w:r>
              <w:rPr>
                <w:rFonts w:hint="eastAsia"/>
              </w:rPr>
              <w:t>应交税费</w:t>
            </w:r>
          </w:p>
        </w:tc>
        <w:tc>
          <w:tcPr>
            <w:tcW w:w="1384" w:type="dxa"/>
            <w:vAlign w:val="center"/>
          </w:tcPr>
          <w:p w14:paraId="462DD6EB">
            <w:pPr>
              <w:jc w:val="right"/>
            </w:pPr>
            <w:r>
              <w:rPr>
                <w:rFonts w:hint="eastAsia"/>
              </w:rPr>
              <w:t>-</w:t>
            </w:r>
          </w:p>
        </w:tc>
        <w:tc>
          <w:tcPr>
            <w:tcW w:w="1384" w:type="dxa"/>
            <w:vAlign w:val="center"/>
          </w:tcPr>
          <w:p w14:paraId="0BA49C2D">
            <w:pPr>
              <w:jc w:val="right"/>
            </w:pPr>
            <w:r>
              <w:rPr>
                <w:rFonts w:hint="eastAsia"/>
              </w:rPr>
              <w:t>-</w:t>
            </w:r>
          </w:p>
        </w:tc>
        <w:tc>
          <w:tcPr>
            <w:tcW w:w="1384" w:type="dxa"/>
            <w:vAlign w:val="center"/>
          </w:tcPr>
          <w:p w14:paraId="0743CB57">
            <w:pPr>
              <w:jc w:val="right"/>
            </w:pPr>
            <w:r>
              <w:rPr>
                <w:rFonts w:hint="eastAsia"/>
              </w:rPr>
              <w:t>-</w:t>
            </w:r>
          </w:p>
        </w:tc>
        <w:tc>
          <w:tcPr>
            <w:tcW w:w="1384" w:type="dxa"/>
            <w:vAlign w:val="center"/>
          </w:tcPr>
          <w:p w14:paraId="46744C4C">
            <w:pPr>
              <w:jc w:val="right"/>
            </w:pPr>
            <w:r>
              <w:rPr>
                <w:rFonts w:hint="eastAsia"/>
              </w:rPr>
              <w:t>956.85</w:t>
            </w:r>
          </w:p>
        </w:tc>
        <w:tc>
          <w:tcPr>
            <w:tcW w:w="1384" w:type="dxa"/>
            <w:vAlign w:val="center"/>
          </w:tcPr>
          <w:p w14:paraId="07A0CD7B">
            <w:pPr>
              <w:jc w:val="right"/>
            </w:pPr>
            <w:r>
              <w:rPr>
                <w:rFonts w:hint="eastAsia"/>
              </w:rPr>
              <w:t>956.85</w:t>
            </w:r>
          </w:p>
        </w:tc>
      </w:tr>
      <w:tr w14:paraId="516C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EB447">
            <w:r>
              <w:rPr>
                <w:rFonts w:hint="eastAsia"/>
              </w:rPr>
              <w:t>应付利润</w:t>
            </w:r>
          </w:p>
        </w:tc>
        <w:tc>
          <w:tcPr>
            <w:tcW w:w="1384" w:type="dxa"/>
            <w:vAlign w:val="center"/>
          </w:tcPr>
          <w:p w14:paraId="33537027">
            <w:pPr>
              <w:jc w:val="right"/>
            </w:pPr>
            <w:r>
              <w:rPr>
                <w:rFonts w:hint="eastAsia"/>
              </w:rPr>
              <w:t>-</w:t>
            </w:r>
          </w:p>
        </w:tc>
        <w:tc>
          <w:tcPr>
            <w:tcW w:w="1384" w:type="dxa"/>
            <w:vAlign w:val="center"/>
          </w:tcPr>
          <w:p w14:paraId="43FA362A">
            <w:pPr>
              <w:jc w:val="right"/>
            </w:pPr>
            <w:r>
              <w:rPr>
                <w:rFonts w:hint="eastAsia"/>
              </w:rPr>
              <w:t>-</w:t>
            </w:r>
          </w:p>
        </w:tc>
        <w:tc>
          <w:tcPr>
            <w:tcW w:w="1384" w:type="dxa"/>
            <w:vAlign w:val="center"/>
          </w:tcPr>
          <w:p w14:paraId="247236B0">
            <w:pPr>
              <w:jc w:val="right"/>
            </w:pPr>
            <w:r>
              <w:rPr>
                <w:rFonts w:hint="eastAsia"/>
              </w:rPr>
              <w:t>-</w:t>
            </w:r>
          </w:p>
        </w:tc>
        <w:tc>
          <w:tcPr>
            <w:tcW w:w="1384" w:type="dxa"/>
            <w:vAlign w:val="center"/>
          </w:tcPr>
          <w:p w14:paraId="292B8407">
            <w:pPr>
              <w:jc w:val="right"/>
            </w:pPr>
            <w:r>
              <w:rPr>
                <w:rFonts w:hint="eastAsia"/>
              </w:rPr>
              <w:t>-</w:t>
            </w:r>
          </w:p>
        </w:tc>
        <w:tc>
          <w:tcPr>
            <w:tcW w:w="1384" w:type="dxa"/>
            <w:vAlign w:val="center"/>
          </w:tcPr>
          <w:p w14:paraId="7D3C90F8">
            <w:pPr>
              <w:jc w:val="right"/>
            </w:pPr>
            <w:r>
              <w:rPr>
                <w:rFonts w:hint="eastAsia"/>
              </w:rPr>
              <w:t>-</w:t>
            </w:r>
          </w:p>
        </w:tc>
      </w:tr>
      <w:tr w14:paraId="2579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CCC46">
            <w:r>
              <w:rPr>
                <w:rFonts w:hint="eastAsia"/>
              </w:rPr>
              <w:t>递延所得税负债</w:t>
            </w:r>
          </w:p>
        </w:tc>
        <w:tc>
          <w:tcPr>
            <w:tcW w:w="1384" w:type="dxa"/>
            <w:vAlign w:val="center"/>
          </w:tcPr>
          <w:p w14:paraId="46684990">
            <w:pPr>
              <w:jc w:val="right"/>
            </w:pPr>
            <w:r>
              <w:rPr>
                <w:rFonts w:hint="eastAsia"/>
              </w:rPr>
              <w:t>-</w:t>
            </w:r>
          </w:p>
        </w:tc>
        <w:tc>
          <w:tcPr>
            <w:tcW w:w="1384" w:type="dxa"/>
            <w:vAlign w:val="center"/>
          </w:tcPr>
          <w:p w14:paraId="13747A4A">
            <w:pPr>
              <w:jc w:val="right"/>
            </w:pPr>
            <w:r>
              <w:rPr>
                <w:rFonts w:hint="eastAsia"/>
              </w:rPr>
              <w:t>-</w:t>
            </w:r>
          </w:p>
        </w:tc>
        <w:tc>
          <w:tcPr>
            <w:tcW w:w="1384" w:type="dxa"/>
            <w:vAlign w:val="center"/>
          </w:tcPr>
          <w:p w14:paraId="518C2955">
            <w:pPr>
              <w:jc w:val="right"/>
            </w:pPr>
            <w:r>
              <w:rPr>
                <w:rFonts w:hint="eastAsia"/>
              </w:rPr>
              <w:t>-</w:t>
            </w:r>
          </w:p>
        </w:tc>
        <w:tc>
          <w:tcPr>
            <w:tcW w:w="1384" w:type="dxa"/>
            <w:vAlign w:val="center"/>
          </w:tcPr>
          <w:p w14:paraId="0339D999">
            <w:pPr>
              <w:jc w:val="right"/>
            </w:pPr>
            <w:r>
              <w:rPr>
                <w:rFonts w:hint="eastAsia"/>
              </w:rPr>
              <w:t>-</w:t>
            </w:r>
          </w:p>
        </w:tc>
        <w:tc>
          <w:tcPr>
            <w:tcW w:w="1384" w:type="dxa"/>
            <w:vAlign w:val="center"/>
          </w:tcPr>
          <w:p w14:paraId="0BFF940B">
            <w:pPr>
              <w:jc w:val="right"/>
            </w:pPr>
            <w:r>
              <w:rPr>
                <w:rFonts w:hint="eastAsia"/>
              </w:rPr>
              <w:t>-</w:t>
            </w:r>
          </w:p>
        </w:tc>
      </w:tr>
      <w:tr w14:paraId="3283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BC08E">
            <w:r>
              <w:rPr>
                <w:rFonts w:hint="eastAsia"/>
              </w:rPr>
              <w:t>其他负债</w:t>
            </w:r>
          </w:p>
        </w:tc>
        <w:tc>
          <w:tcPr>
            <w:tcW w:w="1384" w:type="dxa"/>
            <w:vAlign w:val="center"/>
          </w:tcPr>
          <w:p w14:paraId="32884A14">
            <w:pPr>
              <w:jc w:val="right"/>
            </w:pPr>
            <w:r>
              <w:rPr>
                <w:rFonts w:hint="eastAsia"/>
              </w:rPr>
              <w:t>-</w:t>
            </w:r>
          </w:p>
        </w:tc>
        <w:tc>
          <w:tcPr>
            <w:tcW w:w="1384" w:type="dxa"/>
            <w:vAlign w:val="center"/>
          </w:tcPr>
          <w:p w14:paraId="6EF8E52D">
            <w:pPr>
              <w:jc w:val="right"/>
            </w:pPr>
            <w:r>
              <w:rPr>
                <w:rFonts w:hint="eastAsia"/>
              </w:rPr>
              <w:t>-</w:t>
            </w:r>
          </w:p>
        </w:tc>
        <w:tc>
          <w:tcPr>
            <w:tcW w:w="1384" w:type="dxa"/>
            <w:vAlign w:val="center"/>
          </w:tcPr>
          <w:p w14:paraId="640BE83B">
            <w:pPr>
              <w:jc w:val="right"/>
            </w:pPr>
            <w:r>
              <w:rPr>
                <w:rFonts w:hint="eastAsia"/>
              </w:rPr>
              <w:t>-</w:t>
            </w:r>
          </w:p>
        </w:tc>
        <w:tc>
          <w:tcPr>
            <w:tcW w:w="1384" w:type="dxa"/>
            <w:vAlign w:val="center"/>
          </w:tcPr>
          <w:p w14:paraId="39F0625E">
            <w:pPr>
              <w:jc w:val="right"/>
            </w:pPr>
            <w:r>
              <w:rPr>
                <w:rFonts w:hint="eastAsia"/>
              </w:rPr>
              <w:t>130,000.00</w:t>
            </w:r>
          </w:p>
        </w:tc>
        <w:tc>
          <w:tcPr>
            <w:tcW w:w="1384" w:type="dxa"/>
            <w:vAlign w:val="center"/>
          </w:tcPr>
          <w:p w14:paraId="1FF7EDD4">
            <w:pPr>
              <w:jc w:val="right"/>
            </w:pPr>
            <w:r>
              <w:rPr>
                <w:rFonts w:hint="eastAsia"/>
              </w:rPr>
              <w:t>130,000.00</w:t>
            </w:r>
          </w:p>
        </w:tc>
      </w:tr>
      <w:tr w14:paraId="4931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4BF31">
            <w:r>
              <w:rPr>
                <w:rFonts w:hint="eastAsia"/>
              </w:rPr>
              <w:t>负债总计</w:t>
            </w:r>
          </w:p>
        </w:tc>
        <w:tc>
          <w:tcPr>
            <w:tcW w:w="1384" w:type="dxa"/>
            <w:vAlign w:val="center"/>
          </w:tcPr>
          <w:p w14:paraId="03A4B02F">
            <w:pPr>
              <w:jc w:val="right"/>
            </w:pPr>
            <w:r>
              <w:rPr>
                <w:rFonts w:hint="eastAsia"/>
              </w:rPr>
              <w:t>2,502,393.16</w:t>
            </w:r>
          </w:p>
        </w:tc>
        <w:tc>
          <w:tcPr>
            <w:tcW w:w="1384" w:type="dxa"/>
            <w:vAlign w:val="center"/>
          </w:tcPr>
          <w:p w14:paraId="4B415470">
            <w:pPr>
              <w:jc w:val="right"/>
            </w:pPr>
            <w:r>
              <w:rPr>
                <w:rFonts w:hint="eastAsia"/>
              </w:rPr>
              <w:t>-</w:t>
            </w:r>
          </w:p>
        </w:tc>
        <w:tc>
          <w:tcPr>
            <w:tcW w:w="1384" w:type="dxa"/>
            <w:vAlign w:val="center"/>
          </w:tcPr>
          <w:p w14:paraId="1F81C93A">
            <w:pPr>
              <w:jc w:val="right"/>
            </w:pPr>
            <w:r>
              <w:rPr>
                <w:rFonts w:hint="eastAsia"/>
              </w:rPr>
              <w:t>-</w:t>
            </w:r>
          </w:p>
        </w:tc>
        <w:tc>
          <w:tcPr>
            <w:tcW w:w="1384" w:type="dxa"/>
            <w:vAlign w:val="center"/>
          </w:tcPr>
          <w:p w14:paraId="0C36DA61">
            <w:pPr>
              <w:jc w:val="right"/>
            </w:pPr>
            <w:r>
              <w:rPr>
                <w:rFonts w:hint="eastAsia"/>
              </w:rPr>
              <w:t>3,329,882.69</w:t>
            </w:r>
          </w:p>
        </w:tc>
        <w:tc>
          <w:tcPr>
            <w:tcW w:w="1384" w:type="dxa"/>
            <w:vAlign w:val="center"/>
          </w:tcPr>
          <w:p w14:paraId="3A0F1953">
            <w:pPr>
              <w:jc w:val="right"/>
            </w:pPr>
            <w:r>
              <w:rPr>
                <w:rFonts w:hint="eastAsia"/>
              </w:rPr>
              <w:t>5,832,275.85</w:t>
            </w:r>
          </w:p>
        </w:tc>
      </w:tr>
      <w:tr w14:paraId="7C71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3626E">
            <w:r>
              <w:rPr>
                <w:rFonts w:hint="eastAsia"/>
              </w:rPr>
              <w:t>利率敏感度缺口</w:t>
            </w:r>
          </w:p>
        </w:tc>
        <w:tc>
          <w:tcPr>
            <w:tcW w:w="1384" w:type="dxa"/>
            <w:vAlign w:val="center"/>
          </w:tcPr>
          <w:p w14:paraId="0CAED126">
            <w:pPr>
              <w:jc w:val="right"/>
            </w:pPr>
            <w:r>
              <w:rPr>
                <w:rFonts w:hint="eastAsia"/>
              </w:rPr>
              <w:t>11,433,459.52</w:t>
            </w:r>
          </w:p>
        </w:tc>
        <w:tc>
          <w:tcPr>
            <w:tcW w:w="1384" w:type="dxa"/>
            <w:vAlign w:val="center"/>
          </w:tcPr>
          <w:p w14:paraId="348E823B">
            <w:pPr>
              <w:jc w:val="right"/>
            </w:pPr>
            <w:r>
              <w:rPr>
                <w:rFonts w:hint="eastAsia"/>
              </w:rPr>
              <w:t>-</w:t>
            </w:r>
          </w:p>
        </w:tc>
        <w:tc>
          <w:tcPr>
            <w:tcW w:w="1384" w:type="dxa"/>
            <w:vAlign w:val="center"/>
          </w:tcPr>
          <w:p w14:paraId="54189864">
            <w:pPr>
              <w:jc w:val="right"/>
            </w:pPr>
            <w:r>
              <w:rPr>
                <w:rFonts w:hint="eastAsia"/>
              </w:rPr>
              <w:t>-</w:t>
            </w:r>
          </w:p>
        </w:tc>
        <w:tc>
          <w:tcPr>
            <w:tcW w:w="1384" w:type="dxa"/>
            <w:vAlign w:val="center"/>
          </w:tcPr>
          <w:p w14:paraId="72577CED">
            <w:pPr>
              <w:jc w:val="right"/>
            </w:pPr>
            <w:r>
              <w:rPr>
                <w:rFonts w:hint="eastAsia"/>
              </w:rPr>
              <w:t>170,403,884.20</w:t>
            </w:r>
          </w:p>
        </w:tc>
        <w:tc>
          <w:tcPr>
            <w:tcW w:w="1384" w:type="dxa"/>
            <w:vAlign w:val="center"/>
          </w:tcPr>
          <w:p w14:paraId="6624A02D">
            <w:pPr>
              <w:jc w:val="right"/>
            </w:pPr>
            <w:r>
              <w:rPr>
                <w:rFonts w:hint="eastAsia"/>
              </w:rPr>
              <w:t>181,837,343.72</w:t>
            </w:r>
          </w:p>
        </w:tc>
      </w:tr>
      <w:tr w14:paraId="5791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355B1">
            <w:r>
              <w:rPr>
                <w:rFonts w:hint="eastAsia"/>
              </w:rPr>
              <w:t>上年度末2024年12月31日</w:t>
            </w:r>
          </w:p>
        </w:tc>
        <w:tc>
          <w:tcPr>
            <w:tcW w:w="1384" w:type="dxa"/>
            <w:vAlign w:val="center"/>
          </w:tcPr>
          <w:p w14:paraId="5A008CDB">
            <w:r>
              <w:rPr>
                <w:rFonts w:hint="eastAsia"/>
              </w:rPr>
              <w:t>1年以内</w:t>
            </w:r>
          </w:p>
        </w:tc>
        <w:tc>
          <w:tcPr>
            <w:tcW w:w="1384" w:type="dxa"/>
            <w:vAlign w:val="center"/>
          </w:tcPr>
          <w:p w14:paraId="4915A5AE">
            <w:r>
              <w:rPr>
                <w:rFonts w:hint="eastAsia"/>
              </w:rPr>
              <w:t>1-5年</w:t>
            </w:r>
          </w:p>
        </w:tc>
        <w:tc>
          <w:tcPr>
            <w:tcW w:w="1384" w:type="dxa"/>
            <w:vAlign w:val="center"/>
          </w:tcPr>
          <w:p w14:paraId="795369AD">
            <w:r>
              <w:rPr>
                <w:rFonts w:hint="eastAsia"/>
              </w:rPr>
              <w:t>5年以上</w:t>
            </w:r>
          </w:p>
        </w:tc>
        <w:tc>
          <w:tcPr>
            <w:tcW w:w="1384" w:type="dxa"/>
            <w:vAlign w:val="center"/>
          </w:tcPr>
          <w:p w14:paraId="648E8871">
            <w:r>
              <w:rPr>
                <w:rFonts w:hint="eastAsia"/>
              </w:rPr>
              <w:t>不计息</w:t>
            </w:r>
          </w:p>
        </w:tc>
        <w:tc>
          <w:tcPr>
            <w:tcW w:w="1384" w:type="dxa"/>
            <w:vAlign w:val="center"/>
          </w:tcPr>
          <w:p w14:paraId="1B58B0D2">
            <w:r>
              <w:rPr>
                <w:rFonts w:hint="eastAsia"/>
              </w:rPr>
              <w:t>合计</w:t>
            </w:r>
          </w:p>
        </w:tc>
      </w:tr>
      <w:tr w14:paraId="0EC6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DC1D6">
            <w:r>
              <w:rPr>
                <w:rFonts w:hint="eastAsia"/>
              </w:rPr>
              <w:t>资产</w:t>
            </w:r>
          </w:p>
        </w:tc>
        <w:tc>
          <w:tcPr>
            <w:tcW w:w="1384" w:type="dxa"/>
            <w:vAlign w:val="center"/>
          </w:tcPr>
          <w:p w14:paraId="6914CA48"/>
        </w:tc>
        <w:tc>
          <w:tcPr>
            <w:tcW w:w="1384" w:type="dxa"/>
            <w:vAlign w:val="center"/>
          </w:tcPr>
          <w:p w14:paraId="2EA81F2D"/>
        </w:tc>
        <w:tc>
          <w:tcPr>
            <w:tcW w:w="1384" w:type="dxa"/>
            <w:vAlign w:val="center"/>
          </w:tcPr>
          <w:p w14:paraId="210DA7FB"/>
        </w:tc>
        <w:tc>
          <w:tcPr>
            <w:tcW w:w="1384" w:type="dxa"/>
            <w:vAlign w:val="center"/>
          </w:tcPr>
          <w:p w14:paraId="42109C49"/>
        </w:tc>
        <w:tc>
          <w:tcPr>
            <w:tcW w:w="1384" w:type="dxa"/>
            <w:vAlign w:val="center"/>
          </w:tcPr>
          <w:p w14:paraId="1381B3FA"/>
        </w:tc>
      </w:tr>
      <w:tr w14:paraId="0849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BFD7F">
            <w:r>
              <w:rPr>
                <w:rFonts w:hint="eastAsia"/>
              </w:rPr>
              <w:t>货币资金</w:t>
            </w:r>
          </w:p>
        </w:tc>
        <w:tc>
          <w:tcPr>
            <w:tcW w:w="1384" w:type="dxa"/>
            <w:vAlign w:val="center"/>
          </w:tcPr>
          <w:p w14:paraId="7C596DAD">
            <w:pPr>
              <w:jc w:val="right"/>
            </w:pPr>
            <w:r>
              <w:rPr>
                <w:rFonts w:hint="eastAsia"/>
              </w:rPr>
              <w:t>1,460,991.21</w:t>
            </w:r>
          </w:p>
        </w:tc>
        <w:tc>
          <w:tcPr>
            <w:tcW w:w="1384" w:type="dxa"/>
            <w:vAlign w:val="center"/>
          </w:tcPr>
          <w:p w14:paraId="5CE630C0">
            <w:pPr>
              <w:jc w:val="right"/>
            </w:pPr>
            <w:r>
              <w:rPr>
                <w:rFonts w:hint="eastAsia"/>
              </w:rPr>
              <w:t>-</w:t>
            </w:r>
          </w:p>
        </w:tc>
        <w:tc>
          <w:tcPr>
            <w:tcW w:w="1384" w:type="dxa"/>
            <w:vAlign w:val="center"/>
          </w:tcPr>
          <w:p w14:paraId="48F4C6AF">
            <w:pPr>
              <w:jc w:val="right"/>
            </w:pPr>
            <w:r>
              <w:rPr>
                <w:rFonts w:hint="eastAsia"/>
              </w:rPr>
              <w:t>-</w:t>
            </w:r>
          </w:p>
        </w:tc>
        <w:tc>
          <w:tcPr>
            <w:tcW w:w="1384" w:type="dxa"/>
            <w:vAlign w:val="center"/>
          </w:tcPr>
          <w:p w14:paraId="60BABDCA">
            <w:pPr>
              <w:jc w:val="right"/>
            </w:pPr>
            <w:r>
              <w:rPr>
                <w:rFonts w:hint="eastAsia"/>
              </w:rPr>
              <w:t>-</w:t>
            </w:r>
          </w:p>
        </w:tc>
        <w:tc>
          <w:tcPr>
            <w:tcW w:w="1384" w:type="dxa"/>
            <w:vAlign w:val="center"/>
          </w:tcPr>
          <w:p w14:paraId="1F52138A">
            <w:pPr>
              <w:jc w:val="right"/>
            </w:pPr>
            <w:r>
              <w:rPr>
                <w:rFonts w:hint="eastAsia"/>
              </w:rPr>
              <w:t>1,460,991.21</w:t>
            </w:r>
          </w:p>
        </w:tc>
      </w:tr>
      <w:tr w14:paraId="223E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5E03E">
            <w:r>
              <w:rPr>
                <w:rFonts w:hint="eastAsia"/>
              </w:rPr>
              <w:t>结算备付金</w:t>
            </w:r>
          </w:p>
        </w:tc>
        <w:tc>
          <w:tcPr>
            <w:tcW w:w="1384" w:type="dxa"/>
            <w:vAlign w:val="center"/>
          </w:tcPr>
          <w:p w14:paraId="0F1630CC">
            <w:pPr>
              <w:jc w:val="right"/>
            </w:pPr>
            <w:r>
              <w:rPr>
                <w:rFonts w:hint="eastAsia"/>
              </w:rPr>
              <w:t>45,592.12</w:t>
            </w:r>
          </w:p>
        </w:tc>
        <w:tc>
          <w:tcPr>
            <w:tcW w:w="1384" w:type="dxa"/>
            <w:vAlign w:val="center"/>
          </w:tcPr>
          <w:p w14:paraId="279175BE">
            <w:pPr>
              <w:jc w:val="right"/>
            </w:pPr>
            <w:r>
              <w:rPr>
                <w:rFonts w:hint="eastAsia"/>
              </w:rPr>
              <w:t>-</w:t>
            </w:r>
          </w:p>
        </w:tc>
        <w:tc>
          <w:tcPr>
            <w:tcW w:w="1384" w:type="dxa"/>
            <w:vAlign w:val="center"/>
          </w:tcPr>
          <w:p w14:paraId="6391AB39">
            <w:pPr>
              <w:jc w:val="right"/>
            </w:pPr>
            <w:r>
              <w:rPr>
                <w:rFonts w:hint="eastAsia"/>
              </w:rPr>
              <w:t>-</w:t>
            </w:r>
          </w:p>
        </w:tc>
        <w:tc>
          <w:tcPr>
            <w:tcW w:w="1384" w:type="dxa"/>
            <w:vAlign w:val="center"/>
          </w:tcPr>
          <w:p w14:paraId="0469A519">
            <w:pPr>
              <w:jc w:val="right"/>
            </w:pPr>
            <w:r>
              <w:rPr>
                <w:rFonts w:hint="eastAsia"/>
              </w:rPr>
              <w:t>-</w:t>
            </w:r>
          </w:p>
        </w:tc>
        <w:tc>
          <w:tcPr>
            <w:tcW w:w="1384" w:type="dxa"/>
            <w:vAlign w:val="center"/>
          </w:tcPr>
          <w:p w14:paraId="299669FD">
            <w:pPr>
              <w:jc w:val="right"/>
            </w:pPr>
            <w:r>
              <w:rPr>
                <w:rFonts w:hint="eastAsia"/>
              </w:rPr>
              <w:t>45,592.12</w:t>
            </w:r>
          </w:p>
        </w:tc>
      </w:tr>
      <w:tr w14:paraId="3CAD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8ACEB">
            <w:r>
              <w:rPr>
                <w:rFonts w:hint="eastAsia"/>
              </w:rPr>
              <w:t>存出保证金</w:t>
            </w:r>
          </w:p>
        </w:tc>
        <w:tc>
          <w:tcPr>
            <w:tcW w:w="1384" w:type="dxa"/>
            <w:vAlign w:val="center"/>
          </w:tcPr>
          <w:p w14:paraId="78D0BCC3">
            <w:pPr>
              <w:jc w:val="right"/>
            </w:pPr>
            <w:r>
              <w:rPr>
                <w:rFonts w:hint="eastAsia"/>
              </w:rPr>
              <w:t>7,985.15</w:t>
            </w:r>
          </w:p>
        </w:tc>
        <w:tc>
          <w:tcPr>
            <w:tcW w:w="1384" w:type="dxa"/>
            <w:vAlign w:val="center"/>
          </w:tcPr>
          <w:p w14:paraId="5EF5F704">
            <w:pPr>
              <w:jc w:val="right"/>
            </w:pPr>
            <w:r>
              <w:rPr>
                <w:rFonts w:hint="eastAsia"/>
              </w:rPr>
              <w:t>-</w:t>
            </w:r>
          </w:p>
        </w:tc>
        <w:tc>
          <w:tcPr>
            <w:tcW w:w="1384" w:type="dxa"/>
            <w:vAlign w:val="center"/>
          </w:tcPr>
          <w:p w14:paraId="3A2D3A20">
            <w:pPr>
              <w:jc w:val="right"/>
            </w:pPr>
            <w:r>
              <w:rPr>
                <w:rFonts w:hint="eastAsia"/>
              </w:rPr>
              <w:t>-</w:t>
            </w:r>
          </w:p>
        </w:tc>
        <w:tc>
          <w:tcPr>
            <w:tcW w:w="1384" w:type="dxa"/>
            <w:vAlign w:val="center"/>
          </w:tcPr>
          <w:p w14:paraId="0B84E30B">
            <w:pPr>
              <w:jc w:val="right"/>
            </w:pPr>
            <w:r>
              <w:rPr>
                <w:rFonts w:hint="eastAsia"/>
              </w:rPr>
              <w:t>-</w:t>
            </w:r>
          </w:p>
        </w:tc>
        <w:tc>
          <w:tcPr>
            <w:tcW w:w="1384" w:type="dxa"/>
            <w:vAlign w:val="center"/>
          </w:tcPr>
          <w:p w14:paraId="0AFE6F7A">
            <w:pPr>
              <w:jc w:val="right"/>
            </w:pPr>
            <w:r>
              <w:rPr>
                <w:rFonts w:hint="eastAsia"/>
              </w:rPr>
              <w:t>7,985.15</w:t>
            </w:r>
          </w:p>
        </w:tc>
      </w:tr>
      <w:tr w14:paraId="24BC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6B502">
            <w:r>
              <w:rPr>
                <w:rFonts w:hint="eastAsia"/>
              </w:rPr>
              <w:t>交易性金融资产</w:t>
            </w:r>
          </w:p>
        </w:tc>
        <w:tc>
          <w:tcPr>
            <w:tcW w:w="1384" w:type="dxa"/>
            <w:vAlign w:val="center"/>
          </w:tcPr>
          <w:p w14:paraId="479A888B">
            <w:pPr>
              <w:jc w:val="right"/>
            </w:pPr>
            <w:r>
              <w:rPr>
                <w:rFonts w:hint="eastAsia"/>
              </w:rPr>
              <w:t>-</w:t>
            </w:r>
          </w:p>
        </w:tc>
        <w:tc>
          <w:tcPr>
            <w:tcW w:w="1384" w:type="dxa"/>
            <w:vAlign w:val="center"/>
          </w:tcPr>
          <w:p w14:paraId="27AFE277">
            <w:pPr>
              <w:jc w:val="right"/>
            </w:pPr>
            <w:r>
              <w:rPr>
                <w:rFonts w:hint="eastAsia"/>
              </w:rPr>
              <w:t>-</w:t>
            </w:r>
          </w:p>
        </w:tc>
        <w:tc>
          <w:tcPr>
            <w:tcW w:w="1384" w:type="dxa"/>
            <w:vAlign w:val="center"/>
          </w:tcPr>
          <w:p w14:paraId="79278889">
            <w:pPr>
              <w:jc w:val="right"/>
            </w:pPr>
            <w:r>
              <w:rPr>
                <w:rFonts w:hint="eastAsia"/>
              </w:rPr>
              <w:t>-</w:t>
            </w:r>
          </w:p>
        </w:tc>
        <w:tc>
          <w:tcPr>
            <w:tcW w:w="1384" w:type="dxa"/>
            <w:vAlign w:val="center"/>
          </w:tcPr>
          <w:p w14:paraId="5DB5E0C2">
            <w:pPr>
              <w:jc w:val="right"/>
            </w:pPr>
            <w:r>
              <w:rPr>
                <w:rFonts w:hint="eastAsia"/>
              </w:rPr>
              <w:t>25,396,884.06</w:t>
            </w:r>
          </w:p>
        </w:tc>
        <w:tc>
          <w:tcPr>
            <w:tcW w:w="1384" w:type="dxa"/>
            <w:vAlign w:val="center"/>
          </w:tcPr>
          <w:p w14:paraId="0A40ADC9">
            <w:pPr>
              <w:jc w:val="right"/>
            </w:pPr>
            <w:r>
              <w:rPr>
                <w:rFonts w:hint="eastAsia"/>
              </w:rPr>
              <w:t>25,396,884.06</w:t>
            </w:r>
          </w:p>
        </w:tc>
      </w:tr>
      <w:tr w14:paraId="6FE0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E4039">
            <w:r>
              <w:rPr>
                <w:rFonts w:hint="eastAsia"/>
              </w:rPr>
              <w:t>衍生金融资产</w:t>
            </w:r>
          </w:p>
        </w:tc>
        <w:tc>
          <w:tcPr>
            <w:tcW w:w="1384" w:type="dxa"/>
            <w:vAlign w:val="center"/>
          </w:tcPr>
          <w:p w14:paraId="0889155A">
            <w:pPr>
              <w:jc w:val="right"/>
            </w:pPr>
            <w:r>
              <w:rPr>
                <w:rFonts w:hint="eastAsia"/>
              </w:rPr>
              <w:t>-</w:t>
            </w:r>
          </w:p>
        </w:tc>
        <w:tc>
          <w:tcPr>
            <w:tcW w:w="1384" w:type="dxa"/>
            <w:vAlign w:val="center"/>
          </w:tcPr>
          <w:p w14:paraId="22241426">
            <w:pPr>
              <w:jc w:val="right"/>
            </w:pPr>
            <w:r>
              <w:rPr>
                <w:rFonts w:hint="eastAsia"/>
              </w:rPr>
              <w:t>-</w:t>
            </w:r>
          </w:p>
        </w:tc>
        <w:tc>
          <w:tcPr>
            <w:tcW w:w="1384" w:type="dxa"/>
            <w:vAlign w:val="center"/>
          </w:tcPr>
          <w:p w14:paraId="252E9D41">
            <w:pPr>
              <w:jc w:val="right"/>
            </w:pPr>
            <w:r>
              <w:rPr>
                <w:rFonts w:hint="eastAsia"/>
              </w:rPr>
              <w:t>-</w:t>
            </w:r>
          </w:p>
        </w:tc>
        <w:tc>
          <w:tcPr>
            <w:tcW w:w="1384" w:type="dxa"/>
            <w:vAlign w:val="center"/>
          </w:tcPr>
          <w:p w14:paraId="62CB411F">
            <w:pPr>
              <w:jc w:val="right"/>
            </w:pPr>
            <w:r>
              <w:rPr>
                <w:rFonts w:hint="eastAsia"/>
              </w:rPr>
              <w:t>-</w:t>
            </w:r>
          </w:p>
        </w:tc>
        <w:tc>
          <w:tcPr>
            <w:tcW w:w="1384" w:type="dxa"/>
            <w:vAlign w:val="center"/>
          </w:tcPr>
          <w:p w14:paraId="6C216F21">
            <w:pPr>
              <w:jc w:val="right"/>
            </w:pPr>
            <w:r>
              <w:rPr>
                <w:rFonts w:hint="eastAsia"/>
              </w:rPr>
              <w:t>-</w:t>
            </w:r>
          </w:p>
        </w:tc>
      </w:tr>
      <w:tr w14:paraId="16B2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37490">
            <w:r>
              <w:rPr>
                <w:rFonts w:hint="eastAsia"/>
              </w:rPr>
              <w:t>买入返售金融资产</w:t>
            </w:r>
          </w:p>
        </w:tc>
        <w:tc>
          <w:tcPr>
            <w:tcW w:w="1384" w:type="dxa"/>
            <w:vAlign w:val="center"/>
          </w:tcPr>
          <w:p w14:paraId="748D6118">
            <w:pPr>
              <w:jc w:val="right"/>
            </w:pPr>
            <w:r>
              <w:rPr>
                <w:rFonts w:hint="eastAsia"/>
              </w:rPr>
              <w:t>-</w:t>
            </w:r>
          </w:p>
        </w:tc>
        <w:tc>
          <w:tcPr>
            <w:tcW w:w="1384" w:type="dxa"/>
            <w:vAlign w:val="center"/>
          </w:tcPr>
          <w:p w14:paraId="447DEE0B">
            <w:pPr>
              <w:jc w:val="right"/>
            </w:pPr>
            <w:r>
              <w:rPr>
                <w:rFonts w:hint="eastAsia"/>
              </w:rPr>
              <w:t>-</w:t>
            </w:r>
          </w:p>
        </w:tc>
        <w:tc>
          <w:tcPr>
            <w:tcW w:w="1384" w:type="dxa"/>
            <w:vAlign w:val="center"/>
          </w:tcPr>
          <w:p w14:paraId="314FB479">
            <w:pPr>
              <w:jc w:val="right"/>
            </w:pPr>
            <w:r>
              <w:rPr>
                <w:rFonts w:hint="eastAsia"/>
              </w:rPr>
              <w:t>-</w:t>
            </w:r>
          </w:p>
        </w:tc>
        <w:tc>
          <w:tcPr>
            <w:tcW w:w="1384" w:type="dxa"/>
            <w:vAlign w:val="center"/>
          </w:tcPr>
          <w:p w14:paraId="4A6C311B">
            <w:pPr>
              <w:jc w:val="right"/>
            </w:pPr>
            <w:r>
              <w:rPr>
                <w:rFonts w:hint="eastAsia"/>
              </w:rPr>
              <w:t>-</w:t>
            </w:r>
          </w:p>
        </w:tc>
        <w:tc>
          <w:tcPr>
            <w:tcW w:w="1384" w:type="dxa"/>
            <w:vAlign w:val="center"/>
          </w:tcPr>
          <w:p w14:paraId="708272BB">
            <w:pPr>
              <w:jc w:val="right"/>
            </w:pPr>
            <w:r>
              <w:rPr>
                <w:rFonts w:hint="eastAsia"/>
              </w:rPr>
              <w:t>-</w:t>
            </w:r>
          </w:p>
        </w:tc>
      </w:tr>
      <w:tr w14:paraId="3A88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03C20">
            <w:r>
              <w:rPr>
                <w:rFonts w:hint="eastAsia"/>
              </w:rPr>
              <w:t>债权投资</w:t>
            </w:r>
          </w:p>
        </w:tc>
        <w:tc>
          <w:tcPr>
            <w:tcW w:w="1384" w:type="dxa"/>
            <w:vAlign w:val="center"/>
          </w:tcPr>
          <w:p w14:paraId="3E684CCA">
            <w:pPr>
              <w:jc w:val="right"/>
            </w:pPr>
            <w:r>
              <w:rPr>
                <w:rFonts w:hint="eastAsia"/>
              </w:rPr>
              <w:t>-</w:t>
            </w:r>
          </w:p>
        </w:tc>
        <w:tc>
          <w:tcPr>
            <w:tcW w:w="1384" w:type="dxa"/>
            <w:vAlign w:val="center"/>
          </w:tcPr>
          <w:p w14:paraId="6FDE502B">
            <w:pPr>
              <w:jc w:val="right"/>
            </w:pPr>
            <w:r>
              <w:rPr>
                <w:rFonts w:hint="eastAsia"/>
              </w:rPr>
              <w:t>-</w:t>
            </w:r>
          </w:p>
        </w:tc>
        <w:tc>
          <w:tcPr>
            <w:tcW w:w="1384" w:type="dxa"/>
            <w:vAlign w:val="center"/>
          </w:tcPr>
          <w:p w14:paraId="1AD883F6">
            <w:pPr>
              <w:jc w:val="right"/>
            </w:pPr>
            <w:r>
              <w:rPr>
                <w:rFonts w:hint="eastAsia"/>
              </w:rPr>
              <w:t>-</w:t>
            </w:r>
          </w:p>
        </w:tc>
        <w:tc>
          <w:tcPr>
            <w:tcW w:w="1384" w:type="dxa"/>
            <w:vAlign w:val="center"/>
          </w:tcPr>
          <w:p w14:paraId="27A0269D">
            <w:pPr>
              <w:jc w:val="right"/>
            </w:pPr>
            <w:r>
              <w:rPr>
                <w:rFonts w:hint="eastAsia"/>
              </w:rPr>
              <w:t>-</w:t>
            </w:r>
          </w:p>
        </w:tc>
        <w:tc>
          <w:tcPr>
            <w:tcW w:w="1384" w:type="dxa"/>
            <w:vAlign w:val="center"/>
          </w:tcPr>
          <w:p w14:paraId="5D10E254">
            <w:pPr>
              <w:jc w:val="right"/>
            </w:pPr>
            <w:r>
              <w:rPr>
                <w:rFonts w:hint="eastAsia"/>
              </w:rPr>
              <w:t>-</w:t>
            </w:r>
          </w:p>
        </w:tc>
      </w:tr>
      <w:tr w14:paraId="0FDD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3CB86">
            <w:r>
              <w:rPr>
                <w:rFonts w:hint="eastAsia"/>
              </w:rPr>
              <w:t>其他债权投资</w:t>
            </w:r>
          </w:p>
        </w:tc>
        <w:tc>
          <w:tcPr>
            <w:tcW w:w="1384" w:type="dxa"/>
            <w:vAlign w:val="center"/>
          </w:tcPr>
          <w:p w14:paraId="58C1AF05">
            <w:pPr>
              <w:jc w:val="right"/>
            </w:pPr>
            <w:r>
              <w:rPr>
                <w:rFonts w:hint="eastAsia"/>
              </w:rPr>
              <w:t>-</w:t>
            </w:r>
          </w:p>
        </w:tc>
        <w:tc>
          <w:tcPr>
            <w:tcW w:w="1384" w:type="dxa"/>
            <w:vAlign w:val="center"/>
          </w:tcPr>
          <w:p w14:paraId="426C3B9B">
            <w:pPr>
              <w:jc w:val="right"/>
            </w:pPr>
            <w:r>
              <w:rPr>
                <w:rFonts w:hint="eastAsia"/>
              </w:rPr>
              <w:t>-</w:t>
            </w:r>
          </w:p>
        </w:tc>
        <w:tc>
          <w:tcPr>
            <w:tcW w:w="1384" w:type="dxa"/>
            <w:vAlign w:val="center"/>
          </w:tcPr>
          <w:p w14:paraId="509AEF35">
            <w:pPr>
              <w:jc w:val="right"/>
            </w:pPr>
            <w:r>
              <w:rPr>
                <w:rFonts w:hint="eastAsia"/>
              </w:rPr>
              <w:t>-</w:t>
            </w:r>
          </w:p>
        </w:tc>
        <w:tc>
          <w:tcPr>
            <w:tcW w:w="1384" w:type="dxa"/>
            <w:vAlign w:val="center"/>
          </w:tcPr>
          <w:p w14:paraId="7F2C474C">
            <w:pPr>
              <w:jc w:val="right"/>
            </w:pPr>
            <w:r>
              <w:rPr>
                <w:rFonts w:hint="eastAsia"/>
              </w:rPr>
              <w:t>-</w:t>
            </w:r>
          </w:p>
        </w:tc>
        <w:tc>
          <w:tcPr>
            <w:tcW w:w="1384" w:type="dxa"/>
            <w:vAlign w:val="center"/>
          </w:tcPr>
          <w:p w14:paraId="4FB97F45">
            <w:pPr>
              <w:jc w:val="right"/>
            </w:pPr>
            <w:r>
              <w:rPr>
                <w:rFonts w:hint="eastAsia"/>
              </w:rPr>
              <w:t>-</w:t>
            </w:r>
          </w:p>
        </w:tc>
      </w:tr>
      <w:tr w14:paraId="3F8B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0B717">
            <w:r>
              <w:rPr>
                <w:rFonts w:hint="eastAsia"/>
              </w:rPr>
              <w:t>其他权益工具投资</w:t>
            </w:r>
          </w:p>
        </w:tc>
        <w:tc>
          <w:tcPr>
            <w:tcW w:w="1384" w:type="dxa"/>
            <w:vAlign w:val="center"/>
          </w:tcPr>
          <w:p w14:paraId="5F993F01">
            <w:pPr>
              <w:jc w:val="right"/>
            </w:pPr>
            <w:r>
              <w:rPr>
                <w:rFonts w:hint="eastAsia"/>
              </w:rPr>
              <w:t>-</w:t>
            </w:r>
          </w:p>
        </w:tc>
        <w:tc>
          <w:tcPr>
            <w:tcW w:w="1384" w:type="dxa"/>
            <w:vAlign w:val="center"/>
          </w:tcPr>
          <w:p w14:paraId="2DE25729">
            <w:pPr>
              <w:jc w:val="right"/>
            </w:pPr>
            <w:r>
              <w:rPr>
                <w:rFonts w:hint="eastAsia"/>
              </w:rPr>
              <w:t>-</w:t>
            </w:r>
          </w:p>
        </w:tc>
        <w:tc>
          <w:tcPr>
            <w:tcW w:w="1384" w:type="dxa"/>
            <w:vAlign w:val="center"/>
          </w:tcPr>
          <w:p w14:paraId="64ED7173">
            <w:pPr>
              <w:jc w:val="right"/>
            </w:pPr>
            <w:r>
              <w:rPr>
                <w:rFonts w:hint="eastAsia"/>
              </w:rPr>
              <w:t>-</w:t>
            </w:r>
          </w:p>
        </w:tc>
        <w:tc>
          <w:tcPr>
            <w:tcW w:w="1384" w:type="dxa"/>
            <w:vAlign w:val="center"/>
          </w:tcPr>
          <w:p w14:paraId="7C9CAD49">
            <w:pPr>
              <w:jc w:val="right"/>
            </w:pPr>
            <w:r>
              <w:rPr>
                <w:rFonts w:hint="eastAsia"/>
              </w:rPr>
              <w:t>-</w:t>
            </w:r>
          </w:p>
        </w:tc>
        <w:tc>
          <w:tcPr>
            <w:tcW w:w="1384" w:type="dxa"/>
            <w:vAlign w:val="center"/>
          </w:tcPr>
          <w:p w14:paraId="6B70557B">
            <w:pPr>
              <w:jc w:val="right"/>
            </w:pPr>
            <w:r>
              <w:rPr>
                <w:rFonts w:hint="eastAsia"/>
              </w:rPr>
              <w:t>-</w:t>
            </w:r>
          </w:p>
        </w:tc>
      </w:tr>
      <w:tr w14:paraId="1899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D74E5">
            <w:r>
              <w:rPr>
                <w:rFonts w:hint="eastAsia"/>
              </w:rPr>
              <w:t>应收清算款</w:t>
            </w:r>
          </w:p>
        </w:tc>
        <w:tc>
          <w:tcPr>
            <w:tcW w:w="1384" w:type="dxa"/>
            <w:vAlign w:val="center"/>
          </w:tcPr>
          <w:p w14:paraId="5368778C">
            <w:pPr>
              <w:jc w:val="right"/>
            </w:pPr>
            <w:r>
              <w:rPr>
                <w:rFonts w:hint="eastAsia"/>
              </w:rPr>
              <w:t>-</w:t>
            </w:r>
          </w:p>
        </w:tc>
        <w:tc>
          <w:tcPr>
            <w:tcW w:w="1384" w:type="dxa"/>
            <w:vAlign w:val="center"/>
          </w:tcPr>
          <w:p w14:paraId="19EA4D81">
            <w:pPr>
              <w:jc w:val="right"/>
            </w:pPr>
            <w:r>
              <w:rPr>
                <w:rFonts w:hint="eastAsia"/>
              </w:rPr>
              <w:t>-</w:t>
            </w:r>
          </w:p>
        </w:tc>
        <w:tc>
          <w:tcPr>
            <w:tcW w:w="1384" w:type="dxa"/>
            <w:vAlign w:val="center"/>
          </w:tcPr>
          <w:p w14:paraId="15B4C13C">
            <w:pPr>
              <w:jc w:val="right"/>
            </w:pPr>
            <w:r>
              <w:rPr>
                <w:rFonts w:hint="eastAsia"/>
              </w:rPr>
              <w:t>-</w:t>
            </w:r>
          </w:p>
        </w:tc>
        <w:tc>
          <w:tcPr>
            <w:tcW w:w="1384" w:type="dxa"/>
            <w:vAlign w:val="center"/>
          </w:tcPr>
          <w:p w14:paraId="31D63FB9">
            <w:pPr>
              <w:jc w:val="right"/>
            </w:pPr>
            <w:r>
              <w:rPr>
                <w:rFonts w:hint="eastAsia"/>
              </w:rPr>
              <w:t>-</w:t>
            </w:r>
          </w:p>
        </w:tc>
        <w:tc>
          <w:tcPr>
            <w:tcW w:w="1384" w:type="dxa"/>
            <w:vAlign w:val="center"/>
          </w:tcPr>
          <w:p w14:paraId="4C27A0A1">
            <w:pPr>
              <w:jc w:val="right"/>
            </w:pPr>
            <w:r>
              <w:rPr>
                <w:rFonts w:hint="eastAsia"/>
              </w:rPr>
              <w:t>-</w:t>
            </w:r>
          </w:p>
        </w:tc>
      </w:tr>
      <w:tr w14:paraId="339C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D7D65">
            <w:r>
              <w:rPr>
                <w:rFonts w:hint="eastAsia"/>
              </w:rPr>
              <w:t>应收股利</w:t>
            </w:r>
          </w:p>
        </w:tc>
        <w:tc>
          <w:tcPr>
            <w:tcW w:w="1384" w:type="dxa"/>
            <w:vAlign w:val="center"/>
          </w:tcPr>
          <w:p w14:paraId="4BEC9E68">
            <w:pPr>
              <w:jc w:val="right"/>
            </w:pPr>
            <w:r>
              <w:rPr>
                <w:rFonts w:hint="eastAsia"/>
              </w:rPr>
              <w:t>-</w:t>
            </w:r>
          </w:p>
        </w:tc>
        <w:tc>
          <w:tcPr>
            <w:tcW w:w="1384" w:type="dxa"/>
            <w:vAlign w:val="center"/>
          </w:tcPr>
          <w:p w14:paraId="683EFAF4">
            <w:pPr>
              <w:jc w:val="right"/>
            </w:pPr>
            <w:r>
              <w:rPr>
                <w:rFonts w:hint="eastAsia"/>
              </w:rPr>
              <w:t>-</w:t>
            </w:r>
          </w:p>
        </w:tc>
        <w:tc>
          <w:tcPr>
            <w:tcW w:w="1384" w:type="dxa"/>
            <w:vAlign w:val="center"/>
          </w:tcPr>
          <w:p w14:paraId="00E2AB03">
            <w:pPr>
              <w:jc w:val="right"/>
            </w:pPr>
            <w:r>
              <w:rPr>
                <w:rFonts w:hint="eastAsia"/>
              </w:rPr>
              <w:t>-</w:t>
            </w:r>
          </w:p>
        </w:tc>
        <w:tc>
          <w:tcPr>
            <w:tcW w:w="1384" w:type="dxa"/>
            <w:vAlign w:val="center"/>
          </w:tcPr>
          <w:p w14:paraId="7D29AA2E">
            <w:pPr>
              <w:jc w:val="right"/>
            </w:pPr>
            <w:r>
              <w:rPr>
                <w:rFonts w:hint="eastAsia"/>
              </w:rPr>
              <w:t>-</w:t>
            </w:r>
          </w:p>
        </w:tc>
        <w:tc>
          <w:tcPr>
            <w:tcW w:w="1384" w:type="dxa"/>
            <w:vAlign w:val="center"/>
          </w:tcPr>
          <w:p w14:paraId="416FB255">
            <w:pPr>
              <w:jc w:val="right"/>
            </w:pPr>
            <w:r>
              <w:rPr>
                <w:rFonts w:hint="eastAsia"/>
              </w:rPr>
              <w:t>-</w:t>
            </w:r>
          </w:p>
        </w:tc>
      </w:tr>
      <w:tr w14:paraId="3517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5B5A1">
            <w:r>
              <w:rPr>
                <w:rFonts w:hint="eastAsia"/>
              </w:rPr>
              <w:t>应收申购款</w:t>
            </w:r>
          </w:p>
        </w:tc>
        <w:tc>
          <w:tcPr>
            <w:tcW w:w="1384" w:type="dxa"/>
            <w:vAlign w:val="center"/>
          </w:tcPr>
          <w:p w14:paraId="43A4EC0C">
            <w:pPr>
              <w:jc w:val="right"/>
            </w:pPr>
            <w:r>
              <w:rPr>
                <w:rFonts w:hint="eastAsia"/>
              </w:rPr>
              <w:t>-</w:t>
            </w:r>
          </w:p>
        </w:tc>
        <w:tc>
          <w:tcPr>
            <w:tcW w:w="1384" w:type="dxa"/>
            <w:vAlign w:val="center"/>
          </w:tcPr>
          <w:p w14:paraId="499D1C26">
            <w:pPr>
              <w:jc w:val="right"/>
            </w:pPr>
            <w:r>
              <w:rPr>
                <w:rFonts w:hint="eastAsia"/>
              </w:rPr>
              <w:t>-</w:t>
            </w:r>
          </w:p>
        </w:tc>
        <w:tc>
          <w:tcPr>
            <w:tcW w:w="1384" w:type="dxa"/>
            <w:vAlign w:val="center"/>
          </w:tcPr>
          <w:p w14:paraId="23105820">
            <w:pPr>
              <w:jc w:val="right"/>
            </w:pPr>
            <w:r>
              <w:rPr>
                <w:rFonts w:hint="eastAsia"/>
              </w:rPr>
              <w:t>-</w:t>
            </w:r>
          </w:p>
        </w:tc>
        <w:tc>
          <w:tcPr>
            <w:tcW w:w="1384" w:type="dxa"/>
            <w:vAlign w:val="center"/>
          </w:tcPr>
          <w:p w14:paraId="2E52AA3E">
            <w:pPr>
              <w:jc w:val="right"/>
            </w:pPr>
            <w:r>
              <w:rPr>
                <w:rFonts w:hint="eastAsia"/>
              </w:rPr>
              <w:t>136,215.76</w:t>
            </w:r>
          </w:p>
        </w:tc>
        <w:tc>
          <w:tcPr>
            <w:tcW w:w="1384" w:type="dxa"/>
            <w:vAlign w:val="center"/>
          </w:tcPr>
          <w:p w14:paraId="2A5FD69E">
            <w:pPr>
              <w:jc w:val="right"/>
            </w:pPr>
            <w:r>
              <w:rPr>
                <w:rFonts w:hint="eastAsia"/>
              </w:rPr>
              <w:t>136,215.76</w:t>
            </w:r>
          </w:p>
        </w:tc>
      </w:tr>
      <w:tr w14:paraId="3946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62085">
            <w:r>
              <w:rPr>
                <w:rFonts w:hint="eastAsia"/>
              </w:rPr>
              <w:t>递延所得税资产</w:t>
            </w:r>
          </w:p>
        </w:tc>
        <w:tc>
          <w:tcPr>
            <w:tcW w:w="1384" w:type="dxa"/>
            <w:vAlign w:val="center"/>
          </w:tcPr>
          <w:p w14:paraId="783C78EC">
            <w:pPr>
              <w:jc w:val="right"/>
            </w:pPr>
            <w:r>
              <w:rPr>
                <w:rFonts w:hint="eastAsia"/>
              </w:rPr>
              <w:t>-</w:t>
            </w:r>
          </w:p>
        </w:tc>
        <w:tc>
          <w:tcPr>
            <w:tcW w:w="1384" w:type="dxa"/>
            <w:vAlign w:val="center"/>
          </w:tcPr>
          <w:p w14:paraId="49C0D62C">
            <w:pPr>
              <w:jc w:val="right"/>
            </w:pPr>
            <w:r>
              <w:rPr>
                <w:rFonts w:hint="eastAsia"/>
              </w:rPr>
              <w:t>-</w:t>
            </w:r>
          </w:p>
        </w:tc>
        <w:tc>
          <w:tcPr>
            <w:tcW w:w="1384" w:type="dxa"/>
            <w:vAlign w:val="center"/>
          </w:tcPr>
          <w:p w14:paraId="669A52B8">
            <w:pPr>
              <w:jc w:val="right"/>
            </w:pPr>
            <w:r>
              <w:rPr>
                <w:rFonts w:hint="eastAsia"/>
              </w:rPr>
              <w:t>-</w:t>
            </w:r>
          </w:p>
        </w:tc>
        <w:tc>
          <w:tcPr>
            <w:tcW w:w="1384" w:type="dxa"/>
            <w:vAlign w:val="center"/>
          </w:tcPr>
          <w:p w14:paraId="7F88D960">
            <w:pPr>
              <w:jc w:val="right"/>
            </w:pPr>
            <w:r>
              <w:rPr>
                <w:rFonts w:hint="eastAsia"/>
              </w:rPr>
              <w:t>-</w:t>
            </w:r>
          </w:p>
        </w:tc>
        <w:tc>
          <w:tcPr>
            <w:tcW w:w="1384" w:type="dxa"/>
            <w:vAlign w:val="center"/>
          </w:tcPr>
          <w:p w14:paraId="7AB4886C">
            <w:pPr>
              <w:jc w:val="right"/>
            </w:pPr>
            <w:r>
              <w:rPr>
                <w:rFonts w:hint="eastAsia"/>
              </w:rPr>
              <w:t>-</w:t>
            </w:r>
          </w:p>
        </w:tc>
      </w:tr>
      <w:tr w14:paraId="5678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22738">
            <w:r>
              <w:rPr>
                <w:rFonts w:hint="eastAsia"/>
              </w:rPr>
              <w:t>其他资产</w:t>
            </w:r>
          </w:p>
        </w:tc>
        <w:tc>
          <w:tcPr>
            <w:tcW w:w="1384" w:type="dxa"/>
            <w:vAlign w:val="center"/>
          </w:tcPr>
          <w:p w14:paraId="78FABD0A">
            <w:pPr>
              <w:jc w:val="right"/>
            </w:pPr>
            <w:r>
              <w:rPr>
                <w:rFonts w:hint="eastAsia"/>
              </w:rPr>
              <w:t>-</w:t>
            </w:r>
          </w:p>
        </w:tc>
        <w:tc>
          <w:tcPr>
            <w:tcW w:w="1384" w:type="dxa"/>
            <w:vAlign w:val="center"/>
          </w:tcPr>
          <w:p w14:paraId="2E8ACD0F">
            <w:pPr>
              <w:jc w:val="right"/>
            </w:pPr>
            <w:r>
              <w:rPr>
                <w:rFonts w:hint="eastAsia"/>
              </w:rPr>
              <w:t>-</w:t>
            </w:r>
          </w:p>
        </w:tc>
        <w:tc>
          <w:tcPr>
            <w:tcW w:w="1384" w:type="dxa"/>
            <w:vAlign w:val="center"/>
          </w:tcPr>
          <w:p w14:paraId="3947B494">
            <w:pPr>
              <w:jc w:val="right"/>
            </w:pPr>
            <w:r>
              <w:rPr>
                <w:rFonts w:hint="eastAsia"/>
              </w:rPr>
              <w:t>-</w:t>
            </w:r>
          </w:p>
        </w:tc>
        <w:tc>
          <w:tcPr>
            <w:tcW w:w="1384" w:type="dxa"/>
            <w:vAlign w:val="center"/>
          </w:tcPr>
          <w:p w14:paraId="7F46308B">
            <w:pPr>
              <w:jc w:val="right"/>
            </w:pPr>
            <w:r>
              <w:rPr>
                <w:rFonts w:hint="eastAsia"/>
              </w:rPr>
              <w:t>-</w:t>
            </w:r>
          </w:p>
        </w:tc>
        <w:tc>
          <w:tcPr>
            <w:tcW w:w="1384" w:type="dxa"/>
            <w:vAlign w:val="center"/>
          </w:tcPr>
          <w:p w14:paraId="4D334CBC">
            <w:pPr>
              <w:jc w:val="right"/>
            </w:pPr>
            <w:r>
              <w:rPr>
                <w:rFonts w:hint="eastAsia"/>
              </w:rPr>
              <w:t>-</w:t>
            </w:r>
          </w:p>
        </w:tc>
      </w:tr>
      <w:tr w14:paraId="15B2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85869">
            <w:r>
              <w:rPr>
                <w:rFonts w:hint="eastAsia"/>
              </w:rPr>
              <w:t>资产总计</w:t>
            </w:r>
          </w:p>
        </w:tc>
        <w:tc>
          <w:tcPr>
            <w:tcW w:w="1384" w:type="dxa"/>
            <w:vAlign w:val="center"/>
          </w:tcPr>
          <w:p w14:paraId="59242DC3">
            <w:pPr>
              <w:jc w:val="right"/>
            </w:pPr>
            <w:r>
              <w:rPr>
                <w:rFonts w:hint="eastAsia"/>
              </w:rPr>
              <w:t>1,514,568.48</w:t>
            </w:r>
          </w:p>
        </w:tc>
        <w:tc>
          <w:tcPr>
            <w:tcW w:w="1384" w:type="dxa"/>
            <w:vAlign w:val="center"/>
          </w:tcPr>
          <w:p w14:paraId="246EC735">
            <w:pPr>
              <w:jc w:val="right"/>
            </w:pPr>
            <w:r>
              <w:rPr>
                <w:rFonts w:hint="eastAsia"/>
              </w:rPr>
              <w:t>-</w:t>
            </w:r>
          </w:p>
        </w:tc>
        <w:tc>
          <w:tcPr>
            <w:tcW w:w="1384" w:type="dxa"/>
            <w:vAlign w:val="center"/>
          </w:tcPr>
          <w:p w14:paraId="6FDBD6A5">
            <w:pPr>
              <w:jc w:val="right"/>
            </w:pPr>
            <w:r>
              <w:rPr>
                <w:rFonts w:hint="eastAsia"/>
              </w:rPr>
              <w:t>-</w:t>
            </w:r>
          </w:p>
        </w:tc>
        <w:tc>
          <w:tcPr>
            <w:tcW w:w="1384" w:type="dxa"/>
            <w:vAlign w:val="center"/>
          </w:tcPr>
          <w:p w14:paraId="1B09A4FE">
            <w:pPr>
              <w:jc w:val="right"/>
            </w:pPr>
            <w:r>
              <w:rPr>
                <w:rFonts w:hint="eastAsia"/>
              </w:rPr>
              <w:t>25,533,099.82</w:t>
            </w:r>
          </w:p>
        </w:tc>
        <w:tc>
          <w:tcPr>
            <w:tcW w:w="1384" w:type="dxa"/>
            <w:vAlign w:val="center"/>
          </w:tcPr>
          <w:p w14:paraId="62A5071A">
            <w:pPr>
              <w:jc w:val="right"/>
            </w:pPr>
            <w:r>
              <w:rPr>
                <w:rFonts w:hint="eastAsia"/>
              </w:rPr>
              <w:t>27,047,668.30</w:t>
            </w:r>
          </w:p>
        </w:tc>
      </w:tr>
      <w:tr w14:paraId="13E5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D3AA9">
            <w:r>
              <w:rPr>
                <w:rFonts w:hint="eastAsia"/>
              </w:rPr>
              <w:t>负债</w:t>
            </w:r>
          </w:p>
        </w:tc>
        <w:tc>
          <w:tcPr>
            <w:tcW w:w="1384" w:type="dxa"/>
            <w:vAlign w:val="center"/>
          </w:tcPr>
          <w:p w14:paraId="1C0D99AB"/>
        </w:tc>
        <w:tc>
          <w:tcPr>
            <w:tcW w:w="1384" w:type="dxa"/>
            <w:vAlign w:val="center"/>
          </w:tcPr>
          <w:p w14:paraId="31B436D7"/>
        </w:tc>
        <w:tc>
          <w:tcPr>
            <w:tcW w:w="1384" w:type="dxa"/>
            <w:vAlign w:val="center"/>
          </w:tcPr>
          <w:p w14:paraId="7A4E0876"/>
        </w:tc>
        <w:tc>
          <w:tcPr>
            <w:tcW w:w="1384" w:type="dxa"/>
            <w:vAlign w:val="center"/>
          </w:tcPr>
          <w:p w14:paraId="32CE3AD7"/>
        </w:tc>
        <w:tc>
          <w:tcPr>
            <w:tcW w:w="1384" w:type="dxa"/>
            <w:vAlign w:val="center"/>
          </w:tcPr>
          <w:p w14:paraId="69B52433"/>
        </w:tc>
      </w:tr>
      <w:tr w14:paraId="025D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E2796">
            <w:r>
              <w:rPr>
                <w:rFonts w:hint="eastAsia"/>
              </w:rPr>
              <w:t>短期借款</w:t>
            </w:r>
          </w:p>
        </w:tc>
        <w:tc>
          <w:tcPr>
            <w:tcW w:w="1384" w:type="dxa"/>
            <w:vAlign w:val="center"/>
          </w:tcPr>
          <w:p w14:paraId="6F1D3F39">
            <w:pPr>
              <w:jc w:val="right"/>
            </w:pPr>
            <w:r>
              <w:rPr>
                <w:rFonts w:hint="eastAsia"/>
              </w:rPr>
              <w:t>-</w:t>
            </w:r>
          </w:p>
        </w:tc>
        <w:tc>
          <w:tcPr>
            <w:tcW w:w="1384" w:type="dxa"/>
            <w:vAlign w:val="center"/>
          </w:tcPr>
          <w:p w14:paraId="45D9E50D">
            <w:pPr>
              <w:jc w:val="right"/>
            </w:pPr>
            <w:r>
              <w:rPr>
                <w:rFonts w:hint="eastAsia"/>
              </w:rPr>
              <w:t>-</w:t>
            </w:r>
          </w:p>
        </w:tc>
        <w:tc>
          <w:tcPr>
            <w:tcW w:w="1384" w:type="dxa"/>
            <w:vAlign w:val="center"/>
          </w:tcPr>
          <w:p w14:paraId="726AFBEA">
            <w:pPr>
              <w:jc w:val="right"/>
            </w:pPr>
            <w:r>
              <w:rPr>
                <w:rFonts w:hint="eastAsia"/>
              </w:rPr>
              <w:t>-</w:t>
            </w:r>
          </w:p>
        </w:tc>
        <w:tc>
          <w:tcPr>
            <w:tcW w:w="1384" w:type="dxa"/>
            <w:vAlign w:val="center"/>
          </w:tcPr>
          <w:p w14:paraId="74D1C79E">
            <w:pPr>
              <w:jc w:val="right"/>
            </w:pPr>
            <w:r>
              <w:rPr>
                <w:rFonts w:hint="eastAsia"/>
              </w:rPr>
              <w:t>-</w:t>
            </w:r>
          </w:p>
        </w:tc>
        <w:tc>
          <w:tcPr>
            <w:tcW w:w="1384" w:type="dxa"/>
            <w:vAlign w:val="center"/>
          </w:tcPr>
          <w:p w14:paraId="246E7EA8">
            <w:pPr>
              <w:jc w:val="right"/>
            </w:pPr>
            <w:r>
              <w:rPr>
                <w:rFonts w:hint="eastAsia"/>
              </w:rPr>
              <w:t>-</w:t>
            </w:r>
          </w:p>
        </w:tc>
      </w:tr>
      <w:tr w14:paraId="6D73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FCF69">
            <w:r>
              <w:rPr>
                <w:rFonts w:hint="eastAsia"/>
              </w:rPr>
              <w:t>交易性金融负债</w:t>
            </w:r>
          </w:p>
        </w:tc>
        <w:tc>
          <w:tcPr>
            <w:tcW w:w="1384" w:type="dxa"/>
            <w:vAlign w:val="center"/>
          </w:tcPr>
          <w:p w14:paraId="0AC44A87">
            <w:pPr>
              <w:jc w:val="right"/>
            </w:pPr>
            <w:r>
              <w:rPr>
                <w:rFonts w:hint="eastAsia"/>
              </w:rPr>
              <w:t>-</w:t>
            </w:r>
          </w:p>
        </w:tc>
        <w:tc>
          <w:tcPr>
            <w:tcW w:w="1384" w:type="dxa"/>
            <w:vAlign w:val="center"/>
          </w:tcPr>
          <w:p w14:paraId="35BBA53F">
            <w:pPr>
              <w:jc w:val="right"/>
            </w:pPr>
            <w:r>
              <w:rPr>
                <w:rFonts w:hint="eastAsia"/>
              </w:rPr>
              <w:t>-</w:t>
            </w:r>
          </w:p>
        </w:tc>
        <w:tc>
          <w:tcPr>
            <w:tcW w:w="1384" w:type="dxa"/>
            <w:vAlign w:val="center"/>
          </w:tcPr>
          <w:p w14:paraId="56E664C3">
            <w:pPr>
              <w:jc w:val="right"/>
            </w:pPr>
            <w:r>
              <w:rPr>
                <w:rFonts w:hint="eastAsia"/>
              </w:rPr>
              <w:t>-</w:t>
            </w:r>
          </w:p>
        </w:tc>
        <w:tc>
          <w:tcPr>
            <w:tcW w:w="1384" w:type="dxa"/>
            <w:vAlign w:val="center"/>
          </w:tcPr>
          <w:p w14:paraId="4B39D312">
            <w:pPr>
              <w:jc w:val="right"/>
            </w:pPr>
            <w:r>
              <w:rPr>
                <w:rFonts w:hint="eastAsia"/>
              </w:rPr>
              <w:t>-</w:t>
            </w:r>
          </w:p>
        </w:tc>
        <w:tc>
          <w:tcPr>
            <w:tcW w:w="1384" w:type="dxa"/>
            <w:vAlign w:val="center"/>
          </w:tcPr>
          <w:p w14:paraId="37471760">
            <w:pPr>
              <w:jc w:val="right"/>
            </w:pPr>
            <w:r>
              <w:rPr>
                <w:rFonts w:hint="eastAsia"/>
              </w:rPr>
              <w:t>-</w:t>
            </w:r>
          </w:p>
        </w:tc>
      </w:tr>
      <w:tr w14:paraId="1E7C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C63A9">
            <w:r>
              <w:rPr>
                <w:rFonts w:hint="eastAsia"/>
              </w:rPr>
              <w:t>衍生金融负债</w:t>
            </w:r>
          </w:p>
        </w:tc>
        <w:tc>
          <w:tcPr>
            <w:tcW w:w="1384" w:type="dxa"/>
            <w:vAlign w:val="center"/>
          </w:tcPr>
          <w:p w14:paraId="63221EE5">
            <w:pPr>
              <w:jc w:val="right"/>
            </w:pPr>
            <w:r>
              <w:rPr>
                <w:rFonts w:hint="eastAsia"/>
              </w:rPr>
              <w:t>-</w:t>
            </w:r>
          </w:p>
        </w:tc>
        <w:tc>
          <w:tcPr>
            <w:tcW w:w="1384" w:type="dxa"/>
            <w:vAlign w:val="center"/>
          </w:tcPr>
          <w:p w14:paraId="28A88197">
            <w:pPr>
              <w:jc w:val="right"/>
            </w:pPr>
            <w:r>
              <w:rPr>
                <w:rFonts w:hint="eastAsia"/>
              </w:rPr>
              <w:t>-</w:t>
            </w:r>
          </w:p>
        </w:tc>
        <w:tc>
          <w:tcPr>
            <w:tcW w:w="1384" w:type="dxa"/>
            <w:vAlign w:val="center"/>
          </w:tcPr>
          <w:p w14:paraId="296849BA">
            <w:pPr>
              <w:jc w:val="right"/>
            </w:pPr>
            <w:r>
              <w:rPr>
                <w:rFonts w:hint="eastAsia"/>
              </w:rPr>
              <w:t>-</w:t>
            </w:r>
          </w:p>
        </w:tc>
        <w:tc>
          <w:tcPr>
            <w:tcW w:w="1384" w:type="dxa"/>
            <w:vAlign w:val="center"/>
          </w:tcPr>
          <w:p w14:paraId="04E041DD">
            <w:pPr>
              <w:jc w:val="right"/>
            </w:pPr>
            <w:r>
              <w:rPr>
                <w:rFonts w:hint="eastAsia"/>
              </w:rPr>
              <w:t>-</w:t>
            </w:r>
          </w:p>
        </w:tc>
        <w:tc>
          <w:tcPr>
            <w:tcW w:w="1384" w:type="dxa"/>
            <w:vAlign w:val="center"/>
          </w:tcPr>
          <w:p w14:paraId="0471B743">
            <w:pPr>
              <w:jc w:val="right"/>
            </w:pPr>
            <w:r>
              <w:rPr>
                <w:rFonts w:hint="eastAsia"/>
              </w:rPr>
              <w:t>-</w:t>
            </w:r>
          </w:p>
        </w:tc>
      </w:tr>
      <w:tr w14:paraId="7696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D4680">
            <w:r>
              <w:rPr>
                <w:rFonts w:hint="eastAsia"/>
              </w:rPr>
              <w:t>卖出回购金融资产款</w:t>
            </w:r>
          </w:p>
        </w:tc>
        <w:tc>
          <w:tcPr>
            <w:tcW w:w="1384" w:type="dxa"/>
            <w:vAlign w:val="center"/>
          </w:tcPr>
          <w:p w14:paraId="3FB19776">
            <w:pPr>
              <w:jc w:val="right"/>
            </w:pPr>
            <w:r>
              <w:rPr>
                <w:rFonts w:hint="eastAsia"/>
              </w:rPr>
              <w:t>-</w:t>
            </w:r>
          </w:p>
        </w:tc>
        <w:tc>
          <w:tcPr>
            <w:tcW w:w="1384" w:type="dxa"/>
            <w:vAlign w:val="center"/>
          </w:tcPr>
          <w:p w14:paraId="07EE5441">
            <w:pPr>
              <w:jc w:val="right"/>
            </w:pPr>
            <w:r>
              <w:rPr>
                <w:rFonts w:hint="eastAsia"/>
              </w:rPr>
              <w:t>-</w:t>
            </w:r>
          </w:p>
        </w:tc>
        <w:tc>
          <w:tcPr>
            <w:tcW w:w="1384" w:type="dxa"/>
            <w:vAlign w:val="center"/>
          </w:tcPr>
          <w:p w14:paraId="147064EE">
            <w:pPr>
              <w:jc w:val="right"/>
            </w:pPr>
            <w:r>
              <w:rPr>
                <w:rFonts w:hint="eastAsia"/>
              </w:rPr>
              <w:t>-</w:t>
            </w:r>
          </w:p>
        </w:tc>
        <w:tc>
          <w:tcPr>
            <w:tcW w:w="1384" w:type="dxa"/>
            <w:vAlign w:val="center"/>
          </w:tcPr>
          <w:p w14:paraId="41E2C02A">
            <w:pPr>
              <w:jc w:val="right"/>
            </w:pPr>
            <w:r>
              <w:rPr>
                <w:rFonts w:hint="eastAsia"/>
              </w:rPr>
              <w:t>-</w:t>
            </w:r>
          </w:p>
        </w:tc>
        <w:tc>
          <w:tcPr>
            <w:tcW w:w="1384" w:type="dxa"/>
            <w:vAlign w:val="center"/>
          </w:tcPr>
          <w:p w14:paraId="29B9EC25">
            <w:pPr>
              <w:jc w:val="right"/>
            </w:pPr>
            <w:r>
              <w:rPr>
                <w:rFonts w:hint="eastAsia"/>
              </w:rPr>
              <w:t>-</w:t>
            </w:r>
          </w:p>
        </w:tc>
      </w:tr>
      <w:tr w14:paraId="5B6B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C91D2">
            <w:r>
              <w:rPr>
                <w:rFonts w:hint="eastAsia"/>
              </w:rPr>
              <w:t>应付清算款</w:t>
            </w:r>
          </w:p>
        </w:tc>
        <w:tc>
          <w:tcPr>
            <w:tcW w:w="1384" w:type="dxa"/>
            <w:vAlign w:val="center"/>
          </w:tcPr>
          <w:p w14:paraId="44A295CC">
            <w:pPr>
              <w:jc w:val="right"/>
            </w:pPr>
            <w:r>
              <w:rPr>
                <w:rFonts w:hint="eastAsia"/>
              </w:rPr>
              <w:t>-</w:t>
            </w:r>
          </w:p>
        </w:tc>
        <w:tc>
          <w:tcPr>
            <w:tcW w:w="1384" w:type="dxa"/>
            <w:vAlign w:val="center"/>
          </w:tcPr>
          <w:p w14:paraId="3BD9822A">
            <w:pPr>
              <w:jc w:val="right"/>
            </w:pPr>
            <w:r>
              <w:rPr>
                <w:rFonts w:hint="eastAsia"/>
              </w:rPr>
              <w:t>-</w:t>
            </w:r>
          </w:p>
        </w:tc>
        <w:tc>
          <w:tcPr>
            <w:tcW w:w="1384" w:type="dxa"/>
            <w:vAlign w:val="center"/>
          </w:tcPr>
          <w:p w14:paraId="012F47D0">
            <w:pPr>
              <w:jc w:val="right"/>
            </w:pPr>
            <w:r>
              <w:rPr>
                <w:rFonts w:hint="eastAsia"/>
              </w:rPr>
              <w:t>-</w:t>
            </w:r>
          </w:p>
        </w:tc>
        <w:tc>
          <w:tcPr>
            <w:tcW w:w="1384" w:type="dxa"/>
            <w:vAlign w:val="center"/>
          </w:tcPr>
          <w:p w14:paraId="613C67C8">
            <w:pPr>
              <w:jc w:val="right"/>
            </w:pPr>
            <w:r>
              <w:rPr>
                <w:rFonts w:hint="eastAsia"/>
              </w:rPr>
              <w:t>-</w:t>
            </w:r>
          </w:p>
        </w:tc>
        <w:tc>
          <w:tcPr>
            <w:tcW w:w="1384" w:type="dxa"/>
            <w:vAlign w:val="center"/>
          </w:tcPr>
          <w:p w14:paraId="1C2CF3D7">
            <w:pPr>
              <w:jc w:val="right"/>
            </w:pPr>
            <w:r>
              <w:rPr>
                <w:rFonts w:hint="eastAsia"/>
              </w:rPr>
              <w:t>-</w:t>
            </w:r>
          </w:p>
        </w:tc>
      </w:tr>
      <w:tr w14:paraId="6687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6B81A">
            <w:r>
              <w:rPr>
                <w:rFonts w:hint="eastAsia"/>
              </w:rPr>
              <w:t>应付赎回款</w:t>
            </w:r>
          </w:p>
        </w:tc>
        <w:tc>
          <w:tcPr>
            <w:tcW w:w="1384" w:type="dxa"/>
            <w:vAlign w:val="center"/>
          </w:tcPr>
          <w:p w14:paraId="255DAD92">
            <w:pPr>
              <w:jc w:val="right"/>
            </w:pPr>
            <w:r>
              <w:rPr>
                <w:rFonts w:hint="eastAsia"/>
              </w:rPr>
              <w:t>-</w:t>
            </w:r>
          </w:p>
        </w:tc>
        <w:tc>
          <w:tcPr>
            <w:tcW w:w="1384" w:type="dxa"/>
            <w:vAlign w:val="center"/>
          </w:tcPr>
          <w:p w14:paraId="16A97FC0">
            <w:pPr>
              <w:jc w:val="right"/>
            </w:pPr>
            <w:r>
              <w:rPr>
                <w:rFonts w:hint="eastAsia"/>
              </w:rPr>
              <w:t>-</w:t>
            </w:r>
          </w:p>
        </w:tc>
        <w:tc>
          <w:tcPr>
            <w:tcW w:w="1384" w:type="dxa"/>
            <w:vAlign w:val="center"/>
          </w:tcPr>
          <w:p w14:paraId="6602DBD5">
            <w:pPr>
              <w:jc w:val="right"/>
            </w:pPr>
            <w:r>
              <w:rPr>
                <w:rFonts w:hint="eastAsia"/>
              </w:rPr>
              <w:t>-</w:t>
            </w:r>
          </w:p>
        </w:tc>
        <w:tc>
          <w:tcPr>
            <w:tcW w:w="1384" w:type="dxa"/>
            <w:vAlign w:val="center"/>
          </w:tcPr>
          <w:p w14:paraId="7F4FD9EA">
            <w:pPr>
              <w:jc w:val="right"/>
            </w:pPr>
            <w:r>
              <w:rPr>
                <w:rFonts w:hint="eastAsia"/>
              </w:rPr>
              <w:t>119,629.53</w:t>
            </w:r>
          </w:p>
        </w:tc>
        <w:tc>
          <w:tcPr>
            <w:tcW w:w="1384" w:type="dxa"/>
            <w:vAlign w:val="center"/>
          </w:tcPr>
          <w:p w14:paraId="2ED4EA89">
            <w:pPr>
              <w:jc w:val="right"/>
            </w:pPr>
            <w:r>
              <w:rPr>
                <w:rFonts w:hint="eastAsia"/>
              </w:rPr>
              <w:t>119,629.53</w:t>
            </w:r>
          </w:p>
        </w:tc>
      </w:tr>
      <w:tr w14:paraId="2D73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63967">
            <w:r>
              <w:rPr>
                <w:rFonts w:hint="eastAsia"/>
              </w:rPr>
              <w:t>应付管理人报酬</w:t>
            </w:r>
          </w:p>
        </w:tc>
        <w:tc>
          <w:tcPr>
            <w:tcW w:w="1384" w:type="dxa"/>
            <w:vAlign w:val="center"/>
          </w:tcPr>
          <w:p w14:paraId="4EFE5659">
            <w:pPr>
              <w:jc w:val="right"/>
            </w:pPr>
            <w:r>
              <w:rPr>
                <w:rFonts w:hint="eastAsia"/>
              </w:rPr>
              <w:t>-</w:t>
            </w:r>
          </w:p>
        </w:tc>
        <w:tc>
          <w:tcPr>
            <w:tcW w:w="1384" w:type="dxa"/>
            <w:vAlign w:val="center"/>
          </w:tcPr>
          <w:p w14:paraId="1748A2CC">
            <w:pPr>
              <w:jc w:val="right"/>
            </w:pPr>
            <w:r>
              <w:rPr>
                <w:rFonts w:hint="eastAsia"/>
              </w:rPr>
              <w:t>-</w:t>
            </w:r>
          </w:p>
        </w:tc>
        <w:tc>
          <w:tcPr>
            <w:tcW w:w="1384" w:type="dxa"/>
            <w:vAlign w:val="center"/>
          </w:tcPr>
          <w:p w14:paraId="08CE9595">
            <w:pPr>
              <w:jc w:val="right"/>
            </w:pPr>
            <w:r>
              <w:rPr>
                <w:rFonts w:hint="eastAsia"/>
              </w:rPr>
              <w:t>-</w:t>
            </w:r>
          </w:p>
        </w:tc>
        <w:tc>
          <w:tcPr>
            <w:tcW w:w="1384" w:type="dxa"/>
            <w:vAlign w:val="center"/>
          </w:tcPr>
          <w:p w14:paraId="663DDBD7">
            <w:pPr>
              <w:jc w:val="right"/>
            </w:pPr>
            <w:r>
              <w:rPr>
                <w:rFonts w:hint="eastAsia"/>
              </w:rPr>
              <w:t>11,018.34</w:t>
            </w:r>
          </w:p>
        </w:tc>
        <w:tc>
          <w:tcPr>
            <w:tcW w:w="1384" w:type="dxa"/>
            <w:vAlign w:val="center"/>
          </w:tcPr>
          <w:p w14:paraId="05142EA2">
            <w:pPr>
              <w:jc w:val="right"/>
            </w:pPr>
            <w:r>
              <w:rPr>
                <w:rFonts w:hint="eastAsia"/>
              </w:rPr>
              <w:t>11,018.34</w:t>
            </w:r>
          </w:p>
        </w:tc>
      </w:tr>
      <w:tr w14:paraId="6E17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D29AF">
            <w:r>
              <w:rPr>
                <w:rFonts w:hint="eastAsia"/>
              </w:rPr>
              <w:t>应付托管费</w:t>
            </w:r>
          </w:p>
        </w:tc>
        <w:tc>
          <w:tcPr>
            <w:tcW w:w="1384" w:type="dxa"/>
            <w:vAlign w:val="center"/>
          </w:tcPr>
          <w:p w14:paraId="4B8C319B">
            <w:pPr>
              <w:jc w:val="right"/>
            </w:pPr>
            <w:r>
              <w:rPr>
                <w:rFonts w:hint="eastAsia"/>
              </w:rPr>
              <w:t>-</w:t>
            </w:r>
          </w:p>
        </w:tc>
        <w:tc>
          <w:tcPr>
            <w:tcW w:w="1384" w:type="dxa"/>
            <w:vAlign w:val="center"/>
          </w:tcPr>
          <w:p w14:paraId="7C06AE55">
            <w:pPr>
              <w:jc w:val="right"/>
            </w:pPr>
            <w:r>
              <w:rPr>
                <w:rFonts w:hint="eastAsia"/>
              </w:rPr>
              <w:t>-</w:t>
            </w:r>
          </w:p>
        </w:tc>
        <w:tc>
          <w:tcPr>
            <w:tcW w:w="1384" w:type="dxa"/>
            <w:vAlign w:val="center"/>
          </w:tcPr>
          <w:p w14:paraId="4B67FFBE">
            <w:pPr>
              <w:jc w:val="right"/>
            </w:pPr>
            <w:r>
              <w:rPr>
                <w:rFonts w:hint="eastAsia"/>
              </w:rPr>
              <w:t>-</w:t>
            </w:r>
          </w:p>
        </w:tc>
        <w:tc>
          <w:tcPr>
            <w:tcW w:w="1384" w:type="dxa"/>
            <w:vAlign w:val="center"/>
          </w:tcPr>
          <w:p w14:paraId="56A83FDD">
            <w:pPr>
              <w:jc w:val="right"/>
            </w:pPr>
            <w:r>
              <w:rPr>
                <w:rFonts w:hint="eastAsia"/>
              </w:rPr>
              <w:t>3,305.51</w:t>
            </w:r>
          </w:p>
        </w:tc>
        <w:tc>
          <w:tcPr>
            <w:tcW w:w="1384" w:type="dxa"/>
            <w:vAlign w:val="center"/>
          </w:tcPr>
          <w:p w14:paraId="684BD934">
            <w:pPr>
              <w:jc w:val="right"/>
            </w:pPr>
            <w:r>
              <w:rPr>
                <w:rFonts w:hint="eastAsia"/>
              </w:rPr>
              <w:t>3,305.51</w:t>
            </w:r>
          </w:p>
        </w:tc>
      </w:tr>
      <w:tr w14:paraId="1BC2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24738">
            <w:r>
              <w:rPr>
                <w:rFonts w:hint="eastAsia"/>
              </w:rPr>
              <w:t>应付销售服务费</w:t>
            </w:r>
          </w:p>
        </w:tc>
        <w:tc>
          <w:tcPr>
            <w:tcW w:w="1384" w:type="dxa"/>
            <w:vAlign w:val="center"/>
          </w:tcPr>
          <w:p w14:paraId="57EFE85B">
            <w:pPr>
              <w:jc w:val="right"/>
            </w:pPr>
            <w:r>
              <w:rPr>
                <w:rFonts w:hint="eastAsia"/>
              </w:rPr>
              <w:t>-</w:t>
            </w:r>
          </w:p>
        </w:tc>
        <w:tc>
          <w:tcPr>
            <w:tcW w:w="1384" w:type="dxa"/>
            <w:vAlign w:val="center"/>
          </w:tcPr>
          <w:p w14:paraId="6A51A1E5">
            <w:pPr>
              <w:jc w:val="right"/>
            </w:pPr>
            <w:r>
              <w:rPr>
                <w:rFonts w:hint="eastAsia"/>
              </w:rPr>
              <w:t>-</w:t>
            </w:r>
          </w:p>
        </w:tc>
        <w:tc>
          <w:tcPr>
            <w:tcW w:w="1384" w:type="dxa"/>
            <w:vAlign w:val="center"/>
          </w:tcPr>
          <w:p w14:paraId="27A6F02F">
            <w:pPr>
              <w:jc w:val="right"/>
            </w:pPr>
            <w:r>
              <w:rPr>
                <w:rFonts w:hint="eastAsia"/>
              </w:rPr>
              <w:t>-</w:t>
            </w:r>
          </w:p>
        </w:tc>
        <w:tc>
          <w:tcPr>
            <w:tcW w:w="1384" w:type="dxa"/>
            <w:vAlign w:val="center"/>
          </w:tcPr>
          <w:p w14:paraId="22424CD4">
            <w:pPr>
              <w:jc w:val="right"/>
            </w:pPr>
            <w:r>
              <w:rPr>
                <w:rFonts w:hint="eastAsia"/>
              </w:rPr>
              <w:t>2,944.38</w:t>
            </w:r>
          </w:p>
        </w:tc>
        <w:tc>
          <w:tcPr>
            <w:tcW w:w="1384" w:type="dxa"/>
            <w:vAlign w:val="center"/>
          </w:tcPr>
          <w:p w14:paraId="5FC8B8F8">
            <w:pPr>
              <w:jc w:val="right"/>
            </w:pPr>
            <w:r>
              <w:rPr>
                <w:rFonts w:hint="eastAsia"/>
              </w:rPr>
              <w:t>2,944.38</w:t>
            </w:r>
          </w:p>
        </w:tc>
      </w:tr>
      <w:tr w14:paraId="6ADD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C8200">
            <w:r>
              <w:rPr>
                <w:rFonts w:hint="eastAsia"/>
              </w:rPr>
              <w:t>应付投资顾问费</w:t>
            </w:r>
          </w:p>
        </w:tc>
        <w:tc>
          <w:tcPr>
            <w:tcW w:w="1384" w:type="dxa"/>
            <w:vAlign w:val="center"/>
          </w:tcPr>
          <w:p w14:paraId="1E0B74A7">
            <w:pPr>
              <w:jc w:val="right"/>
            </w:pPr>
            <w:r>
              <w:rPr>
                <w:rFonts w:hint="eastAsia"/>
              </w:rPr>
              <w:t>-</w:t>
            </w:r>
          </w:p>
        </w:tc>
        <w:tc>
          <w:tcPr>
            <w:tcW w:w="1384" w:type="dxa"/>
            <w:vAlign w:val="center"/>
          </w:tcPr>
          <w:p w14:paraId="29956E6F">
            <w:pPr>
              <w:jc w:val="right"/>
            </w:pPr>
            <w:r>
              <w:rPr>
                <w:rFonts w:hint="eastAsia"/>
              </w:rPr>
              <w:t>-</w:t>
            </w:r>
          </w:p>
        </w:tc>
        <w:tc>
          <w:tcPr>
            <w:tcW w:w="1384" w:type="dxa"/>
            <w:vAlign w:val="center"/>
          </w:tcPr>
          <w:p w14:paraId="1E1925EC">
            <w:pPr>
              <w:jc w:val="right"/>
            </w:pPr>
            <w:r>
              <w:rPr>
                <w:rFonts w:hint="eastAsia"/>
              </w:rPr>
              <w:t>-</w:t>
            </w:r>
          </w:p>
        </w:tc>
        <w:tc>
          <w:tcPr>
            <w:tcW w:w="1384" w:type="dxa"/>
            <w:vAlign w:val="center"/>
          </w:tcPr>
          <w:p w14:paraId="22AE3881">
            <w:pPr>
              <w:jc w:val="right"/>
            </w:pPr>
            <w:r>
              <w:rPr>
                <w:rFonts w:hint="eastAsia"/>
              </w:rPr>
              <w:t>-</w:t>
            </w:r>
          </w:p>
        </w:tc>
        <w:tc>
          <w:tcPr>
            <w:tcW w:w="1384" w:type="dxa"/>
            <w:vAlign w:val="center"/>
          </w:tcPr>
          <w:p w14:paraId="1BAE15D6">
            <w:pPr>
              <w:jc w:val="right"/>
            </w:pPr>
            <w:r>
              <w:rPr>
                <w:rFonts w:hint="eastAsia"/>
              </w:rPr>
              <w:t>-</w:t>
            </w:r>
          </w:p>
        </w:tc>
      </w:tr>
      <w:tr w14:paraId="4EB5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88252">
            <w:r>
              <w:rPr>
                <w:rFonts w:hint="eastAsia"/>
              </w:rPr>
              <w:t>应交税费</w:t>
            </w:r>
          </w:p>
        </w:tc>
        <w:tc>
          <w:tcPr>
            <w:tcW w:w="1384" w:type="dxa"/>
            <w:vAlign w:val="center"/>
          </w:tcPr>
          <w:p w14:paraId="11D80971">
            <w:pPr>
              <w:jc w:val="right"/>
            </w:pPr>
            <w:r>
              <w:rPr>
                <w:rFonts w:hint="eastAsia"/>
              </w:rPr>
              <w:t>-</w:t>
            </w:r>
          </w:p>
        </w:tc>
        <w:tc>
          <w:tcPr>
            <w:tcW w:w="1384" w:type="dxa"/>
            <w:vAlign w:val="center"/>
          </w:tcPr>
          <w:p w14:paraId="7970563C">
            <w:pPr>
              <w:jc w:val="right"/>
            </w:pPr>
            <w:r>
              <w:rPr>
                <w:rFonts w:hint="eastAsia"/>
              </w:rPr>
              <w:t>-</w:t>
            </w:r>
          </w:p>
        </w:tc>
        <w:tc>
          <w:tcPr>
            <w:tcW w:w="1384" w:type="dxa"/>
            <w:vAlign w:val="center"/>
          </w:tcPr>
          <w:p w14:paraId="60E8495A">
            <w:pPr>
              <w:jc w:val="right"/>
            </w:pPr>
            <w:r>
              <w:rPr>
                <w:rFonts w:hint="eastAsia"/>
              </w:rPr>
              <w:t>-</w:t>
            </w:r>
          </w:p>
        </w:tc>
        <w:tc>
          <w:tcPr>
            <w:tcW w:w="1384" w:type="dxa"/>
            <w:vAlign w:val="center"/>
          </w:tcPr>
          <w:p w14:paraId="032836BE">
            <w:pPr>
              <w:jc w:val="right"/>
            </w:pPr>
            <w:r>
              <w:rPr>
                <w:rFonts w:hint="eastAsia"/>
              </w:rPr>
              <w:t>-</w:t>
            </w:r>
          </w:p>
        </w:tc>
        <w:tc>
          <w:tcPr>
            <w:tcW w:w="1384" w:type="dxa"/>
            <w:vAlign w:val="center"/>
          </w:tcPr>
          <w:p w14:paraId="66C8482D">
            <w:pPr>
              <w:jc w:val="right"/>
            </w:pPr>
            <w:r>
              <w:rPr>
                <w:rFonts w:hint="eastAsia"/>
              </w:rPr>
              <w:t>-</w:t>
            </w:r>
          </w:p>
        </w:tc>
      </w:tr>
      <w:tr w14:paraId="062B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82839">
            <w:r>
              <w:rPr>
                <w:rFonts w:hint="eastAsia"/>
              </w:rPr>
              <w:t>应付利润</w:t>
            </w:r>
          </w:p>
        </w:tc>
        <w:tc>
          <w:tcPr>
            <w:tcW w:w="1384" w:type="dxa"/>
            <w:vAlign w:val="center"/>
          </w:tcPr>
          <w:p w14:paraId="277B89D9">
            <w:pPr>
              <w:jc w:val="right"/>
            </w:pPr>
            <w:r>
              <w:rPr>
                <w:rFonts w:hint="eastAsia"/>
              </w:rPr>
              <w:t>-</w:t>
            </w:r>
          </w:p>
        </w:tc>
        <w:tc>
          <w:tcPr>
            <w:tcW w:w="1384" w:type="dxa"/>
            <w:vAlign w:val="center"/>
          </w:tcPr>
          <w:p w14:paraId="092B5150">
            <w:pPr>
              <w:jc w:val="right"/>
            </w:pPr>
            <w:r>
              <w:rPr>
                <w:rFonts w:hint="eastAsia"/>
              </w:rPr>
              <w:t>-</w:t>
            </w:r>
          </w:p>
        </w:tc>
        <w:tc>
          <w:tcPr>
            <w:tcW w:w="1384" w:type="dxa"/>
            <w:vAlign w:val="center"/>
          </w:tcPr>
          <w:p w14:paraId="47A1AA24">
            <w:pPr>
              <w:jc w:val="right"/>
            </w:pPr>
            <w:r>
              <w:rPr>
                <w:rFonts w:hint="eastAsia"/>
              </w:rPr>
              <w:t>-</w:t>
            </w:r>
          </w:p>
        </w:tc>
        <w:tc>
          <w:tcPr>
            <w:tcW w:w="1384" w:type="dxa"/>
            <w:vAlign w:val="center"/>
          </w:tcPr>
          <w:p w14:paraId="248E092E">
            <w:pPr>
              <w:jc w:val="right"/>
            </w:pPr>
            <w:r>
              <w:rPr>
                <w:rFonts w:hint="eastAsia"/>
              </w:rPr>
              <w:t>-</w:t>
            </w:r>
          </w:p>
        </w:tc>
        <w:tc>
          <w:tcPr>
            <w:tcW w:w="1384" w:type="dxa"/>
            <w:vAlign w:val="center"/>
          </w:tcPr>
          <w:p w14:paraId="2690C2C4">
            <w:pPr>
              <w:jc w:val="right"/>
            </w:pPr>
            <w:r>
              <w:rPr>
                <w:rFonts w:hint="eastAsia"/>
              </w:rPr>
              <w:t>-</w:t>
            </w:r>
          </w:p>
        </w:tc>
      </w:tr>
      <w:tr w14:paraId="57CC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287EA">
            <w:r>
              <w:rPr>
                <w:rFonts w:hint="eastAsia"/>
              </w:rPr>
              <w:t>递延所得税负债</w:t>
            </w:r>
          </w:p>
        </w:tc>
        <w:tc>
          <w:tcPr>
            <w:tcW w:w="1384" w:type="dxa"/>
            <w:vAlign w:val="center"/>
          </w:tcPr>
          <w:p w14:paraId="5A3911C6">
            <w:pPr>
              <w:jc w:val="right"/>
            </w:pPr>
            <w:r>
              <w:rPr>
                <w:rFonts w:hint="eastAsia"/>
              </w:rPr>
              <w:t>-</w:t>
            </w:r>
          </w:p>
        </w:tc>
        <w:tc>
          <w:tcPr>
            <w:tcW w:w="1384" w:type="dxa"/>
            <w:vAlign w:val="center"/>
          </w:tcPr>
          <w:p w14:paraId="5F171AA1">
            <w:pPr>
              <w:jc w:val="right"/>
            </w:pPr>
            <w:r>
              <w:rPr>
                <w:rFonts w:hint="eastAsia"/>
              </w:rPr>
              <w:t>-</w:t>
            </w:r>
          </w:p>
        </w:tc>
        <w:tc>
          <w:tcPr>
            <w:tcW w:w="1384" w:type="dxa"/>
            <w:vAlign w:val="center"/>
          </w:tcPr>
          <w:p w14:paraId="65EA6BA4">
            <w:pPr>
              <w:jc w:val="right"/>
            </w:pPr>
            <w:r>
              <w:rPr>
                <w:rFonts w:hint="eastAsia"/>
              </w:rPr>
              <w:t>-</w:t>
            </w:r>
          </w:p>
        </w:tc>
        <w:tc>
          <w:tcPr>
            <w:tcW w:w="1384" w:type="dxa"/>
            <w:vAlign w:val="center"/>
          </w:tcPr>
          <w:p w14:paraId="2AE50EF9">
            <w:pPr>
              <w:jc w:val="right"/>
            </w:pPr>
            <w:r>
              <w:rPr>
                <w:rFonts w:hint="eastAsia"/>
              </w:rPr>
              <w:t>-</w:t>
            </w:r>
          </w:p>
        </w:tc>
        <w:tc>
          <w:tcPr>
            <w:tcW w:w="1384" w:type="dxa"/>
            <w:vAlign w:val="center"/>
          </w:tcPr>
          <w:p w14:paraId="54CCC3A2">
            <w:pPr>
              <w:jc w:val="right"/>
            </w:pPr>
            <w:r>
              <w:rPr>
                <w:rFonts w:hint="eastAsia"/>
              </w:rPr>
              <w:t>-</w:t>
            </w:r>
          </w:p>
        </w:tc>
      </w:tr>
      <w:tr w14:paraId="3C41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D18D1">
            <w:r>
              <w:rPr>
                <w:rFonts w:hint="eastAsia"/>
              </w:rPr>
              <w:t>其他负债</w:t>
            </w:r>
          </w:p>
        </w:tc>
        <w:tc>
          <w:tcPr>
            <w:tcW w:w="1384" w:type="dxa"/>
            <w:vAlign w:val="center"/>
          </w:tcPr>
          <w:p w14:paraId="6D844FEE">
            <w:pPr>
              <w:jc w:val="right"/>
            </w:pPr>
            <w:r>
              <w:rPr>
                <w:rFonts w:hint="eastAsia"/>
              </w:rPr>
              <w:t>-</w:t>
            </w:r>
          </w:p>
        </w:tc>
        <w:tc>
          <w:tcPr>
            <w:tcW w:w="1384" w:type="dxa"/>
            <w:vAlign w:val="center"/>
          </w:tcPr>
          <w:p w14:paraId="40DD2080">
            <w:pPr>
              <w:jc w:val="right"/>
            </w:pPr>
            <w:r>
              <w:rPr>
                <w:rFonts w:hint="eastAsia"/>
              </w:rPr>
              <w:t>-</w:t>
            </w:r>
          </w:p>
        </w:tc>
        <w:tc>
          <w:tcPr>
            <w:tcW w:w="1384" w:type="dxa"/>
            <w:vAlign w:val="center"/>
          </w:tcPr>
          <w:p w14:paraId="3F1E226B">
            <w:pPr>
              <w:jc w:val="right"/>
            </w:pPr>
            <w:r>
              <w:rPr>
                <w:rFonts w:hint="eastAsia"/>
              </w:rPr>
              <w:t>-</w:t>
            </w:r>
          </w:p>
        </w:tc>
        <w:tc>
          <w:tcPr>
            <w:tcW w:w="1384" w:type="dxa"/>
            <w:vAlign w:val="center"/>
          </w:tcPr>
          <w:p w14:paraId="16EEBCC5">
            <w:pPr>
              <w:jc w:val="right"/>
            </w:pPr>
            <w:r>
              <w:rPr>
                <w:rFonts w:hint="eastAsia"/>
              </w:rPr>
              <w:t>5,000.00</w:t>
            </w:r>
          </w:p>
        </w:tc>
        <w:tc>
          <w:tcPr>
            <w:tcW w:w="1384" w:type="dxa"/>
            <w:vAlign w:val="center"/>
          </w:tcPr>
          <w:p w14:paraId="713E9A1B">
            <w:pPr>
              <w:jc w:val="right"/>
            </w:pPr>
            <w:r>
              <w:rPr>
                <w:rFonts w:hint="eastAsia"/>
              </w:rPr>
              <w:t>5,000.00</w:t>
            </w:r>
          </w:p>
        </w:tc>
      </w:tr>
      <w:tr w14:paraId="780A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B9C3F">
            <w:r>
              <w:rPr>
                <w:rFonts w:hint="eastAsia"/>
              </w:rPr>
              <w:t>负债总计</w:t>
            </w:r>
          </w:p>
        </w:tc>
        <w:tc>
          <w:tcPr>
            <w:tcW w:w="1384" w:type="dxa"/>
            <w:vAlign w:val="center"/>
          </w:tcPr>
          <w:p w14:paraId="5BAAD289">
            <w:pPr>
              <w:jc w:val="right"/>
            </w:pPr>
            <w:r>
              <w:rPr>
                <w:rFonts w:hint="eastAsia"/>
              </w:rPr>
              <w:t>-</w:t>
            </w:r>
          </w:p>
        </w:tc>
        <w:tc>
          <w:tcPr>
            <w:tcW w:w="1384" w:type="dxa"/>
            <w:vAlign w:val="center"/>
          </w:tcPr>
          <w:p w14:paraId="3D8056A1">
            <w:pPr>
              <w:jc w:val="right"/>
            </w:pPr>
            <w:r>
              <w:rPr>
                <w:rFonts w:hint="eastAsia"/>
              </w:rPr>
              <w:t>-</w:t>
            </w:r>
          </w:p>
        </w:tc>
        <w:tc>
          <w:tcPr>
            <w:tcW w:w="1384" w:type="dxa"/>
            <w:vAlign w:val="center"/>
          </w:tcPr>
          <w:p w14:paraId="62779CC1">
            <w:pPr>
              <w:jc w:val="right"/>
            </w:pPr>
            <w:r>
              <w:rPr>
                <w:rFonts w:hint="eastAsia"/>
              </w:rPr>
              <w:t>-</w:t>
            </w:r>
          </w:p>
        </w:tc>
        <w:tc>
          <w:tcPr>
            <w:tcW w:w="1384" w:type="dxa"/>
            <w:vAlign w:val="center"/>
          </w:tcPr>
          <w:p w14:paraId="36611739">
            <w:pPr>
              <w:jc w:val="right"/>
            </w:pPr>
            <w:r>
              <w:rPr>
                <w:rFonts w:hint="eastAsia"/>
              </w:rPr>
              <w:t>141,897.76</w:t>
            </w:r>
          </w:p>
        </w:tc>
        <w:tc>
          <w:tcPr>
            <w:tcW w:w="1384" w:type="dxa"/>
            <w:vAlign w:val="center"/>
          </w:tcPr>
          <w:p w14:paraId="5D861471">
            <w:pPr>
              <w:jc w:val="right"/>
            </w:pPr>
            <w:r>
              <w:rPr>
                <w:rFonts w:hint="eastAsia"/>
              </w:rPr>
              <w:t>141,897.76</w:t>
            </w:r>
          </w:p>
        </w:tc>
      </w:tr>
      <w:tr w14:paraId="1A43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10B90">
            <w:r>
              <w:rPr>
                <w:rFonts w:hint="eastAsia"/>
              </w:rPr>
              <w:t>利率敏感度缺口</w:t>
            </w:r>
          </w:p>
        </w:tc>
        <w:tc>
          <w:tcPr>
            <w:tcW w:w="1384" w:type="dxa"/>
            <w:vAlign w:val="center"/>
          </w:tcPr>
          <w:p w14:paraId="705B932D">
            <w:pPr>
              <w:jc w:val="right"/>
            </w:pPr>
            <w:r>
              <w:rPr>
                <w:rFonts w:hint="eastAsia"/>
              </w:rPr>
              <w:t>1,514,568.48</w:t>
            </w:r>
          </w:p>
        </w:tc>
        <w:tc>
          <w:tcPr>
            <w:tcW w:w="1384" w:type="dxa"/>
            <w:vAlign w:val="center"/>
          </w:tcPr>
          <w:p w14:paraId="60D9925F">
            <w:pPr>
              <w:jc w:val="right"/>
            </w:pPr>
            <w:r>
              <w:rPr>
                <w:rFonts w:hint="eastAsia"/>
              </w:rPr>
              <w:t>-</w:t>
            </w:r>
          </w:p>
        </w:tc>
        <w:tc>
          <w:tcPr>
            <w:tcW w:w="1384" w:type="dxa"/>
            <w:vAlign w:val="center"/>
          </w:tcPr>
          <w:p w14:paraId="22FC5FDC">
            <w:pPr>
              <w:jc w:val="right"/>
            </w:pPr>
            <w:r>
              <w:rPr>
                <w:rFonts w:hint="eastAsia"/>
              </w:rPr>
              <w:t>-</w:t>
            </w:r>
          </w:p>
        </w:tc>
        <w:tc>
          <w:tcPr>
            <w:tcW w:w="1384" w:type="dxa"/>
            <w:vAlign w:val="center"/>
          </w:tcPr>
          <w:p w14:paraId="3AB1C344">
            <w:pPr>
              <w:jc w:val="right"/>
            </w:pPr>
            <w:r>
              <w:rPr>
                <w:rFonts w:hint="eastAsia"/>
              </w:rPr>
              <w:t>25,391,202.06</w:t>
            </w:r>
          </w:p>
        </w:tc>
        <w:tc>
          <w:tcPr>
            <w:tcW w:w="1384" w:type="dxa"/>
            <w:vAlign w:val="center"/>
          </w:tcPr>
          <w:p w14:paraId="3FE3BA68">
            <w:pPr>
              <w:jc w:val="right"/>
            </w:pPr>
            <w:r>
              <w:rPr>
                <w:rFonts w:hint="eastAsia"/>
              </w:rPr>
              <w:t>26,905,770.54</w:t>
            </w:r>
          </w:p>
        </w:tc>
      </w:tr>
    </w:tbl>
    <w:p w14:paraId="7B5281EB">
      <w:pPr>
        <w:pStyle w:val="47"/>
        <w:rPr>
          <w:rFonts w:hint="eastAsia"/>
        </w:rPr>
      </w:pPr>
      <w:r>
        <w:rPr>
          <w:rFonts w:hint="eastAsia"/>
        </w:rPr>
        <w:t>注：表中所示为本基金资产及负债的账面价值，并按照合约规定的利率重新定价日或到期日孰早者予以分类。</w:t>
      </w:r>
    </w:p>
    <w:p w14:paraId="0E908E61">
      <w:pPr>
        <w:pStyle w:val="37"/>
      </w:pPr>
      <w:bookmarkStart w:id="148" w:name="_Toc148"/>
      <w:r>
        <w:t>利率风险的敏感性分析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470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A243966">
            <w:r>
              <w:rPr>
                <w:rFonts w:hint="eastAsia"/>
              </w:rPr>
              <w:t>假设</w:t>
            </w:r>
          </w:p>
        </w:tc>
        <w:tc>
          <w:tcPr>
            <w:tcW w:w="3267" w:type="dxa"/>
            <w:gridSpan w:val="3"/>
            <w:vAlign w:val="center"/>
          </w:tcPr>
          <w:p w14:paraId="32574947">
            <w:r>
              <w:rPr>
                <w:rFonts w:hint="eastAsia"/>
              </w:rPr>
              <w:t>除市场利率以外的其他市场变量保持不变</w:t>
            </w:r>
          </w:p>
        </w:tc>
      </w:tr>
      <w:tr w14:paraId="3DC0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8465F5">
            <w:r>
              <w:rPr>
                <w:rFonts w:hint="eastAsia"/>
              </w:rPr>
              <w:t>分析</w:t>
            </w:r>
          </w:p>
        </w:tc>
        <w:tc>
          <w:tcPr>
            <w:tcW w:w="3267" w:type="dxa"/>
            <w:vMerge w:val="restart"/>
            <w:vAlign w:val="center"/>
          </w:tcPr>
          <w:p w14:paraId="7DF51A1C">
            <w:r>
              <w:rPr>
                <w:rFonts w:hint="eastAsia"/>
              </w:rPr>
              <w:t>相关风险变量的变动</w:t>
            </w:r>
          </w:p>
        </w:tc>
        <w:tc>
          <w:tcPr>
            <w:tcW w:w="2159" w:type="dxa"/>
            <w:gridSpan w:val="2"/>
            <w:vAlign w:val="center"/>
          </w:tcPr>
          <w:p w14:paraId="6E2C7928">
            <w:r>
              <w:rPr>
                <w:rFonts w:hint="eastAsia"/>
              </w:rPr>
              <w:t>对资产负债表日基金资产净值的影响金额（单位：人民币元）</w:t>
            </w:r>
          </w:p>
        </w:tc>
      </w:tr>
      <w:tr w14:paraId="6758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3131AD"/>
        </w:tc>
        <w:tc>
          <w:tcPr>
            <w:tcW w:w="3267" w:type="dxa"/>
            <w:vMerge w:val="continue"/>
            <w:vAlign w:val="center"/>
          </w:tcPr>
          <w:p w14:paraId="5BD2EF2E"/>
        </w:tc>
        <w:tc>
          <w:tcPr>
            <w:tcW w:w="2159" w:type="dxa"/>
            <w:vAlign w:val="center"/>
          </w:tcPr>
          <w:p w14:paraId="29FA82D0">
            <w:r>
              <w:rPr>
                <w:rFonts w:hint="eastAsia"/>
              </w:rPr>
              <w:t>本期末（ 2025年12月31日 ）</w:t>
            </w:r>
          </w:p>
        </w:tc>
        <w:tc>
          <w:tcPr>
            <w:tcW w:w="2159" w:type="dxa"/>
            <w:vAlign w:val="center"/>
          </w:tcPr>
          <w:p w14:paraId="0CA08E9E">
            <w:r>
              <w:rPr>
                <w:rFonts w:hint="eastAsia"/>
              </w:rPr>
              <w:t>上年度末（ 2024年12月31日 ）</w:t>
            </w:r>
          </w:p>
        </w:tc>
      </w:tr>
      <w:tr w14:paraId="61E5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FEBBF5"/>
        </w:tc>
        <w:tc>
          <w:tcPr>
            <w:tcW w:w="3267" w:type="dxa"/>
            <w:vAlign w:val="center"/>
          </w:tcPr>
          <w:p w14:paraId="1F20FC20">
            <w:r>
              <w:rPr>
                <w:rFonts w:hint="eastAsia"/>
              </w:rPr>
              <w:t>1.市场利率平行上升25个基点</w:t>
            </w:r>
          </w:p>
        </w:tc>
        <w:tc>
          <w:tcPr>
            <w:tcW w:w="2159" w:type="dxa"/>
            <w:vAlign w:val="center"/>
          </w:tcPr>
          <w:p w14:paraId="33FC2174">
            <w:pPr>
              <w:jc w:val="right"/>
            </w:pPr>
            <w:r>
              <w:rPr>
                <w:rFonts w:hint="eastAsia"/>
              </w:rPr>
              <w:t>-311.66</w:t>
            </w:r>
          </w:p>
        </w:tc>
        <w:tc>
          <w:tcPr>
            <w:tcW w:w="2159" w:type="dxa"/>
            <w:vAlign w:val="center"/>
          </w:tcPr>
          <w:p w14:paraId="3B6B6613">
            <w:pPr>
              <w:jc w:val="right"/>
            </w:pPr>
            <w:r>
              <w:rPr>
                <w:rFonts w:hint="eastAsia"/>
              </w:rPr>
              <w:t>0.00</w:t>
            </w:r>
          </w:p>
        </w:tc>
      </w:tr>
      <w:tr w14:paraId="5336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4C298C"/>
        </w:tc>
        <w:tc>
          <w:tcPr>
            <w:tcW w:w="3267" w:type="dxa"/>
            <w:vAlign w:val="center"/>
          </w:tcPr>
          <w:p w14:paraId="7BBBC84B">
            <w:r>
              <w:rPr>
                <w:rFonts w:hint="eastAsia"/>
              </w:rPr>
              <w:t>2.市场利率平行下降25个基点</w:t>
            </w:r>
          </w:p>
        </w:tc>
        <w:tc>
          <w:tcPr>
            <w:tcW w:w="2159" w:type="dxa"/>
            <w:vAlign w:val="center"/>
          </w:tcPr>
          <w:p w14:paraId="2B5FFC70">
            <w:pPr>
              <w:jc w:val="right"/>
            </w:pPr>
            <w:r>
              <w:rPr>
                <w:rFonts w:hint="eastAsia"/>
              </w:rPr>
              <w:t>311.72</w:t>
            </w:r>
          </w:p>
        </w:tc>
        <w:tc>
          <w:tcPr>
            <w:tcW w:w="2159" w:type="dxa"/>
            <w:vAlign w:val="center"/>
          </w:tcPr>
          <w:p w14:paraId="5C15501A">
            <w:pPr>
              <w:jc w:val="right"/>
            </w:pPr>
            <w:r>
              <w:rPr>
                <w:rFonts w:hint="eastAsia"/>
              </w:rPr>
              <w:t>0.00</w:t>
            </w:r>
          </w:p>
        </w:tc>
      </w:tr>
    </w:tbl>
    <w:p w14:paraId="53124AE2">
      <w:pPr>
        <w:pStyle w:val="36"/>
      </w:pPr>
      <w:bookmarkStart w:id="149" w:name="_Toc149"/>
      <w:r>
        <w:t>外汇风险</w:t>
      </w:r>
      <w:bookmarkEnd w:id="149"/>
    </w:p>
    <w:p w14:paraId="7EF729B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D0B9839">
      <w:pPr>
        <w:pStyle w:val="36"/>
      </w:pPr>
      <w:bookmarkStart w:id="150" w:name="_Toc150"/>
      <w:r>
        <w:t>其他价格风险</w:t>
      </w:r>
      <w:bookmarkEnd w:id="150"/>
    </w:p>
    <w:p w14:paraId="59746CB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3B586EA">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ECD6B85">
      <w:pPr>
        <w:pStyle w:val="37"/>
      </w:pPr>
      <w:bookmarkStart w:id="151" w:name="_Toc151"/>
      <w:r>
        <w:t>其他价格风险敞口</w:t>
      </w:r>
      <w:bookmarkEnd w:id="151"/>
    </w:p>
    <w:p w14:paraId="30D6C8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537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1A45692">
            <w:pPr>
              <w:jc w:val="center"/>
            </w:pPr>
            <w:r>
              <w:rPr>
                <w:rFonts w:hint="eastAsia"/>
                <w:b/>
              </w:rPr>
              <w:t>项目</w:t>
            </w:r>
          </w:p>
        </w:tc>
        <w:tc>
          <w:tcPr>
            <w:tcW w:w="1827" w:type="dxa"/>
            <w:gridSpan w:val="2"/>
            <w:shd w:val="clear" w:color="auto" w:fill="BFBFBF"/>
            <w:vAlign w:val="center"/>
          </w:tcPr>
          <w:p w14:paraId="3941E2B1">
            <w:pPr>
              <w:jc w:val="center"/>
            </w:pPr>
            <w:r>
              <w:rPr>
                <w:rFonts w:hint="eastAsia"/>
                <w:b/>
              </w:rPr>
              <w:t>本期末2025年12月31日</w:t>
            </w:r>
          </w:p>
        </w:tc>
        <w:tc>
          <w:tcPr>
            <w:tcW w:w="1827" w:type="dxa"/>
            <w:gridSpan w:val="2"/>
            <w:shd w:val="clear" w:color="auto" w:fill="BFBFBF"/>
            <w:vAlign w:val="center"/>
          </w:tcPr>
          <w:p w14:paraId="0FCCD212">
            <w:pPr>
              <w:jc w:val="center"/>
            </w:pPr>
            <w:r>
              <w:rPr>
                <w:rFonts w:hint="eastAsia"/>
                <w:b/>
              </w:rPr>
              <w:t>上年度末2024年12月31日</w:t>
            </w:r>
          </w:p>
        </w:tc>
      </w:tr>
      <w:tr w14:paraId="35B2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9358EB1"/>
        </w:tc>
        <w:tc>
          <w:tcPr>
            <w:tcW w:w="1827" w:type="dxa"/>
            <w:shd w:val="clear" w:color="auto" w:fill="BFBFBF"/>
            <w:vAlign w:val="center"/>
          </w:tcPr>
          <w:p w14:paraId="3FA6DC63">
            <w:pPr>
              <w:jc w:val="center"/>
            </w:pPr>
            <w:r>
              <w:rPr>
                <w:rFonts w:hint="eastAsia"/>
                <w:b/>
              </w:rPr>
              <w:t>公允价值</w:t>
            </w:r>
          </w:p>
        </w:tc>
        <w:tc>
          <w:tcPr>
            <w:tcW w:w="1356" w:type="dxa"/>
            <w:shd w:val="clear" w:color="auto" w:fill="BFBFBF"/>
            <w:vAlign w:val="center"/>
          </w:tcPr>
          <w:p w14:paraId="7CD15732">
            <w:pPr>
              <w:jc w:val="center"/>
            </w:pPr>
            <w:r>
              <w:rPr>
                <w:rFonts w:hint="eastAsia"/>
                <w:b/>
              </w:rPr>
              <w:t>占基金资产净值比例（%）</w:t>
            </w:r>
          </w:p>
        </w:tc>
        <w:tc>
          <w:tcPr>
            <w:tcW w:w="1827" w:type="dxa"/>
            <w:shd w:val="clear" w:color="auto" w:fill="BFBFBF"/>
            <w:vAlign w:val="center"/>
          </w:tcPr>
          <w:p w14:paraId="7A92F572">
            <w:pPr>
              <w:jc w:val="center"/>
            </w:pPr>
            <w:r>
              <w:rPr>
                <w:rFonts w:hint="eastAsia"/>
                <w:b/>
              </w:rPr>
              <w:t>公允价值</w:t>
            </w:r>
          </w:p>
        </w:tc>
        <w:tc>
          <w:tcPr>
            <w:tcW w:w="1439" w:type="dxa"/>
            <w:shd w:val="clear" w:color="auto" w:fill="BFBFBF"/>
            <w:vAlign w:val="center"/>
          </w:tcPr>
          <w:p w14:paraId="0FCBF505">
            <w:pPr>
              <w:jc w:val="center"/>
            </w:pPr>
            <w:r>
              <w:rPr>
                <w:rFonts w:hint="eastAsia"/>
                <w:b/>
              </w:rPr>
              <w:t>占基金资产净值比例（%）</w:t>
            </w:r>
          </w:p>
        </w:tc>
      </w:tr>
      <w:tr w14:paraId="6252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D6D425">
            <w:r>
              <w:rPr>
                <w:rFonts w:hint="eastAsia"/>
              </w:rPr>
              <w:t>交易性金融资产-股票投资</w:t>
            </w:r>
          </w:p>
        </w:tc>
        <w:tc>
          <w:tcPr>
            <w:tcW w:w="1827" w:type="dxa"/>
            <w:vAlign w:val="center"/>
          </w:tcPr>
          <w:p w14:paraId="1CADA620">
            <w:pPr>
              <w:jc w:val="right"/>
            </w:pPr>
            <w:r>
              <w:rPr>
                <w:rFonts w:hint="eastAsia"/>
              </w:rPr>
              <w:t>-</w:t>
            </w:r>
          </w:p>
        </w:tc>
        <w:tc>
          <w:tcPr>
            <w:tcW w:w="1356" w:type="dxa"/>
            <w:vAlign w:val="center"/>
          </w:tcPr>
          <w:p w14:paraId="1DCBD1C3">
            <w:pPr>
              <w:jc w:val="right"/>
            </w:pPr>
            <w:r>
              <w:rPr>
                <w:rFonts w:hint="eastAsia"/>
              </w:rPr>
              <w:t>-</w:t>
            </w:r>
          </w:p>
        </w:tc>
        <w:tc>
          <w:tcPr>
            <w:tcW w:w="1827" w:type="dxa"/>
            <w:vAlign w:val="center"/>
          </w:tcPr>
          <w:p w14:paraId="0D7776B9">
            <w:pPr>
              <w:jc w:val="right"/>
            </w:pPr>
            <w:r>
              <w:rPr>
                <w:rFonts w:hint="eastAsia"/>
              </w:rPr>
              <w:t>-</w:t>
            </w:r>
          </w:p>
        </w:tc>
        <w:tc>
          <w:tcPr>
            <w:tcW w:w="1439" w:type="dxa"/>
            <w:vAlign w:val="center"/>
          </w:tcPr>
          <w:p w14:paraId="4BFFFA2A">
            <w:pPr>
              <w:jc w:val="right"/>
            </w:pPr>
            <w:r>
              <w:rPr>
                <w:rFonts w:hint="eastAsia"/>
              </w:rPr>
              <w:t>-</w:t>
            </w:r>
          </w:p>
        </w:tc>
      </w:tr>
      <w:tr w14:paraId="2FC9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10B491">
            <w:r>
              <w:rPr>
                <w:rFonts w:hint="eastAsia"/>
              </w:rPr>
              <w:t>交易性金融资产-基金投资</w:t>
            </w:r>
          </w:p>
        </w:tc>
        <w:tc>
          <w:tcPr>
            <w:tcW w:w="1827" w:type="dxa"/>
            <w:vAlign w:val="center"/>
          </w:tcPr>
          <w:p w14:paraId="2F97CC14">
            <w:pPr>
              <w:jc w:val="right"/>
            </w:pPr>
            <w:r>
              <w:rPr>
                <w:rFonts w:hint="eastAsia"/>
              </w:rPr>
              <w:t>172,787,862.35</w:t>
            </w:r>
          </w:p>
        </w:tc>
        <w:tc>
          <w:tcPr>
            <w:tcW w:w="1356" w:type="dxa"/>
            <w:vAlign w:val="center"/>
          </w:tcPr>
          <w:p w14:paraId="37A9E620">
            <w:pPr>
              <w:jc w:val="right"/>
            </w:pPr>
            <w:r>
              <w:rPr>
                <w:rFonts w:hint="eastAsia"/>
              </w:rPr>
              <w:t>95.02</w:t>
            </w:r>
          </w:p>
        </w:tc>
        <w:tc>
          <w:tcPr>
            <w:tcW w:w="1827" w:type="dxa"/>
            <w:vAlign w:val="center"/>
          </w:tcPr>
          <w:p w14:paraId="1C16956E">
            <w:pPr>
              <w:jc w:val="right"/>
            </w:pPr>
            <w:r>
              <w:rPr>
                <w:rFonts w:hint="eastAsia"/>
              </w:rPr>
              <w:t>25,396,884.06</w:t>
            </w:r>
          </w:p>
        </w:tc>
        <w:tc>
          <w:tcPr>
            <w:tcW w:w="1439" w:type="dxa"/>
            <w:vAlign w:val="center"/>
          </w:tcPr>
          <w:p w14:paraId="0C4C95D4">
            <w:pPr>
              <w:jc w:val="right"/>
            </w:pPr>
            <w:r>
              <w:rPr>
                <w:rFonts w:hint="eastAsia"/>
              </w:rPr>
              <w:t>94.39</w:t>
            </w:r>
          </w:p>
        </w:tc>
      </w:tr>
      <w:tr w14:paraId="748F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614C85">
            <w:r>
              <w:rPr>
                <w:rFonts w:hint="eastAsia"/>
              </w:rPr>
              <w:t>交易性金融资产-贵金属投资</w:t>
            </w:r>
          </w:p>
        </w:tc>
        <w:tc>
          <w:tcPr>
            <w:tcW w:w="1827" w:type="dxa"/>
            <w:vAlign w:val="center"/>
          </w:tcPr>
          <w:p w14:paraId="2C2C2251">
            <w:pPr>
              <w:jc w:val="right"/>
            </w:pPr>
            <w:r>
              <w:rPr>
                <w:rFonts w:hint="eastAsia"/>
              </w:rPr>
              <w:t>-</w:t>
            </w:r>
          </w:p>
        </w:tc>
        <w:tc>
          <w:tcPr>
            <w:tcW w:w="1356" w:type="dxa"/>
            <w:vAlign w:val="center"/>
          </w:tcPr>
          <w:p w14:paraId="231B9328">
            <w:pPr>
              <w:jc w:val="right"/>
            </w:pPr>
            <w:r>
              <w:rPr>
                <w:rFonts w:hint="eastAsia"/>
              </w:rPr>
              <w:t>-</w:t>
            </w:r>
          </w:p>
        </w:tc>
        <w:tc>
          <w:tcPr>
            <w:tcW w:w="1827" w:type="dxa"/>
            <w:vAlign w:val="center"/>
          </w:tcPr>
          <w:p w14:paraId="76E15240">
            <w:pPr>
              <w:jc w:val="right"/>
            </w:pPr>
            <w:r>
              <w:rPr>
                <w:rFonts w:hint="eastAsia"/>
              </w:rPr>
              <w:t>-</w:t>
            </w:r>
          </w:p>
        </w:tc>
        <w:tc>
          <w:tcPr>
            <w:tcW w:w="1439" w:type="dxa"/>
            <w:vAlign w:val="center"/>
          </w:tcPr>
          <w:p w14:paraId="5DD9A048">
            <w:pPr>
              <w:jc w:val="right"/>
            </w:pPr>
            <w:r>
              <w:rPr>
                <w:rFonts w:hint="eastAsia"/>
              </w:rPr>
              <w:t>-</w:t>
            </w:r>
          </w:p>
        </w:tc>
      </w:tr>
      <w:tr w14:paraId="11DD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933E97">
            <w:r>
              <w:rPr>
                <w:rFonts w:hint="eastAsia"/>
              </w:rPr>
              <w:t>衍生金融资产-权证投资</w:t>
            </w:r>
          </w:p>
        </w:tc>
        <w:tc>
          <w:tcPr>
            <w:tcW w:w="1827" w:type="dxa"/>
            <w:vAlign w:val="center"/>
          </w:tcPr>
          <w:p w14:paraId="2A3CA155">
            <w:pPr>
              <w:jc w:val="right"/>
            </w:pPr>
            <w:r>
              <w:rPr>
                <w:rFonts w:hint="eastAsia"/>
              </w:rPr>
              <w:t>-</w:t>
            </w:r>
          </w:p>
        </w:tc>
        <w:tc>
          <w:tcPr>
            <w:tcW w:w="1356" w:type="dxa"/>
            <w:vAlign w:val="center"/>
          </w:tcPr>
          <w:p w14:paraId="22396E19">
            <w:pPr>
              <w:jc w:val="right"/>
            </w:pPr>
            <w:r>
              <w:rPr>
                <w:rFonts w:hint="eastAsia"/>
              </w:rPr>
              <w:t>-</w:t>
            </w:r>
          </w:p>
        </w:tc>
        <w:tc>
          <w:tcPr>
            <w:tcW w:w="1827" w:type="dxa"/>
            <w:vAlign w:val="center"/>
          </w:tcPr>
          <w:p w14:paraId="3E17D64F">
            <w:pPr>
              <w:jc w:val="right"/>
            </w:pPr>
            <w:r>
              <w:rPr>
                <w:rFonts w:hint="eastAsia"/>
              </w:rPr>
              <w:t>-</w:t>
            </w:r>
          </w:p>
        </w:tc>
        <w:tc>
          <w:tcPr>
            <w:tcW w:w="1439" w:type="dxa"/>
            <w:vAlign w:val="center"/>
          </w:tcPr>
          <w:p w14:paraId="0A702DCA">
            <w:pPr>
              <w:jc w:val="right"/>
            </w:pPr>
            <w:r>
              <w:rPr>
                <w:rFonts w:hint="eastAsia"/>
              </w:rPr>
              <w:t>-</w:t>
            </w:r>
          </w:p>
        </w:tc>
      </w:tr>
      <w:tr w14:paraId="38AD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059060">
            <w:r>
              <w:rPr>
                <w:rFonts w:hint="eastAsia"/>
              </w:rPr>
              <w:t>其他</w:t>
            </w:r>
          </w:p>
        </w:tc>
        <w:tc>
          <w:tcPr>
            <w:tcW w:w="1827" w:type="dxa"/>
            <w:vAlign w:val="center"/>
          </w:tcPr>
          <w:p w14:paraId="186934F8">
            <w:pPr>
              <w:jc w:val="right"/>
            </w:pPr>
            <w:r>
              <w:rPr>
                <w:rFonts w:hint="eastAsia"/>
              </w:rPr>
              <w:t>-</w:t>
            </w:r>
          </w:p>
        </w:tc>
        <w:tc>
          <w:tcPr>
            <w:tcW w:w="1356" w:type="dxa"/>
            <w:vAlign w:val="center"/>
          </w:tcPr>
          <w:p w14:paraId="1908233C">
            <w:pPr>
              <w:jc w:val="right"/>
            </w:pPr>
            <w:r>
              <w:rPr>
                <w:rFonts w:hint="eastAsia"/>
              </w:rPr>
              <w:t>-</w:t>
            </w:r>
          </w:p>
        </w:tc>
        <w:tc>
          <w:tcPr>
            <w:tcW w:w="1827" w:type="dxa"/>
            <w:vAlign w:val="center"/>
          </w:tcPr>
          <w:p w14:paraId="0F5D0D9A">
            <w:pPr>
              <w:jc w:val="right"/>
            </w:pPr>
            <w:r>
              <w:rPr>
                <w:rFonts w:hint="eastAsia"/>
              </w:rPr>
              <w:t>-</w:t>
            </w:r>
          </w:p>
        </w:tc>
        <w:tc>
          <w:tcPr>
            <w:tcW w:w="1439" w:type="dxa"/>
            <w:vAlign w:val="center"/>
          </w:tcPr>
          <w:p w14:paraId="5CC0D370">
            <w:pPr>
              <w:jc w:val="right"/>
            </w:pPr>
            <w:r>
              <w:rPr>
                <w:rFonts w:hint="eastAsia"/>
              </w:rPr>
              <w:t>-</w:t>
            </w:r>
          </w:p>
        </w:tc>
      </w:tr>
      <w:tr w14:paraId="0999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AC1CF7">
            <w:r>
              <w:rPr>
                <w:rFonts w:hint="eastAsia"/>
              </w:rPr>
              <w:t>合计</w:t>
            </w:r>
          </w:p>
        </w:tc>
        <w:tc>
          <w:tcPr>
            <w:tcW w:w="1827" w:type="dxa"/>
            <w:vAlign w:val="center"/>
          </w:tcPr>
          <w:p w14:paraId="6E43C181">
            <w:pPr>
              <w:jc w:val="right"/>
            </w:pPr>
            <w:r>
              <w:rPr>
                <w:rFonts w:hint="eastAsia"/>
              </w:rPr>
              <w:t>172,787,862.35</w:t>
            </w:r>
          </w:p>
        </w:tc>
        <w:tc>
          <w:tcPr>
            <w:tcW w:w="1356" w:type="dxa"/>
            <w:vAlign w:val="center"/>
          </w:tcPr>
          <w:p w14:paraId="49D21FE1">
            <w:pPr>
              <w:jc w:val="right"/>
            </w:pPr>
            <w:r>
              <w:rPr>
                <w:rFonts w:hint="eastAsia"/>
              </w:rPr>
              <w:t>95.02</w:t>
            </w:r>
          </w:p>
        </w:tc>
        <w:tc>
          <w:tcPr>
            <w:tcW w:w="1827" w:type="dxa"/>
            <w:vAlign w:val="center"/>
          </w:tcPr>
          <w:p w14:paraId="176D2AF9">
            <w:pPr>
              <w:jc w:val="right"/>
            </w:pPr>
            <w:r>
              <w:rPr>
                <w:rFonts w:hint="eastAsia"/>
              </w:rPr>
              <w:t>25,396,884.06</w:t>
            </w:r>
          </w:p>
        </w:tc>
        <w:tc>
          <w:tcPr>
            <w:tcW w:w="1439" w:type="dxa"/>
            <w:vAlign w:val="center"/>
          </w:tcPr>
          <w:p w14:paraId="62112C29">
            <w:pPr>
              <w:jc w:val="right"/>
            </w:pPr>
            <w:r>
              <w:rPr>
                <w:rFonts w:hint="eastAsia"/>
              </w:rPr>
              <w:t>94.39</w:t>
            </w:r>
          </w:p>
        </w:tc>
      </w:tr>
    </w:tbl>
    <w:p w14:paraId="7E052F3A">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0FD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34CD20E">
            <w:r>
              <w:rPr>
                <w:rFonts w:hint="eastAsia"/>
              </w:rPr>
              <w:t>假设</w:t>
            </w:r>
          </w:p>
        </w:tc>
        <w:tc>
          <w:tcPr>
            <w:tcW w:w="3267" w:type="dxa"/>
            <w:gridSpan w:val="3"/>
            <w:vAlign w:val="center"/>
          </w:tcPr>
          <w:p w14:paraId="63687F09">
            <w:r>
              <w:rPr>
                <w:rFonts w:hint="eastAsia"/>
              </w:rPr>
              <w:t>除业绩比较基准以外的其他市场变量保持不变</w:t>
            </w:r>
          </w:p>
        </w:tc>
      </w:tr>
      <w:tr w14:paraId="1EBD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B68DC1">
            <w:r>
              <w:rPr>
                <w:rFonts w:hint="eastAsia"/>
              </w:rPr>
              <w:t>分析</w:t>
            </w:r>
          </w:p>
        </w:tc>
        <w:tc>
          <w:tcPr>
            <w:tcW w:w="3267" w:type="dxa"/>
            <w:vMerge w:val="restart"/>
            <w:vAlign w:val="center"/>
          </w:tcPr>
          <w:p w14:paraId="13DDC8C4">
            <w:r>
              <w:rPr>
                <w:rFonts w:hint="eastAsia"/>
              </w:rPr>
              <w:t>相关风险变量的变动</w:t>
            </w:r>
          </w:p>
        </w:tc>
        <w:tc>
          <w:tcPr>
            <w:tcW w:w="2159" w:type="dxa"/>
            <w:gridSpan w:val="2"/>
            <w:vAlign w:val="center"/>
          </w:tcPr>
          <w:p w14:paraId="33D91947">
            <w:r>
              <w:rPr>
                <w:rFonts w:hint="eastAsia"/>
              </w:rPr>
              <w:t>对资产负债表日基金资产净值的影响金额（单位：人民币元）</w:t>
            </w:r>
          </w:p>
        </w:tc>
      </w:tr>
      <w:tr w14:paraId="6E88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AAF3BB"/>
        </w:tc>
        <w:tc>
          <w:tcPr>
            <w:tcW w:w="3267" w:type="dxa"/>
            <w:vMerge w:val="continue"/>
            <w:vAlign w:val="center"/>
          </w:tcPr>
          <w:p w14:paraId="4E90D549"/>
        </w:tc>
        <w:tc>
          <w:tcPr>
            <w:tcW w:w="2159" w:type="dxa"/>
            <w:vAlign w:val="center"/>
          </w:tcPr>
          <w:p w14:paraId="309B8449">
            <w:r>
              <w:rPr>
                <w:rFonts w:hint="eastAsia"/>
              </w:rPr>
              <w:t>本期末（ 2025年12月31日 ）</w:t>
            </w:r>
          </w:p>
        </w:tc>
        <w:tc>
          <w:tcPr>
            <w:tcW w:w="2159" w:type="dxa"/>
            <w:vAlign w:val="center"/>
          </w:tcPr>
          <w:p w14:paraId="10270D23">
            <w:r>
              <w:rPr>
                <w:rFonts w:hint="eastAsia"/>
              </w:rPr>
              <w:t>上年度末（ 2024年12月31日 ）</w:t>
            </w:r>
          </w:p>
        </w:tc>
      </w:tr>
      <w:tr w14:paraId="4FDA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DA526D"/>
        </w:tc>
        <w:tc>
          <w:tcPr>
            <w:tcW w:w="3267" w:type="dxa"/>
            <w:vAlign w:val="center"/>
          </w:tcPr>
          <w:p w14:paraId="7BE0579F">
            <w:r>
              <w:rPr>
                <w:rFonts w:hint="eastAsia"/>
              </w:rPr>
              <w:t>1.组合自身基准上升 5%</w:t>
            </w:r>
          </w:p>
        </w:tc>
        <w:tc>
          <w:tcPr>
            <w:tcW w:w="2159" w:type="dxa"/>
            <w:vAlign w:val="center"/>
          </w:tcPr>
          <w:p w14:paraId="375EB3C1">
            <w:pPr>
              <w:jc w:val="right"/>
            </w:pPr>
            <w:r>
              <w:rPr>
                <w:rFonts w:hint="eastAsia"/>
              </w:rPr>
              <w:t>8,731,924.05</w:t>
            </w:r>
          </w:p>
        </w:tc>
        <w:tc>
          <w:tcPr>
            <w:tcW w:w="2159" w:type="dxa"/>
            <w:vAlign w:val="center"/>
          </w:tcPr>
          <w:p w14:paraId="6D78A35F">
            <w:pPr>
              <w:jc w:val="right"/>
            </w:pPr>
            <w:r>
              <w:rPr>
                <w:rFonts w:hint="eastAsia"/>
              </w:rPr>
              <w:t>1,263,389.84</w:t>
            </w:r>
          </w:p>
        </w:tc>
      </w:tr>
      <w:tr w14:paraId="6EF0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335C9D"/>
        </w:tc>
        <w:tc>
          <w:tcPr>
            <w:tcW w:w="3267" w:type="dxa"/>
            <w:vAlign w:val="center"/>
          </w:tcPr>
          <w:p w14:paraId="2495C065">
            <w:r>
              <w:rPr>
                <w:rFonts w:hint="eastAsia"/>
              </w:rPr>
              <w:t>2.组合自身基准下降 5%</w:t>
            </w:r>
          </w:p>
        </w:tc>
        <w:tc>
          <w:tcPr>
            <w:tcW w:w="2159" w:type="dxa"/>
            <w:vAlign w:val="center"/>
          </w:tcPr>
          <w:p w14:paraId="2FF36726">
            <w:pPr>
              <w:jc w:val="right"/>
            </w:pPr>
            <w:r>
              <w:rPr>
                <w:rFonts w:hint="eastAsia"/>
              </w:rPr>
              <w:t>-8,731,924.05</w:t>
            </w:r>
          </w:p>
        </w:tc>
        <w:tc>
          <w:tcPr>
            <w:tcW w:w="2159" w:type="dxa"/>
            <w:vAlign w:val="center"/>
          </w:tcPr>
          <w:p w14:paraId="6992FDAB">
            <w:pPr>
              <w:jc w:val="right"/>
            </w:pPr>
            <w:r>
              <w:rPr>
                <w:rFonts w:hint="eastAsia"/>
              </w:rPr>
              <w:t>-1,263,389.84</w:t>
            </w:r>
          </w:p>
        </w:tc>
      </w:tr>
    </w:tbl>
    <w:p w14:paraId="3495E92B">
      <w:pPr>
        <w:pStyle w:val="28"/>
      </w:pPr>
      <w:bookmarkStart w:id="153" w:name="_Toc153"/>
      <w:r>
        <w:t>公允价值</w:t>
      </w:r>
      <w:bookmarkEnd w:id="153"/>
    </w:p>
    <w:p w14:paraId="128DE325">
      <w:pPr>
        <w:pStyle w:val="35"/>
      </w:pPr>
      <w:bookmarkStart w:id="154" w:name="_Toc154"/>
      <w:r>
        <w:t>金融工具公允价值计量的方法</w:t>
      </w:r>
      <w:bookmarkEnd w:id="154"/>
    </w:p>
    <w:p w14:paraId="444DD47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574F32F">
      <w:pPr>
        <w:pStyle w:val="35"/>
      </w:pPr>
      <w:bookmarkStart w:id="155" w:name="_Toc155"/>
      <w:r>
        <w:t>持续的以公允价值计量的金融工具</w:t>
      </w:r>
      <w:bookmarkEnd w:id="155"/>
    </w:p>
    <w:p w14:paraId="7938648F">
      <w:pPr>
        <w:pStyle w:val="36"/>
      </w:pPr>
      <w:bookmarkStart w:id="156" w:name="_Toc156"/>
      <w:r>
        <w:t>各层次金融工具的公允价值</w:t>
      </w:r>
      <w:bookmarkEnd w:id="156"/>
    </w:p>
    <w:p w14:paraId="292A8E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72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DBE665">
            <w:pPr>
              <w:jc w:val="center"/>
            </w:pPr>
            <w:r>
              <w:rPr>
                <w:rFonts w:hint="eastAsia"/>
                <w:b/>
              </w:rPr>
              <w:t>公允价值计量结果所属的层次</w:t>
            </w:r>
          </w:p>
        </w:tc>
        <w:tc>
          <w:tcPr>
            <w:tcW w:w="2768" w:type="dxa"/>
            <w:shd w:val="clear" w:color="auto" w:fill="BFBFBF"/>
            <w:vAlign w:val="center"/>
          </w:tcPr>
          <w:p w14:paraId="31940B67">
            <w:pPr>
              <w:jc w:val="center"/>
            </w:pPr>
            <w:r>
              <w:rPr>
                <w:rFonts w:hint="eastAsia"/>
                <w:b/>
              </w:rPr>
              <w:t>本期末2025年12月31日</w:t>
            </w:r>
          </w:p>
        </w:tc>
        <w:tc>
          <w:tcPr>
            <w:tcW w:w="2768" w:type="dxa"/>
            <w:shd w:val="clear" w:color="auto" w:fill="BFBFBF"/>
            <w:vAlign w:val="center"/>
          </w:tcPr>
          <w:p w14:paraId="6AE3CFDF">
            <w:pPr>
              <w:jc w:val="center"/>
            </w:pPr>
            <w:r>
              <w:rPr>
                <w:rFonts w:hint="eastAsia"/>
                <w:b/>
              </w:rPr>
              <w:t>上年度末2024年12月31日</w:t>
            </w:r>
          </w:p>
        </w:tc>
      </w:tr>
      <w:tr w14:paraId="7894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74C75">
            <w:r>
              <w:rPr>
                <w:rFonts w:hint="eastAsia"/>
              </w:rPr>
              <w:t>第一层次</w:t>
            </w:r>
          </w:p>
        </w:tc>
        <w:tc>
          <w:tcPr>
            <w:tcW w:w="2768" w:type="dxa"/>
            <w:vAlign w:val="center"/>
          </w:tcPr>
          <w:p w14:paraId="06117233">
            <w:pPr>
              <w:jc w:val="right"/>
            </w:pPr>
            <w:r>
              <w:rPr>
                <w:rFonts w:hint="eastAsia"/>
              </w:rPr>
              <w:t>172,787,862.35</w:t>
            </w:r>
          </w:p>
        </w:tc>
        <w:tc>
          <w:tcPr>
            <w:tcW w:w="2768" w:type="dxa"/>
            <w:vAlign w:val="center"/>
          </w:tcPr>
          <w:p w14:paraId="0B4FA658">
            <w:pPr>
              <w:jc w:val="right"/>
            </w:pPr>
            <w:r>
              <w:rPr>
                <w:rFonts w:hint="eastAsia"/>
              </w:rPr>
              <w:t>25,396,884.06</w:t>
            </w:r>
          </w:p>
        </w:tc>
      </w:tr>
      <w:tr w14:paraId="2386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5B7C6">
            <w:r>
              <w:rPr>
                <w:rFonts w:hint="eastAsia"/>
              </w:rPr>
              <w:t>第二层次</w:t>
            </w:r>
          </w:p>
        </w:tc>
        <w:tc>
          <w:tcPr>
            <w:tcW w:w="2768" w:type="dxa"/>
            <w:vAlign w:val="center"/>
          </w:tcPr>
          <w:p w14:paraId="051954A6">
            <w:pPr>
              <w:jc w:val="right"/>
            </w:pPr>
            <w:r>
              <w:rPr>
                <w:rFonts w:hint="eastAsia"/>
              </w:rPr>
              <w:t>3,033,465.21</w:t>
            </w:r>
          </w:p>
        </w:tc>
        <w:tc>
          <w:tcPr>
            <w:tcW w:w="2768" w:type="dxa"/>
            <w:vAlign w:val="center"/>
          </w:tcPr>
          <w:p w14:paraId="2377960B">
            <w:pPr>
              <w:jc w:val="right"/>
            </w:pPr>
            <w:r>
              <w:rPr>
                <w:rFonts w:hint="eastAsia"/>
              </w:rPr>
              <w:t>-</w:t>
            </w:r>
          </w:p>
        </w:tc>
      </w:tr>
      <w:tr w14:paraId="71E6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76ED9">
            <w:r>
              <w:rPr>
                <w:rFonts w:hint="eastAsia"/>
              </w:rPr>
              <w:t>第三层次</w:t>
            </w:r>
          </w:p>
        </w:tc>
        <w:tc>
          <w:tcPr>
            <w:tcW w:w="2768" w:type="dxa"/>
            <w:vAlign w:val="center"/>
          </w:tcPr>
          <w:p w14:paraId="11CC8DC2">
            <w:pPr>
              <w:jc w:val="right"/>
            </w:pPr>
            <w:r>
              <w:rPr>
                <w:rFonts w:hint="eastAsia"/>
              </w:rPr>
              <w:t>-</w:t>
            </w:r>
          </w:p>
        </w:tc>
        <w:tc>
          <w:tcPr>
            <w:tcW w:w="2768" w:type="dxa"/>
            <w:vAlign w:val="center"/>
          </w:tcPr>
          <w:p w14:paraId="51BD374A">
            <w:pPr>
              <w:jc w:val="right"/>
            </w:pPr>
            <w:r>
              <w:rPr>
                <w:rFonts w:hint="eastAsia"/>
              </w:rPr>
              <w:t>-</w:t>
            </w:r>
          </w:p>
        </w:tc>
      </w:tr>
      <w:tr w14:paraId="4BF9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38D2A">
            <w:r>
              <w:rPr>
                <w:rFonts w:hint="eastAsia"/>
              </w:rPr>
              <w:t>合计</w:t>
            </w:r>
          </w:p>
        </w:tc>
        <w:tc>
          <w:tcPr>
            <w:tcW w:w="2768" w:type="dxa"/>
            <w:vAlign w:val="center"/>
          </w:tcPr>
          <w:p w14:paraId="21114F81">
            <w:pPr>
              <w:jc w:val="right"/>
            </w:pPr>
            <w:r>
              <w:rPr>
                <w:rFonts w:hint="eastAsia"/>
              </w:rPr>
              <w:t>175,821,327.56</w:t>
            </w:r>
          </w:p>
        </w:tc>
        <w:tc>
          <w:tcPr>
            <w:tcW w:w="2768" w:type="dxa"/>
            <w:vAlign w:val="center"/>
          </w:tcPr>
          <w:p w14:paraId="3D5AE80B">
            <w:pPr>
              <w:jc w:val="right"/>
            </w:pPr>
            <w:r>
              <w:rPr>
                <w:rFonts w:hint="eastAsia"/>
              </w:rPr>
              <w:t>25,396,884.06</w:t>
            </w:r>
          </w:p>
        </w:tc>
      </w:tr>
    </w:tbl>
    <w:p w14:paraId="02CB31C3">
      <w:pPr>
        <w:pStyle w:val="36"/>
      </w:pPr>
      <w:bookmarkStart w:id="157" w:name="_Toc157"/>
      <w:r>
        <w:t>公允价值所属层次间的重大变动</w:t>
      </w:r>
      <w:bookmarkEnd w:id="157"/>
    </w:p>
    <w:p w14:paraId="3408D3B5">
      <w:pPr>
        <w:pStyle w:val="18"/>
        <w:rPr>
          <w:rFonts w:hint="eastAsia"/>
        </w:rPr>
      </w:pPr>
      <w:r>
        <w:rPr>
          <w:rFonts w:hint="eastAsia"/>
        </w:rPr>
        <w:t>本基金以导致各层次之间转换的事项发生日为确认各层次之间转换的时点。</w:t>
      </w:r>
    </w:p>
    <w:p w14:paraId="31EFAB5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8C932D9">
      <w:pPr>
        <w:pStyle w:val="35"/>
      </w:pPr>
      <w:bookmarkStart w:id="158" w:name="_Toc158"/>
      <w:r>
        <w:t>非持续的以公允价值计量的金融工具的说明</w:t>
      </w:r>
      <w:bookmarkEnd w:id="158"/>
    </w:p>
    <w:p w14:paraId="018F1A68">
      <w:pPr>
        <w:pStyle w:val="18"/>
        <w:rPr>
          <w:rFonts w:hint="eastAsia"/>
        </w:rPr>
      </w:pPr>
      <w:r>
        <w:rPr>
          <w:rFonts w:hint="eastAsia"/>
        </w:rPr>
        <w:t>于本报告期末，本基金未持有非持续的以公允价值计量的金融资产（上年度末：同）。</w:t>
      </w:r>
    </w:p>
    <w:p w14:paraId="1454F7C4">
      <w:pPr>
        <w:pStyle w:val="35"/>
      </w:pPr>
      <w:bookmarkStart w:id="159" w:name="_Toc159"/>
      <w:r>
        <w:t>不以公允价值计量的金融工具的相关说明</w:t>
      </w:r>
      <w:bookmarkEnd w:id="159"/>
    </w:p>
    <w:p w14:paraId="167B91BB">
      <w:pPr>
        <w:pStyle w:val="18"/>
        <w:rPr>
          <w:rFonts w:hint="eastAsia"/>
        </w:rPr>
      </w:pPr>
      <w:r>
        <w:rPr>
          <w:rFonts w:hint="eastAsia"/>
        </w:rPr>
        <w:t>不以公允价值计量的金融资产和负债主要包括应收款项和其他金融负债，其账面价值与公允价值相差很小。</w:t>
      </w:r>
    </w:p>
    <w:p w14:paraId="207CF4CD">
      <w:pPr>
        <w:pStyle w:val="28"/>
      </w:pPr>
      <w:bookmarkStart w:id="160" w:name="_Toc160"/>
      <w:r>
        <w:t>有助于理解和分析会计报表需要说明的其他事项</w:t>
      </w:r>
      <w:bookmarkEnd w:id="160"/>
    </w:p>
    <w:p w14:paraId="0DD9EBA2">
      <w:pPr>
        <w:pStyle w:val="18"/>
        <w:rPr>
          <w:rFonts w:hint="eastAsia"/>
        </w:rPr>
      </w:pPr>
      <w:r>
        <w:rPr>
          <w:rFonts w:hint="eastAsia"/>
        </w:rPr>
        <w:t>截至资产负债表日本基金无需要说明的其他重要事项。</w:t>
      </w:r>
    </w:p>
    <w:p w14:paraId="3B398AF3">
      <w:pPr>
        <w:pStyle w:val="26"/>
      </w:pPr>
      <w:bookmarkStart w:id="161" w:name="_Toc11575"/>
      <w:r>
        <w:t>投资组合报告</w:t>
      </w:r>
      <w:bookmarkEnd w:id="161"/>
    </w:p>
    <w:p w14:paraId="654DA5A0">
      <w:pPr>
        <w:pStyle w:val="23"/>
      </w:pPr>
      <w:bookmarkStart w:id="162" w:name="_Toc4773"/>
      <w:r>
        <w:t>期末基金资产组合情况</w:t>
      </w:r>
      <w:bookmarkEnd w:id="162"/>
    </w:p>
    <w:p w14:paraId="2D5B1D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3F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1E842F">
            <w:pPr>
              <w:jc w:val="center"/>
            </w:pPr>
            <w:r>
              <w:rPr>
                <w:rFonts w:hint="eastAsia"/>
                <w:b/>
              </w:rPr>
              <w:t>序号</w:t>
            </w:r>
          </w:p>
        </w:tc>
        <w:tc>
          <w:tcPr>
            <w:tcW w:w="2076" w:type="dxa"/>
            <w:shd w:val="clear" w:color="auto" w:fill="BFBFBF"/>
            <w:vAlign w:val="center"/>
          </w:tcPr>
          <w:p w14:paraId="26DE0684">
            <w:pPr>
              <w:jc w:val="center"/>
            </w:pPr>
            <w:r>
              <w:rPr>
                <w:rFonts w:hint="eastAsia"/>
                <w:b/>
              </w:rPr>
              <w:t>项目</w:t>
            </w:r>
          </w:p>
        </w:tc>
        <w:tc>
          <w:tcPr>
            <w:tcW w:w="2076" w:type="dxa"/>
            <w:shd w:val="clear" w:color="auto" w:fill="BFBFBF"/>
            <w:vAlign w:val="center"/>
          </w:tcPr>
          <w:p w14:paraId="48BE70C0">
            <w:pPr>
              <w:jc w:val="center"/>
            </w:pPr>
            <w:r>
              <w:rPr>
                <w:rFonts w:hint="eastAsia"/>
                <w:b/>
              </w:rPr>
              <w:t>金额</w:t>
            </w:r>
          </w:p>
        </w:tc>
        <w:tc>
          <w:tcPr>
            <w:tcW w:w="2076" w:type="dxa"/>
            <w:shd w:val="clear" w:color="auto" w:fill="BFBFBF"/>
            <w:vAlign w:val="center"/>
          </w:tcPr>
          <w:p w14:paraId="49322D6E">
            <w:pPr>
              <w:jc w:val="center"/>
            </w:pPr>
            <w:r>
              <w:rPr>
                <w:rFonts w:hint="eastAsia"/>
                <w:b/>
              </w:rPr>
              <w:t>占基金总资产的比例（%）</w:t>
            </w:r>
          </w:p>
        </w:tc>
      </w:tr>
      <w:tr w14:paraId="0641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4D053">
            <w:pPr>
              <w:jc w:val="center"/>
            </w:pPr>
            <w:r>
              <w:rPr>
                <w:rFonts w:hint="eastAsia"/>
              </w:rPr>
              <w:t>1</w:t>
            </w:r>
          </w:p>
        </w:tc>
        <w:tc>
          <w:tcPr>
            <w:tcW w:w="2076" w:type="dxa"/>
            <w:vAlign w:val="center"/>
          </w:tcPr>
          <w:p w14:paraId="2F115416">
            <w:r>
              <w:rPr>
                <w:rFonts w:hint="eastAsia"/>
              </w:rPr>
              <w:t>权益投资</w:t>
            </w:r>
          </w:p>
        </w:tc>
        <w:tc>
          <w:tcPr>
            <w:tcW w:w="2076" w:type="dxa"/>
            <w:vAlign w:val="center"/>
          </w:tcPr>
          <w:p w14:paraId="541CB71D">
            <w:pPr>
              <w:jc w:val="right"/>
            </w:pPr>
            <w:r>
              <w:rPr>
                <w:rFonts w:hint="eastAsia"/>
              </w:rPr>
              <w:t>-</w:t>
            </w:r>
          </w:p>
        </w:tc>
        <w:tc>
          <w:tcPr>
            <w:tcW w:w="2076" w:type="dxa"/>
            <w:vAlign w:val="center"/>
          </w:tcPr>
          <w:p w14:paraId="62B5A2EB">
            <w:pPr>
              <w:jc w:val="right"/>
            </w:pPr>
            <w:r>
              <w:rPr>
                <w:rFonts w:hint="eastAsia"/>
              </w:rPr>
              <w:t>-</w:t>
            </w:r>
          </w:p>
        </w:tc>
      </w:tr>
      <w:tr w14:paraId="7F12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073DDC">
            <w:pPr>
              <w:jc w:val="center"/>
            </w:pPr>
          </w:p>
        </w:tc>
        <w:tc>
          <w:tcPr>
            <w:tcW w:w="2076" w:type="dxa"/>
            <w:vAlign w:val="center"/>
          </w:tcPr>
          <w:p w14:paraId="49628A56">
            <w:r>
              <w:rPr>
                <w:rFonts w:hint="eastAsia"/>
              </w:rPr>
              <w:t>其中：普通股</w:t>
            </w:r>
          </w:p>
        </w:tc>
        <w:tc>
          <w:tcPr>
            <w:tcW w:w="2076" w:type="dxa"/>
            <w:vAlign w:val="center"/>
          </w:tcPr>
          <w:p w14:paraId="5E020B45">
            <w:pPr>
              <w:jc w:val="right"/>
            </w:pPr>
            <w:r>
              <w:rPr>
                <w:rFonts w:hint="eastAsia"/>
              </w:rPr>
              <w:t>-</w:t>
            </w:r>
          </w:p>
        </w:tc>
        <w:tc>
          <w:tcPr>
            <w:tcW w:w="2076" w:type="dxa"/>
            <w:vAlign w:val="center"/>
          </w:tcPr>
          <w:p w14:paraId="2DAB292E">
            <w:pPr>
              <w:jc w:val="right"/>
            </w:pPr>
            <w:r>
              <w:rPr>
                <w:rFonts w:hint="eastAsia"/>
              </w:rPr>
              <w:t>-</w:t>
            </w:r>
          </w:p>
        </w:tc>
      </w:tr>
      <w:tr w14:paraId="1000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7BBAE">
            <w:pPr>
              <w:jc w:val="center"/>
            </w:pPr>
          </w:p>
        </w:tc>
        <w:tc>
          <w:tcPr>
            <w:tcW w:w="2076" w:type="dxa"/>
            <w:vAlign w:val="center"/>
          </w:tcPr>
          <w:p w14:paraId="4A9672A1">
            <w:r>
              <w:rPr>
                <w:rFonts w:hint="eastAsia"/>
              </w:rPr>
              <w:t xml:space="preserve">      存托凭证</w:t>
            </w:r>
          </w:p>
        </w:tc>
        <w:tc>
          <w:tcPr>
            <w:tcW w:w="2076" w:type="dxa"/>
            <w:vAlign w:val="center"/>
          </w:tcPr>
          <w:p w14:paraId="14965549">
            <w:pPr>
              <w:jc w:val="right"/>
            </w:pPr>
            <w:r>
              <w:rPr>
                <w:rFonts w:hint="eastAsia"/>
              </w:rPr>
              <w:t>-</w:t>
            </w:r>
          </w:p>
        </w:tc>
        <w:tc>
          <w:tcPr>
            <w:tcW w:w="2076" w:type="dxa"/>
            <w:vAlign w:val="center"/>
          </w:tcPr>
          <w:p w14:paraId="45E5D03B">
            <w:pPr>
              <w:jc w:val="right"/>
            </w:pPr>
            <w:r>
              <w:rPr>
                <w:rFonts w:hint="eastAsia"/>
              </w:rPr>
              <w:t>-</w:t>
            </w:r>
          </w:p>
        </w:tc>
      </w:tr>
      <w:tr w14:paraId="41DE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03F36">
            <w:pPr>
              <w:jc w:val="center"/>
            </w:pPr>
            <w:r>
              <w:rPr>
                <w:rFonts w:hint="eastAsia"/>
              </w:rPr>
              <w:t>2</w:t>
            </w:r>
          </w:p>
        </w:tc>
        <w:tc>
          <w:tcPr>
            <w:tcW w:w="2076" w:type="dxa"/>
            <w:vAlign w:val="center"/>
          </w:tcPr>
          <w:p w14:paraId="38C7A00F">
            <w:r>
              <w:rPr>
                <w:rFonts w:hint="eastAsia"/>
              </w:rPr>
              <w:t>基金投资</w:t>
            </w:r>
          </w:p>
        </w:tc>
        <w:tc>
          <w:tcPr>
            <w:tcW w:w="2076" w:type="dxa"/>
            <w:vAlign w:val="center"/>
          </w:tcPr>
          <w:p w14:paraId="7F6F070D">
            <w:pPr>
              <w:jc w:val="right"/>
            </w:pPr>
            <w:r>
              <w:rPr>
                <w:rFonts w:hint="eastAsia"/>
              </w:rPr>
              <w:t>172,787,862.35</w:t>
            </w:r>
          </w:p>
        </w:tc>
        <w:tc>
          <w:tcPr>
            <w:tcW w:w="2076" w:type="dxa"/>
            <w:vAlign w:val="center"/>
          </w:tcPr>
          <w:p w14:paraId="5CCD6200">
            <w:pPr>
              <w:jc w:val="right"/>
            </w:pPr>
            <w:r>
              <w:rPr>
                <w:rFonts w:hint="eastAsia"/>
              </w:rPr>
              <w:t>92.07</w:t>
            </w:r>
          </w:p>
        </w:tc>
      </w:tr>
      <w:tr w14:paraId="6FE4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6611A">
            <w:pPr>
              <w:jc w:val="center"/>
            </w:pPr>
            <w:r>
              <w:rPr>
                <w:rFonts w:hint="eastAsia"/>
              </w:rPr>
              <w:t>3</w:t>
            </w:r>
          </w:p>
        </w:tc>
        <w:tc>
          <w:tcPr>
            <w:tcW w:w="2076" w:type="dxa"/>
            <w:vAlign w:val="center"/>
          </w:tcPr>
          <w:p w14:paraId="3B9DE870">
            <w:r>
              <w:rPr>
                <w:rFonts w:hint="eastAsia"/>
              </w:rPr>
              <w:t>固定收益投资</w:t>
            </w:r>
          </w:p>
        </w:tc>
        <w:tc>
          <w:tcPr>
            <w:tcW w:w="2076" w:type="dxa"/>
            <w:vAlign w:val="center"/>
          </w:tcPr>
          <w:p w14:paraId="1A9317AC">
            <w:pPr>
              <w:jc w:val="right"/>
            </w:pPr>
            <w:r>
              <w:rPr>
                <w:rFonts w:hint="eastAsia"/>
              </w:rPr>
              <w:t>3,033,465.21</w:t>
            </w:r>
          </w:p>
        </w:tc>
        <w:tc>
          <w:tcPr>
            <w:tcW w:w="2076" w:type="dxa"/>
            <w:vAlign w:val="center"/>
          </w:tcPr>
          <w:p w14:paraId="7CB362A4">
            <w:pPr>
              <w:jc w:val="right"/>
            </w:pPr>
            <w:r>
              <w:rPr>
                <w:rFonts w:hint="eastAsia"/>
              </w:rPr>
              <w:t>1.62</w:t>
            </w:r>
          </w:p>
        </w:tc>
      </w:tr>
      <w:tr w14:paraId="186B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394B6">
            <w:pPr>
              <w:jc w:val="center"/>
            </w:pPr>
          </w:p>
        </w:tc>
        <w:tc>
          <w:tcPr>
            <w:tcW w:w="2076" w:type="dxa"/>
            <w:vAlign w:val="center"/>
          </w:tcPr>
          <w:p w14:paraId="5BC99C3F">
            <w:r>
              <w:rPr>
                <w:rFonts w:hint="eastAsia"/>
              </w:rPr>
              <w:t>其中：债券</w:t>
            </w:r>
          </w:p>
        </w:tc>
        <w:tc>
          <w:tcPr>
            <w:tcW w:w="2076" w:type="dxa"/>
            <w:vAlign w:val="center"/>
          </w:tcPr>
          <w:p w14:paraId="4E1A3CAC">
            <w:pPr>
              <w:jc w:val="right"/>
            </w:pPr>
            <w:r>
              <w:rPr>
                <w:rFonts w:hint="eastAsia"/>
              </w:rPr>
              <w:t>3,033,465.21</w:t>
            </w:r>
          </w:p>
        </w:tc>
        <w:tc>
          <w:tcPr>
            <w:tcW w:w="2076" w:type="dxa"/>
            <w:vAlign w:val="center"/>
          </w:tcPr>
          <w:p w14:paraId="136D0996">
            <w:pPr>
              <w:jc w:val="right"/>
            </w:pPr>
            <w:r>
              <w:rPr>
                <w:rFonts w:hint="eastAsia"/>
              </w:rPr>
              <w:t>1.62</w:t>
            </w:r>
          </w:p>
        </w:tc>
      </w:tr>
      <w:tr w14:paraId="38A8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B6ED88">
            <w:pPr>
              <w:jc w:val="center"/>
            </w:pPr>
          </w:p>
        </w:tc>
        <w:tc>
          <w:tcPr>
            <w:tcW w:w="2076" w:type="dxa"/>
            <w:vAlign w:val="center"/>
          </w:tcPr>
          <w:p w14:paraId="54342BA0">
            <w:r>
              <w:rPr>
                <w:rFonts w:hint="eastAsia"/>
              </w:rPr>
              <w:t xml:space="preserve">      资产支持证券</w:t>
            </w:r>
          </w:p>
        </w:tc>
        <w:tc>
          <w:tcPr>
            <w:tcW w:w="2076" w:type="dxa"/>
            <w:vAlign w:val="center"/>
          </w:tcPr>
          <w:p w14:paraId="4D28873C">
            <w:pPr>
              <w:jc w:val="right"/>
            </w:pPr>
            <w:r>
              <w:rPr>
                <w:rFonts w:hint="eastAsia"/>
              </w:rPr>
              <w:t>-</w:t>
            </w:r>
          </w:p>
        </w:tc>
        <w:tc>
          <w:tcPr>
            <w:tcW w:w="2076" w:type="dxa"/>
            <w:vAlign w:val="center"/>
          </w:tcPr>
          <w:p w14:paraId="03AC0C98">
            <w:pPr>
              <w:jc w:val="right"/>
            </w:pPr>
            <w:r>
              <w:rPr>
                <w:rFonts w:hint="eastAsia"/>
              </w:rPr>
              <w:t>-</w:t>
            </w:r>
          </w:p>
        </w:tc>
      </w:tr>
      <w:tr w14:paraId="224D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27E68">
            <w:pPr>
              <w:jc w:val="center"/>
            </w:pPr>
            <w:r>
              <w:rPr>
                <w:rFonts w:hint="eastAsia"/>
              </w:rPr>
              <w:t>4</w:t>
            </w:r>
          </w:p>
        </w:tc>
        <w:tc>
          <w:tcPr>
            <w:tcW w:w="2076" w:type="dxa"/>
            <w:vAlign w:val="center"/>
          </w:tcPr>
          <w:p w14:paraId="660EBEEE">
            <w:r>
              <w:rPr>
                <w:rFonts w:hint="eastAsia"/>
              </w:rPr>
              <w:t>金融衍生品投资</w:t>
            </w:r>
          </w:p>
        </w:tc>
        <w:tc>
          <w:tcPr>
            <w:tcW w:w="2076" w:type="dxa"/>
            <w:vAlign w:val="center"/>
          </w:tcPr>
          <w:p w14:paraId="64614234">
            <w:pPr>
              <w:jc w:val="right"/>
            </w:pPr>
            <w:r>
              <w:rPr>
                <w:rFonts w:hint="eastAsia"/>
              </w:rPr>
              <w:t>-</w:t>
            </w:r>
          </w:p>
        </w:tc>
        <w:tc>
          <w:tcPr>
            <w:tcW w:w="2076" w:type="dxa"/>
            <w:vAlign w:val="center"/>
          </w:tcPr>
          <w:p w14:paraId="75391A82">
            <w:pPr>
              <w:jc w:val="right"/>
            </w:pPr>
            <w:r>
              <w:rPr>
                <w:rFonts w:hint="eastAsia"/>
              </w:rPr>
              <w:t>-</w:t>
            </w:r>
          </w:p>
        </w:tc>
      </w:tr>
      <w:tr w14:paraId="2043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B1B0C">
            <w:pPr>
              <w:jc w:val="center"/>
            </w:pPr>
          </w:p>
        </w:tc>
        <w:tc>
          <w:tcPr>
            <w:tcW w:w="2076" w:type="dxa"/>
            <w:vAlign w:val="center"/>
          </w:tcPr>
          <w:p w14:paraId="791ED806">
            <w:r>
              <w:rPr>
                <w:rFonts w:hint="eastAsia"/>
              </w:rPr>
              <w:t>其中：远期</w:t>
            </w:r>
          </w:p>
        </w:tc>
        <w:tc>
          <w:tcPr>
            <w:tcW w:w="2076" w:type="dxa"/>
            <w:vAlign w:val="center"/>
          </w:tcPr>
          <w:p w14:paraId="02117890">
            <w:pPr>
              <w:jc w:val="right"/>
            </w:pPr>
            <w:r>
              <w:rPr>
                <w:rFonts w:hint="eastAsia"/>
              </w:rPr>
              <w:t>-</w:t>
            </w:r>
          </w:p>
        </w:tc>
        <w:tc>
          <w:tcPr>
            <w:tcW w:w="2076" w:type="dxa"/>
            <w:vAlign w:val="center"/>
          </w:tcPr>
          <w:p w14:paraId="797CA5F0">
            <w:pPr>
              <w:jc w:val="right"/>
            </w:pPr>
            <w:r>
              <w:rPr>
                <w:rFonts w:hint="eastAsia"/>
              </w:rPr>
              <w:t>-</w:t>
            </w:r>
          </w:p>
        </w:tc>
      </w:tr>
      <w:tr w14:paraId="5471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C175D">
            <w:pPr>
              <w:jc w:val="center"/>
            </w:pPr>
          </w:p>
        </w:tc>
        <w:tc>
          <w:tcPr>
            <w:tcW w:w="2076" w:type="dxa"/>
            <w:vAlign w:val="center"/>
          </w:tcPr>
          <w:p w14:paraId="347D8211">
            <w:r>
              <w:rPr>
                <w:rFonts w:hint="eastAsia"/>
              </w:rPr>
              <w:t xml:space="preserve">      期货</w:t>
            </w:r>
          </w:p>
        </w:tc>
        <w:tc>
          <w:tcPr>
            <w:tcW w:w="2076" w:type="dxa"/>
            <w:vAlign w:val="center"/>
          </w:tcPr>
          <w:p w14:paraId="5BC87F48">
            <w:pPr>
              <w:jc w:val="right"/>
            </w:pPr>
            <w:r>
              <w:rPr>
                <w:rFonts w:hint="eastAsia"/>
              </w:rPr>
              <w:t>-</w:t>
            </w:r>
          </w:p>
        </w:tc>
        <w:tc>
          <w:tcPr>
            <w:tcW w:w="2076" w:type="dxa"/>
            <w:vAlign w:val="center"/>
          </w:tcPr>
          <w:p w14:paraId="43E79FD6">
            <w:pPr>
              <w:jc w:val="right"/>
            </w:pPr>
            <w:r>
              <w:rPr>
                <w:rFonts w:hint="eastAsia"/>
              </w:rPr>
              <w:t>-</w:t>
            </w:r>
          </w:p>
        </w:tc>
      </w:tr>
      <w:tr w14:paraId="7F22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64616">
            <w:pPr>
              <w:jc w:val="center"/>
            </w:pPr>
          </w:p>
        </w:tc>
        <w:tc>
          <w:tcPr>
            <w:tcW w:w="2076" w:type="dxa"/>
            <w:vAlign w:val="center"/>
          </w:tcPr>
          <w:p w14:paraId="23B603C9">
            <w:r>
              <w:rPr>
                <w:rFonts w:hint="eastAsia"/>
              </w:rPr>
              <w:t xml:space="preserve">      期权</w:t>
            </w:r>
          </w:p>
        </w:tc>
        <w:tc>
          <w:tcPr>
            <w:tcW w:w="2076" w:type="dxa"/>
            <w:vAlign w:val="center"/>
          </w:tcPr>
          <w:p w14:paraId="0E7C6002">
            <w:pPr>
              <w:jc w:val="right"/>
            </w:pPr>
            <w:r>
              <w:rPr>
                <w:rFonts w:hint="eastAsia"/>
              </w:rPr>
              <w:t>-</w:t>
            </w:r>
          </w:p>
        </w:tc>
        <w:tc>
          <w:tcPr>
            <w:tcW w:w="2076" w:type="dxa"/>
            <w:vAlign w:val="center"/>
          </w:tcPr>
          <w:p w14:paraId="2532FD27">
            <w:pPr>
              <w:jc w:val="right"/>
            </w:pPr>
            <w:r>
              <w:rPr>
                <w:rFonts w:hint="eastAsia"/>
              </w:rPr>
              <w:t>-</w:t>
            </w:r>
          </w:p>
        </w:tc>
      </w:tr>
      <w:tr w14:paraId="1856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DAB733">
            <w:pPr>
              <w:jc w:val="center"/>
            </w:pPr>
          </w:p>
        </w:tc>
        <w:tc>
          <w:tcPr>
            <w:tcW w:w="2076" w:type="dxa"/>
            <w:vAlign w:val="center"/>
          </w:tcPr>
          <w:p w14:paraId="4B50BE06">
            <w:r>
              <w:rPr>
                <w:rFonts w:hint="eastAsia"/>
              </w:rPr>
              <w:t xml:space="preserve">      权证</w:t>
            </w:r>
          </w:p>
        </w:tc>
        <w:tc>
          <w:tcPr>
            <w:tcW w:w="2076" w:type="dxa"/>
            <w:vAlign w:val="center"/>
          </w:tcPr>
          <w:p w14:paraId="18D43B2C">
            <w:pPr>
              <w:jc w:val="right"/>
            </w:pPr>
            <w:r>
              <w:rPr>
                <w:rFonts w:hint="eastAsia"/>
              </w:rPr>
              <w:t>-</w:t>
            </w:r>
          </w:p>
        </w:tc>
        <w:tc>
          <w:tcPr>
            <w:tcW w:w="2076" w:type="dxa"/>
            <w:vAlign w:val="center"/>
          </w:tcPr>
          <w:p w14:paraId="6382E144">
            <w:pPr>
              <w:jc w:val="right"/>
            </w:pPr>
            <w:r>
              <w:rPr>
                <w:rFonts w:hint="eastAsia"/>
              </w:rPr>
              <w:t>-</w:t>
            </w:r>
          </w:p>
        </w:tc>
      </w:tr>
      <w:tr w14:paraId="6FCC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9D479">
            <w:pPr>
              <w:jc w:val="center"/>
            </w:pPr>
            <w:r>
              <w:rPr>
                <w:rFonts w:hint="eastAsia"/>
              </w:rPr>
              <w:t>5</w:t>
            </w:r>
          </w:p>
        </w:tc>
        <w:tc>
          <w:tcPr>
            <w:tcW w:w="2076" w:type="dxa"/>
            <w:vAlign w:val="center"/>
          </w:tcPr>
          <w:p w14:paraId="694A28EB">
            <w:r>
              <w:rPr>
                <w:rFonts w:hint="eastAsia"/>
              </w:rPr>
              <w:t>买入返售金融资产</w:t>
            </w:r>
          </w:p>
        </w:tc>
        <w:tc>
          <w:tcPr>
            <w:tcW w:w="2076" w:type="dxa"/>
            <w:vAlign w:val="center"/>
          </w:tcPr>
          <w:p w14:paraId="06CF18D1">
            <w:pPr>
              <w:jc w:val="right"/>
            </w:pPr>
            <w:r>
              <w:rPr>
                <w:rFonts w:hint="eastAsia"/>
              </w:rPr>
              <w:t>-</w:t>
            </w:r>
          </w:p>
        </w:tc>
        <w:tc>
          <w:tcPr>
            <w:tcW w:w="2076" w:type="dxa"/>
            <w:vAlign w:val="center"/>
          </w:tcPr>
          <w:p w14:paraId="43C864B8">
            <w:pPr>
              <w:jc w:val="right"/>
            </w:pPr>
            <w:r>
              <w:rPr>
                <w:rFonts w:hint="eastAsia"/>
              </w:rPr>
              <w:t>-</w:t>
            </w:r>
          </w:p>
        </w:tc>
      </w:tr>
      <w:tr w14:paraId="58F5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0E5E5">
            <w:pPr>
              <w:jc w:val="center"/>
            </w:pPr>
          </w:p>
        </w:tc>
        <w:tc>
          <w:tcPr>
            <w:tcW w:w="2076" w:type="dxa"/>
            <w:vAlign w:val="center"/>
          </w:tcPr>
          <w:p w14:paraId="7C647C5A">
            <w:r>
              <w:rPr>
                <w:rFonts w:hint="eastAsia"/>
              </w:rPr>
              <w:t>其中：买断式回购的买入返售金融资产</w:t>
            </w:r>
          </w:p>
        </w:tc>
        <w:tc>
          <w:tcPr>
            <w:tcW w:w="2076" w:type="dxa"/>
            <w:vAlign w:val="center"/>
          </w:tcPr>
          <w:p w14:paraId="70088605">
            <w:pPr>
              <w:jc w:val="right"/>
            </w:pPr>
            <w:r>
              <w:rPr>
                <w:rFonts w:hint="eastAsia"/>
              </w:rPr>
              <w:t>-</w:t>
            </w:r>
          </w:p>
        </w:tc>
        <w:tc>
          <w:tcPr>
            <w:tcW w:w="2076" w:type="dxa"/>
            <w:vAlign w:val="center"/>
          </w:tcPr>
          <w:p w14:paraId="6314F402">
            <w:pPr>
              <w:jc w:val="right"/>
            </w:pPr>
            <w:r>
              <w:rPr>
                <w:rFonts w:hint="eastAsia"/>
              </w:rPr>
              <w:t>-</w:t>
            </w:r>
          </w:p>
        </w:tc>
      </w:tr>
      <w:tr w14:paraId="6998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51159">
            <w:pPr>
              <w:jc w:val="center"/>
            </w:pPr>
            <w:r>
              <w:rPr>
                <w:rFonts w:hint="eastAsia"/>
              </w:rPr>
              <w:t>6</w:t>
            </w:r>
          </w:p>
        </w:tc>
        <w:tc>
          <w:tcPr>
            <w:tcW w:w="2076" w:type="dxa"/>
            <w:vAlign w:val="center"/>
          </w:tcPr>
          <w:p w14:paraId="5F6FA110">
            <w:r>
              <w:rPr>
                <w:rFonts w:hint="eastAsia"/>
              </w:rPr>
              <w:t>货币市场工具</w:t>
            </w:r>
          </w:p>
        </w:tc>
        <w:tc>
          <w:tcPr>
            <w:tcW w:w="2076" w:type="dxa"/>
            <w:vAlign w:val="center"/>
          </w:tcPr>
          <w:p w14:paraId="097F102F">
            <w:pPr>
              <w:jc w:val="right"/>
            </w:pPr>
            <w:r>
              <w:rPr>
                <w:rFonts w:hint="eastAsia"/>
              </w:rPr>
              <w:t>-</w:t>
            </w:r>
          </w:p>
        </w:tc>
        <w:tc>
          <w:tcPr>
            <w:tcW w:w="2076" w:type="dxa"/>
            <w:vAlign w:val="center"/>
          </w:tcPr>
          <w:p w14:paraId="276D5561">
            <w:pPr>
              <w:jc w:val="right"/>
            </w:pPr>
            <w:r>
              <w:rPr>
                <w:rFonts w:hint="eastAsia"/>
              </w:rPr>
              <w:t>-</w:t>
            </w:r>
          </w:p>
        </w:tc>
      </w:tr>
      <w:tr w14:paraId="3875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172917">
            <w:pPr>
              <w:jc w:val="center"/>
            </w:pPr>
            <w:r>
              <w:rPr>
                <w:rFonts w:hint="eastAsia"/>
              </w:rPr>
              <w:t>7</w:t>
            </w:r>
          </w:p>
        </w:tc>
        <w:tc>
          <w:tcPr>
            <w:tcW w:w="2076" w:type="dxa"/>
            <w:vAlign w:val="center"/>
          </w:tcPr>
          <w:p w14:paraId="72FD6922">
            <w:r>
              <w:rPr>
                <w:rFonts w:hint="eastAsia"/>
              </w:rPr>
              <w:t>银行存款和结算备付金合计</w:t>
            </w:r>
          </w:p>
        </w:tc>
        <w:tc>
          <w:tcPr>
            <w:tcW w:w="2076" w:type="dxa"/>
            <w:vAlign w:val="center"/>
          </w:tcPr>
          <w:p w14:paraId="112E0892">
            <w:pPr>
              <w:jc w:val="right"/>
            </w:pPr>
            <w:r>
              <w:rPr>
                <w:rFonts w:hint="eastAsia"/>
              </w:rPr>
              <w:t>10,830,245.86</w:t>
            </w:r>
          </w:p>
        </w:tc>
        <w:tc>
          <w:tcPr>
            <w:tcW w:w="2076" w:type="dxa"/>
            <w:vAlign w:val="center"/>
          </w:tcPr>
          <w:p w14:paraId="21818107">
            <w:pPr>
              <w:jc w:val="right"/>
            </w:pPr>
            <w:r>
              <w:rPr>
                <w:rFonts w:hint="eastAsia"/>
              </w:rPr>
              <w:t>5.77</w:t>
            </w:r>
          </w:p>
        </w:tc>
      </w:tr>
      <w:tr w14:paraId="74D0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95083">
            <w:pPr>
              <w:jc w:val="center"/>
            </w:pPr>
            <w:r>
              <w:rPr>
                <w:rFonts w:hint="eastAsia"/>
              </w:rPr>
              <w:t>8</w:t>
            </w:r>
          </w:p>
        </w:tc>
        <w:tc>
          <w:tcPr>
            <w:tcW w:w="2076" w:type="dxa"/>
            <w:vAlign w:val="center"/>
          </w:tcPr>
          <w:p w14:paraId="78E0F2BC">
            <w:r>
              <w:rPr>
                <w:rFonts w:hint="eastAsia"/>
              </w:rPr>
              <w:t>其他各项资产</w:t>
            </w:r>
          </w:p>
        </w:tc>
        <w:tc>
          <w:tcPr>
            <w:tcW w:w="2076" w:type="dxa"/>
            <w:vAlign w:val="center"/>
          </w:tcPr>
          <w:p w14:paraId="4FF88250">
            <w:pPr>
              <w:jc w:val="right"/>
            </w:pPr>
            <w:r>
              <w:rPr>
                <w:rFonts w:hint="eastAsia"/>
              </w:rPr>
              <w:t>1,018,046.15</w:t>
            </w:r>
          </w:p>
        </w:tc>
        <w:tc>
          <w:tcPr>
            <w:tcW w:w="2076" w:type="dxa"/>
            <w:vAlign w:val="center"/>
          </w:tcPr>
          <w:p w14:paraId="7476A7DC">
            <w:pPr>
              <w:jc w:val="right"/>
            </w:pPr>
            <w:r>
              <w:rPr>
                <w:rFonts w:hint="eastAsia"/>
              </w:rPr>
              <w:t>0.54</w:t>
            </w:r>
          </w:p>
        </w:tc>
      </w:tr>
      <w:tr w14:paraId="1651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BAE857">
            <w:pPr>
              <w:jc w:val="center"/>
            </w:pPr>
            <w:r>
              <w:rPr>
                <w:rFonts w:hint="eastAsia"/>
              </w:rPr>
              <w:t>9</w:t>
            </w:r>
          </w:p>
        </w:tc>
        <w:tc>
          <w:tcPr>
            <w:tcW w:w="2076" w:type="dxa"/>
            <w:vAlign w:val="center"/>
          </w:tcPr>
          <w:p w14:paraId="3FF820E7">
            <w:r>
              <w:rPr>
                <w:rFonts w:hint="eastAsia"/>
              </w:rPr>
              <w:t>合计</w:t>
            </w:r>
          </w:p>
        </w:tc>
        <w:tc>
          <w:tcPr>
            <w:tcW w:w="2076" w:type="dxa"/>
            <w:vAlign w:val="center"/>
          </w:tcPr>
          <w:p w14:paraId="63C6E1CC">
            <w:pPr>
              <w:jc w:val="right"/>
            </w:pPr>
            <w:r>
              <w:rPr>
                <w:rFonts w:hint="eastAsia"/>
              </w:rPr>
              <w:t>187,669,619.57</w:t>
            </w:r>
          </w:p>
        </w:tc>
        <w:tc>
          <w:tcPr>
            <w:tcW w:w="2076" w:type="dxa"/>
            <w:vAlign w:val="center"/>
          </w:tcPr>
          <w:p w14:paraId="682B1F6A">
            <w:pPr>
              <w:jc w:val="right"/>
            </w:pPr>
            <w:r>
              <w:rPr>
                <w:rFonts w:hint="eastAsia"/>
              </w:rPr>
              <w:t>100.00</w:t>
            </w:r>
          </w:p>
        </w:tc>
      </w:tr>
    </w:tbl>
    <w:p w14:paraId="1563B056">
      <w:pPr>
        <w:pStyle w:val="23"/>
      </w:pPr>
      <w:bookmarkStart w:id="163" w:name="_Toc4971"/>
      <w:r>
        <w:t>期末在各个国家（地区）证券市场的权益投资分布</w:t>
      </w:r>
      <w:bookmarkEnd w:id="163"/>
    </w:p>
    <w:p w14:paraId="07805C4A">
      <w:pPr>
        <w:pStyle w:val="18"/>
        <w:rPr>
          <w:rFonts w:hint="eastAsia"/>
        </w:rPr>
      </w:pPr>
      <w:r>
        <w:rPr>
          <w:rFonts w:hint="eastAsia"/>
        </w:rPr>
        <w:t>本基金本报告期末未持有股票或存托凭证。</w:t>
      </w:r>
    </w:p>
    <w:p w14:paraId="30C1752C">
      <w:pPr>
        <w:pStyle w:val="23"/>
      </w:pPr>
      <w:bookmarkStart w:id="164" w:name="_Toc15193"/>
      <w:r>
        <w:t>期末按行业分类的权益投资组合</w:t>
      </w:r>
      <w:bookmarkEnd w:id="164"/>
    </w:p>
    <w:p w14:paraId="616A5AAC">
      <w:pPr>
        <w:pStyle w:val="18"/>
        <w:rPr>
          <w:rFonts w:hint="eastAsia"/>
        </w:rPr>
      </w:pPr>
      <w:r>
        <w:rPr>
          <w:rFonts w:hint="eastAsia"/>
        </w:rPr>
        <w:t>无。</w:t>
      </w:r>
    </w:p>
    <w:p w14:paraId="668FC3A1">
      <w:pPr>
        <w:pStyle w:val="23"/>
      </w:pPr>
      <w:bookmarkStart w:id="165" w:name="_Toc19587"/>
      <w:r>
        <w:t>期末按公允价值占基金资产净值比例大小排序的权益投资明细</w:t>
      </w:r>
      <w:bookmarkEnd w:id="165"/>
    </w:p>
    <w:p w14:paraId="2BBADDEB">
      <w:pPr>
        <w:pStyle w:val="28"/>
      </w:pPr>
      <w:bookmarkStart w:id="166" w:name="_Toc166"/>
      <w:r>
        <w:t>期末按公允价值占基金资产净值比例大小排序的所有权益投资明细</w:t>
      </w:r>
      <w:bookmarkEnd w:id="166"/>
    </w:p>
    <w:p w14:paraId="52B2DD75">
      <w:pPr>
        <w:pStyle w:val="18"/>
        <w:rPr>
          <w:rFonts w:hint="eastAsia"/>
        </w:rPr>
      </w:pPr>
      <w:r>
        <w:rPr>
          <w:rFonts w:hint="eastAsia"/>
        </w:rPr>
        <w:t>无。</w:t>
      </w:r>
    </w:p>
    <w:p w14:paraId="4AB93730">
      <w:pPr>
        <w:pStyle w:val="23"/>
      </w:pPr>
      <w:bookmarkStart w:id="167" w:name="_Toc10004"/>
      <w:r>
        <w:t>报告期内权益投资组合的重大变动</w:t>
      </w:r>
      <w:bookmarkEnd w:id="167"/>
    </w:p>
    <w:p w14:paraId="423EBA7E">
      <w:pPr>
        <w:pStyle w:val="28"/>
      </w:pPr>
      <w:bookmarkStart w:id="168" w:name="_Toc168"/>
      <w:r>
        <w:t>累计买入金额超出期初基金资产净值2%或前20名的权益投资明细</w:t>
      </w:r>
      <w:bookmarkEnd w:id="168"/>
    </w:p>
    <w:p w14:paraId="3B15577E">
      <w:pPr>
        <w:pStyle w:val="18"/>
        <w:rPr>
          <w:rFonts w:hint="eastAsia"/>
        </w:rPr>
      </w:pPr>
      <w:r>
        <w:rPr>
          <w:rFonts w:hint="eastAsia"/>
        </w:rPr>
        <w:t>无。</w:t>
      </w:r>
    </w:p>
    <w:p w14:paraId="71C0527C">
      <w:pPr>
        <w:pStyle w:val="28"/>
      </w:pPr>
      <w:bookmarkStart w:id="169" w:name="_Toc169"/>
      <w:r>
        <w:t>累计卖出金额超出期初基金资产净值2%或前20名的权益投资明细</w:t>
      </w:r>
      <w:bookmarkEnd w:id="169"/>
    </w:p>
    <w:p w14:paraId="32D45CD0">
      <w:pPr>
        <w:pStyle w:val="18"/>
        <w:rPr>
          <w:rFonts w:hint="eastAsia"/>
        </w:rPr>
      </w:pPr>
      <w:r>
        <w:rPr>
          <w:rFonts w:hint="eastAsia"/>
        </w:rPr>
        <w:t>无。</w:t>
      </w:r>
    </w:p>
    <w:p w14:paraId="23F05B80">
      <w:pPr>
        <w:pStyle w:val="28"/>
      </w:pPr>
      <w:bookmarkStart w:id="170" w:name="_Toc170"/>
      <w:r>
        <w:t>权益投资的买入成本总额及卖出收入总额</w:t>
      </w:r>
      <w:bookmarkEnd w:id="170"/>
    </w:p>
    <w:p w14:paraId="695B51F6">
      <w:pPr>
        <w:pStyle w:val="18"/>
        <w:rPr>
          <w:rFonts w:hint="eastAsia"/>
        </w:rPr>
      </w:pPr>
      <w:r>
        <w:rPr>
          <w:rFonts w:hint="eastAsia"/>
        </w:rPr>
        <w:t>无。</w:t>
      </w:r>
    </w:p>
    <w:p w14:paraId="4625A146">
      <w:pPr>
        <w:pStyle w:val="23"/>
      </w:pPr>
      <w:bookmarkStart w:id="171" w:name="_Toc12899"/>
      <w:r>
        <w:t>期末按债券信用等级分类的债券投资组合</w:t>
      </w:r>
      <w:bookmarkEnd w:id="17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60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C6012D">
            <w:pPr>
              <w:jc w:val="center"/>
            </w:pPr>
            <w:r>
              <w:rPr>
                <w:rFonts w:hint="eastAsia"/>
                <w:b/>
              </w:rPr>
              <w:t>债券信用等级</w:t>
            </w:r>
          </w:p>
        </w:tc>
        <w:tc>
          <w:tcPr>
            <w:tcW w:w="2768" w:type="dxa"/>
            <w:shd w:val="clear" w:color="auto" w:fill="BFBFBF"/>
            <w:vAlign w:val="center"/>
          </w:tcPr>
          <w:p w14:paraId="76FFC049">
            <w:pPr>
              <w:jc w:val="center"/>
            </w:pPr>
            <w:r>
              <w:rPr>
                <w:rFonts w:hint="eastAsia"/>
                <w:b/>
              </w:rPr>
              <w:t>公允价值（人民币元）</w:t>
            </w:r>
          </w:p>
        </w:tc>
        <w:tc>
          <w:tcPr>
            <w:tcW w:w="2768" w:type="dxa"/>
            <w:shd w:val="clear" w:color="auto" w:fill="BFBFBF"/>
            <w:vAlign w:val="center"/>
          </w:tcPr>
          <w:p w14:paraId="4B9C1BE2">
            <w:pPr>
              <w:jc w:val="center"/>
            </w:pPr>
            <w:r>
              <w:rPr>
                <w:rFonts w:hint="eastAsia"/>
                <w:b/>
              </w:rPr>
              <w:t>占基金资产净值比例（％）</w:t>
            </w:r>
          </w:p>
        </w:tc>
      </w:tr>
      <w:tr w14:paraId="42DE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FF736">
            <w:r>
              <w:rPr>
                <w:rFonts w:hint="eastAsia"/>
              </w:rPr>
              <w:t>A+</w:t>
            </w:r>
          </w:p>
        </w:tc>
        <w:tc>
          <w:tcPr>
            <w:tcW w:w="2768" w:type="dxa"/>
            <w:vAlign w:val="center"/>
          </w:tcPr>
          <w:p w14:paraId="4189A23E">
            <w:pPr>
              <w:jc w:val="right"/>
            </w:pPr>
            <w:r>
              <w:rPr>
                <w:rFonts w:hint="eastAsia"/>
              </w:rPr>
              <w:t>3,033,465.21</w:t>
            </w:r>
          </w:p>
        </w:tc>
        <w:tc>
          <w:tcPr>
            <w:tcW w:w="2768" w:type="dxa"/>
            <w:vAlign w:val="center"/>
          </w:tcPr>
          <w:p w14:paraId="78CAD88D">
            <w:pPr>
              <w:jc w:val="right"/>
            </w:pPr>
            <w:r>
              <w:rPr>
                <w:rFonts w:hint="eastAsia"/>
              </w:rPr>
              <w:t>1.67</w:t>
            </w:r>
          </w:p>
        </w:tc>
      </w:tr>
    </w:tbl>
    <w:p w14:paraId="2BF1F01C">
      <w:pPr>
        <w:pStyle w:val="47"/>
        <w:rPr>
          <w:rFonts w:hint="eastAsia"/>
        </w:rPr>
      </w:pPr>
      <w:r>
        <w:rPr>
          <w:rFonts w:hint="eastAsia"/>
        </w:rPr>
        <w:t>注：本债券投资组合主要采用标准普尔、穆迪等机构提供的债券信用评级信息，未提供评级信息的可适用内部评级。</w:t>
      </w:r>
    </w:p>
    <w:p w14:paraId="26F39B67">
      <w:pPr>
        <w:pStyle w:val="23"/>
      </w:pPr>
      <w:bookmarkStart w:id="172" w:name="_Toc12257"/>
      <w:r>
        <w:t>期末按公允价值占基金资产净值比例大小排名的前五名债券投资明细</w:t>
      </w:r>
      <w:bookmarkEnd w:id="172"/>
    </w:p>
    <w:p w14:paraId="6C23A7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C84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7D9127">
            <w:pPr>
              <w:jc w:val="center"/>
            </w:pPr>
            <w:r>
              <w:rPr>
                <w:rFonts w:hint="eastAsia"/>
                <w:b/>
              </w:rPr>
              <w:t>序号</w:t>
            </w:r>
          </w:p>
        </w:tc>
        <w:tc>
          <w:tcPr>
            <w:tcW w:w="1384" w:type="dxa"/>
            <w:shd w:val="clear" w:color="auto" w:fill="BFBFBF"/>
            <w:vAlign w:val="center"/>
          </w:tcPr>
          <w:p w14:paraId="1B866944">
            <w:pPr>
              <w:jc w:val="center"/>
            </w:pPr>
            <w:r>
              <w:rPr>
                <w:rFonts w:hint="eastAsia"/>
                <w:b/>
              </w:rPr>
              <w:t>债券代码</w:t>
            </w:r>
          </w:p>
        </w:tc>
        <w:tc>
          <w:tcPr>
            <w:tcW w:w="1384" w:type="dxa"/>
            <w:shd w:val="clear" w:color="auto" w:fill="BFBFBF"/>
            <w:vAlign w:val="center"/>
          </w:tcPr>
          <w:p w14:paraId="4EDA4198">
            <w:pPr>
              <w:jc w:val="center"/>
            </w:pPr>
            <w:r>
              <w:rPr>
                <w:rFonts w:hint="eastAsia"/>
                <w:b/>
              </w:rPr>
              <w:t>债券名称</w:t>
            </w:r>
          </w:p>
        </w:tc>
        <w:tc>
          <w:tcPr>
            <w:tcW w:w="1384" w:type="dxa"/>
            <w:shd w:val="clear" w:color="auto" w:fill="BFBFBF"/>
            <w:vAlign w:val="center"/>
          </w:tcPr>
          <w:p w14:paraId="7275718B">
            <w:pPr>
              <w:jc w:val="center"/>
            </w:pPr>
            <w:r>
              <w:rPr>
                <w:rFonts w:hint="eastAsia"/>
                <w:b/>
              </w:rPr>
              <w:t>数量</w:t>
            </w:r>
          </w:p>
        </w:tc>
        <w:tc>
          <w:tcPr>
            <w:tcW w:w="1384" w:type="dxa"/>
            <w:shd w:val="clear" w:color="auto" w:fill="BFBFBF"/>
            <w:vAlign w:val="center"/>
          </w:tcPr>
          <w:p w14:paraId="37C75C78">
            <w:pPr>
              <w:jc w:val="center"/>
            </w:pPr>
            <w:r>
              <w:rPr>
                <w:rFonts w:hint="eastAsia"/>
                <w:b/>
              </w:rPr>
              <w:t>公允价值（人民币元）</w:t>
            </w:r>
          </w:p>
        </w:tc>
        <w:tc>
          <w:tcPr>
            <w:tcW w:w="1384" w:type="dxa"/>
            <w:shd w:val="clear" w:color="auto" w:fill="BFBFBF"/>
            <w:vAlign w:val="center"/>
          </w:tcPr>
          <w:p w14:paraId="399816FA">
            <w:pPr>
              <w:jc w:val="center"/>
            </w:pPr>
            <w:r>
              <w:rPr>
                <w:rFonts w:hint="eastAsia"/>
                <w:b/>
              </w:rPr>
              <w:t>占基金资产净值比例（％）</w:t>
            </w:r>
          </w:p>
        </w:tc>
      </w:tr>
      <w:tr w14:paraId="1DBF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7E026">
            <w:pPr>
              <w:jc w:val="center"/>
            </w:pPr>
            <w:r>
              <w:rPr>
                <w:rFonts w:hint="eastAsia"/>
              </w:rPr>
              <w:t>1</w:t>
            </w:r>
          </w:p>
        </w:tc>
        <w:tc>
          <w:tcPr>
            <w:tcW w:w="1384" w:type="dxa"/>
            <w:vAlign w:val="center"/>
          </w:tcPr>
          <w:p w14:paraId="7D81A127">
            <w:r>
              <w:rPr>
                <w:rFonts w:hint="eastAsia"/>
              </w:rPr>
              <w:t>019766</w:t>
            </w:r>
          </w:p>
        </w:tc>
        <w:tc>
          <w:tcPr>
            <w:tcW w:w="1384" w:type="dxa"/>
            <w:vAlign w:val="center"/>
          </w:tcPr>
          <w:p w14:paraId="48B33843">
            <w:r>
              <w:rPr>
                <w:rFonts w:hint="eastAsia"/>
              </w:rPr>
              <w:t>25国债01</w:t>
            </w:r>
          </w:p>
        </w:tc>
        <w:tc>
          <w:tcPr>
            <w:tcW w:w="1384" w:type="dxa"/>
            <w:vAlign w:val="center"/>
          </w:tcPr>
          <w:p w14:paraId="6863030F">
            <w:pPr>
              <w:jc w:val="right"/>
            </w:pPr>
            <w:r>
              <w:rPr>
                <w:rFonts w:hint="eastAsia"/>
              </w:rPr>
              <w:t>3,000,000</w:t>
            </w:r>
          </w:p>
        </w:tc>
        <w:tc>
          <w:tcPr>
            <w:tcW w:w="1384" w:type="dxa"/>
            <w:vAlign w:val="center"/>
          </w:tcPr>
          <w:p w14:paraId="3C7C23AB">
            <w:pPr>
              <w:jc w:val="right"/>
            </w:pPr>
            <w:r>
              <w:rPr>
                <w:rFonts w:hint="eastAsia"/>
              </w:rPr>
              <w:t>3,033,465.21</w:t>
            </w:r>
          </w:p>
        </w:tc>
        <w:tc>
          <w:tcPr>
            <w:tcW w:w="1384" w:type="dxa"/>
            <w:vAlign w:val="center"/>
          </w:tcPr>
          <w:p w14:paraId="7B7B390D">
            <w:pPr>
              <w:jc w:val="right"/>
            </w:pPr>
            <w:r>
              <w:rPr>
                <w:rFonts w:hint="eastAsia"/>
              </w:rPr>
              <w:t>1.67</w:t>
            </w:r>
          </w:p>
        </w:tc>
      </w:tr>
    </w:tbl>
    <w:p w14:paraId="1253461F">
      <w:pPr>
        <w:pStyle w:val="47"/>
        <w:rPr>
          <w:rFonts w:hint="eastAsia"/>
        </w:rPr>
      </w:pPr>
      <w:r>
        <w:rPr>
          <w:rFonts w:hint="eastAsia"/>
        </w:rPr>
        <w:t>注：1、债券代码为ISIN或当地市场代码。</w:t>
      </w:r>
    </w:p>
    <w:p w14:paraId="6752D83B">
      <w:pPr>
        <w:pStyle w:val="47"/>
        <w:rPr>
          <w:rFonts w:hint="eastAsia"/>
        </w:rPr>
      </w:pPr>
      <w:r>
        <w:tab/>
      </w:r>
      <w:r>
        <w:rPr>
          <w:rFonts w:hint="eastAsia"/>
        </w:rPr>
        <w:t>2、数量列示债券面值，外币按照期末估值汇率折为人民币，四舍五入保留整数。</w:t>
      </w:r>
    </w:p>
    <w:p w14:paraId="7212BAE3">
      <w:pPr>
        <w:pStyle w:val="23"/>
      </w:pPr>
      <w:bookmarkStart w:id="173" w:name="_Toc18387"/>
      <w:r>
        <w:t>期末按公允价值占基金资产净值比例大小排名的前十名资产支持证券投资明细</w:t>
      </w:r>
      <w:bookmarkEnd w:id="173"/>
    </w:p>
    <w:p w14:paraId="45A183E3">
      <w:pPr>
        <w:pStyle w:val="18"/>
        <w:rPr>
          <w:rFonts w:hint="eastAsia"/>
        </w:rPr>
      </w:pPr>
      <w:r>
        <w:rPr>
          <w:rFonts w:hint="eastAsia"/>
        </w:rPr>
        <w:t>本基金本报告期末未持有资产支持证券。</w:t>
      </w:r>
    </w:p>
    <w:p w14:paraId="34E1C9F2">
      <w:pPr>
        <w:pStyle w:val="23"/>
      </w:pPr>
      <w:bookmarkStart w:id="174" w:name="_Toc17066"/>
      <w:r>
        <w:t>期末按公允价值占基金资产净值比例大小排名的前五名金融衍生品投资明细</w:t>
      </w:r>
      <w:bookmarkEnd w:id="174"/>
    </w:p>
    <w:p w14:paraId="17FC47DA">
      <w:pPr>
        <w:pStyle w:val="18"/>
        <w:rPr>
          <w:rFonts w:hint="eastAsia"/>
        </w:rPr>
      </w:pPr>
      <w:r>
        <w:rPr>
          <w:rFonts w:hint="eastAsia"/>
        </w:rPr>
        <w:t>本基金本报告期末未持有金融衍生品。</w:t>
      </w:r>
    </w:p>
    <w:p w14:paraId="74BA7E42">
      <w:pPr>
        <w:pStyle w:val="23"/>
      </w:pPr>
      <w:bookmarkStart w:id="175" w:name="_Toc28242"/>
      <w:r>
        <w:t>期末按公允价值占基金资产净值比例大小排序的前十名基金投资明细</w:t>
      </w:r>
      <w:bookmarkEnd w:id="175"/>
    </w:p>
    <w:p w14:paraId="4CFD8B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224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E5FA00C">
            <w:pPr>
              <w:jc w:val="center"/>
            </w:pPr>
            <w:r>
              <w:rPr>
                <w:rFonts w:hint="eastAsia"/>
                <w:b/>
              </w:rPr>
              <w:t>序号</w:t>
            </w:r>
          </w:p>
        </w:tc>
        <w:tc>
          <w:tcPr>
            <w:tcW w:w="1186" w:type="dxa"/>
            <w:shd w:val="clear" w:color="auto" w:fill="BFBFBF"/>
            <w:vAlign w:val="center"/>
          </w:tcPr>
          <w:p w14:paraId="3B3DCC52">
            <w:pPr>
              <w:jc w:val="center"/>
            </w:pPr>
            <w:r>
              <w:rPr>
                <w:rFonts w:hint="eastAsia"/>
                <w:b/>
              </w:rPr>
              <w:t>基金名称</w:t>
            </w:r>
          </w:p>
        </w:tc>
        <w:tc>
          <w:tcPr>
            <w:tcW w:w="1186" w:type="dxa"/>
            <w:shd w:val="clear" w:color="auto" w:fill="BFBFBF"/>
            <w:vAlign w:val="center"/>
          </w:tcPr>
          <w:p w14:paraId="7FFC2103">
            <w:pPr>
              <w:jc w:val="center"/>
            </w:pPr>
            <w:r>
              <w:rPr>
                <w:rFonts w:hint="eastAsia"/>
                <w:b/>
              </w:rPr>
              <w:t>基金类型</w:t>
            </w:r>
          </w:p>
        </w:tc>
        <w:tc>
          <w:tcPr>
            <w:tcW w:w="1186" w:type="dxa"/>
            <w:shd w:val="clear" w:color="auto" w:fill="BFBFBF"/>
            <w:vAlign w:val="center"/>
          </w:tcPr>
          <w:p w14:paraId="6DF2C773">
            <w:pPr>
              <w:jc w:val="center"/>
            </w:pPr>
            <w:r>
              <w:rPr>
                <w:rFonts w:hint="eastAsia"/>
                <w:b/>
              </w:rPr>
              <w:t>运作方式</w:t>
            </w:r>
          </w:p>
        </w:tc>
        <w:tc>
          <w:tcPr>
            <w:tcW w:w="1186" w:type="dxa"/>
            <w:shd w:val="clear" w:color="auto" w:fill="BFBFBF"/>
            <w:vAlign w:val="center"/>
          </w:tcPr>
          <w:p w14:paraId="16ADBDAA">
            <w:pPr>
              <w:jc w:val="center"/>
            </w:pPr>
            <w:r>
              <w:rPr>
                <w:rFonts w:hint="eastAsia"/>
                <w:b/>
              </w:rPr>
              <w:t>管理人</w:t>
            </w:r>
          </w:p>
        </w:tc>
        <w:tc>
          <w:tcPr>
            <w:tcW w:w="1186" w:type="dxa"/>
            <w:shd w:val="clear" w:color="auto" w:fill="BFBFBF"/>
            <w:vAlign w:val="center"/>
          </w:tcPr>
          <w:p w14:paraId="1651F03C">
            <w:pPr>
              <w:jc w:val="center"/>
            </w:pPr>
            <w:r>
              <w:rPr>
                <w:rFonts w:hint="eastAsia"/>
                <w:b/>
              </w:rPr>
              <w:t>公允价值（元）</w:t>
            </w:r>
          </w:p>
        </w:tc>
        <w:tc>
          <w:tcPr>
            <w:tcW w:w="1186" w:type="dxa"/>
            <w:shd w:val="clear" w:color="auto" w:fill="BFBFBF"/>
            <w:vAlign w:val="center"/>
          </w:tcPr>
          <w:p w14:paraId="33241F57">
            <w:pPr>
              <w:jc w:val="center"/>
            </w:pPr>
            <w:r>
              <w:rPr>
                <w:rFonts w:hint="eastAsia"/>
                <w:b/>
              </w:rPr>
              <w:t>占基金资产净值比例（%）</w:t>
            </w:r>
          </w:p>
        </w:tc>
      </w:tr>
      <w:tr w14:paraId="5CD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958593">
            <w:pPr>
              <w:jc w:val="center"/>
            </w:pPr>
            <w:r>
              <w:rPr>
                <w:rFonts w:hint="eastAsia"/>
              </w:rPr>
              <w:t>1</w:t>
            </w:r>
          </w:p>
        </w:tc>
        <w:tc>
          <w:tcPr>
            <w:tcW w:w="1186" w:type="dxa"/>
            <w:vAlign w:val="center"/>
          </w:tcPr>
          <w:p w14:paraId="032EFBD1">
            <w:r>
              <w:rPr>
                <w:rFonts w:hint="eastAsia"/>
              </w:rPr>
              <w:t>南方恒生生物科技ETF(QDII)</w:t>
            </w:r>
          </w:p>
        </w:tc>
        <w:tc>
          <w:tcPr>
            <w:tcW w:w="1186" w:type="dxa"/>
            <w:vAlign w:val="center"/>
          </w:tcPr>
          <w:p w14:paraId="37516D0A">
            <w:r>
              <w:rPr>
                <w:rFonts w:hint="eastAsia"/>
              </w:rPr>
              <w:t>ETF</w:t>
            </w:r>
          </w:p>
        </w:tc>
        <w:tc>
          <w:tcPr>
            <w:tcW w:w="1186" w:type="dxa"/>
            <w:vAlign w:val="center"/>
          </w:tcPr>
          <w:p w14:paraId="46E0FF84">
            <w:r>
              <w:rPr>
                <w:rFonts w:hint="eastAsia"/>
              </w:rPr>
              <w:t>交易型开放式</w:t>
            </w:r>
          </w:p>
        </w:tc>
        <w:tc>
          <w:tcPr>
            <w:tcW w:w="1186" w:type="dxa"/>
            <w:vAlign w:val="center"/>
          </w:tcPr>
          <w:p w14:paraId="3807BD01">
            <w:r>
              <w:rPr>
                <w:rFonts w:hint="eastAsia"/>
              </w:rPr>
              <w:t>南方基金管理股份有限公司</w:t>
            </w:r>
          </w:p>
        </w:tc>
        <w:tc>
          <w:tcPr>
            <w:tcW w:w="1186" w:type="dxa"/>
            <w:vAlign w:val="center"/>
          </w:tcPr>
          <w:p w14:paraId="389F7AAF">
            <w:pPr>
              <w:jc w:val="right"/>
            </w:pPr>
            <w:r>
              <w:rPr>
                <w:rFonts w:hint="eastAsia"/>
              </w:rPr>
              <w:t>172,787,862.35</w:t>
            </w:r>
          </w:p>
        </w:tc>
        <w:tc>
          <w:tcPr>
            <w:tcW w:w="1186" w:type="dxa"/>
            <w:vAlign w:val="center"/>
          </w:tcPr>
          <w:p w14:paraId="725F15F5">
            <w:pPr>
              <w:jc w:val="right"/>
            </w:pPr>
            <w:r>
              <w:rPr>
                <w:rFonts w:hint="eastAsia"/>
              </w:rPr>
              <w:t>95.02</w:t>
            </w:r>
          </w:p>
        </w:tc>
      </w:tr>
    </w:tbl>
    <w:p w14:paraId="57D85E23">
      <w:pPr>
        <w:pStyle w:val="23"/>
      </w:pPr>
      <w:bookmarkStart w:id="176" w:name="_Toc10817"/>
      <w:r>
        <w:t>投资组合报告附注</w:t>
      </w:r>
      <w:bookmarkEnd w:id="176"/>
    </w:p>
    <w:p w14:paraId="0A11C334">
      <w:pPr>
        <w:pStyle w:val="28"/>
      </w:pPr>
      <w:bookmarkStart w:id="177" w:name="_Toc177"/>
      <w:r>
        <w:t>声明本基金投资的前十名证券的发行主体本期是否出现被监管部门立案调查，或在报告编制日前一年内受到公开谴责、处罚的情形。如是，还应对相关证券的投资决策程序做出说明</w:t>
      </w:r>
      <w:bookmarkEnd w:id="177"/>
    </w:p>
    <w:p w14:paraId="7E2A07B6">
      <w:pPr>
        <w:pStyle w:val="18"/>
        <w:rPr>
          <w:rFonts w:hint="eastAsia"/>
        </w:rPr>
      </w:pPr>
      <w:r>
        <w:rPr>
          <w:rFonts w:hint="eastAsia"/>
        </w:rPr>
        <w:t>报告期内基金投资的前十名证券的发行主体未有被监管部门立案调查，不存在报告编制日前一年内受到公开谴责、处罚的情形。</w:t>
      </w:r>
    </w:p>
    <w:p w14:paraId="48DD44DA">
      <w:pPr>
        <w:pStyle w:val="28"/>
      </w:pPr>
      <w:bookmarkStart w:id="178" w:name="_Toc178"/>
      <w:r>
        <w:t xml:space="preserve">声明基金投资的前十名股票是否超出基金合同规定的备选股票库。如是，还应对相关股票的投资决策程序做出说明 </w:t>
      </w:r>
      <w:bookmarkEnd w:id="178"/>
    </w:p>
    <w:p w14:paraId="5DF31109">
      <w:pPr>
        <w:pStyle w:val="18"/>
        <w:rPr>
          <w:rFonts w:hint="eastAsia"/>
        </w:rPr>
      </w:pPr>
      <w:r>
        <w:rPr>
          <w:rFonts w:hint="eastAsia"/>
        </w:rPr>
        <w:t>本基金投资的前十名股票（如有）没有超出基金合同规定的备选股票库，本基金管理人从制度和流程上要求股票必须先入库再买入。</w:t>
      </w:r>
    </w:p>
    <w:p w14:paraId="32A4F12C">
      <w:pPr>
        <w:pStyle w:val="28"/>
      </w:pPr>
      <w:bookmarkStart w:id="179" w:name="_Toc179"/>
      <w:r>
        <w:t>期末其他各项资产构成</w:t>
      </w:r>
      <w:bookmarkEnd w:id="179"/>
    </w:p>
    <w:p w14:paraId="2A0C24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079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D8C4D43">
            <w:pPr>
              <w:jc w:val="center"/>
            </w:pPr>
            <w:r>
              <w:rPr>
                <w:rFonts w:hint="eastAsia"/>
                <w:b/>
              </w:rPr>
              <w:t>序号</w:t>
            </w:r>
          </w:p>
        </w:tc>
        <w:tc>
          <w:tcPr>
            <w:tcW w:w="2907" w:type="dxa"/>
            <w:shd w:val="clear" w:color="auto" w:fill="BFBFBF"/>
            <w:vAlign w:val="center"/>
          </w:tcPr>
          <w:p w14:paraId="259C13ED">
            <w:pPr>
              <w:jc w:val="center"/>
            </w:pPr>
            <w:r>
              <w:rPr>
                <w:rFonts w:hint="eastAsia"/>
                <w:b/>
              </w:rPr>
              <w:t>名称</w:t>
            </w:r>
          </w:p>
        </w:tc>
        <w:tc>
          <w:tcPr>
            <w:tcW w:w="4673" w:type="dxa"/>
            <w:shd w:val="clear" w:color="auto" w:fill="BFBFBF"/>
            <w:vAlign w:val="center"/>
          </w:tcPr>
          <w:p w14:paraId="01F1FFDE">
            <w:pPr>
              <w:jc w:val="center"/>
            </w:pPr>
            <w:r>
              <w:rPr>
                <w:rFonts w:hint="eastAsia"/>
                <w:b/>
              </w:rPr>
              <w:t>金额（元）</w:t>
            </w:r>
          </w:p>
        </w:tc>
      </w:tr>
      <w:tr w14:paraId="7370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D1000D">
            <w:pPr>
              <w:jc w:val="center"/>
            </w:pPr>
            <w:r>
              <w:rPr>
                <w:rFonts w:hint="eastAsia"/>
              </w:rPr>
              <w:t>1</w:t>
            </w:r>
          </w:p>
        </w:tc>
        <w:tc>
          <w:tcPr>
            <w:tcW w:w="2907" w:type="dxa"/>
            <w:vAlign w:val="center"/>
          </w:tcPr>
          <w:p w14:paraId="470FB695">
            <w:r>
              <w:rPr>
                <w:rFonts w:hint="eastAsia"/>
              </w:rPr>
              <w:t>存出保证金</w:t>
            </w:r>
          </w:p>
        </w:tc>
        <w:tc>
          <w:tcPr>
            <w:tcW w:w="4673" w:type="dxa"/>
            <w:vAlign w:val="center"/>
          </w:tcPr>
          <w:p w14:paraId="58417507">
            <w:pPr>
              <w:jc w:val="right"/>
            </w:pPr>
            <w:r>
              <w:rPr>
                <w:rFonts w:hint="eastAsia"/>
              </w:rPr>
              <w:t>72,141.61</w:t>
            </w:r>
          </w:p>
        </w:tc>
      </w:tr>
      <w:tr w14:paraId="636C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689C1A">
            <w:pPr>
              <w:jc w:val="center"/>
            </w:pPr>
            <w:r>
              <w:rPr>
                <w:rFonts w:hint="eastAsia"/>
              </w:rPr>
              <w:t>2</w:t>
            </w:r>
          </w:p>
        </w:tc>
        <w:tc>
          <w:tcPr>
            <w:tcW w:w="2907" w:type="dxa"/>
            <w:vAlign w:val="center"/>
          </w:tcPr>
          <w:p w14:paraId="60B0E0A1">
            <w:r>
              <w:rPr>
                <w:rFonts w:hint="eastAsia"/>
              </w:rPr>
              <w:t>应收清算款</w:t>
            </w:r>
          </w:p>
        </w:tc>
        <w:tc>
          <w:tcPr>
            <w:tcW w:w="4673" w:type="dxa"/>
            <w:vAlign w:val="center"/>
          </w:tcPr>
          <w:p w14:paraId="641AD36F">
            <w:pPr>
              <w:jc w:val="right"/>
            </w:pPr>
            <w:r>
              <w:rPr>
                <w:rFonts w:hint="eastAsia"/>
              </w:rPr>
              <w:t>-</w:t>
            </w:r>
          </w:p>
        </w:tc>
      </w:tr>
      <w:tr w14:paraId="5066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3BAD16">
            <w:pPr>
              <w:jc w:val="center"/>
            </w:pPr>
            <w:r>
              <w:rPr>
                <w:rFonts w:hint="eastAsia"/>
              </w:rPr>
              <w:t>3</w:t>
            </w:r>
          </w:p>
        </w:tc>
        <w:tc>
          <w:tcPr>
            <w:tcW w:w="2907" w:type="dxa"/>
            <w:vAlign w:val="center"/>
          </w:tcPr>
          <w:p w14:paraId="15E68C92">
            <w:r>
              <w:rPr>
                <w:rFonts w:hint="eastAsia"/>
              </w:rPr>
              <w:t>应收股利</w:t>
            </w:r>
          </w:p>
        </w:tc>
        <w:tc>
          <w:tcPr>
            <w:tcW w:w="4673" w:type="dxa"/>
            <w:vAlign w:val="center"/>
          </w:tcPr>
          <w:p w14:paraId="11DB22BD">
            <w:pPr>
              <w:jc w:val="right"/>
            </w:pPr>
            <w:r>
              <w:rPr>
                <w:rFonts w:hint="eastAsia"/>
              </w:rPr>
              <w:t>-</w:t>
            </w:r>
          </w:p>
        </w:tc>
      </w:tr>
      <w:tr w14:paraId="26D3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8BA705">
            <w:pPr>
              <w:jc w:val="center"/>
            </w:pPr>
            <w:r>
              <w:rPr>
                <w:rFonts w:hint="eastAsia"/>
              </w:rPr>
              <w:t>4</w:t>
            </w:r>
          </w:p>
        </w:tc>
        <w:tc>
          <w:tcPr>
            <w:tcW w:w="2907" w:type="dxa"/>
            <w:vAlign w:val="center"/>
          </w:tcPr>
          <w:p w14:paraId="7B6A1E7C">
            <w:r>
              <w:rPr>
                <w:rFonts w:hint="eastAsia"/>
              </w:rPr>
              <w:t>应收利息</w:t>
            </w:r>
          </w:p>
        </w:tc>
        <w:tc>
          <w:tcPr>
            <w:tcW w:w="4673" w:type="dxa"/>
            <w:vAlign w:val="center"/>
          </w:tcPr>
          <w:p w14:paraId="7D7C6DFA">
            <w:pPr>
              <w:jc w:val="right"/>
            </w:pPr>
            <w:r>
              <w:rPr>
                <w:rFonts w:hint="eastAsia"/>
              </w:rPr>
              <w:t>-</w:t>
            </w:r>
          </w:p>
        </w:tc>
      </w:tr>
      <w:tr w14:paraId="31FC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95153C">
            <w:pPr>
              <w:jc w:val="center"/>
            </w:pPr>
            <w:r>
              <w:rPr>
                <w:rFonts w:hint="eastAsia"/>
              </w:rPr>
              <w:t>5</w:t>
            </w:r>
          </w:p>
        </w:tc>
        <w:tc>
          <w:tcPr>
            <w:tcW w:w="2907" w:type="dxa"/>
            <w:vAlign w:val="center"/>
          </w:tcPr>
          <w:p w14:paraId="6FD35616">
            <w:r>
              <w:rPr>
                <w:rFonts w:hint="eastAsia"/>
              </w:rPr>
              <w:t>应收申购款</w:t>
            </w:r>
          </w:p>
        </w:tc>
        <w:tc>
          <w:tcPr>
            <w:tcW w:w="4673" w:type="dxa"/>
            <w:vAlign w:val="center"/>
          </w:tcPr>
          <w:p w14:paraId="472E733C">
            <w:pPr>
              <w:jc w:val="right"/>
            </w:pPr>
            <w:r>
              <w:rPr>
                <w:rFonts w:hint="eastAsia"/>
              </w:rPr>
              <w:t>945,904.54</w:t>
            </w:r>
          </w:p>
        </w:tc>
      </w:tr>
      <w:tr w14:paraId="3501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4F6E41">
            <w:pPr>
              <w:jc w:val="center"/>
            </w:pPr>
            <w:r>
              <w:rPr>
                <w:rFonts w:hint="eastAsia"/>
              </w:rPr>
              <w:t>6</w:t>
            </w:r>
          </w:p>
        </w:tc>
        <w:tc>
          <w:tcPr>
            <w:tcW w:w="2907" w:type="dxa"/>
            <w:vAlign w:val="center"/>
          </w:tcPr>
          <w:p w14:paraId="32F3D12E">
            <w:r>
              <w:rPr>
                <w:rFonts w:hint="eastAsia"/>
              </w:rPr>
              <w:t>其他应收款</w:t>
            </w:r>
          </w:p>
        </w:tc>
        <w:tc>
          <w:tcPr>
            <w:tcW w:w="4673" w:type="dxa"/>
            <w:vAlign w:val="center"/>
          </w:tcPr>
          <w:p w14:paraId="25758EA2">
            <w:pPr>
              <w:jc w:val="right"/>
            </w:pPr>
            <w:r>
              <w:rPr>
                <w:rFonts w:hint="eastAsia"/>
              </w:rPr>
              <w:t>-</w:t>
            </w:r>
          </w:p>
        </w:tc>
      </w:tr>
      <w:tr w14:paraId="08C4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C640AE">
            <w:pPr>
              <w:jc w:val="center"/>
            </w:pPr>
            <w:r>
              <w:rPr>
                <w:rFonts w:hint="eastAsia"/>
              </w:rPr>
              <w:t>7</w:t>
            </w:r>
          </w:p>
        </w:tc>
        <w:tc>
          <w:tcPr>
            <w:tcW w:w="2907" w:type="dxa"/>
            <w:vAlign w:val="center"/>
          </w:tcPr>
          <w:p w14:paraId="5283C760">
            <w:r>
              <w:rPr>
                <w:rFonts w:hint="eastAsia"/>
              </w:rPr>
              <w:t>待摊费用</w:t>
            </w:r>
          </w:p>
        </w:tc>
        <w:tc>
          <w:tcPr>
            <w:tcW w:w="4673" w:type="dxa"/>
            <w:vAlign w:val="center"/>
          </w:tcPr>
          <w:p w14:paraId="742DFC18">
            <w:pPr>
              <w:jc w:val="right"/>
            </w:pPr>
            <w:r>
              <w:rPr>
                <w:rFonts w:hint="eastAsia"/>
              </w:rPr>
              <w:t>-</w:t>
            </w:r>
          </w:p>
        </w:tc>
      </w:tr>
      <w:tr w14:paraId="16B9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088718">
            <w:pPr>
              <w:jc w:val="center"/>
            </w:pPr>
            <w:r>
              <w:rPr>
                <w:rFonts w:hint="eastAsia"/>
              </w:rPr>
              <w:t>8</w:t>
            </w:r>
          </w:p>
        </w:tc>
        <w:tc>
          <w:tcPr>
            <w:tcW w:w="2907" w:type="dxa"/>
            <w:vAlign w:val="center"/>
          </w:tcPr>
          <w:p w14:paraId="51DE7B65">
            <w:r>
              <w:rPr>
                <w:rFonts w:hint="eastAsia"/>
              </w:rPr>
              <w:t>其他</w:t>
            </w:r>
          </w:p>
        </w:tc>
        <w:tc>
          <w:tcPr>
            <w:tcW w:w="4673" w:type="dxa"/>
            <w:vAlign w:val="center"/>
          </w:tcPr>
          <w:p w14:paraId="15AFE249">
            <w:pPr>
              <w:jc w:val="right"/>
            </w:pPr>
            <w:r>
              <w:rPr>
                <w:rFonts w:hint="eastAsia"/>
              </w:rPr>
              <w:t>-</w:t>
            </w:r>
          </w:p>
        </w:tc>
      </w:tr>
      <w:tr w14:paraId="4D72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1105C3">
            <w:pPr>
              <w:jc w:val="center"/>
            </w:pPr>
            <w:r>
              <w:rPr>
                <w:rFonts w:hint="eastAsia"/>
              </w:rPr>
              <w:t>9</w:t>
            </w:r>
          </w:p>
        </w:tc>
        <w:tc>
          <w:tcPr>
            <w:tcW w:w="2907" w:type="dxa"/>
            <w:vAlign w:val="center"/>
          </w:tcPr>
          <w:p w14:paraId="01D1BD42">
            <w:r>
              <w:rPr>
                <w:rFonts w:hint="eastAsia"/>
              </w:rPr>
              <w:t>合计</w:t>
            </w:r>
          </w:p>
        </w:tc>
        <w:tc>
          <w:tcPr>
            <w:tcW w:w="4673" w:type="dxa"/>
            <w:vAlign w:val="center"/>
          </w:tcPr>
          <w:p w14:paraId="0FE6829F">
            <w:pPr>
              <w:jc w:val="right"/>
            </w:pPr>
            <w:r>
              <w:rPr>
                <w:rFonts w:hint="eastAsia"/>
              </w:rPr>
              <w:t>1,018,046.15</w:t>
            </w:r>
          </w:p>
        </w:tc>
      </w:tr>
    </w:tbl>
    <w:p w14:paraId="468867A5">
      <w:pPr>
        <w:pStyle w:val="28"/>
      </w:pPr>
      <w:bookmarkStart w:id="180" w:name="_Toc180"/>
      <w:r>
        <w:t>期末持有的处于转股期的可转换债券明细</w:t>
      </w:r>
      <w:bookmarkEnd w:id="180"/>
    </w:p>
    <w:p w14:paraId="7E004203">
      <w:pPr>
        <w:pStyle w:val="18"/>
        <w:rPr>
          <w:rFonts w:hint="eastAsia"/>
        </w:rPr>
      </w:pPr>
      <w:r>
        <w:rPr>
          <w:rFonts w:hint="eastAsia"/>
        </w:rPr>
        <w:t>本基金本报告期末未持有处于转股期的可转换债券。</w:t>
      </w:r>
    </w:p>
    <w:p w14:paraId="07B6E532">
      <w:pPr>
        <w:pStyle w:val="28"/>
      </w:pPr>
      <w:bookmarkStart w:id="181" w:name="_Toc181"/>
      <w:r>
        <w:t>期末前十名股票中存在流通受限情况的说明</w:t>
      </w:r>
      <w:bookmarkEnd w:id="181"/>
    </w:p>
    <w:p w14:paraId="21D340B0">
      <w:pPr>
        <w:pStyle w:val="18"/>
        <w:rPr>
          <w:rFonts w:hint="eastAsia"/>
        </w:rPr>
      </w:pPr>
      <w:r>
        <w:rPr>
          <w:rFonts w:hint="eastAsia"/>
        </w:rPr>
        <w:t>无。</w:t>
      </w:r>
    </w:p>
    <w:p w14:paraId="7FE76F74">
      <w:pPr>
        <w:pStyle w:val="26"/>
      </w:pPr>
      <w:bookmarkStart w:id="182" w:name="_Toc16241"/>
      <w:r>
        <w:t>基金份额持有人信息</w:t>
      </w:r>
      <w:bookmarkEnd w:id="182"/>
    </w:p>
    <w:p w14:paraId="497781A4">
      <w:pPr>
        <w:pStyle w:val="23"/>
      </w:pPr>
      <w:bookmarkStart w:id="183" w:name="_Toc21462"/>
      <w:r>
        <w:t>期末基金份额持有人户数及持有人结构</w:t>
      </w:r>
      <w:bookmarkEnd w:id="183"/>
    </w:p>
    <w:p w14:paraId="3A59878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C2E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F46B268">
            <w:pPr>
              <w:jc w:val="center"/>
            </w:pPr>
            <w:r>
              <w:rPr>
                <w:rFonts w:hint="eastAsia"/>
                <w:b/>
              </w:rPr>
              <w:t>份额级别</w:t>
            </w:r>
          </w:p>
        </w:tc>
        <w:tc>
          <w:tcPr>
            <w:tcW w:w="1186" w:type="dxa"/>
            <w:vMerge w:val="restart"/>
            <w:shd w:val="clear" w:color="auto" w:fill="BFBFBF"/>
            <w:vAlign w:val="center"/>
          </w:tcPr>
          <w:p w14:paraId="08A0DCCD">
            <w:pPr>
              <w:jc w:val="center"/>
            </w:pPr>
            <w:r>
              <w:rPr>
                <w:rFonts w:hint="eastAsia"/>
                <w:b/>
              </w:rPr>
              <w:t>持有人户数（户）</w:t>
            </w:r>
          </w:p>
        </w:tc>
        <w:tc>
          <w:tcPr>
            <w:tcW w:w="1186" w:type="dxa"/>
            <w:vMerge w:val="restart"/>
            <w:shd w:val="clear" w:color="auto" w:fill="BFBFBF"/>
            <w:vAlign w:val="center"/>
          </w:tcPr>
          <w:p w14:paraId="042B90CC">
            <w:pPr>
              <w:jc w:val="center"/>
            </w:pPr>
            <w:r>
              <w:rPr>
                <w:rFonts w:hint="eastAsia"/>
                <w:b/>
              </w:rPr>
              <w:t>户均持有的基金份额</w:t>
            </w:r>
          </w:p>
        </w:tc>
        <w:tc>
          <w:tcPr>
            <w:tcW w:w="1186" w:type="dxa"/>
            <w:gridSpan w:val="4"/>
            <w:shd w:val="clear" w:color="auto" w:fill="BFBFBF"/>
            <w:vAlign w:val="center"/>
          </w:tcPr>
          <w:p w14:paraId="1B35585D">
            <w:pPr>
              <w:jc w:val="center"/>
            </w:pPr>
            <w:r>
              <w:rPr>
                <w:rFonts w:hint="eastAsia"/>
                <w:b/>
              </w:rPr>
              <w:t>持有人结构</w:t>
            </w:r>
          </w:p>
        </w:tc>
      </w:tr>
      <w:tr w14:paraId="3150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CDF58EF"/>
        </w:tc>
        <w:tc>
          <w:tcPr>
            <w:tcW w:w="1186" w:type="dxa"/>
            <w:vMerge w:val="continue"/>
            <w:vAlign w:val="center"/>
          </w:tcPr>
          <w:p w14:paraId="6107AE86"/>
        </w:tc>
        <w:tc>
          <w:tcPr>
            <w:tcW w:w="1186" w:type="dxa"/>
            <w:vMerge w:val="continue"/>
            <w:vAlign w:val="center"/>
          </w:tcPr>
          <w:p w14:paraId="292BCBD1"/>
        </w:tc>
        <w:tc>
          <w:tcPr>
            <w:tcW w:w="1186" w:type="dxa"/>
            <w:gridSpan w:val="2"/>
            <w:shd w:val="clear" w:color="auto" w:fill="BFBFBF"/>
            <w:vAlign w:val="center"/>
          </w:tcPr>
          <w:p w14:paraId="58966D17">
            <w:pPr>
              <w:jc w:val="center"/>
            </w:pPr>
            <w:r>
              <w:rPr>
                <w:rFonts w:hint="eastAsia"/>
                <w:b/>
              </w:rPr>
              <w:t>机构投资者</w:t>
            </w:r>
          </w:p>
        </w:tc>
        <w:tc>
          <w:tcPr>
            <w:tcW w:w="1186" w:type="dxa"/>
            <w:gridSpan w:val="2"/>
            <w:shd w:val="clear" w:color="auto" w:fill="BFBFBF"/>
            <w:vAlign w:val="center"/>
          </w:tcPr>
          <w:p w14:paraId="59AAB46C">
            <w:pPr>
              <w:jc w:val="center"/>
            </w:pPr>
            <w:r>
              <w:rPr>
                <w:rFonts w:hint="eastAsia"/>
                <w:b/>
              </w:rPr>
              <w:t>个人投资者</w:t>
            </w:r>
          </w:p>
        </w:tc>
      </w:tr>
      <w:tr w14:paraId="6598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D8ED65"/>
        </w:tc>
        <w:tc>
          <w:tcPr>
            <w:tcW w:w="1186" w:type="dxa"/>
            <w:vMerge w:val="continue"/>
            <w:vAlign w:val="center"/>
          </w:tcPr>
          <w:p w14:paraId="75E304E7"/>
        </w:tc>
        <w:tc>
          <w:tcPr>
            <w:tcW w:w="1186" w:type="dxa"/>
            <w:vMerge w:val="continue"/>
            <w:vAlign w:val="center"/>
          </w:tcPr>
          <w:p w14:paraId="69ABF6DD"/>
        </w:tc>
        <w:tc>
          <w:tcPr>
            <w:tcW w:w="1186" w:type="dxa"/>
            <w:shd w:val="clear" w:color="auto" w:fill="BFBFBF"/>
            <w:vAlign w:val="center"/>
          </w:tcPr>
          <w:p w14:paraId="0ED1F7C5">
            <w:pPr>
              <w:jc w:val="center"/>
            </w:pPr>
            <w:r>
              <w:rPr>
                <w:rFonts w:hint="eastAsia"/>
                <w:b/>
              </w:rPr>
              <w:t>持有份额</w:t>
            </w:r>
          </w:p>
        </w:tc>
        <w:tc>
          <w:tcPr>
            <w:tcW w:w="1186" w:type="dxa"/>
            <w:shd w:val="clear" w:color="auto" w:fill="BFBFBF"/>
            <w:vAlign w:val="center"/>
          </w:tcPr>
          <w:p w14:paraId="0CB0EB15">
            <w:pPr>
              <w:jc w:val="center"/>
            </w:pPr>
            <w:r>
              <w:rPr>
                <w:rFonts w:hint="eastAsia"/>
                <w:b/>
              </w:rPr>
              <w:t>占总份额比例</w:t>
            </w:r>
          </w:p>
        </w:tc>
        <w:tc>
          <w:tcPr>
            <w:tcW w:w="1186" w:type="dxa"/>
            <w:shd w:val="clear" w:color="auto" w:fill="BFBFBF"/>
            <w:vAlign w:val="center"/>
          </w:tcPr>
          <w:p w14:paraId="67C24220">
            <w:pPr>
              <w:jc w:val="center"/>
            </w:pPr>
            <w:r>
              <w:rPr>
                <w:rFonts w:hint="eastAsia"/>
                <w:b/>
              </w:rPr>
              <w:t>持有份额</w:t>
            </w:r>
          </w:p>
        </w:tc>
        <w:tc>
          <w:tcPr>
            <w:tcW w:w="1186" w:type="dxa"/>
            <w:shd w:val="clear" w:color="auto" w:fill="BFBFBF"/>
            <w:vAlign w:val="center"/>
          </w:tcPr>
          <w:p w14:paraId="298C1F62">
            <w:pPr>
              <w:jc w:val="center"/>
            </w:pPr>
            <w:r>
              <w:rPr>
                <w:rFonts w:hint="eastAsia"/>
                <w:b/>
              </w:rPr>
              <w:t>占总份额比例</w:t>
            </w:r>
          </w:p>
        </w:tc>
      </w:tr>
      <w:tr w14:paraId="27FE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80264C">
            <w:r>
              <w:rPr>
                <w:rFonts w:hint="eastAsia"/>
              </w:rPr>
              <w:t>南方恒生生物科技ETF发起联接（QDII）A</w:t>
            </w:r>
          </w:p>
        </w:tc>
        <w:tc>
          <w:tcPr>
            <w:tcW w:w="1186" w:type="dxa"/>
            <w:vAlign w:val="center"/>
          </w:tcPr>
          <w:p w14:paraId="076F2022">
            <w:pPr>
              <w:jc w:val="right"/>
            </w:pPr>
            <w:r>
              <w:rPr>
                <w:rFonts w:hint="eastAsia"/>
              </w:rPr>
              <w:t>3,231</w:t>
            </w:r>
          </w:p>
        </w:tc>
        <w:tc>
          <w:tcPr>
            <w:tcW w:w="1186" w:type="dxa"/>
            <w:vAlign w:val="center"/>
          </w:tcPr>
          <w:p w14:paraId="18C4A1D2">
            <w:pPr>
              <w:jc w:val="right"/>
            </w:pPr>
            <w:r>
              <w:rPr>
                <w:rFonts w:hint="eastAsia"/>
              </w:rPr>
              <w:t>16,556.64</w:t>
            </w:r>
          </w:p>
        </w:tc>
        <w:tc>
          <w:tcPr>
            <w:tcW w:w="1186" w:type="dxa"/>
            <w:vAlign w:val="center"/>
          </w:tcPr>
          <w:p w14:paraId="716B8518">
            <w:pPr>
              <w:jc w:val="right"/>
            </w:pPr>
            <w:r>
              <w:rPr>
                <w:rFonts w:hint="eastAsia"/>
              </w:rPr>
              <w:t>10,011,363.55</w:t>
            </w:r>
          </w:p>
        </w:tc>
        <w:tc>
          <w:tcPr>
            <w:tcW w:w="1186" w:type="dxa"/>
            <w:vAlign w:val="center"/>
          </w:tcPr>
          <w:p w14:paraId="65ACD199">
            <w:pPr>
              <w:jc w:val="right"/>
            </w:pPr>
            <w:r>
              <w:rPr>
                <w:rFonts w:hint="eastAsia"/>
              </w:rPr>
              <w:t>18.71%</w:t>
            </w:r>
          </w:p>
        </w:tc>
        <w:tc>
          <w:tcPr>
            <w:tcW w:w="1186" w:type="dxa"/>
            <w:vAlign w:val="center"/>
          </w:tcPr>
          <w:p w14:paraId="48124AE7">
            <w:pPr>
              <w:jc w:val="right"/>
            </w:pPr>
            <w:r>
              <w:rPr>
                <w:rFonts w:hint="eastAsia"/>
              </w:rPr>
              <w:t>43,483,137.60</w:t>
            </w:r>
          </w:p>
        </w:tc>
        <w:tc>
          <w:tcPr>
            <w:tcW w:w="1186" w:type="dxa"/>
            <w:vAlign w:val="center"/>
          </w:tcPr>
          <w:p w14:paraId="275E0521">
            <w:pPr>
              <w:jc w:val="right"/>
            </w:pPr>
            <w:r>
              <w:rPr>
                <w:rFonts w:hint="eastAsia"/>
              </w:rPr>
              <w:t>81.29%</w:t>
            </w:r>
          </w:p>
        </w:tc>
      </w:tr>
      <w:tr w14:paraId="12AC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D480AF">
            <w:r>
              <w:rPr>
                <w:rFonts w:hint="eastAsia"/>
              </w:rPr>
              <w:t>南方恒生生物科技ETF发起联接（QDII）C</w:t>
            </w:r>
          </w:p>
        </w:tc>
        <w:tc>
          <w:tcPr>
            <w:tcW w:w="1186" w:type="dxa"/>
            <w:vAlign w:val="center"/>
          </w:tcPr>
          <w:p w14:paraId="6EA950D0">
            <w:pPr>
              <w:jc w:val="right"/>
            </w:pPr>
            <w:r>
              <w:rPr>
                <w:rFonts w:hint="eastAsia"/>
              </w:rPr>
              <w:t>5,388</w:t>
            </w:r>
          </w:p>
        </w:tc>
        <w:tc>
          <w:tcPr>
            <w:tcW w:w="1186" w:type="dxa"/>
            <w:vAlign w:val="center"/>
          </w:tcPr>
          <w:p w14:paraId="11056525">
            <w:pPr>
              <w:jc w:val="right"/>
            </w:pPr>
            <w:r>
              <w:rPr>
                <w:rFonts w:hint="eastAsia"/>
              </w:rPr>
              <w:t>15,233.21</w:t>
            </w:r>
          </w:p>
        </w:tc>
        <w:tc>
          <w:tcPr>
            <w:tcW w:w="1186" w:type="dxa"/>
            <w:vAlign w:val="center"/>
          </w:tcPr>
          <w:p w14:paraId="11A2D3C8">
            <w:pPr>
              <w:jc w:val="right"/>
            </w:pPr>
            <w:r>
              <w:rPr>
                <w:rFonts w:hint="eastAsia"/>
              </w:rPr>
              <w:t>384,649.66</w:t>
            </w:r>
          </w:p>
        </w:tc>
        <w:tc>
          <w:tcPr>
            <w:tcW w:w="1186" w:type="dxa"/>
            <w:vAlign w:val="center"/>
          </w:tcPr>
          <w:p w14:paraId="3E7410F3">
            <w:pPr>
              <w:jc w:val="right"/>
            </w:pPr>
            <w:r>
              <w:rPr>
                <w:rFonts w:hint="eastAsia"/>
              </w:rPr>
              <w:t>0.47%</w:t>
            </w:r>
          </w:p>
        </w:tc>
        <w:tc>
          <w:tcPr>
            <w:tcW w:w="1186" w:type="dxa"/>
            <w:vAlign w:val="center"/>
          </w:tcPr>
          <w:p w14:paraId="2666A845">
            <w:pPr>
              <w:jc w:val="right"/>
            </w:pPr>
            <w:r>
              <w:rPr>
                <w:rFonts w:hint="eastAsia"/>
              </w:rPr>
              <w:t>81,691,871.76</w:t>
            </w:r>
          </w:p>
        </w:tc>
        <w:tc>
          <w:tcPr>
            <w:tcW w:w="1186" w:type="dxa"/>
            <w:vAlign w:val="center"/>
          </w:tcPr>
          <w:p w14:paraId="32E05625">
            <w:pPr>
              <w:jc w:val="right"/>
            </w:pPr>
            <w:r>
              <w:rPr>
                <w:rFonts w:hint="eastAsia"/>
              </w:rPr>
              <w:t>99.53%</w:t>
            </w:r>
          </w:p>
        </w:tc>
      </w:tr>
      <w:tr w14:paraId="6301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BAE7CC">
            <w:r>
              <w:rPr>
                <w:rFonts w:hint="eastAsia"/>
              </w:rPr>
              <w:t>南方恒生生物科技ETF发起联接（QDII）I</w:t>
            </w:r>
          </w:p>
        </w:tc>
        <w:tc>
          <w:tcPr>
            <w:tcW w:w="1186" w:type="dxa"/>
            <w:vAlign w:val="center"/>
          </w:tcPr>
          <w:p w14:paraId="65FAAF2A">
            <w:pPr>
              <w:jc w:val="right"/>
            </w:pPr>
            <w:r>
              <w:rPr>
                <w:rFonts w:hint="eastAsia"/>
              </w:rPr>
              <w:t>219</w:t>
            </w:r>
          </w:p>
        </w:tc>
        <w:tc>
          <w:tcPr>
            <w:tcW w:w="1186" w:type="dxa"/>
            <w:vAlign w:val="center"/>
          </w:tcPr>
          <w:p w14:paraId="7F9E287C">
            <w:pPr>
              <w:jc w:val="right"/>
            </w:pPr>
            <w:r>
              <w:rPr>
                <w:rFonts w:hint="eastAsia"/>
              </w:rPr>
              <w:t>64,778.26</w:t>
            </w:r>
          </w:p>
        </w:tc>
        <w:tc>
          <w:tcPr>
            <w:tcW w:w="1186" w:type="dxa"/>
            <w:vAlign w:val="center"/>
          </w:tcPr>
          <w:p w14:paraId="239C8452">
            <w:pPr>
              <w:jc w:val="right"/>
            </w:pPr>
            <w:r>
              <w:rPr>
                <w:rFonts w:hint="eastAsia"/>
              </w:rPr>
              <w:t>-</w:t>
            </w:r>
          </w:p>
        </w:tc>
        <w:tc>
          <w:tcPr>
            <w:tcW w:w="1186" w:type="dxa"/>
            <w:vAlign w:val="center"/>
          </w:tcPr>
          <w:p w14:paraId="7BAFD719">
            <w:pPr>
              <w:jc w:val="right"/>
            </w:pPr>
            <w:r>
              <w:rPr>
                <w:rFonts w:hint="eastAsia"/>
              </w:rPr>
              <w:t>-</w:t>
            </w:r>
          </w:p>
        </w:tc>
        <w:tc>
          <w:tcPr>
            <w:tcW w:w="1186" w:type="dxa"/>
            <w:vAlign w:val="center"/>
          </w:tcPr>
          <w:p w14:paraId="2D2DEE35">
            <w:pPr>
              <w:jc w:val="right"/>
            </w:pPr>
            <w:r>
              <w:rPr>
                <w:rFonts w:hint="eastAsia"/>
              </w:rPr>
              <w:t>14,186,440.00</w:t>
            </w:r>
          </w:p>
        </w:tc>
        <w:tc>
          <w:tcPr>
            <w:tcW w:w="1186" w:type="dxa"/>
            <w:vAlign w:val="center"/>
          </w:tcPr>
          <w:p w14:paraId="1567364A">
            <w:pPr>
              <w:jc w:val="right"/>
            </w:pPr>
            <w:r>
              <w:rPr>
                <w:rFonts w:hint="eastAsia"/>
              </w:rPr>
              <w:t>100.00%</w:t>
            </w:r>
          </w:p>
        </w:tc>
      </w:tr>
      <w:tr w14:paraId="619F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9576E52">
            <w:r>
              <w:rPr>
                <w:rFonts w:hint="eastAsia"/>
              </w:rPr>
              <w:t>合计</w:t>
            </w:r>
          </w:p>
        </w:tc>
        <w:tc>
          <w:tcPr>
            <w:tcW w:w="1186" w:type="dxa"/>
            <w:vAlign w:val="center"/>
          </w:tcPr>
          <w:p w14:paraId="28950367">
            <w:pPr>
              <w:jc w:val="right"/>
            </w:pPr>
            <w:r>
              <w:rPr>
                <w:rFonts w:hint="eastAsia"/>
              </w:rPr>
              <w:t>8,838</w:t>
            </w:r>
          </w:p>
        </w:tc>
        <w:tc>
          <w:tcPr>
            <w:tcW w:w="1186" w:type="dxa"/>
            <w:vAlign w:val="center"/>
          </w:tcPr>
          <w:p w14:paraId="788C84E1">
            <w:pPr>
              <w:jc w:val="right"/>
            </w:pPr>
            <w:r>
              <w:rPr>
                <w:rFonts w:hint="eastAsia"/>
              </w:rPr>
              <w:t>16,944.72</w:t>
            </w:r>
          </w:p>
        </w:tc>
        <w:tc>
          <w:tcPr>
            <w:tcW w:w="1186" w:type="dxa"/>
            <w:vAlign w:val="center"/>
          </w:tcPr>
          <w:p w14:paraId="503D16D0">
            <w:pPr>
              <w:jc w:val="right"/>
            </w:pPr>
            <w:r>
              <w:rPr>
                <w:rFonts w:hint="eastAsia"/>
              </w:rPr>
              <w:t>10,396,013.21</w:t>
            </w:r>
          </w:p>
        </w:tc>
        <w:tc>
          <w:tcPr>
            <w:tcW w:w="1186" w:type="dxa"/>
            <w:vAlign w:val="center"/>
          </w:tcPr>
          <w:p w14:paraId="0B97DFA8">
            <w:pPr>
              <w:jc w:val="right"/>
            </w:pPr>
            <w:r>
              <w:rPr>
                <w:rFonts w:hint="eastAsia"/>
              </w:rPr>
              <w:t>6.94%</w:t>
            </w:r>
          </w:p>
        </w:tc>
        <w:tc>
          <w:tcPr>
            <w:tcW w:w="1186" w:type="dxa"/>
            <w:vAlign w:val="center"/>
          </w:tcPr>
          <w:p w14:paraId="184D8E24">
            <w:pPr>
              <w:jc w:val="right"/>
            </w:pPr>
            <w:r>
              <w:rPr>
                <w:rFonts w:hint="eastAsia"/>
              </w:rPr>
              <w:t>139,361,449.36</w:t>
            </w:r>
          </w:p>
        </w:tc>
        <w:tc>
          <w:tcPr>
            <w:tcW w:w="1186" w:type="dxa"/>
            <w:vAlign w:val="center"/>
          </w:tcPr>
          <w:p w14:paraId="4C6FE080">
            <w:pPr>
              <w:jc w:val="right"/>
            </w:pPr>
            <w:r>
              <w:rPr>
                <w:rFonts w:hint="eastAsia"/>
              </w:rPr>
              <w:t>93.06%</w:t>
            </w:r>
          </w:p>
        </w:tc>
      </w:tr>
    </w:tbl>
    <w:p w14:paraId="4E57AE0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5CF35FD">
      <w:pPr>
        <w:pStyle w:val="23"/>
      </w:pPr>
      <w:bookmarkStart w:id="184" w:name="_Toc19966"/>
      <w:r>
        <w:t>期末基金管理人的从业人员持有本基金的情况</w:t>
      </w:r>
      <w:bookmarkEnd w:id="18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18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847650">
            <w:r>
              <w:rPr>
                <w:rFonts w:hint="eastAsia"/>
              </w:rPr>
              <w:t>项目</w:t>
            </w:r>
          </w:p>
        </w:tc>
        <w:tc>
          <w:tcPr>
            <w:tcW w:w="2076" w:type="dxa"/>
            <w:vAlign w:val="center"/>
          </w:tcPr>
          <w:p w14:paraId="6209F991">
            <w:r>
              <w:rPr>
                <w:rFonts w:hint="eastAsia"/>
              </w:rPr>
              <w:t>份额级别</w:t>
            </w:r>
          </w:p>
        </w:tc>
        <w:tc>
          <w:tcPr>
            <w:tcW w:w="2076" w:type="dxa"/>
            <w:vAlign w:val="center"/>
          </w:tcPr>
          <w:p w14:paraId="058CCD66">
            <w:r>
              <w:rPr>
                <w:rFonts w:hint="eastAsia"/>
              </w:rPr>
              <w:t>持有份额总数（份）</w:t>
            </w:r>
          </w:p>
        </w:tc>
        <w:tc>
          <w:tcPr>
            <w:tcW w:w="2076" w:type="dxa"/>
            <w:vAlign w:val="center"/>
          </w:tcPr>
          <w:p w14:paraId="0A578596">
            <w:r>
              <w:rPr>
                <w:rFonts w:hint="eastAsia"/>
              </w:rPr>
              <w:t>占基金总份额比例</w:t>
            </w:r>
          </w:p>
        </w:tc>
      </w:tr>
      <w:tr w14:paraId="648E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7C028C4">
            <w:r>
              <w:rPr>
                <w:rFonts w:hint="eastAsia"/>
              </w:rPr>
              <w:t>基金管理人所有从业人员持有本基金</w:t>
            </w:r>
          </w:p>
        </w:tc>
        <w:tc>
          <w:tcPr>
            <w:tcW w:w="2076" w:type="dxa"/>
            <w:vAlign w:val="center"/>
          </w:tcPr>
          <w:p w14:paraId="66DE910B">
            <w:r>
              <w:rPr>
                <w:rFonts w:hint="eastAsia"/>
              </w:rPr>
              <w:t>南方恒生生物科技ETF发起联接（QDII）A</w:t>
            </w:r>
          </w:p>
        </w:tc>
        <w:tc>
          <w:tcPr>
            <w:tcW w:w="2076" w:type="dxa"/>
            <w:vAlign w:val="center"/>
          </w:tcPr>
          <w:p w14:paraId="599B3093">
            <w:pPr>
              <w:jc w:val="right"/>
            </w:pPr>
            <w:r>
              <w:rPr>
                <w:rFonts w:hint="eastAsia"/>
              </w:rPr>
              <w:t>2,151,086.70</w:t>
            </w:r>
          </w:p>
        </w:tc>
        <w:tc>
          <w:tcPr>
            <w:tcW w:w="2076" w:type="dxa"/>
            <w:vAlign w:val="center"/>
          </w:tcPr>
          <w:p w14:paraId="33446BA7">
            <w:pPr>
              <w:jc w:val="right"/>
            </w:pPr>
            <w:r>
              <w:rPr>
                <w:rFonts w:hint="eastAsia"/>
              </w:rPr>
              <w:t>4.0211%</w:t>
            </w:r>
          </w:p>
        </w:tc>
      </w:tr>
      <w:tr w14:paraId="3675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81939C"/>
        </w:tc>
        <w:tc>
          <w:tcPr>
            <w:tcW w:w="2076" w:type="dxa"/>
            <w:vAlign w:val="center"/>
          </w:tcPr>
          <w:p w14:paraId="0F4956DC">
            <w:r>
              <w:rPr>
                <w:rFonts w:hint="eastAsia"/>
              </w:rPr>
              <w:t>南方恒生生物科技ETF发起联接（QDII）C</w:t>
            </w:r>
          </w:p>
        </w:tc>
        <w:tc>
          <w:tcPr>
            <w:tcW w:w="2076" w:type="dxa"/>
            <w:vAlign w:val="center"/>
          </w:tcPr>
          <w:p w14:paraId="03254CFA">
            <w:pPr>
              <w:jc w:val="right"/>
            </w:pPr>
            <w:r>
              <w:rPr>
                <w:rFonts w:hint="eastAsia"/>
              </w:rPr>
              <w:t>36,849.10</w:t>
            </w:r>
          </w:p>
        </w:tc>
        <w:tc>
          <w:tcPr>
            <w:tcW w:w="2076" w:type="dxa"/>
            <w:vAlign w:val="center"/>
          </w:tcPr>
          <w:p w14:paraId="59772D3A">
            <w:pPr>
              <w:jc w:val="right"/>
            </w:pPr>
            <w:r>
              <w:rPr>
                <w:rFonts w:hint="eastAsia"/>
              </w:rPr>
              <w:t>0.0449%</w:t>
            </w:r>
          </w:p>
        </w:tc>
      </w:tr>
      <w:tr w14:paraId="6364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E96808"/>
        </w:tc>
        <w:tc>
          <w:tcPr>
            <w:tcW w:w="2076" w:type="dxa"/>
            <w:vAlign w:val="center"/>
          </w:tcPr>
          <w:p w14:paraId="7FF5E31C">
            <w:r>
              <w:rPr>
                <w:rFonts w:hint="eastAsia"/>
              </w:rPr>
              <w:t>南方恒生生物科技ETF发起联接（QDII）I</w:t>
            </w:r>
          </w:p>
        </w:tc>
        <w:tc>
          <w:tcPr>
            <w:tcW w:w="2076" w:type="dxa"/>
            <w:vAlign w:val="center"/>
          </w:tcPr>
          <w:p w14:paraId="78575BCD">
            <w:pPr>
              <w:jc w:val="right"/>
            </w:pPr>
            <w:r>
              <w:rPr>
                <w:rFonts w:hint="eastAsia"/>
              </w:rPr>
              <w:t>26,109.21</w:t>
            </w:r>
          </w:p>
        </w:tc>
        <w:tc>
          <w:tcPr>
            <w:tcW w:w="2076" w:type="dxa"/>
            <w:vAlign w:val="center"/>
          </w:tcPr>
          <w:p w14:paraId="187AB292">
            <w:pPr>
              <w:jc w:val="right"/>
            </w:pPr>
            <w:r>
              <w:rPr>
                <w:rFonts w:hint="eastAsia"/>
              </w:rPr>
              <w:t>0.1840%</w:t>
            </w:r>
          </w:p>
        </w:tc>
      </w:tr>
      <w:tr w14:paraId="7E29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93F445"/>
        </w:tc>
        <w:tc>
          <w:tcPr>
            <w:tcW w:w="2076" w:type="dxa"/>
            <w:vAlign w:val="center"/>
          </w:tcPr>
          <w:p w14:paraId="20AF6DF8">
            <w:r>
              <w:rPr>
                <w:rFonts w:hint="eastAsia"/>
              </w:rPr>
              <w:t>合计</w:t>
            </w:r>
          </w:p>
        </w:tc>
        <w:tc>
          <w:tcPr>
            <w:tcW w:w="2076" w:type="dxa"/>
            <w:vAlign w:val="center"/>
          </w:tcPr>
          <w:p w14:paraId="19024747">
            <w:pPr>
              <w:jc w:val="right"/>
            </w:pPr>
            <w:r>
              <w:rPr>
                <w:rFonts w:hint="eastAsia"/>
              </w:rPr>
              <w:t>2,214,045.01</w:t>
            </w:r>
          </w:p>
        </w:tc>
        <w:tc>
          <w:tcPr>
            <w:tcW w:w="2076" w:type="dxa"/>
            <w:vAlign w:val="center"/>
          </w:tcPr>
          <w:p w14:paraId="0BD69CA5">
            <w:pPr>
              <w:jc w:val="right"/>
            </w:pPr>
            <w:r>
              <w:rPr>
                <w:rFonts w:hint="eastAsia"/>
              </w:rPr>
              <w:t>1.4784%</w:t>
            </w:r>
          </w:p>
        </w:tc>
      </w:tr>
    </w:tbl>
    <w:p w14:paraId="636924A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E48A120">
      <w:pPr>
        <w:pStyle w:val="23"/>
      </w:pPr>
      <w:bookmarkStart w:id="185" w:name="_Toc24560"/>
      <w:r>
        <w:t>期末基金管理人的从业人员持有本开放式基金份额总量区间情况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FE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9EB7C">
            <w:r>
              <w:rPr>
                <w:rFonts w:hint="eastAsia"/>
              </w:rPr>
              <w:t>项目</w:t>
            </w:r>
          </w:p>
        </w:tc>
        <w:tc>
          <w:tcPr>
            <w:tcW w:w="2768" w:type="dxa"/>
            <w:vAlign w:val="center"/>
          </w:tcPr>
          <w:p w14:paraId="0673BBB6">
            <w:r>
              <w:rPr>
                <w:rFonts w:hint="eastAsia"/>
              </w:rPr>
              <w:t>份额级别</w:t>
            </w:r>
          </w:p>
        </w:tc>
        <w:tc>
          <w:tcPr>
            <w:tcW w:w="2768" w:type="dxa"/>
            <w:vAlign w:val="center"/>
          </w:tcPr>
          <w:p w14:paraId="2AC26FE0">
            <w:r>
              <w:rPr>
                <w:rFonts w:hint="eastAsia"/>
              </w:rPr>
              <w:t>持有基金份额总量的数量区间（万份）</w:t>
            </w:r>
          </w:p>
        </w:tc>
      </w:tr>
      <w:tr w14:paraId="543A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6661D9E">
            <w:r>
              <w:rPr>
                <w:rFonts w:hint="eastAsia"/>
              </w:rPr>
              <w:t>本公司高级管理人员、基金投资和研究部门负责人持有本开放式基金</w:t>
            </w:r>
          </w:p>
        </w:tc>
        <w:tc>
          <w:tcPr>
            <w:tcW w:w="2768" w:type="dxa"/>
            <w:vAlign w:val="center"/>
          </w:tcPr>
          <w:p w14:paraId="511B52EE">
            <w:r>
              <w:rPr>
                <w:rFonts w:hint="eastAsia"/>
              </w:rPr>
              <w:t>南方恒生生物科技ETF发起联接（QDII）A</w:t>
            </w:r>
          </w:p>
        </w:tc>
        <w:tc>
          <w:tcPr>
            <w:tcW w:w="2768" w:type="dxa"/>
            <w:vAlign w:val="center"/>
          </w:tcPr>
          <w:p w14:paraId="251BF6B4">
            <w:pPr>
              <w:jc w:val="right"/>
            </w:pPr>
            <w:r>
              <w:rPr>
                <w:rFonts w:hint="eastAsia"/>
              </w:rPr>
              <w:t>&gt;100</w:t>
            </w:r>
          </w:p>
        </w:tc>
      </w:tr>
      <w:tr w14:paraId="0FA0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B65664"/>
        </w:tc>
        <w:tc>
          <w:tcPr>
            <w:tcW w:w="2768" w:type="dxa"/>
            <w:vAlign w:val="center"/>
          </w:tcPr>
          <w:p w14:paraId="2C4EE91A">
            <w:r>
              <w:rPr>
                <w:rFonts w:hint="eastAsia"/>
              </w:rPr>
              <w:t>南方恒生生物科技ETF发起联接（QDII）C</w:t>
            </w:r>
          </w:p>
        </w:tc>
        <w:tc>
          <w:tcPr>
            <w:tcW w:w="2768" w:type="dxa"/>
            <w:vAlign w:val="center"/>
          </w:tcPr>
          <w:p w14:paraId="6B241AE4">
            <w:pPr>
              <w:jc w:val="right"/>
            </w:pPr>
            <w:r>
              <w:rPr>
                <w:rFonts w:hint="eastAsia"/>
              </w:rPr>
              <w:t>0</w:t>
            </w:r>
          </w:p>
        </w:tc>
      </w:tr>
      <w:tr w14:paraId="5FE1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541BCF"/>
        </w:tc>
        <w:tc>
          <w:tcPr>
            <w:tcW w:w="2768" w:type="dxa"/>
            <w:vAlign w:val="center"/>
          </w:tcPr>
          <w:p w14:paraId="586B99AB">
            <w:r>
              <w:rPr>
                <w:rFonts w:hint="eastAsia"/>
              </w:rPr>
              <w:t>南方恒生生物科技ETF发起联接（QDII）I</w:t>
            </w:r>
          </w:p>
        </w:tc>
        <w:tc>
          <w:tcPr>
            <w:tcW w:w="2768" w:type="dxa"/>
            <w:vAlign w:val="center"/>
          </w:tcPr>
          <w:p w14:paraId="086F0341">
            <w:pPr>
              <w:jc w:val="right"/>
            </w:pPr>
            <w:r>
              <w:rPr>
                <w:rFonts w:hint="eastAsia"/>
              </w:rPr>
              <w:t>0</w:t>
            </w:r>
          </w:p>
        </w:tc>
      </w:tr>
      <w:tr w14:paraId="0CEB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B6B6FF"/>
        </w:tc>
        <w:tc>
          <w:tcPr>
            <w:tcW w:w="2768" w:type="dxa"/>
            <w:vAlign w:val="center"/>
          </w:tcPr>
          <w:p w14:paraId="03E52A04">
            <w:r>
              <w:rPr>
                <w:rFonts w:hint="eastAsia"/>
              </w:rPr>
              <w:t>合计</w:t>
            </w:r>
          </w:p>
        </w:tc>
        <w:tc>
          <w:tcPr>
            <w:tcW w:w="2768" w:type="dxa"/>
            <w:vAlign w:val="center"/>
          </w:tcPr>
          <w:p w14:paraId="34E3AAC3">
            <w:pPr>
              <w:jc w:val="right"/>
            </w:pPr>
            <w:r>
              <w:rPr>
                <w:rFonts w:hint="eastAsia"/>
              </w:rPr>
              <w:t>&gt;100</w:t>
            </w:r>
          </w:p>
        </w:tc>
      </w:tr>
      <w:tr w14:paraId="03A0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B0A41D8">
            <w:r>
              <w:rPr>
                <w:rFonts w:hint="eastAsia"/>
              </w:rPr>
              <w:t>本基金基金经理持有本开放式基金</w:t>
            </w:r>
          </w:p>
        </w:tc>
        <w:tc>
          <w:tcPr>
            <w:tcW w:w="2768" w:type="dxa"/>
            <w:vAlign w:val="center"/>
          </w:tcPr>
          <w:p w14:paraId="70EFB39C">
            <w:r>
              <w:rPr>
                <w:rFonts w:hint="eastAsia"/>
              </w:rPr>
              <w:t>南方恒生生物科技ETF发起联接（QDII）A</w:t>
            </w:r>
          </w:p>
        </w:tc>
        <w:tc>
          <w:tcPr>
            <w:tcW w:w="2768" w:type="dxa"/>
            <w:vAlign w:val="center"/>
          </w:tcPr>
          <w:p w14:paraId="2160CBFC">
            <w:pPr>
              <w:jc w:val="right"/>
            </w:pPr>
            <w:r>
              <w:rPr>
                <w:rFonts w:hint="eastAsia"/>
              </w:rPr>
              <w:t>0~10</w:t>
            </w:r>
          </w:p>
        </w:tc>
      </w:tr>
      <w:tr w14:paraId="1363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4942B0"/>
        </w:tc>
        <w:tc>
          <w:tcPr>
            <w:tcW w:w="2768" w:type="dxa"/>
            <w:vAlign w:val="center"/>
          </w:tcPr>
          <w:p w14:paraId="7CD8675D">
            <w:r>
              <w:rPr>
                <w:rFonts w:hint="eastAsia"/>
              </w:rPr>
              <w:t>南方恒生生物科技ETF发起联接（QDII）C</w:t>
            </w:r>
          </w:p>
        </w:tc>
        <w:tc>
          <w:tcPr>
            <w:tcW w:w="2768" w:type="dxa"/>
            <w:vAlign w:val="center"/>
          </w:tcPr>
          <w:p w14:paraId="34817B08">
            <w:pPr>
              <w:jc w:val="right"/>
            </w:pPr>
            <w:r>
              <w:rPr>
                <w:rFonts w:hint="eastAsia"/>
              </w:rPr>
              <w:t>0</w:t>
            </w:r>
          </w:p>
        </w:tc>
      </w:tr>
      <w:tr w14:paraId="09ED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1F9C4E"/>
        </w:tc>
        <w:tc>
          <w:tcPr>
            <w:tcW w:w="2768" w:type="dxa"/>
            <w:vAlign w:val="center"/>
          </w:tcPr>
          <w:p w14:paraId="2EED6805">
            <w:r>
              <w:rPr>
                <w:rFonts w:hint="eastAsia"/>
              </w:rPr>
              <w:t>南方恒生生物科技ETF发起联接（QDII）I</w:t>
            </w:r>
          </w:p>
        </w:tc>
        <w:tc>
          <w:tcPr>
            <w:tcW w:w="2768" w:type="dxa"/>
            <w:vAlign w:val="center"/>
          </w:tcPr>
          <w:p w14:paraId="0B93CA7B">
            <w:pPr>
              <w:jc w:val="right"/>
            </w:pPr>
            <w:r>
              <w:rPr>
                <w:rFonts w:hint="eastAsia"/>
              </w:rPr>
              <w:t>0</w:t>
            </w:r>
          </w:p>
        </w:tc>
      </w:tr>
      <w:tr w14:paraId="20DD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D71471"/>
        </w:tc>
        <w:tc>
          <w:tcPr>
            <w:tcW w:w="2768" w:type="dxa"/>
            <w:vAlign w:val="center"/>
          </w:tcPr>
          <w:p w14:paraId="53020807">
            <w:r>
              <w:rPr>
                <w:rFonts w:hint="eastAsia"/>
              </w:rPr>
              <w:t>合计</w:t>
            </w:r>
          </w:p>
        </w:tc>
        <w:tc>
          <w:tcPr>
            <w:tcW w:w="2768" w:type="dxa"/>
            <w:vAlign w:val="center"/>
          </w:tcPr>
          <w:p w14:paraId="2C28A4D7">
            <w:pPr>
              <w:jc w:val="right"/>
            </w:pPr>
            <w:r>
              <w:rPr>
                <w:rFonts w:hint="eastAsia"/>
              </w:rPr>
              <w:t>0~10</w:t>
            </w:r>
          </w:p>
        </w:tc>
      </w:tr>
    </w:tbl>
    <w:p w14:paraId="5F82ED89">
      <w:pPr>
        <w:pStyle w:val="23"/>
      </w:pPr>
      <w:bookmarkStart w:id="186" w:name="_Toc30087"/>
      <w:r>
        <w:t>报告期末发起式基金发起资金持有份额情况</w:t>
      </w:r>
      <w:bookmarkEnd w:id="18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D0E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7DAC1B2">
            <w:pPr>
              <w:jc w:val="center"/>
            </w:pPr>
            <w:r>
              <w:rPr>
                <w:rFonts w:hint="eastAsia"/>
                <w:b/>
              </w:rPr>
              <w:t>项目</w:t>
            </w:r>
          </w:p>
        </w:tc>
        <w:tc>
          <w:tcPr>
            <w:tcW w:w="1550" w:type="dxa"/>
            <w:shd w:val="clear" w:color="auto" w:fill="BFBFBF"/>
            <w:vAlign w:val="center"/>
          </w:tcPr>
          <w:p w14:paraId="22691B58">
            <w:pPr>
              <w:jc w:val="center"/>
            </w:pPr>
            <w:r>
              <w:rPr>
                <w:rFonts w:hint="eastAsia"/>
                <w:b/>
              </w:rPr>
              <w:t>持有份额总数</w:t>
            </w:r>
          </w:p>
        </w:tc>
        <w:tc>
          <w:tcPr>
            <w:tcW w:w="1328" w:type="dxa"/>
            <w:shd w:val="clear" w:color="auto" w:fill="BFBFBF"/>
            <w:vAlign w:val="center"/>
          </w:tcPr>
          <w:p w14:paraId="12F38BF8">
            <w:pPr>
              <w:jc w:val="center"/>
            </w:pPr>
            <w:r>
              <w:rPr>
                <w:rFonts w:hint="eastAsia"/>
                <w:b/>
              </w:rPr>
              <w:t>持有份额占基金总份额比例（%）</w:t>
            </w:r>
          </w:p>
        </w:tc>
        <w:tc>
          <w:tcPr>
            <w:tcW w:w="1550" w:type="dxa"/>
            <w:shd w:val="clear" w:color="auto" w:fill="BFBFBF"/>
            <w:vAlign w:val="center"/>
          </w:tcPr>
          <w:p w14:paraId="70EAA3B3">
            <w:pPr>
              <w:jc w:val="center"/>
            </w:pPr>
            <w:r>
              <w:rPr>
                <w:rFonts w:hint="eastAsia"/>
                <w:b/>
              </w:rPr>
              <w:t>发起份额总数</w:t>
            </w:r>
          </w:p>
        </w:tc>
        <w:tc>
          <w:tcPr>
            <w:tcW w:w="1273" w:type="dxa"/>
            <w:shd w:val="clear" w:color="auto" w:fill="BFBFBF"/>
            <w:vAlign w:val="center"/>
          </w:tcPr>
          <w:p w14:paraId="2D0330CE">
            <w:pPr>
              <w:jc w:val="center"/>
            </w:pPr>
            <w:r>
              <w:rPr>
                <w:rFonts w:hint="eastAsia"/>
                <w:b/>
              </w:rPr>
              <w:t>发起份额占基金总份额比例（%）</w:t>
            </w:r>
          </w:p>
        </w:tc>
        <w:tc>
          <w:tcPr>
            <w:tcW w:w="1273" w:type="dxa"/>
            <w:shd w:val="clear" w:color="auto" w:fill="BFBFBF"/>
            <w:vAlign w:val="center"/>
          </w:tcPr>
          <w:p w14:paraId="4DB0BA72">
            <w:pPr>
              <w:jc w:val="center"/>
            </w:pPr>
            <w:r>
              <w:rPr>
                <w:rFonts w:hint="eastAsia"/>
                <w:b/>
              </w:rPr>
              <w:t>发起份额承诺持有期限</w:t>
            </w:r>
          </w:p>
        </w:tc>
      </w:tr>
      <w:tr w14:paraId="5ECD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342331">
            <w:r>
              <w:rPr>
                <w:rFonts w:hint="eastAsia"/>
              </w:rPr>
              <w:t>基金管理人固有资金</w:t>
            </w:r>
          </w:p>
        </w:tc>
        <w:tc>
          <w:tcPr>
            <w:tcW w:w="1550" w:type="dxa"/>
            <w:vAlign w:val="center"/>
          </w:tcPr>
          <w:p w14:paraId="1B180DFC">
            <w:pPr>
              <w:jc w:val="right"/>
            </w:pPr>
            <w:r>
              <w:rPr>
                <w:rFonts w:hint="eastAsia"/>
              </w:rPr>
              <w:t>10,002,916.95</w:t>
            </w:r>
          </w:p>
        </w:tc>
        <w:tc>
          <w:tcPr>
            <w:tcW w:w="1328" w:type="dxa"/>
            <w:vAlign w:val="center"/>
          </w:tcPr>
          <w:p w14:paraId="3958D718">
            <w:pPr>
              <w:jc w:val="right"/>
            </w:pPr>
            <w:r>
              <w:rPr>
                <w:rFonts w:hint="eastAsia"/>
              </w:rPr>
              <w:t>6.68</w:t>
            </w:r>
          </w:p>
        </w:tc>
        <w:tc>
          <w:tcPr>
            <w:tcW w:w="1550" w:type="dxa"/>
            <w:vAlign w:val="center"/>
          </w:tcPr>
          <w:p w14:paraId="0249AC50">
            <w:pPr>
              <w:jc w:val="right"/>
            </w:pPr>
            <w:r>
              <w:rPr>
                <w:rFonts w:hint="eastAsia"/>
              </w:rPr>
              <w:t>10,000,000.00</w:t>
            </w:r>
          </w:p>
        </w:tc>
        <w:tc>
          <w:tcPr>
            <w:tcW w:w="1273" w:type="dxa"/>
            <w:vAlign w:val="center"/>
          </w:tcPr>
          <w:p w14:paraId="52CF40D5">
            <w:pPr>
              <w:jc w:val="right"/>
            </w:pPr>
            <w:r>
              <w:rPr>
                <w:rFonts w:hint="eastAsia"/>
              </w:rPr>
              <w:t>6.68</w:t>
            </w:r>
          </w:p>
        </w:tc>
        <w:tc>
          <w:tcPr>
            <w:tcW w:w="1273" w:type="dxa"/>
            <w:vAlign w:val="center"/>
          </w:tcPr>
          <w:p w14:paraId="28254844">
            <w:r>
              <w:rPr>
                <w:rFonts w:hint="eastAsia"/>
              </w:rPr>
              <w:t>自合同生效之日起不少于3年</w:t>
            </w:r>
          </w:p>
        </w:tc>
      </w:tr>
      <w:tr w14:paraId="0810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113477">
            <w:r>
              <w:rPr>
                <w:rFonts w:hint="eastAsia"/>
              </w:rPr>
              <w:t>基金管理人高级管理人员</w:t>
            </w:r>
          </w:p>
        </w:tc>
        <w:tc>
          <w:tcPr>
            <w:tcW w:w="1550" w:type="dxa"/>
            <w:vAlign w:val="center"/>
          </w:tcPr>
          <w:p w14:paraId="2A9FDADC">
            <w:pPr>
              <w:jc w:val="right"/>
            </w:pPr>
            <w:r>
              <w:rPr>
                <w:rFonts w:hint="eastAsia"/>
              </w:rPr>
              <w:t>1,940,282.73</w:t>
            </w:r>
          </w:p>
        </w:tc>
        <w:tc>
          <w:tcPr>
            <w:tcW w:w="1328" w:type="dxa"/>
            <w:vAlign w:val="center"/>
          </w:tcPr>
          <w:p w14:paraId="1AACE4F6">
            <w:pPr>
              <w:jc w:val="right"/>
            </w:pPr>
            <w:r>
              <w:rPr>
                <w:rFonts w:hint="eastAsia"/>
              </w:rPr>
              <w:t>1.30</w:t>
            </w:r>
          </w:p>
        </w:tc>
        <w:tc>
          <w:tcPr>
            <w:tcW w:w="1550" w:type="dxa"/>
            <w:vAlign w:val="center"/>
          </w:tcPr>
          <w:p w14:paraId="138A22B7">
            <w:pPr>
              <w:jc w:val="right"/>
            </w:pPr>
            <w:r>
              <w:rPr>
                <w:rFonts w:hint="eastAsia"/>
              </w:rPr>
              <w:t>-</w:t>
            </w:r>
          </w:p>
        </w:tc>
        <w:tc>
          <w:tcPr>
            <w:tcW w:w="1273" w:type="dxa"/>
            <w:vAlign w:val="center"/>
          </w:tcPr>
          <w:p w14:paraId="7F9F85F4">
            <w:pPr>
              <w:jc w:val="right"/>
            </w:pPr>
            <w:r>
              <w:rPr>
                <w:rFonts w:hint="eastAsia"/>
              </w:rPr>
              <w:t>-</w:t>
            </w:r>
          </w:p>
        </w:tc>
        <w:tc>
          <w:tcPr>
            <w:tcW w:w="1273" w:type="dxa"/>
            <w:vAlign w:val="center"/>
          </w:tcPr>
          <w:p w14:paraId="2980BFD5">
            <w:pPr>
              <w:jc w:val="right"/>
            </w:pPr>
            <w:r>
              <w:rPr>
                <w:rFonts w:hint="eastAsia"/>
              </w:rPr>
              <w:t>-</w:t>
            </w:r>
          </w:p>
        </w:tc>
      </w:tr>
      <w:tr w14:paraId="162E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8C800CB">
            <w:r>
              <w:rPr>
                <w:rFonts w:hint="eastAsia"/>
              </w:rPr>
              <w:t>基金经理等人员</w:t>
            </w:r>
          </w:p>
        </w:tc>
        <w:tc>
          <w:tcPr>
            <w:tcW w:w="1550" w:type="dxa"/>
            <w:vAlign w:val="center"/>
          </w:tcPr>
          <w:p w14:paraId="4F37E40F">
            <w:pPr>
              <w:jc w:val="right"/>
            </w:pPr>
            <w:r>
              <w:rPr>
                <w:rFonts w:hint="eastAsia"/>
              </w:rPr>
              <w:t>38,956.02</w:t>
            </w:r>
          </w:p>
        </w:tc>
        <w:tc>
          <w:tcPr>
            <w:tcW w:w="1328" w:type="dxa"/>
            <w:vAlign w:val="center"/>
          </w:tcPr>
          <w:p w14:paraId="5E0D4236">
            <w:pPr>
              <w:jc w:val="right"/>
            </w:pPr>
            <w:r>
              <w:rPr>
                <w:rFonts w:hint="eastAsia"/>
              </w:rPr>
              <w:t>0.03</w:t>
            </w:r>
          </w:p>
        </w:tc>
        <w:tc>
          <w:tcPr>
            <w:tcW w:w="1550" w:type="dxa"/>
            <w:vAlign w:val="center"/>
          </w:tcPr>
          <w:p w14:paraId="6D384C60">
            <w:pPr>
              <w:jc w:val="right"/>
            </w:pPr>
            <w:r>
              <w:rPr>
                <w:rFonts w:hint="eastAsia"/>
              </w:rPr>
              <w:t>-</w:t>
            </w:r>
          </w:p>
        </w:tc>
        <w:tc>
          <w:tcPr>
            <w:tcW w:w="1273" w:type="dxa"/>
            <w:vAlign w:val="center"/>
          </w:tcPr>
          <w:p w14:paraId="3F32F7C4">
            <w:pPr>
              <w:jc w:val="right"/>
            </w:pPr>
            <w:r>
              <w:rPr>
                <w:rFonts w:hint="eastAsia"/>
              </w:rPr>
              <w:t>-</w:t>
            </w:r>
          </w:p>
        </w:tc>
        <w:tc>
          <w:tcPr>
            <w:tcW w:w="1273" w:type="dxa"/>
            <w:vAlign w:val="center"/>
          </w:tcPr>
          <w:p w14:paraId="5E7E9E29">
            <w:pPr>
              <w:jc w:val="right"/>
            </w:pPr>
            <w:r>
              <w:rPr>
                <w:rFonts w:hint="eastAsia"/>
              </w:rPr>
              <w:t>-</w:t>
            </w:r>
          </w:p>
        </w:tc>
      </w:tr>
      <w:tr w14:paraId="1D63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2B40AB">
            <w:r>
              <w:rPr>
                <w:rFonts w:hint="eastAsia"/>
              </w:rPr>
              <w:t>基金管理人股东</w:t>
            </w:r>
          </w:p>
        </w:tc>
        <w:tc>
          <w:tcPr>
            <w:tcW w:w="1550" w:type="dxa"/>
            <w:vAlign w:val="center"/>
          </w:tcPr>
          <w:p w14:paraId="149504AA">
            <w:pPr>
              <w:jc w:val="right"/>
            </w:pPr>
            <w:r>
              <w:rPr>
                <w:rFonts w:hint="eastAsia"/>
              </w:rPr>
              <w:t>-</w:t>
            </w:r>
          </w:p>
        </w:tc>
        <w:tc>
          <w:tcPr>
            <w:tcW w:w="1328" w:type="dxa"/>
            <w:vAlign w:val="center"/>
          </w:tcPr>
          <w:p w14:paraId="0DBAF69E">
            <w:pPr>
              <w:jc w:val="right"/>
            </w:pPr>
            <w:r>
              <w:rPr>
                <w:rFonts w:hint="eastAsia"/>
              </w:rPr>
              <w:t>-</w:t>
            </w:r>
          </w:p>
        </w:tc>
        <w:tc>
          <w:tcPr>
            <w:tcW w:w="1550" w:type="dxa"/>
            <w:vAlign w:val="center"/>
          </w:tcPr>
          <w:p w14:paraId="5E8B8EEB">
            <w:pPr>
              <w:jc w:val="right"/>
            </w:pPr>
            <w:r>
              <w:rPr>
                <w:rFonts w:hint="eastAsia"/>
              </w:rPr>
              <w:t>-</w:t>
            </w:r>
          </w:p>
        </w:tc>
        <w:tc>
          <w:tcPr>
            <w:tcW w:w="1273" w:type="dxa"/>
            <w:vAlign w:val="center"/>
          </w:tcPr>
          <w:p w14:paraId="54CBFF6D">
            <w:pPr>
              <w:jc w:val="right"/>
            </w:pPr>
            <w:r>
              <w:rPr>
                <w:rFonts w:hint="eastAsia"/>
              </w:rPr>
              <w:t>-</w:t>
            </w:r>
          </w:p>
        </w:tc>
        <w:tc>
          <w:tcPr>
            <w:tcW w:w="1273" w:type="dxa"/>
            <w:vAlign w:val="center"/>
          </w:tcPr>
          <w:p w14:paraId="36A20154">
            <w:pPr>
              <w:jc w:val="right"/>
            </w:pPr>
            <w:r>
              <w:rPr>
                <w:rFonts w:hint="eastAsia"/>
              </w:rPr>
              <w:t>-</w:t>
            </w:r>
          </w:p>
        </w:tc>
      </w:tr>
      <w:tr w14:paraId="6BEB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8A7F466">
            <w:r>
              <w:rPr>
                <w:rFonts w:hint="eastAsia"/>
              </w:rPr>
              <w:t>其他</w:t>
            </w:r>
          </w:p>
        </w:tc>
        <w:tc>
          <w:tcPr>
            <w:tcW w:w="1550" w:type="dxa"/>
            <w:vAlign w:val="center"/>
          </w:tcPr>
          <w:p w14:paraId="02642498">
            <w:pPr>
              <w:jc w:val="right"/>
            </w:pPr>
            <w:r>
              <w:rPr>
                <w:rFonts w:hint="eastAsia"/>
              </w:rPr>
              <w:t>-</w:t>
            </w:r>
          </w:p>
        </w:tc>
        <w:tc>
          <w:tcPr>
            <w:tcW w:w="1328" w:type="dxa"/>
            <w:vAlign w:val="center"/>
          </w:tcPr>
          <w:p w14:paraId="79E3B6CC">
            <w:pPr>
              <w:jc w:val="right"/>
            </w:pPr>
            <w:r>
              <w:rPr>
                <w:rFonts w:hint="eastAsia"/>
              </w:rPr>
              <w:t>-</w:t>
            </w:r>
          </w:p>
        </w:tc>
        <w:tc>
          <w:tcPr>
            <w:tcW w:w="1550" w:type="dxa"/>
            <w:vAlign w:val="center"/>
          </w:tcPr>
          <w:p w14:paraId="14F6CB89">
            <w:pPr>
              <w:jc w:val="right"/>
            </w:pPr>
            <w:r>
              <w:rPr>
                <w:rFonts w:hint="eastAsia"/>
              </w:rPr>
              <w:t>-</w:t>
            </w:r>
          </w:p>
        </w:tc>
        <w:tc>
          <w:tcPr>
            <w:tcW w:w="1273" w:type="dxa"/>
            <w:vAlign w:val="center"/>
          </w:tcPr>
          <w:p w14:paraId="6369F2DE">
            <w:pPr>
              <w:jc w:val="right"/>
            </w:pPr>
            <w:r>
              <w:rPr>
                <w:rFonts w:hint="eastAsia"/>
              </w:rPr>
              <w:t>-</w:t>
            </w:r>
          </w:p>
        </w:tc>
        <w:tc>
          <w:tcPr>
            <w:tcW w:w="1273" w:type="dxa"/>
            <w:vAlign w:val="center"/>
          </w:tcPr>
          <w:p w14:paraId="69928319">
            <w:pPr>
              <w:jc w:val="right"/>
            </w:pPr>
            <w:r>
              <w:rPr>
                <w:rFonts w:hint="eastAsia"/>
              </w:rPr>
              <w:t>-</w:t>
            </w:r>
          </w:p>
        </w:tc>
      </w:tr>
      <w:tr w14:paraId="08C9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771DA3B">
            <w:r>
              <w:rPr>
                <w:rFonts w:hint="eastAsia"/>
              </w:rPr>
              <w:t>合计</w:t>
            </w:r>
          </w:p>
        </w:tc>
        <w:tc>
          <w:tcPr>
            <w:tcW w:w="1550" w:type="dxa"/>
            <w:vAlign w:val="center"/>
          </w:tcPr>
          <w:p w14:paraId="0410208A">
            <w:pPr>
              <w:jc w:val="right"/>
            </w:pPr>
            <w:r>
              <w:rPr>
                <w:rFonts w:hint="eastAsia"/>
              </w:rPr>
              <w:t>11,982,155.70</w:t>
            </w:r>
          </w:p>
        </w:tc>
        <w:tc>
          <w:tcPr>
            <w:tcW w:w="1328" w:type="dxa"/>
            <w:vAlign w:val="center"/>
          </w:tcPr>
          <w:p w14:paraId="158008E8">
            <w:pPr>
              <w:jc w:val="right"/>
            </w:pPr>
            <w:r>
              <w:rPr>
                <w:rFonts w:hint="eastAsia"/>
              </w:rPr>
              <w:t>8.00</w:t>
            </w:r>
          </w:p>
        </w:tc>
        <w:tc>
          <w:tcPr>
            <w:tcW w:w="1550" w:type="dxa"/>
            <w:vAlign w:val="center"/>
          </w:tcPr>
          <w:p w14:paraId="3CD33F92">
            <w:pPr>
              <w:jc w:val="right"/>
            </w:pPr>
            <w:r>
              <w:rPr>
                <w:rFonts w:hint="eastAsia"/>
              </w:rPr>
              <w:t>10,000,000.00</w:t>
            </w:r>
          </w:p>
        </w:tc>
        <w:tc>
          <w:tcPr>
            <w:tcW w:w="1273" w:type="dxa"/>
            <w:vAlign w:val="center"/>
          </w:tcPr>
          <w:p w14:paraId="26EE8FC4">
            <w:pPr>
              <w:jc w:val="right"/>
            </w:pPr>
            <w:r>
              <w:rPr>
                <w:rFonts w:hint="eastAsia"/>
              </w:rPr>
              <w:t>6.68</w:t>
            </w:r>
          </w:p>
        </w:tc>
        <w:tc>
          <w:tcPr>
            <w:tcW w:w="1273" w:type="dxa"/>
            <w:vAlign w:val="center"/>
          </w:tcPr>
          <w:p w14:paraId="16BEBD79">
            <w:pPr>
              <w:jc w:val="right"/>
            </w:pPr>
            <w:r>
              <w:rPr>
                <w:rFonts w:hint="eastAsia"/>
              </w:rPr>
              <w:t>-</w:t>
            </w:r>
          </w:p>
        </w:tc>
      </w:tr>
    </w:tbl>
    <w:p w14:paraId="18E9D8D6">
      <w:pPr>
        <w:pStyle w:val="26"/>
      </w:pPr>
      <w:bookmarkStart w:id="187" w:name="_Toc11368"/>
      <w:r>
        <w:t>开放式基金份额变动</w:t>
      </w:r>
      <w:bookmarkEnd w:id="187"/>
    </w:p>
    <w:p w14:paraId="1E0ECD4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16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9DB57C">
            <w:pPr>
              <w:jc w:val="center"/>
            </w:pPr>
            <w:r>
              <w:rPr>
                <w:rFonts w:hint="eastAsia"/>
                <w:b/>
              </w:rPr>
              <w:t>项目</w:t>
            </w:r>
          </w:p>
        </w:tc>
        <w:tc>
          <w:tcPr>
            <w:tcW w:w="2076" w:type="dxa"/>
            <w:shd w:val="clear" w:color="auto" w:fill="BFBFBF"/>
            <w:vAlign w:val="center"/>
          </w:tcPr>
          <w:p w14:paraId="09FF1ED1">
            <w:pPr>
              <w:jc w:val="center"/>
            </w:pPr>
            <w:r>
              <w:rPr>
                <w:rFonts w:hint="eastAsia"/>
                <w:b/>
              </w:rPr>
              <w:t>南方恒生生物科技ETF发起联接（QDII）A</w:t>
            </w:r>
          </w:p>
        </w:tc>
        <w:tc>
          <w:tcPr>
            <w:tcW w:w="2076" w:type="dxa"/>
            <w:shd w:val="clear" w:color="auto" w:fill="BFBFBF"/>
            <w:vAlign w:val="center"/>
          </w:tcPr>
          <w:p w14:paraId="6C2ADD5B">
            <w:pPr>
              <w:jc w:val="center"/>
            </w:pPr>
            <w:r>
              <w:rPr>
                <w:rFonts w:hint="eastAsia"/>
                <w:b/>
              </w:rPr>
              <w:t>南方恒生生物科技ETF发起联接（QDII）C</w:t>
            </w:r>
          </w:p>
        </w:tc>
        <w:tc>
          <w:tcPr>
            <w:tcW w:w="2076" w:type="dxa"/>
            <w:shd w:val="clear" w:color="auto" w:fill="BFBFBF"/>
            <w:vAlign w:val="center"/>
          </w:tcPr>
          <w:p w14:paraId="450C1D06">
            <w:pPr>
              <w:jc w:val="center"/>
            </w:pPr>
            <w:r>
              <w:rPr>
                <w:rFonts w:hint="eastAsia"/>
                <w:b/>
              </w:rPr>
              <w:t>南方恒生生物科技ETF发起联接（QDII）I</w:t>
            </w:r>
          </w:p>
        </w:tc>
      </w:tr>
      <w:tr w14:paraId="13CA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B0DA8">
            <w:r>
              <w:rPr>
                <w:rFonts w:hint="eastAsia"/>
              </w:rPr>
              <w:t>基金合同生效日(2023年5月30日)基金份额总额</w:t>
            </w:r>
          </w:p>
        </w:tc>
        <w:tc>
          <w:tcPr>
            <w:tcW w:w="2076" w:type="dxa"/>
            <w:vAlign w:val="center"/>
          </w:tcPr>
          <w:p w14:paraId="390DF70C">
            <w:pPr>
              <w:jc w:val="right"/>
            </w:pPr>
            <w:r>
              <w:rPr>
                <w:rFonts w:hint="eastAsia"/>
              </w:rPr>
              <w:t>13,120,577.69</w:t>
            </w:r>
          </w:p>
        </w:tc>
        <w:tc>
          <w:tcPr>
            <w:tcW w:w="2076" w:type="dxa"/>
            <w:vAlign w:val="center"/>
          </w:tcPr>
          <w:p w14:paraId="7B857EC0">
            <w:pPr>
              <w:jc w:val="right"/>
            </w:pPr>
            <w:r>
              <w:rPr>
                <w:rFonts w:hint="eastAsia"/>
              </w:rPr>
              <w:t>774,387.83</w:t>
            </w:r>
          </w:p>
        </w:tc>
        <w:tc>
          <w:tcPr>
            <w:tcW w:w="2076" w:type="dxa"/>
            <w:vAlign w:val="center"/>
          </w:tcPr>
          <w:p w14:paraId="2E5E88CF">
            <w:pPr>
              <w:jc w:val="right"/>
            </w:pPr>
            <w:r>
              <w:rPr>
                <w:rFonts w:hint="eastAsia"/>
              </w:rPr>
              <w:t>-</w:t>
            </w:r>
          </w:p>
        </w:tc>
      </w:tr>
      <w:tr w14:paraId="2983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F2E26B">
            <w:r>
              <w:rPr>
                <w:rFonts w:hint="eastAsia"/>
              </w:rPr>
              <w:t>本报告期期初基金份额总额</w:t>
            </w:r>
          </w:p>
        </w:tc>
        <w:tc>
          <w:tcPr>
            <w:tcW w:w="2076" w:type="dxa"/>
            <w:vAlign w:val="center"/>
          </w:tcPr>
          <w:p w14:paraId="3C4EE732">
            <w:pPr>
              <w:jc w:val="right"/>
            </w:pPr>
            <w:r>
              <w:rPr>
                <w:rFonts w:hint="eastAsia"/>
              </w:rPr>
              <w:t>17,277,018.81</w:t>
            </w:r>
          </w:p>
        </w:tc>
        <w:tc>
          <w:tcPr>
            <w:tcW w:w="2076" w:type="dxa"/>
            <w:vAlign w:val="center"/>
          </w:tcPr>
          <w:p w14:paraId="0DB42442">
            <w:pPr>
              <w:jc w:val="right"/>
            </w:pPr>
            <w:r>
              <w:rPr>
                <w:rFonts w:hint="eastAsia"/>
              </w:rPr>
              <w:t>16,054,141.86</w:t>
            </w:r>
          </w:p>
        </w:tc>
        <w:tc>
          <w:tcPr>
            <w:tcW w:w="2076" w:type="dxa"/>
            <w:vAlign w:val="center"/>
          </w:tcPr>
          <w:p w14:paraId="17D2D567">
            <w:pPr>
              <w:jc w:val="right"/>
            </w:pPr>
            <w:r>
              <w:rPr>
                <w:rFonts w:hint="eastAsia"/>
              </w:rPr>
              <w:t>835,883.55</w:t>
            </w:r>
          </w:p>
        </w:tc>
      </w:tr>
      <w:tr w14:paraId="7761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C3F3B">
            <w:r>
              <w:rPr>
                <w:rFonts w:hint="eastAsia"/>
              </w:rPr>
              <w:t>本报告期基金总申购份额</w:t>
            </w:r>
          </w:p>
        </w:tc>
        <w:tc>
          <w:tcPr>
            <w:tcW w:w="2076" w:type="dxa"/>
            <w:vAlign w:val="center"/>
          </w:tcPr>
          <w:p w14:paraId="1D1C6327">
            <w:pPr>
              <w:jc w:val="right"/>
            </w:pPr>
            <w:r>
              <w:rPr>
                <w:rFonts w:hint="eastAsia"/>
              </w:rPr>
              <w:t>113,193,444.69</w:t>
            </w:r>
          </w:p>
        </w:tc>
        <w:tc>
          <w:tcPr>
            <w:tcW w:w="2076" w:type="dxa"/>
            <w:vAlign w:val="center"/>
          </w:tcPr>
          <w:p w14:paraId="2BBEC7A4">
            <w:pPr>
              <w:jc w:val="right"/>
            </w:pPr>
            <w:r>
              <w:rPr>
                <w:rFonts w:hint="eastAsia"/>
              </w:rPr>
              <w:t>238,078,685.34</w:t>
            </w:r>
          </w:p>
        </w:tc>
        <w:tc>
          <w:tcPr>
            <w:tcW w:w="2076" w:type="dxa"/>
            <w:vAlign w:val="center"/>
          </w:tcPr>
          <w:p w14:paraId="4C0CBDA1">
            <w:pPr>
              <w:jc w:val="right"/>
            </w:pPr>
            <w:r>
              <w:rPr>
                <w:rFonts w:hint="eastAsia"/>
              </w:rPr>
              <w:t>42,163,180.02</w:t>
            </w:r>
          </w:p>
        </w:tc>
      </w:tr>
      <w:tr w14:paraId="28C1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3D7C8">
            <w:r>
              <w:rPr>
                <w:rFonts w:hint="eastAsia"/>
              </w:rPr>
              <w:t>减：本报告期基金总赎回份额</w:t>
            </w:r>
          </w:p>
        </w:tc>
        <w:tc>
          <w:tcPr>
            <w:tcW w:w="2076" w:type="dxa"/>
            <w:vAlign w:val="center"/>
          </w:tcPr>
          <w:p w14:paraId="2BCA5B9D">
            <w:pPr>
              <w:jc w:val="right"/>
            </w:pPr>
            <w:r>
              <w:rPr>
                <w:rFonts w:hint="eastAsia"/>
              </w:rPr>
              <w:t>76,975,962.35</w:t>
            </w:r>
          </w:p>
        </w:tc>
        <w:tc>
          <w:tcPr>
            <w:tcW w:w="2076" w:type="dxa"/>
            <w:vAlign w:val="center"/>
          </w:tcPr>
          <w:p w14:paraId="04FE5895">
            <w:pPr>
              <w:jc w:val="right"/>
            </w:pPr>
            <w:r>
              <w:rPr>
                <w:rFonts w:hint="eastAsia"/>
              </w:rPr>
              <w:t>172,056,305.78</w:t>
            </w:r>
          </w:p>
        </w:tc>
        <w:tc>
          <w:tcPr>
            <w:tcW w:w="2076" w:type="dxa"/>
            <w:vAlign w:val="center"/>
          </w:tcPr>
          <w:p w14:paraId="6A8F755B">
            <w:pPr>
              <w:jc w:val="right"/>
            </w:pPr>
            <w:r>
              <w:rPr>
                <w:rFonts w:hint="eastAsia"/>
              </w:rPr>
              <w:t>28,812,623.57</w:t>
            </w:r>
          </w:p>
        </w:tc>
      </w:tr>
      <w:tr w14:paraId="7783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A6FD11">
            <w:r>
              <w:rPr>
                <w:rFonts w:hint="eastAsia"/>
              </w:rPr>
              <w:t>本报告期基金拆分变动份额</w:t>
            </w:r>
          </w:p>
        </w:tc>
        <w:tc>
          <w:tcPr>
            <w:tcW w:w="2076" w:type="dxa"/>
            <w:vAlign w:val="center"/>
          </w:tcPr>
          <w:p w14:paraId="4E291BEF">
            <w:pPr>
              <w:jc w:val="right"/>
            </w:pPr>
            <w:r>
              <w:rPr>
                <w:rFonts w:hint="eastAsia"/>
              </w:rPr>
              <w:t>-</w:t>
            </w:r>
          </w:p>
        </w:tc>
        <w:tc>
          <w:tcPr>
            <w:tcW w:w="2076" w:type="dxa"/>
            <w:vAlign w:val="center"/>
          </w:tcPr>
          <w:p w14:paraId="17A6A615">
            <w:pPr>
              <w:jc w:val="right"/>
            </w:pPr>
            <w:r>
              <w:rPr>
                <w:rFonts w:hint="eastAsia"/>
              </w:rPr>
              <w:t>-</w:t>
            </w:r>
          </w:p>
        </w:tc>
        <w:tc>
          <w:tcPr>
            <w:tcW w:w="2076" w:type="dxa"/>
            <w:vAlign w:val="center"/>
          </w:tcPr>
          <w:p w14:paraId="4B32D949">
            <w:pPr>
              <w:jc w:val="right"/>
            </w:pPr>
            <w:r>
              <w:rPr>
                <w:rFonts w:hint="eastAsia"/>
              </w:rPr>
              <w:t>-</w:t>
            </w:r>
          </w:p>
        </w:tc>
      </w:tr>
      <w:tr w14:paraId="40FD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421D5">
            <w:r>
              <w:rPr>
                <w:rFonts w:hint="eastAsia"/>
              </w:rPr>
              <w:t>本报告期期末基金份额总额</w:t>
            </w:r>
          </w:p>
        </w:tc>
        <w:tc>
          <w:tcPr>
            <w:tcW w:w="2076" w:type="dxa"/>
            <w:vAlign w:val="center"/>
          </w:tcPr>
          <w:p w14:paraId="7BF29D05">
            <w:pPr>
              <w:jc w:val="right"/>
            </w:pPr>
            <w:r>
              <w:rPr>
                <w:rFonts w:hint="eastAsia"/>
              </w:rPr>
              <w:t>53,494,501.15</w:t>
            </w:r>
          </w:p>
        </w:tc>
        <w:tc>
          <w:tcPr>
            <w:tcW w:w="2076" w:type="dxa"/>
            <w:vAlign w:val="center"/>
          </w:tcPr>
          <w:p w14:paraId="121C884A">
            <w:pPr>
              <w:jc w:val="right"/>
            </w:pPr>
            <w:r>
              <w:rPr>
                <w:rFonts w:hint="eastAsia"/>
              </w:rPr>
              <w:t>82,076,521.42</w:t>
            </w:r>
          </w:p>
        </w:tc>
        <w:tc>
          <w:tcPr>
            <w:tcW w:w="2076" w:type="dxa"/>
            <w:vAlign w:val="center"/>
          </w:tcPr>
          <w:p w14:paraId="15FDD972">
            <w:pPr>
              <w:jc w:val="right"/>
            </w:pPr>
            <w:r>
              <w:rPr>
                <w:rFonts w:hint="eastAsia"/>
              </w:rPr>
              <w:t>14,186,440.00</w:t>
            </w:r>
          </w:p>
        </w:tc>
      </w:tr>
    </w:tbl>
    <w:p w14:paraId="2B6A137C">
      <w:pPr>
        <w:pStyle w:val="26"/>
      </w:pPr>
      <w:bookmarkStart w:id="188" w:name="_Toc21249"/>
      <w:r>
        <w:t>重大事件揭示</w:t>
      </w:r>
      <w:bookmarkEnd w:id="188"/>
    </w:p>
    <w:p w14:paraId="40A10C3C">
      <w:pPr>
        <w:pStyle w:val="23"/>
      </w:pPr>
      <w:bookmarkStart w:id="189" w:name="_Toc9972"/>
      <w:r>
        <w:t>基金份额持有人大会决议</w:t>
      </w:r>
      <w:bookmarkEnd w:id="189"/>
    </w:p>
    <w:p w14:paraId="21036688">
      <w:pPr>
        <w:pStyle w:val="18"/>
        <w:rPr>
          <w:rFonts w:hint="eastAsia"/>
        </w:rPr>
      </w:pPr>
      <w:r>
        <w:rPr>
          <w:rFonts w:hint="eastAsia"/>
        </w:rPr>
        <w:t>本报告期本基金无基金份额持有人大会决议。</w:t>
      </w:r>
    </w:p>
    <w:p w14:paraId="3176F062">
      <w:pPr>
        <w:pStyle w:val="23"/>
      </w:pPr>
      <w:bookmarkStart w:id="190" w:name="_Toc6035"/>
      <w:r>
        <w:t>基金管理人、基金托管人的专门基金托管部门的重大人事变动</w:t>
      </w:r>
      <w:bookmarkEnd w:id="190"/>
    </w:p>
    <w:p w14:paraId="1B7C6D4C">
      <w:pPr>
        <w:pStyle w:val="18"/>
        <w:rPr>
          <w:rFonts w:hint="eastAsia"/>
        </w:rPr>
      </w:pPr>
      <w:r>
        <w:rPr>
          <w:rFonts w:hint="eastAsia"/>
        </w:rPr>
        <w:t>本报告期内，本基金的基金管理人未发生重大人事变动。</w:t>
      </w:r>
    </w:p>
    <w:p w14:paraId="05B3FA60">
      <w:pPr>
        <w:pStyle w:val="18"/>
        <w:rPr>
          <w:rFonts w:hint="eastAsia"/>
        </w:rPr>
      </w:pPr>
      <w:r>
        <w:rPr>
          <w:rFonts w:hint="eastAsia"/>
        </w:rPr>
        <w:t>2025年2月，中国农业银行总行决定陈振华任托管业务部副总裁。</w:t>
      </w:r>
    </w:p>
    <w:p w14:paraId="5DFA4906">
      <w:pPr>
        <w:pStyle w:val="18"/>
        <w:rPr>
          <w:rFonts w:hint="eastAsia"/>
        </w:rPr>
      </w:pPr>
      <w:r>
        <w:rPr>
          <w:rFonts w:hint="eastAsia"/>
        </w:rPr>
        <w:t>2025年3月，中国农业银行总行决定常佳任托管业务部副总裁。</w:t>
      </w:r>
    </w:p>
    <w:p w14:paraId="44D8F3F4">
      <w:pPr>
        <w:pStyle w:val="18"/>
        <w:rPr>
          <w:rFonts w:hint="eastAsia"/>
        </w:rPr>
      </w:pPr>
      <w:r>
        <w:rPr>
          <w:rFonts w:hint="eastAsia"/>
        </w:rPr>
        <w:t>2025年4月，中国农业银行总行决定李亚红任托管业务部高级专家。</w:t>
      </w:r>
    </w:p>
    <w:p w14:paraId="5D6B87C2">
      <w:pPr>
        <w:pStyle w:val="18"/>
        <w:rPr>
          <w:rFonts w:hint="eastAsia"/>
        </w:rPr>
      </w:pPr>
      <w:r>
        <w:rPr>
          <w:rFonts w:hint="eastAsia"/>
        </w:rPr>
        <w:t>2025年9月，中国农业银行总行决定蔡崎峰任托管业务部总裁。</w:t>
      </w:r>
    </w:p>
    <w:p w14:paraId="32BD29CC">
      <w:pPr>
        <w:pStyle w:val="23"/>
      </w:pPr>
      <w:bookmarkStart w:id="191" w:name="_Toc30015"/>
      <w:r>
        <w:t>涉及基金管理人、基金财产、基金托管业务的诉讼</w:t>
      </w:r>
      <w:bookmarkEnd w:id="191"/>
    </w:p>
    <w:p w14:paraId="19B2C710">
      <w:pPr>
        <w:pStyle w:val="18"/>
        <w:rPr>
          <w:rFonts w:hint="eastAsia"/>
        </w:rPr>
      </w:pPr>
      <w:r>
        <w:rPr>
          <w:rFonts w:hint="eastAsia"/>
        </w:rPr>
        <w:t>本报告期内，无涉及基金管理人主营业务的诉讼。</w:t>
      </w:r>
    </w:p>
    <w:p w14:paraId="7C54DD2D">
      <w:pPr>
        <w:pStyle w:val="18"/>
        <w:rPr>
          <w:rFonts w:hint="eastAsia"/>
        </w:rPr>
      </w:pPr>
      <w:r>
        <w:rPr>
          <w:rFonts w:hint="eastAsia"/>
        </w:rPr>
        <w:t>本报告期内无涉及基金财产的诉讼事项。</w:t>
      </w:r>
    </w:p>
    <w:p w14:paraId="78E8C81E">
      <w:pPr>
        <w:pStyle w:val="18"/>
        <w:rPr>
          <w:rFonts w:hint="eastAsia"/>
        </w:rPr>
      </w:pPr>
      <w:r>
        <w:rPr>
          <w:rFonts w:hint="eastAsia"/>
        </w:rPr>
        <w:t>本报告期内无涉及基金托管业务的诉讼事项。</w:t>
      </w:r>
    </w:p>
    <w:p w14:paraId="78ED63AF">
      <w:pPr>
        <w:pStyle w:val="23"/>
      </w:pPr>
      <w:bookmarkStart w:id="192" w:name="_Toc11991"/>
      <w:r>
        <w:t>基金投资策略的改变</w:t>
      </w:r>
      <w:bookmarkEnd w:id="192"/>
    </w:p>
    <w:p w14:paraId="2C3347A4">
      <w:pPr>
        <w:pStyle w:val="18"/>
        <w:rPr>
          <w:rFonts w:hint="eastAsia"/>
        </w:rPr>
      </w:pPr>
      <w:r>
        <w:rPr>
          <w:rFonts w:hint="eastAsia"/>
        </w:rPr>
        <w:t>本报告期内本基金的投资策略未有重大变化。</w:t>
      </w:r>
    </w:p>
    <w:p w14:paraId="2A725423">
      <w:pPr>
        <w:pStyle w:val="23"/>
      </w:pPr>
      <w:bookmarkStart w:id="193" w:name="_Toc9896"/>
      <w:r>
        <w:t>为基金进行审计的会计师事务所情况</w:t>
      </w:r>
      <w:bookmarkEnd w:id="193"/>
    </w:p>
    <w:p w14:paraId="4C77F3F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397015F7">
      <w:pPr>
        <w:pStyle w:val="23"/>
      </w:pPr>
      <w:bookmarkStart w:id="194" w:name="_Toc15381"/>
      <w:r>
        <w:t>管理人、托管人及相关从业人员受调查或处罚等情况</w:t>
      </w:r>
      <w:bookmarkEnd w:id="194"/>
    </w:p>
    <w:p w14:paraId="0CB96CC9">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42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2A334D">
            <w:pPr>
              <w:jc w:val="center"/>
            </w:pPr>
            <w:r>
              <w:rPr>
                <w:rFonts w:hint="eastAsia"/>
                <w:b/>
              </w:rPr>
              <w:t>管理人受调查或处罚等情况</w:t>
            </w:r>
          </w:p>
        </w:tc>
        <w:tc>
          <w:tcPr>
            <w:tcW w:w="4153" w:type="dxa"/>
            <w:shd w:val="clear" w:color="auto" w:fill="BFBFBF"/>
            <w:vAlign w:val="center"/>
          </w:tcPr>
          <w:p w14:paraId="2CE6B051">
            <w:pPr>
              <w:jc w:val="center"/>
            </w:pPr>
            <w:r>
              <w:rPr>
                <w:rFonts w:hint="eastAsia"/>
                <w:b/>
              </w:rPr>
              <w:t>内容</w:t>
            </w:r>
          </w:p>
        </w:tc>
      </w:tr>
      <w:tr w14:paraId="51E9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02F0D6">
            <w:r>
              <w:rPr>
                <w:rFonts w:hint="eastAsia"/>
              </w:rPr>
              <w:t>受到调查或处罚等措施的主体</w:t>
            </w:r>
          </w:p>
        </w:tc>
        <w:tc>
          <w:tcPr>
            <w:tcW w:w="4153" w:type="dxa"/>
            <w:vAlign w:val="center"/>
          </w:tcPr>
          <w:p w14:paraId="5352D211">
            <w:r>
              <w:rPr>
                <w:rFonts w:hint="eastAsia"/>
              </w:rPr>
              <w:t>管理人</w:t>
            </w:r>
          </w:p>
        </w:tc>
      </w:tr>
      <w:tr w14:paraId="600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B8AA43">
            <w:r>
              <w:rPr>
                <w:rFonts w:hint="eastAsia"/>
              </w:rPr>
              <w:t>受到调查或处罚等措施的时间</w:t>
            </w:r>
          </w:p>
        </w:tc>
        <w:tc>
          <w:tcPr>
            <w:tcW w:w="4153" w:type="dxa"/>
            <w:vAlign w:val="center"/>
          </w:tcPr>
          <w:p w14:paraId="7B7BEC7D">
            <w:pPr>
              <w:rPr>
                <w:rFonts w:hint="eastAsia"/>
              </w:rPr>
            </w:pPr>
            <w:r>
              <w:rPr>
                <w:rFonts w:hint="eastAsia"/>
              </w:rPr>
              <w:t>2025-10-17；
</w:t>
            </w:r>
            <w:r>
              <w:rPr>
                <w:rFonts w:hint="eastAsia"/>
              </w:rPr>
              <w:br w:type="textWrapping"/>
            </w:r>
            <w:r>
              <w:rPr>
                <w:rFonts w:hint="eastAsia"/>
              </w:rPr>
              <w:t>2025-11-18</w:t>
            </w:r>
          </w:p>
        </w:tc>
      </w:tr>
      <w:tr w14:paraId="4E10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5084D">
            <w:r>
              <w:rPr>
                <w:rFonts w:hint="eastAsia"/>
              </w:rPr>
              <w:t>采取调查或处罚等措施的机构</w:t>
            </w:r>
          </w:p>
        </w:tc>
        <w:tc>
          <w:tcPr>
            <w:tcW w:w="4153" w:type="dxa"/>
            <w:vAlign w:val="center"/>
          </w:tcPr>
          <w:p w14:paraId="25EDBB5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3A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EE41E">
            <w:r>
              <w:rPr>
                <w:rFonts w:hint="eastAsia"/>
              </w:rPr>
              <w:t>受到调查或处罚等措施类型</w:t>
            </w:r>
          </w:p>
        </w:tc>
        <w:tc>
          <w:tcPr>
            <w:tcW w:w="4153" w:type="dxa"/>
            <w:vAlign w:val="center"/>
          </w:tcPr>
          <w:p w14:paraId="39BBE1D7">
            <w:pPr>
              <w:rPr>
                <w:rFonts w:hint="eastAsia"/>
              </w:rPr>
            </w:pPr>
            <w:r>
              <w:rPr>
                <w:rFonts w:hint="eastAsia"/>
              </w:rPr>
              <w:t>行政监管措施；
</w:t>
            </w:r>
            <w:r>
              <w:rPr>
                <w:rFonts w:hint="eastAsia"/>
              </w:rPr>
              <w:br w:type="textWrapping"/>
            </w:r>
            <w:r>
              <w:rPr>
                <w:rFonts w:hint="eastAsia"/>
              </w:rPr>
              <w:t>行政处罚</w:t>
            </w:r>
          </w:p>
        </w:tc>
      </w:tr>
      <w:tr w14:paraId="70C7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99D103">
            <w:r>
              <w:rPr>
                <w:rFonts w:hint="eastAsia"/>
              </w:rPr>
              <w:t>受到的具体措施类型</w:t>
            </w:r>
          </w:p>
        </w:tc>
        <w:tc>
          <w:tcPr>
            <w:tcW w:w="4153" w:type="dxa"/>
            <w:vAlign w:val="center"/>
          </w:tcPr>
          <w:p w14:paraId="59914F25">
            <w:pPr>
              <w:rPr>
                <w:rFonts w:hint="eastAsia"/>
              </w:rPr>
            </w:pPr>
            <w:r>
              <w:rPr>
                <w:rFonts w:hint="eastAsia"/>
              </w:rPr>
              <w:t>责令改正；
</w:t>
            </w:r>
            <w:r>
              <w:rPr>
                <w:rFonts w:hint="eastAsia"/>
              </w:rPr>
              <w:br w:type="textWrapping"/>
            </w:r>
            <w:r>
              <w:rPr>
                <w:rFonts w:hint="eastAsia"/>
              </w:rPr>
              <w:t>警告、罚款</w:t>
            </w:r>
          </w:p>
        </w:tc>
      </w:tr>
      <w:tr w14:paraId="64AB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5CBC9F">
            <w:r>
              <w:rPr>
                <w:rFonts w:hint="eastAsia"/>
              </w:rPr>
              <w:t>受到调查或处罚等措施的原因</w:t>
            </w:r>
          </w:p>
        </w:tc>
        <w:tc>
          <w:tcPr>
            <w:tcW w:w="4153" w:type="dxa"/>
            <w:vAlign w:val="center"/>
          </w:tcPr>
          <w:p w14:paraId="1A9E0FD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375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12EC2">
            <w:r>
              <w:rPr>
                <w:rFonts w:hint="eastAsia"/>
              </w:rPr>
              <w:t>受到处罚的依据</w:t>
            </w:r>
          </w:p>
        </w:tc>
        <w:tc>
          <w:tcPr>
            <w:tcW w:w="4153" w:type="dxa"/>
            <w:vAlign w:val="center"/>
          </w:tcPr>
          <w:p w14:paraId="5EA4C59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EB4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8B185">
            <w:r>
              <w:rPr>
                <w:rFonts w:hint="eastAsia"/>
              </w:rPr>
              <w:t>管理人采取整改措施的情况</w:t>
            </w:r>
          </w:p>
        </w:tc>
        <w:tc>
          <w:tcPr>
            <w:tcW w:w="4153" w:type="dxa"/>
            <w:vAlign w:val="center"/>
          </w:tcPr>
          <w:p w14:paraId="7B13CD8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6BD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DD378">
            <w:r>
              <w:rPr>
                <w:rFonts w:hint="eastAsia"/>
              </w:rPr>
              <w:t>其他</w:t>
            </w:r>
          </w:p>
        </w:tc>
        <w:tc>
          <w:tcPr>
            <w:tcW w:w="4153" w:type="dxa"/>
            <w:vAlign w:val="center"/>
          </w:tcPr>
          <w:p w14:paraId="7011E04A">
            <w:r>
              <w:rPr>
                <w:rFonts w:hint="eastAsia"/>
              </w:rPr>
              <w:t>-</w:t>
            </w:r>
          </w:p>
        </w:tc>
      </w:tr>
    </w:tbl>
    <w:p w14:paraId="1D8F5DF3">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8F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09613E">
            <w:pPr>
              <w:jc w:val="center"/>
            </w:pPr>
            <w:r>
              <w:rPr>
                <w:rFonts w:hint="eastAsia"/>
                <w:b/>
              </w:rPr>
              <w:t>管理人相关从业人员受调查或处罚等情况</w:t>
            </w:r>
          </w:p>
        </w:tc>
        <w:tc>
          <w:tcPr>
            <w:tcW w:w="4153" w:type="dxa"/>
            <w:shd w:val="clear" w:color="auto" w:fill="BFBFBF"/>
            <w:vAlign w:val="center"/>
          </w:tcPr>
          <w:p w14:paraId="33B942E7">
            <w:pPr>
              <w:jc w:val="center"/>
            </w:pPr>
            <w:r>
              <w:rPr>
                <w:rFonts w:hint="eastAsia"/>
                <w:b/>
              </w:rPr>
              <w:t>内容</w:t>
            </w:r>
          </w:p>
        </w:tc>
      </w:tr>
      <w:tr w14:paraId="1559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411CD6">
            <w:r>
              <w:rPr>
                <w:rFonts w:hint="eastAsia"/>
              </w:rPr>
              <w:t>受到调查或处罚等措施的主体</w:t>
            </w:r>
          </w:p>
        </w:tc>
        <w:tc>
          <w:tcPr>
            <w:tcW w:w="4153" w:type="dxa"/>
            <w:vAlign w:val="center"/>
          </w:tcPr>
          <w:p w14:paraId="2CEEBBA1">
            <w:r>
              <w:rPr>
                <w:rFonts w:hint="eastAsia"/>
              </w:rPr>
              <w:t>高级管理人员</w:t>
            </w:r>
          </w:p>
        </w:tc>
      </w:tr>
      <w:tr w14:paraId="40D3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F4A51">
            <w:r>
              <w:rPr>
                <w:rFonts w:hint="eastAsia"/>
              </w:rPr>
              <w:t>受到调查或处罚等措施的时间</w:t>
            </w:r>
          </w:p>
        </w:tc>
        <w:tc>
          <w:tcPr>
            <w:tcW w:w="4153" w:type="dxa"/>
            <w:vAlign w:val="center"/>
          </w:tcPr>
          <w:p w14:paraId="4AEE494E">
            <w:r>
              <w:rPr>
                <w:rFonts w:hint="eastAsia"/>
              </w:rPr>
              <w:t>2025-10-17</w:t>
            </w:r>
          </w:p>
        </w:tc>
      </w:tr>
      <w:tr w14:paraId="752D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53668E">
            <w:r>
              <w:rPr>
                <w:rFonts w:hint="eastAsia"/>
              </w:rPr>
              <w:t>采取调查或处罚等措施的机构</w:t>
            </w:r>
          </w:p>
        </w:tc>
        <w:tc>
          <w:tcPr>
            <w:tcW w:w="4153" w:type="dxa"/>
            <w:vAlign w:val="center"/>
          </w:tcPr>
          <w:p w14:paraId="16C02E25">
            <w:r>
              <w:rPr>
                <w:rFonts w:hint="eastAsia"/>
              </w:rPr>
              <w:t>中国证监会深圳监管局</w:t>
            </w:r>
          </w:p>
        </w:tc>
      </w:tr>
      <w:tr w14:paraId="574B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554CF">
            <w:r>
              <w:rPr>
                <w:rFonts w:hint="eastAsia"/>
              </w:rPr>
              <w:t>受到调查或处罚等措施类型</w:t>
            </w:r>
          </w:p>
        </w:tc>
        <w:tc>
          <w:tcPr>
            <w:tcW w:w="4153" w:type="dxa"/>
            <w:vAlign w:val="center"/>
          </w:tcPr>
          <w:p w14:paraId="39F8EB3D">
            <w:r>
              <w:rPr>
                <w:rFonts w:hint="eastAsia"/>
              </w:rPr>
              <w:t>行政监管措施</w:t>
            </w:r>
          </w:p>
        </w:tc>
      </w:tr>
      <w:tr w14:paraId="2B9F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2749C">
            <w:r>
              <w:rPr>
                <w:rFonts w:hint="eastAsia"/>
              </w:rPr>
              <w:t>受到的具体措施类型</w:t>
            </w:r>
          </w:p>
        </w:tc>
        <w:tc>
          <w:tcPr>
            <w:tcW w:w="4153" w:type="dxa"/>
            <w:vAlign w:val="center"/>
          </w:tcPr>
          <w:p w14:paraId="1CD2CA56">
            <w:r>
              <w:rPr>
                <w:rFonts w:hint="eastAsia"/>
              </w:rPr>
              <w:t>出具警示函</w:t>
            </w:r>
          </w:p>
        </w:tc>
      </w:tr>
      <w:tr w14:paraId="639D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94F2B">
            <w:r>
              <w:rPr>
                <w:rFonts w:hint="eastAsia"/>
              </w:rPr>
              <w:t>受到调查或处罚等措施的原因</w:t>
            </w:r>
          </w:p>
        </w:tc>
        <w:tc>
          <w:tcPr>
            <w:tcW w:w="4153" w:type="dxa"/>
            <w:vAlign w:val="center"/>
          </w:tcPr>
          <w:p w14:paraId="54B203A4">
            <w:r>
              <w:rPr>
                <w:rFonts w:hint="eastAsia"/>
              </w:rPr>
              <w:t>人员管理、其他问题(销售管理)</w:t>
            </w:r>
          </w:p>
        </w:tc>
      </w:tr>
      <w:tr w14:paraId="4E21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BB7382">
            <w:r>
              <w:rPr>
                <w:rFonts w:hint="eastAsia"/>
              </w:rPr>
              <w:t>受到处罚的依据</w:t>
            </w:r>
          </w:p>
        </w:tc>
        <w:tc>
          <w:tcPr>
            <w:tcW w:w="4153" w:type="dxa"/>
            <w:vAlign w:val="center"/>
          </w:tcPr>
          <w:p w14:paraId="3E4874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706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74454D">
            <w:r>
              <w:rPr>
                <w:rFonts w:hint="eastAsia"/>
              </w:rPr>
              <w:t>管理人采取整改措施的情况（如提出整改意见）</w:t>
            </w:r>
          </w:p>
        </w:tc>
        <w:tc>
          <w:tcPr>
            <w:tcW w:w="4153" w:type="dxa"/>
            <w:vAlign w:val="center"/>
          </w:tcPr>
          <w:p w14:paraId="1CFF1710">
            <w:r>
              <w:rPr>
                <w:rFonts w:hint="eastAsia"/>
              </w:rPr>
              <w:t>截至报告期末公司已通过完善制度、优化流程等整改措施完成整改，整改成果已经中国证监会深圳监管局验收通过</w:t>
            </w:r>
          </w:p>
        </w:tc>
      </w:tr>
      <w:tr w14:paraId="4DA9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2E5937">
            <w:r>
              <w:rPr>
                <w:rFonts w:hint="eastAsia"/>
              </w:rPr>
              <w:t>其他</w:t>
            </w:r>
          </w:p>
        </w:tc>
        <w:tc>
          <w:tcPr>
            <w:tcW w:w="4153" w:type="dxa"/>
            <w:vAlign w:val="center"/>
          </w:tcPr>
          <w:p w14:paraId="4D6BAE21">
            <w:pPr>
              <w:jc w:val="right"/>
            </w:pPr>
            <w:r>
              <w:rPr>
                <w:rFonts w:hint="eastAsia"/>
              </w:rPr>
              <w:t>-</w:t>
            </w:r>
          </w:p>
        </w:tc>
      </w:tr>
    </w:tbl>
    <w:p w14:paraId="65CACA6D">
      <w:pPr>
        <w:pStyle w:val="28"/>
      </w:pPr>
      <w:bookmarkStart w:id="197" w:name="_Toc197"/>
      <w:r>
        <w:t>托管人受调查或处罚等情况</w:t>
      </w:r>
      <w:bookmarkEnd w:id="197"/>
    </w:p>
    <w:p w14:paraId="5F17ED71">
      <w:pPr>
        <w:pStyle w:val="18"/>
        <w:rPr>
          <w:rFonts w:hint="eastAsia"/>
        </w:rPr>
      </w:pPr>
      <w:r>
        <w:rPr>
          <w:rFonts w:hint="eastAsia"/>
        </w:rPr>
        <w:t>无。</w:t>
      </w:r>
    </w:p>
    <w:p w14:paraId="30BAAA1F">
      <w:pPr>
        <w:pStyle w:val="28"/>
      </w:pPr>
      <w:bookmarkStart w:id="198" w:name="_Toc198"/>
      <w:r>
        <w:t>托管人相关从业人员受调查或处罚等情况</w:t>
      </w:r>
      <w:bookmarkEnd w:id="198"/>
    </w:p>
    <w:p w14:paraId="43188061">
      <w:pPr>
        <w:pStyle w:val="18"/>
        <w:rPr>
          <w:rFonts w:hint="eastAsia"/>
        </w:rPr>
      </w:pPr>
      <w:r>
        <w:rPr>
          <w:rFonts w:hint="eastAsia"/>
        </w:rPr>
        <w:t>无。</w:t>
      </w:r>
    </w:p>
    <w:p w14:paraId="5257A94F">
      <w:pPr>
        <w:pStyle w:val="23"/>
      </w:pPr>
      <w:bookmarkStart w:id="199" w:name="_Toc1313"/>
      <w:r>
        <w:t>基金租用证券公司交易单元的有关情况</w:t>
      </w:r>
      <w:bookmarkEnd w:id="199"/>
    </w:p>
    <w:p w14:paraId="277A0D77">
      <w:pPr>
        <w:pStyle w:val="28"/>
      </w:pPr>
      <w:bookmarkStart w:id="200" w:name="_Toc200"/>
      <w:r>
        <w:t>基金租用证券公司交易单元进行股票投资及佣金支付情况</w:t>
      </w:r>
      <w:bookmarkEnd w:id="200"/>
    </w:p>
    <w:p w14:paraId="60CB89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78E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A0C9CFE">
            <w:pPr>
              <w:jc w:val="center"/>
            </w:pPr>
            <w:r>
              <w:rPr>
                <w:rFonts w:hint="eastAsia"/>
                <w:b/>
              </w:rPr>
              <w:t>券商名称</w:t>
            </w:r>
          </w:p>
        </w:tc>
        <w:tc>
          <w:tcPr>
            <w:tcW w:w="775" w:type="dxa"/>
            <w:vMerge w:val="restart"/>
            <w:shd w:val="clear" w:color="auto" w:fill="BFBFBF"/>
            <w:vAlign w:val="center"/>
          </w:tcPr>
          <w:p w14:paraId="201AEDF2">
            <w:pPr>
              <w:jc w:val="center"/>
            </w:pPr>
            <w:r>
              <w:rPr>
                <w:rFonts w:hint="eastAsia"/>
                <w:b/>
              </w:rPr>
              <w:t>交易单元数量</w:t>
            </w:r>
          </w:p>
        </w:tc>
        <w:tc>
          <w:tcPr>
            <w:tcW w:w="1699" w:type="dxa"/>
            <w:gridSpan w:val="2"/>
            <w:shd w:val="clear" w:color="auto" w:fill="BFBFBF"/>
            <w:vAlign w:val="center"/>
          </w:tcPr>
          <w:p w14:paraId="0716DCB8">
            <w:pPr>
              <w:jc w:val="center"/>
            </w:pPr>
            <w:r>
              <w:rPr>
                <w:rFonts w:hint="eastAsia"/>
                <w:b/>
              </w:rPr>
              <w:t>股票交易</w:t>
            </w:r>
          </w:p>
        </w:tc>
        <w:tc>
          <w:tcPr>
            <w:tcW w:w="1312" w:type="dxa"/>
            <w:gridSpan w:val="2"/>
            <w:shd w:val="clear" w:color="auto" w:fill="BFBFBF"/>
            <w:vAlign w:val="center"/>
          </w:tcPr>
          <w:p w14:paraId="7F5224A6">
            <w:pPr>
              <w:jc w:val="center"/>
            </w:pPr>
            <w:r>
              <w:rPr>
                <w:rFonts w:hint="eastAsia"/>
                <w:b/>
              </w:rPr>
              <w:t>应支付该券商的佣金</w:t>
            </w:r>
          </w:p>
        </w:tc>
        <w:tc>
          <w:tcPr>
            <w:tcW w:w="946" w:type="dxa"/>
            <w:vMerge w:val="restart"/>
            <w:shd w:val="clear" w:color="auto" w:fill="BFBFBF"/>
            <w:vAlign w:val="center"/>
          </w:tcPr>
          <w:p w14:paraId="0B642397">
            <w:pPr>
              <w:jc w:val="center"/>
            </w:pPr>
            <w:r>
              <w:rPr>
                <w:rFonts w:hint="eastAsia"/>
                <w:b/>
              </w:rPr>
              <w:t>备注</w:t>
            </w:r>
          </w:p>
        </w:tc>
      </w:tr>
      <w:tr w14:paraId="01D7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E1C32CA"/>
        </w:tc>
        <w:tc>
          <w:tcPr>
            <w:tcW w:w="775" w:type="dxa"/>
            <w:vMerge w:val="continue"/>
            <w:vAlign w:val="center"/>
          </w:tcPr>
          <w:p w14:paraId="5AFD4364"/>
        </w:tc>
        <w:tc>
          <w:tcPr>
            <w:tcW w:w="1699" w:type="dxa"/>
            <w:shd w:val="clear" w:color="auto" w:fill="BFBFBF"/>
            <w:vAlign w:val="center"/>
          </w:tcPr>
          <w:p w14:paraId="18671526">
            <w:pPr>
              <w:jc w:val="center"/>
            </w:pPr>
            <w:r>
              <w:rPr>
                <w:rFonts w:hint="eastAsia"/>
                <w:b/>
              </w:rPr>
              <w:t>成交金额</w:t>
            </w:r>
          </w:p>
        </w:tc>
        <w:tc>
          <w:tcPr>
            <w:tcW w:w="1201" w:type="dxa"/>
            <w:shd w:val="clear" w:color="auto" w:fill="BFBFBF"/>
            <w:vAlign w:val="center"/>
          </w:tcPr>
          <w:p w14:paraId="431708B3">
            <w:pPr>
              <w:jc w:val="center"/>
            </w:pPr>
            <w:r>
              <w:rPr>
                <w:rFonts w:hint="eastAsia"/>
                <w:b/>
              </w:rPr>
              <w:t>占当期股票成交总额的比例</w:t>
            </w:r>
          </w:p>
        </w:tc>
        <w:tc>
          <w:tcPr>
            <w:tcW w:w="1312" w:type="dxa"/>
            <w:shd w:val="clear" w:color="auto" w:fill="BFBFBF"/>
            <w:vAlign w:val="center"/>
          </w:tcPr>
          <w:p w14:paraId="49534F25">
            <w:pPr>
              <w:jc w:val="center"/>
            </w:pPr>
            <w:r>
              <w:rPr>
                <w:rFonts w:hint="eastAsia"/>
                <w:b/>
              </w:rPr>
              <w:t>佣金</w:t>
            </w:r>
          </w:p>
        </w:tc>
        <w:tc>
          <w:tcPr>
            <w:tcW w:w="1256" w:type="dxa"/>
            <w:shd w:val="clear" w:color="auto" w:fill="BFBFBF"/>
            <w:vAlign w:val="center"/>
          </w:tcPr>
          <w:p w14:paraId="7C7C54C5">
            <w:pPr>
              <w:jc w:val="center"/>
            </w:pPr>
            <w:r>
              <w:rPr>
                <w:rFonts w:hint="eastAsia"/>
                <w:b/>
              </w:rPr>
              <w:t>占当期佣金总量的比例</w:t>
            </w:r>
          </w:p>
        </w:tc>
        <w:tc>
          <w:tcPr>
            <w:tcW w:w="946" w:type="dxa"/>
            <w:vMerge w:val="continue"/>
            <w:vAlign w:val="center"/>
          </w:tcPr>
          <w:p w14:paraId="18EFCAFE"/>
        </w:tc>
      </w:tr>
      <w:tr w14:paraId="6581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0BE379">
            <w:r>
              <w:rPr>
                <w:rFonts w:hint="eastAsia"/>
              </w:rPr>
              <w:t>东方证券</w:t>
            </w:r>
          </w:p>
        </w:tc>
        <w:tc>
          <w:tcPr>
            <w:tcW w:w="775" w:type="dxa"/>
            <w:vAlign w:val="center"/>
          </w:tcPr>
          <w:p w14:paraId="0E112457">
            <w:pPr>
              <w:jc w:val="right"/>
            </w:pPr>
            <w:r>
              <w:rPr>
                <w:rFonts w:hint="eastAsia"/>
              </w:rPr>
              <w:t>1</w:t>
            </w:r>
          </w:p>
        </w:tc>
        <w:tc>
          <w:tcPr>
            <w:tcW w:w="1699" w:type="dxa"/>
            <w:vAlign w:val="center"/>
          </w:tcPr>
          <w:p w14:paraId="75C83CD9">
            <w:pPr>
              <w:jc w:val="right"/>
            </w:pPr>
            <w:r>
              <w:rPr>
                <w:rFonts w:hint="eastAsia"/>
              </w:rPr>
              <w:t>-</w:t>
            </w:r>
          </w:p>
        </w:tc>
        <w:tc>
          <w:tcPr>
            <w:tcW w:w="1201" w:type="dxa"/>
            <w:vAlign w:val="center"/>
          </w:tcPr>
          <w:p w14:paraId="0B1A4973">
            <w:pPr>
              <w:jc w:val="right"/>
            </w:pPr>
            <w:r>
              <w:rPr>
                <w:rFonts w:hint="eastAsia"/>
              </w:rPr>
              <w:t>-</w:t>
            </w:r>
          </w:p>
        </w:tc>
        <w:tc>
          <w:tcPr>
            <w:tcW w:w="1312" w:type="dxa"/>
            <w:vAlign w:val="center"/>
          </w:tcPr>
          <w:p w14:paraId="20AD9A03">
            <w:pPr>
              <w:jc w:val="right"/>
            </w:pPr>
            <w:r>
              <w:rPr>
                <w:rFonts w:hint="eastAsia"/>
              </w:rPr>
              <w:t>-</w:t>
            </w:r>
          </w:p>
        </w:tc>
        <w:tc>
          <w:tcPr>
            <w:tcW w:w="1256" w:type="dxa"/>
            <w:vAlign w:val="center"/>
          </w:tcPr>
          <w:p w14:paraId="5365FE17">
            <w:pPr>
              <w:jc w:val="right"/>
            </w:pPr>
            <w:r>
              <w:rPr>
                <w:rFonts w:hint="eastAsia"/>
              </w:rPr>
              <w:t>-</w:t>
            </w:r>
          </w:p>
        </w:tc>
        <w:tc>
          <w:tcPr>
            <w:tcW w:w="946" w:type="dxa"/>
            <w:vAlign w:val="center"/>
          </w:tcPr>
          <w:p w14:paraId="2F9013A1">
            <w:pPr>
              <w:jc w:val="right"/>
            </w:pPr>
            <w:r>
              <w:rPr>
                <w:rFonts w:hint="eastAsia"/>
              </w:rPr>
              <w:t>-</w:t>
            </w:r>
          </w:p>
        </w:tc>
      </w:tr>
      <w:tr w14:paraId="59B4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60F2E8">
            <w:r>
              <w:rPr>
                <w:rFonts w:hint="eastAsia"/>
              </w:rPr>
              <w:t>国金证券</w:t>
            </w:r>
          </w:p>
        </w:tc>
        <w:tc>
          <w:tcPr>
            <w:tcW w:w="775" w:type="dxa"/>
            <w:vAlign w:val="center"/>
          </w:tcPr>
          <w:p w14:paraId="65D15125">
            <w:pPr>
              <w:jc w:val="right"/>
            </w:pPr>
            <w:r>
              <w:rPr>
                <w:rFonts w:hint="eastAsia"/>
              </w:rPr>
              <w:t>1</w:t>
            </w:r>
          </w:p>
        </w:tc>
        <w:tc>
          <w:tcPr>
            <w:tcW w:w="1699" w:type="dxa"/>
            <w:vAlign w:val="center"/>
          </w:tcPr>
          <w:p w14:paraId="4EBA24AD">
            <w:pPr>
              <w:jc w:val="right"/>
            </w:pPr>
            <w:r>
              <w:rPr>
                <w:rFonts w:hint="eastAsia"/>
              </w:rPr>
              <w:t>-</w:t>
            </w:r>
          </w:p>
        </w:tc>
        <w:tc>
          <w:tcPr>
            <w:tcW w:w="1201" w:type="dxa"/>
            <w:vAlign w:val="center"/>
          </w:tcPr>
          <w:p w14:paraId="4213E96C">
            <w:pPr>
              <w:jc w:val="right"/>
            </w:pPr>
            <w:r>
              <w:rPr>
                <w:rFonts w:hint="eastAsia"/>
              </w:rPr>
              <w:t>-</w:t>
            </w:r>
          </w:p>
        </w:tc>
        <w:tc>
          <w:tcPr>
            <w:tcW w:w="1312" w:type="dxa"/>
            <w:vAlign w:val="center"/>
          </w:tcPr>
          <w:p w14:paraId="484F2AC6">
            <w:pPr>
              <w:jc w:val="right"/>
            </w:pPr>
            <w:r>
              <w:rPr>
                <w:rFonts w:hint="eastAsia"/>
              </w:rPr>
              <w:t>-</w:t>
            </w:r>
          </w:p>
        </w:tc>
        <w:tc>
          <w:tcPr>
            <w:tcW w:w="1256" w:type="dxa"/>
            <w:vAlign w:val="center"/>
          </w:tcPr>
          <w:p w14:paraId="35FD5ADE">
            <w:pPr>
              <w:jc w:val="right"/>
            </w:pPr>
            <w:r>
              <w:rPr>
                <w:rFonts w:hint="eastAsia"/>
              </w:rPr>
              <w:t>-</w:t>
            </w:r>
          </w:p>
        </w:tc>
        <w:tc>
          <w:tcPr>
            <w:tcW w:w="946" w:type="dxa"/>
            <w:vAlign w:val="center"/>
          </w:tcPr>
          <w:p w14:paraId="13CDCAB9">
            <w:pPr>
              <w:jc w:val="right"/>
            </w:pPr>
            <w:r>
              <w:rPr>
                <w:rFonts w:hint="eastAsia"/>
              </w:rPr>
              <w:t>-</w:t>
            </w:r>
          </w:p>
        </w:tc>
      </w:tr>
      <w:tr w14:paraId="19B8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D13462">
            <w:r>
              <w:rPr>
                <w:rFonts w:hint="eastAsia"/>
              </w:rPr>
              <w:t>国泰海通</w:t>
            </w:r>
          </w:p>
        </w:tc>
        <w:tc>
          <w:tcPr>
            <w:tcW w:w="775" w:type="dxa"/>
            <w:vAlign w:val="center"/>
          </w:tcPr>
          <w:p w14:paraId="5DD3AE87">
            <w:pPr>
              <w:jc w:val="right"/>
            </w:pPr>
            <w:r>
              <w:rPr>
                <w:rFonts w:hint="eastAsia"/>
              </w:rPr>
              <w:t>1</w:t>
            </w:r>
          </w:p>
        </w:tc>
        <w:tc>
          <w:tcPr>
            <w:tcW w:w="1699" w:type="dxa"/>
            <w:vAlign w:val="center"/>
          </w:tcPr>
          <w:p w14:paraId="140CFE44">
            <w:pPr>
              <w:jc w:val="right"/>
            </w:pPr>
            <w:r>
              <w:rPr>
                <w:rFonts w:hint="eastAsia"/>
              </w:rPr>
              <w:t>-</w:t>
            </w:r>
          </w:p>
        </w:tc>
        <w:tc>
          <w:tcPr>
            <w:tcW w:w="1201" w:type="dxa"/>
            <w:vAlign w:val="center"/>
          </w:tcPr>
          <w:p w14:paraId="092C4DAC">
            <w:pPr>
              <w:jc w:val="right"/>
            </w:pPr>
            <w:r>
              <w:rPr>
                <w:rFonts w:hint="eastAsia"/>
              </w:rPr>
              <w:t>-</w:t>
            </w:r>
          </w:p>
        </w:tc>
        <w:tc>
          <w:tcPr>
            <w:tcW w:w="1312" w:type="dxa"/>
            <w:vAlign w:val="center"/>
          </w:tcPr>
          <w:p w14:paraId="2F146C2D">
            <w:pPr>
              <w:jc w:val="right"/>
            </w:pPr>
            <w:r>
              <w:rPr>
                <w:rFonts w:hint="eastAsia"/>
              </w:rPr>
              <w:t>-</w:t>
            </w:r>
          </w:p>
        </w:tc>
        <w:tc>
          <w:tcPr>
            <w:tcW w:w="1256" w:type="dxa"/>
            <w:vAlign w:val="center"/>
          </w:tcPr>
          <w:p w14:paraId="56C1EFCD">
            <w:pPr>
              <w:jc w:val="right"/>
            </w:pPr>
            <w:r>
              <w:rPr>
                <w:rFonts w:hint="eastAsia"/>
              </w:rPr>
              <w:t>-</w:t>
            </w:r>
          </w:p>
        </w:tc>
        <w:tc>
          <w:tcPr>
            <w:tcW w:w="946" w:type="dxa"/>
            <w:vAlign w:val="center"/>
          </w:tcPr>
          <w:p w14:paraId="0D4853D3">
            <w:pPr>
              <w:jc w:val="right"/>
            </w:pPr>
            <w:r>
              <w:rPr>
                <w:rFonts w:hint="eastAsia"/>
              </w:rPr>
              <w:t>-</w:t>
            </w:r>
          </w:p>
        </w:tc>
      </w:tr>
      <w:tr w14:paraId="112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9B92D6">
            <w:r>
              <w:rPr>
                <w:rFonts w:hint="eastAsia"/>
              </w:rPr>
              <w:t>华泰证券</w:t>
            </w:r>
          </w:p>
        </w:tc>
        <w:tc>
          <w:tcPr>
            <w:tcW w:w="775" w:type="dxa"/>
            <w:vAlign w:val="center"/>
          </w:tcPr>
          <w:p w14:paraId="0F5E32ED">
            <w:pPr>
              <w:jc w:val="right"/>
            </w:pPr>
            <w:r>
              <w:rPr>
                <w:rFonts w:hint="eastAsia"/>
              </w:rPr>
              <w:t>1</w:t>
            </w:r>
          </w:p>
        </w:tc>
        <w:tc>
          <w:tcPr>
            <w:tcW w:w="1699" w:type="dxa"/>
            <w:vAlign w:val="center"/>
          </w:tcPr>
          <w:p w14:paraId="07F8FD02">
            <w:pPr>
              <w:jc w:val="right"/>
            </w:pPr>
            <w:r>
              <w:rPr>
                <w:rFonts w:hint="eastAsia"/>
              </w:rPr>
              <w:t>-</w:t>
            </w:r>
          </w:p>
        </w:tc>
        <w:tc>
          <w:tcPr>
            <w:tcW w:w="1201" w:type="dxa"/>
            <w:vAlign w:val="center"/>
          </w:tcPr>
          <w:p w14:paraId="52927FB7">
            <w:pPr>
              <w:jc w:val="right"/>
            </w:pPr>
            <w:r>
              <w:rPr>
                <w:rFonts w:hint="eastAsia"/>
              </w:rPr>
              <w:t>-</w:t>
            </w:r>
          </w:p>
        </w:tc>
        <w:tc>
          <w:tcPr>
            <w:tcW w:w="1312" w:type="dxa"/>
            <w:vAlign w:val="center"/>
          </w:tcPr>
          <w:p w14:paraId="4EFBD29D">
            <w:pPr>
              <w:jc w:val="right"/>
            </w:pPr>
            <w:r>
              <w:rPr>
                <w:rFonts w:hint="eastAsia"/>
              </w:rPr>
              <w:t>-</w:t>
            </w:r>
          </w:p>
        </w:tc>
        <w:tc>
          <w:tcPr>
            <w:tcW w:w="1256" w:type="dxa"/>
            <w:vAlign w:val="center"/>
          </w:tcPr>
          <w:p w14:paraId="3E195415">
            <w:pPr>
              <w:jc w:val="right"/>
            </w:pPr>
            <w:r>
              <w:rPr>
                <w:rFonts w:hint="eastAsia"/>
              </w:rPr>
              <w:t>-</w:t>
            </w:r>
          </w:p>
        </w:tc>
        <w:tc>
          <w:tcPr>
            <w:tcW w:w="946" w:type="dxa"/>
            <w:vAlign w:val="center"/>
          </w:tcPr>
          <w:p w14:paraId="7E8814BC">
            <w:pPr>
              <w:jc w:val="right"/>
            </w:pPr>
            <w:r>
              <w:rPr>
                <w:rFonts w:hint="eastAsia"/>
              </w:rPr>
              <w:t>-</w:t>
            </w:r>
          </w:p>
        </w:tc>
      </w:tr>
      <w:tr w14:paraId="6D06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DBB552">
            <w:r>
              <w:rPr>
                <w:rFonts w:hint="eastAsia"/>
              </w:rPr>
              <w:t>招商证券</w:t>
            </w:r>
          </w:p>
        </w:tc>
        <w:tc>
          <w:tcPr>
            <w:tcW w:w="775" w:type="dxa"/>
            <w:vAlign w:val="center"/>
          </w:tcPr>
          <w:p w14:paraId="4BA50402">
            <w:pPr>
              <w:jc w:val="right"/>
            </w:pPr>
            <w:r>
              <w:rPr>
                <w:rFonts w:hint="eastAsia"/>
              </w:rPr>
              <w:t>1</w:t>
            </w:r>
          </w:p>
        </w:tc>
        <w:tc>
          <w:tcPr>
            <w:tcW w:w="1699" w:type="dxa"/>
            <w:vAlign w:val="center"/>
          </w:tcPr>
          <w:p w14:paraId="29BB17C3">
            <w:pPr>
              <w:jc w:val="right"/>
            </w:pPr>
            <w:r>
              <w:rPr>
                <w:rFonts w:hint="eastAsia"/>
              </w:rPr>
              <w:t>-</w:t>
            </w:r>
          </w:p>
        </w:tc>
        <w:tc>
          <w:tcPr>
            <w:tcW w:w="1201" w:type="dxa"/>
            <w:vAlign w:val="center"/>
          </w:tcPr>
          <w:p w14:paraId="5035FABA">
            <w:pPr>
              <w:jc w:val="right"/>
            </w:pPr>
            <w:r>
              <w:rPr>
                <w:rFonts w:hint="eastAsia"/>
              </w:rPr>
              <w:t>-</w:t>
            </w:r>
          </w:p>
        </w:tc>
        <w:tc>
          <w:tcPr>
            <w:tcW w:w="1312" w:type="dxa"/>
            <w:vAlign w:val="center"/>
          </w:tcPr>
          <w:p w14:paraId="758EB10A">
            <w:pPr>
              <w:jc w:val="right"/>
            </w:pPr>
            <w:r>
              <w:rPr>
                <w:rFonts w:hint="eastAsia"/>
              </w:rPr>
              <w:t>-</w:t>
            </w:r>
          </w:p>
        </w:tc>
        <w:tc>
          <w:tcPr>
            <w:tcW w:w="1256" w:type="dxa"/>
            <w:vAlign w:val="center"/>
          </w:tcPr>
          <w:p w14:paraId="469FB1FD">
            <w:pPr>
              <w:jc w:val="right"/>
            </w:pPr>
            <w:r>
              <w:rPr>
                <w:rFonts w:hint="eastAsia"/>
              </w:rPr>
              <w:t>-</w:t>
            </w:r>
          </w:p>
        </w:tc>
        <w:tc>
          <w:tcPr>
            <w:tcW w:w="946" w:type="dxa"/>
            <w:vAlign w:val="center"/>
          </w:tcPr>
          <w:p w14:paraId="354F0067">
            <w:pPr>
              <w:jc w:val="right"/>
            </w:pPr>
            <w:r>
              <w:rPr>
                <w:rFonts w:hint="eastAsia"/>
              </w:rPr>
              <w:t>-</w:t>
            </w:r>
          </w:p>
        </w:tc>
      </w:tr>
    </w:tbl>
    <w:p w14:paraId="76EC755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B363910">
      <w:pPr>
        <w:pStyle w:val="47"/>
        <w:rPr>
          <w:rFonts w:hint="eastAsia"/>
        </w:rPr>
      </w:pPr>
      <w:r>
        <w:tab/>
      </w:r>
      <w:r>
        <w:rPr>
          <w:rFonts w:hint="eastAsia"/>
        </w:rPr>
        <w:t>1、选择标准</w:t>
      </w:r>
    </w:p>
    <w:p w14:paraId="07636C7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91DE61D">
      <w:pPr>
        <w:pStyle w:val="47"/>
        <w:rPr>
          <w:rFonts w:hint="eastAsia"/>
        </w:rPr>
      </w:pPr>
      <w:r>
        <w:tab/>
      </w:r>
      <w:r>
        <w:rPr>
          <w:rFonts w:hint="eastAsia"/>
        </w:rPr>
        <w:t>2、选择程序</w:t>
      </w:r>
    </w:p>
    <w:p w14:paraId="6322399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933ADA6">
      <w:pPr>
        <w:pStyle w:val="47"/>
        <w:rPr>
          <w:rFonts w:hint="eastAsia"/>
        </w:rPr>
      </w:pPr>
      <w:r>
        <w:tab/>
      </w:r>
      <w:r>
        <w:rPr>
          <w:rFonts w:hint="eastAsia"/>
        </w:rPr>
        <w:t>（2）基金管理人根据其建立的服务评价及交易量分配机制，定期对证券公司开展评价后，根据评价结果进行交易量的分配。</w:t>
      </w:r>
    </w:p>
    <w:p w14:paraId="1812F142">
      <w:pPr>
        <w:pStyle w:val="47"/>
        <w:rPr>
          <w:rFonts w:hint="eastAsia"/>
        </w:rPr>
      </w:pPr>
      <w:r>
        <w:tab/>
      </w:r>
      <w:r>
        <w:rPr>
          <w:rFonts w:hint="eastAsia"/>
        </w:rPr>
        <w:t>3、报告期内基金租用券商交易单元的变更情况：新增交易单元：无；减少交易单元：无。</w:t>
      </w:r>
    </w:p>
    <w:p w14:paraId="401BD2B3">
      <w:pPr>
        <w:pStyle w:val="28"/>
      </w:pPr>
      <w:bookmarkStart w:id="201" w:name="_Toc201"/>
      <w:r>
        <w:t>基金租用证券公司交易单元进行其他证券投资的情况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C0F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D094770">
            <w:pPr>
              <w:jc w:val="center"/>
            </w:pPr>
            <w:r>
              <w:rPr>
                <w:rFonts w:hint="eastAsia"/>
                <w:b/>
              </w:rPr>
              <w:t>券商名称</w:t>
            </w:r>
          </w:p>
        </w:tc>
        <w:tc>
          <w:tcPr>
            <w:tcW w:w="922" w:type="dxa"/>
            <w:gridSpan w:val="2"/>
            <w:shd w:val="clear" w:color="auto" w:fill="BFBFBF"/>
            <w:vAlign w:val="center"/>
          </w:tcPr>
          <w:p w14:paraId="663BD628">
            <w:pPr>
              <w:jc w:val="center"/>
            </w:pPr>
            <w:r>
              <w:rPr>
                <w:rFonts w:hint="eastAsia"/>
                <w:b/>
              </w:rPr>
              <w:t>债券交易</w:t>
            </w:r>
          </w:p>
        </w:tc>
        <w:tc>
          <w:tcPr>
            <w:tcW w:w="922" w:type="dxa"/>
            <w:gridSpan w:val="2"/>
            <w:shd w:val="clear" w:color="auto" w:fill="BFBFBF"/>
            <w:vAlign w:val="center"/>
          </w:tcPr>
          <w:p w14:paraId="2B812EB4">
            <w:pPr>
              <w:jc w:val="center"/>
            </w:pPr>
            <w:r>
              <w:rPr>
                <w:rFonts w:hint="eastAsia"/>
                <w:b/>
              </w:rPr>
              <w:t>债券回购交易</w:t>
            </w:r>
          </w:p>
        </w:tc>
        <w:tc>
          <w:tcPr>
            <w:tcW w:w="922" w:type="dxa"/>
            <w:gridSpan w:val="2"/>
            <w:shd w:val="clear" w:color="auto" w:fill="BFBFBF"/>
            <w:vAlign w:val="center"/>
          </w:tcPr>
          <w:p w14:paraId="4B15AB1D">
            <w:pPr>
              <w:jc w:val="center"/>
            </w:pPr>
            <w:r>
              <w:rPr>
                <w:rFonts w:hint="eastAsia"/>
                <w:b/>
              </w:rPr>
              <w:t>权证交易</w:t>
            </w:r>
          </w:p>
        </w:tc>
        <w:tc>
          <w:tcPr>
            <w:tcW w:w="922" w:type="dxa"/>
            <w:gridSpan w:val="2"/>
            <w:shd w:val="clear" w:color="auto" w:fill="BFBFBF"/>
            <w:vAlign w:val="center"/>
          </w:tcPr>
          <w:p w14:paraId="491C88CC">
            <w:pPr>
              <w:jc w:val="center"/>
            </w:pPr>
            <w:r>
              <w:rPr>
                <w:rFonts w:hint="eastAsia"/>
                <w:b/>
              </w:rPr>
              <w:t>基金交易</w:t>
            </w:r>
          </w:p>
        </w:tc>
      </w:tr>
      <w:tr w14:paraId="3AEC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B6EA24E"/>
        </w:tc>
        <w:tc>
          <w:tcPr>
            <w:tcW w:w="922" w:type="dxa"/>
            <w:shd w:val="clear" w:color="auto" w:fill="BFBFBF"/>
            <w:vAlign w:val="center"/>
          </w:tcPr>
          <w:p w14:paraId="01531DDC">
            <w:pPr>
              <w:jc w:val="center"/>
            </w:pPr>
            <w:r>
              <w:rPr>
                <w:rFonts w:hint="eastAsia"/>
                <w:b/>
              </w:rPr>
              <w:t>成交金额</w:t>
            </w:r>
          </w:p>
        </w:tc>
        <w:tc>
          <w:tcPr>
            <w:tcW w:w="922" w:type="dxa"/>
            <w:shd w:val="clear" w:color="auto" w:fill="BFBFBF"/>
            <w:vAlign w:val="center"/>
          </w:tcPr>
          <w:p w14:paraId="74DA3355">
            <w:pPr>
              <w:jc w:val="center"/>
            </w:pPr>
            <w:r>
              <w:rPr>
                <w:rFonts w:hint="eastAsia"/>
                <w:b/>
              </w:rPr>
              <w:t>占当期债券成交总额的比例</w:t>
            </w:r>
          </w:p>
        </w:tc>
        <w:tc>
          <w:tcPr>
            <w:tcW w:w="922" w:type="dxa"/>
            <w:shd w:val="clear" w:color="auto" w:fill="BFBFBF"/>
            <w:vAlign w:val="center"/>
          </w:tcPr>
          <w:p w14:paraId="2B16654F">
            <w:pPr>
              <w:jc w:val="center"/>
            </w:pPr>
            <w:r>
              <w:rPr>
                <w:rFonts w:hint="eastAsia"/>
                <w:b/>
              </w:rPr>
              <w:t>成交金额</w:t>
            </w:r>
          </w:p>
        </w:tc>
        <w:tc>
          <w:tcPr>
            <w:tcW w:w="922" w:type="dxa"/>
            <w:shd w:val="clear" w:color="auto" w:fill="BFBFBF"/>
            <w:vAlign w:val="center"/>
          </w:tcPr>
          <w:p w14:paraId="04B3DDA6">
            <w:pPr>
              <w:jc w:val="center"/>
            </w:pPr>
            <w:r>
              <w:rPr>
                <w:rFonts w:hint="eastAsia"/>
                <w:b/>
              </w:rPr>
              <w:t>占当期债券回购成交总额的比例</w:t>
            </w:r>
          </w:p>
        </w:tc>
        <w:tc>
          <w:tcPr>
            <w:tcW w:w="922" w:type="dxa"/>
            <w:shd w:val="clear" w:color="auto" w:fill="BFBFBF"/>
            <w:vAlign w:val="center"/>
          </w:tcPr>
          <w:p w14:paraId="30580EFB">
            <w:pPr>
              <w:jc w:val="center"/>
            </w:pPr>
            <w:r>
              <w:rPr>
                <w:rFonts w:hint="eastAsia"/>
                <w:b/>
              </w:rPr>
              <w:t>成交金额</w:t>
            </w:r>
          </w:p>
        </w:tc>
        <w:tc>
          <w:tcPr>
            <w:tcW w:w="922" w:type="dxa"/>
            <w:shd w:val="clear" w:color="auto" w:fill="BFBFBF"/>
            <w:vAlign w:val="center"/>
          </w:tcPr>
          <w:p w14:paraId="781DE3EB">
            <w:pPr>
              <w:jc w:val="center"/>
            </w:pPr>
            <w:r>
              <w:rPr>
                <w:rFonts w:hint="eastAsia"/>
                <w:b/>
              </w:rPr>
              <w:t>占当期权证成交总额的比例</w:t>
            </w:r>
          </w:p>
        </w:tc>
        <w:tc>
          <w:tcPr>
            <w:tcW w:w="922" w:type="dxa"/>
            <w:shd w:val="clear" w:color="auto" w:fill="BFBFBF"/>
            <w:vAlign w:val="center"/>
          </w:tcPr>
          <w:p w14:paraId="04658085">
            <w:pPr>
              <w:jc w:val="center"/>
            </w:pPr>
            <w:r>
              <w:rPr>
                <w:rFonts w:hint="eastAsia"/>
                <w:b/>
              </w:rPr>
              <w:t>成交金额</w:t>
            </w:r>
          </w:p>
        </w:tc>
        <w:tc>
          <w:tcPr>
            <w:tcW w:w="922" w:type="dxa"/>
            <w:shd w:val="clear" w:color="auto" w:fill="BFBFBF"/>
            <w:vAlign w:val="center"/>
          </w:tcPr>
          <w:p w14:paraId="28BB53CF">
            <w:pPr>
              <w:jc w:val="center"/>
            </w:pPr>
            <w:r>
              <w:rPr>
                <w:rFonts w:hint="eastAsia"/>
                <w:b/>
              </w:rPr>
              <w:t>占当期基金成交总额的比例</w:t>
            </w:r>
          </w:p>
        </w:tc>
      </w:tr>
      <w:tr w14:paraId="4FC2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1E886ADA">
            <w:r>
              <w:rPr>
                <w:rFonts w:hint="eastAsia"/>
              </w:rPr>
              <w:t>东方证券</w:t>
            </w:r>
          </w:p>
        </w:tc>
        <w:tc>
          <w:tcPr>
            <w:tcW w:w="922" w:type="dxa"/>
            <w:vAlign w:val="center"/>
          </w:tcPr>
          <w:p w14:paraId="1CE45B28">
            <w:pPr>
              <w:jc w:val="right"/>
            </w:pPr>
            <w:r>
              <w:rPr>
                <w:rFonts w:hint="eastAsia"/>
              </w:rPr>
              <w:t>-</w:t>
            </w:r>
          </w:p>
        </w:tc>
        <w:tc>
          <w:tcPr>
            <w:tcW w:w="922" w:type="dxa"/>
            <w:vAlign w:val="center"/>
          </w:tcPr>
          <w:p w14:paraId="1A0F105F">
            <w:pPr>
              <w:jc w:val="right"/>
            </w:pPr>
            <w:r>
              <w:rPr>
                <w:rFonts w:hint="eastAsia"/>
              </w:rPr>
              <w:t>-</w:t>
            </w:r>
          </w:p>
        </w:tc>
        <w:tc>
          <w:tcPr>
            <w:tcW w:w="922" w:type="dxa"/>
            <w:vAlign w:val="center"/>
          </w:tcPr>
          <w:p w14:paraId="6FA4E3D9">
            <w:pPr>
              <w:jc w:val="right"/>
            </w:pPr>
            <w:r>
              <w:rPr>
                <w:rFonts w:hint="eastAsia"/>
              </w:rPr>
              <w:t>-</w:t>
            </w:r>
          </w:p>
        </w:tc>
        <w:tc>
          <w:tcPr>
            <w:tcW w:w="922" w:type="dxa"/>
            <w:vAlign w:val="center"/>
          </w:tcPr>
          <w:p w14:paraId="7735CC70">
            <w:pPr>
              <w:jc w:val="right"/>
            </w:pPr>
            <w:r>
              <w:rPr>
                <w:rFonts w:hint="eastAsia"/>
              </w:rPr>
              <w:t>-</w:t>
            </w:r>
          </w:p>
        </w:tc>
        <w:tc>
          <w:tcPr>
            <w:tcW w:w="922" w:type="dxa"/>
            <w:vAlign w:val="center"/>
          </w:tcPr>
          <w:p w14:paraId="2E87E4C9">
            <w:pPr>
              <w:jc w:val="right"/>
            </w:pPr>
            <w:r>
              <w:rPr>
                <w:rFonts w:hint="eastAsia"/>
              </w:rPr>
              <w:t>-</w:t>
            </w:r>
          </w:p>
        </w:tc>
        <w:tc>
          <w:tcPr>
            <w:tcW w:w="922" w:type="dxa"/>
            <w:vAlign w:val="center"/>
          </w:tcPr>
          <w:p w14:paraId="41815DE3">
            <w:pPr>
              <w:jc w:val="right"/>
            </w:pPr>
            <w:r>
              <w:rPr>
                <w:rFonts w:hint="eastAsia"/>
              </w:rPr>
              <w:t>-</w:t>
            </w:r>
          </w:p>
        </w:tc>
        <w:tc>
          <w:tcPr>
            <w:tcW w:w="922" w:type="dxa"/>
            <w:vAlign w:val="center"/>
          </w:tcPr>
          <w:p w14:paraId="1A3B5223">
            <w:pPr>
              <w:jc w:val="right"/>
            </w:pPr>
            <w:r>
              <w:rPr>
                <w:rFonts w:hint="eastAsia"/>
              </w:rPr>
              <w:t>-</w:t>
            </w:r>
          </w:p>
        </w:tc>
        <w:tc>
          <w:tcPr>
            <w:tcW w:w="922" w:type="dxa"/>
            <w:vAlign w:val="center"/>
          </w:tcPr>
          <w:p w14:paraId="51376415">
            <w:pPr>
              <w:jc w:val="right"/>
            </w:pPr>
            <w:r>
              <w:rPr>
                <w:rFonts w:hint="eastAsia"/>
              </w:rPr>
              <w:t>-</w:t>
            </w:r>
          </w:p>
        </w:tc>
      </w:tr>
      <w:tr w14:paraId="6EF5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216D75">
            <w:r>
              <w:rPr>
                <w:rFonts w:hint="eastAsia"/>
              </w:rPr>
              <w:t>国金证券</w:t>
            </w:r>
          </w:p>
        </w:tc>
        <w:tc>
          <w:tcPr>
            <w:tcW w:w="922" w:type="dxa"/>
            <w:vAlign w:val="center"/>
          </w:tcPr>
          <w:p w14:paraId="798F7C01">
            <w:pPr>
              <w:jc w:val="right"/>
            </w:pPr>
            <w:r>
              <w:rPr>
                <w:rFonts w:hint="eastAsia"/>
              </w:rPr>
              <w:t>-</w:t>
            </w:r>
          </w:p>
        </w:tc>
        <w:tc>
          <w:tcPr>
            <w:tcW w:w="922" w:type="dxa"/>
            <w:vAlign w:val="center"/>
          </w:tcPr>
          <w:p w14:paraId="66BE3072">
            <w:pPr>
              <w:jc w:val="right"/>
            </w:pPr>
            <w:r>
              <w:rPr>
                <w:rFonts w:hint="eastAsia"/>
              </w:rPr>
              <w:t>-</w:t>
            </w:r>
          </w:p>
        </w:tc>
        <w:tc>
          <w:tcPr>
            <w:tcW w:w="922" w:type="dxa"/>
            <w:vAlign w:val="center"/>
          </w:tcPr>
          <w:p w14:paraId="7F87C8C1">
            <w:pPr>
              <w:jc w:val="right"/>
            </w:pPr>
            <w:r>
              <w:rPr>
                <w:rFonts w:hint="eastAsia"/>
              </w:rPr>
              <w:t>-</w:t>
            </w:r>
          </w:p>
        </w:tc>
        <w:tc>
          <w:tcPr>
            <w:tcW w:w="922" w:type="dxa"/>
            <w:vAlign w:val="center"/>
          </w:tcPr>
          <w:p w14:paraId="3E97106E">
            <w:pPr>
              <w:jc w:val="right"/>
            </w:pPr>
            <w:r>
              <w:rPr>
                <w:rFonts w:hint="eastAsia"/>
              </w:rPr>
              <w:t>-</w:t>
            </w:r>
          </w:p>
        </w:tc>
        <w:tc>
          <w:tcPr>
            <w:tcW w:w="922" w:type="dxa"/>
            <w:vAlign w:val="center"/>
          </w:tcPr>
          <w:p w14:paraId="2BD28831">
            <w:pPr>
              <w:jc w:val="right"/>
            </w:pPr>
            <w:r>
              <w:rPr>
                <w:rFonts w:hint="eastAsia"/>
              </w:rPr>
              <w:t>-</w:t>
            </w:r>
          </w:p>
        </w:tc>
        <w:tc>
          <w:tcPr>
            <w:tcW w:w="922" w:type="dxa"/>
            <w:vAlign w:val="center"/>
          </w:tcPr>
          <w:p w14:paraId="57013D04">
            <w:pPr>
              <w:jc w:val="right"/>
            </w:pPr>
            <w:r>
              <w:rPr>
                <w:rFonts w:hint="eastAsia"/>
              </w:rPr>
              <w:t>-</w:t>
            </w:r>
          </w:p>
        </w:tc>
        <w:tc>
          <w:tcPr>
            <w:tcW w:w="922" w:type="dxa"/>
            <w:vAlign w:val="center"/>
          </w:tcPr>
          <w:p w14:paraId="779BFD67">
            <w:pPr>
              <w:jc w:val="right"/>
            </w:pPr>
            <w:r>
              <w:rPr>
                <w:rFonts w:hint="eastAsia"/>
              </w:rPr>
              <w:t>-</w:t>
            </w:r>
          </w:p>
        </w:tc>
        <w:tc>
          <w:tcPr>
            <w:tcW w:w="922" w:type="dxa"/>
            <w:vAlign w:val="center"/>
          </w:tcPr>
          <w:p w14:paraId="1FF4FED8">
            <w:pPr>
              <w:jc w:val="right"/>
            </w:pPr>
            <w:r>
              <w:rPr>
                <w:rFonts w:hint="eastAsia"/>
              </w:rPr>
              <w:t>-</w:t>
            </w:r>
          </w:p>
        </w:tc>
      </w:tr>
      <w:tr w14:paraId="39F6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223B09">
            <w:r>
              <w:rPr>
                <w:rFonts w:hint="eastAsia"/>
              </w:rPr>
              <w:t>国泰海通</w:t>
            </w:r>
          </w:p>
        </w:tc>
        <w:tc>
          <w:tcPr>
            <w:tcW w:w="922" w:type="dxa"/>
            <w:vAlign w:val="center"/>
          </w:tcPr>
          <w:p w14:paraId="53F7D948">
            <w:pPr>
              <w:jc w:val="right"/>
            </w:pPr>
            <w:r>
              <w:rPr>
                <w:rFonts w:hint="eastAsia"/>
              </w:rPr>
              <w:t>2,997,887.00</w:t>
            </w:r>
          </w:p>
        </w:tc>
        <w:tc>
          <w:tcPr>
            <w:tcW w:w="922" w:type="dxa"/>
            <w:vAlign w:val="center"/>
          </w:tcPr>
          <w:p w14:paraId="04A3B19A">
            <w:pPr>
              <w:jc w:val="right"/>
            </w:pPr>
            <w:r>
              <w:rPr>
                <w:rFonts w:hint="eastAsia"/>
              </w:rPr>
              <w:t>100.00%</w:t>
            </w:r>
          </w:p>
        </w:tc>
        <w:tc>
          <w:tcPr>
            <w:tcW w:w="922" w:type="dxa"/>
            <w:vAlign w:val="center"/>
          </w:tcPr>
          <w:p w14:paraId="130FF011">
            <w:pPr>
              <w:jc w:val="right"/>
            </w:pPr>
            <w:r>
              <w:rPr>
                <w:rFonts w:hint="eastAsia"/>
              </w:rPr>
              <w:t>8,500,000.00</w:t>
            </w:r>
          </w:p>
        </w:tc>
        <w:tc>
          <w:tcPr>
            <w:tcW w:w="922" w:type="dxa"/>
            <w:vAlign w:val="center"/>
          </w:tcPr>
          <w:p w14:paraId="783FB723">
            <w:pPr>
              <w:jc w:val="right"/>
            </w:pPr>
            <w:r>
              <w:rPr>
                <w:rFonts w:hint="eastAsia"/>
              </w:rPr>
              <w:t>100.00%</w:t>
            </w:r>
          </w:p>
        </w:tc>
        <w:tc>
          <w:tcPr>
            <w:tcW w:w="922" w:type="dxa"/>
            <w:vAlign w:val="center"/>
          </w:tcPr>
          <w:p w14:paraId="5E2DB04A">
            <w:pPr>
              <w:jc w:val="right"/>
            </w:pPr>
            <w:r>
              <w:rPr>
                <w:rFonts w:hint="eastAsia"/>
              </w:rPr>
              <w:t>-</w:t>
            </w:r>
          </w:p>
        </w:tc>
        <w:tc>
          <w:tcPr>
            <w:tcW w:w="922" w:type="dxa"/>
            <w:vAlign w:val="center"/>
          </w:tcPr>
          <w:p w14:paraId="0C873E03">
            <w:pPr>
              <w:jc w:val="right"/>
            </w:pPr>
            <w:r>
              <w:rPr>
                <w:rFonts w:hint="eastAsia"/>
              </w:rPr>
              <w:t>-</w:t>
            </w:r>
          </w:p>
        </w:tc>
        <w:tc>
          <w:tcPr>
            <w:tcW w:w="922" w:type="dxa"/>
            <w:vAlign w:val="center"/>
          </w:tcPr>
          <w:p w14:paraId="55CD3FAF">
            <w:pPr>
              <w:jc w:val="right"/>
            </w:pPr>
            <w:r>
              <w:rPr>
                <w:rFonts w:hint="eastAsia"/>
              </w:rPr>
              <w:t>-</w:t>
            </w:r>
          </w:p>
        </w:tc>
        <w:tc>
          <w:tcPr>
            <w:tcW w:w="922" w:type="dxa"/>
            <w:vAlign w:val="center"/>
          </w:tcPr>
          <w:p w14:paraId="6A7B9619">
            <w:pPr>
              <w:jc w:val="right"/>
            </w:pPr>
            <w:r>
              <w:rPr>
                <w:rFonts w:hint="eastAsia"/>
              </w:rPr>
              <w:t>-</w:t>
            </w:r>
          </w:p>
        </w:tc>
      </w:tr>
      <w:tr w14:paraId="5926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36F9B8">
            <w:r>
              <w:rPr>
                <w:rFonts w:hint="eastAsia"/>
              </w:rPr>
              <w:t>华泰证券</w:t>
            </w:r>
          </w:p>
        </w:tc>
        <w:tc>
          <w:tcPr>
            <w:tcW w:w="922" w:type="dxa"/>
            <w:vAlign w:val="center"/>
          </w:tcPr>
          <w:p w14:paraId="2A2DE1B0">
            <w:pPr>
              <w:jc w:val="right"/>
            </w:pPr>
            <w:r>
              <w:rPr>
                <w:rFonts w:hint="eastAsia"/>
              </w:rPr>
              <w:t>-</w:t>
            </w:r>
          </w:p>
        </w:tc>
        <w:tc>
          <w:tcPr>
            <w:tcW w:w="922" w:type="dxa"/>
            <w:vAlign w:val="center"/>
          </w:tcPr>
          <w:p w14:paraId="782C9979">
            <w:pPr>
              <w:jc w:val="right"/>
            </w:pPr>
            <w:r>
              <w:rPr>
                <w:rFonts w:hint="eastAsia"/>
              </w:rPr>
              <w:t>-</w:t>
            </w:r>
          </w:p>
        </w:tc>
        <w:tc>
          <w:tcPr>
            <w:tcW w:w="922" w:type="dxa"/>
            <w:vAlign w:val="center"/>
          </w:tcPr>
          <w:p w14:paraId="4A3B6834">
            <w:pPr>
              <w:jc w:val="right"/>
            </w:pPr>
            <w:r>
              <w:rPr>
                <w:rFonts w:hint="eastAsia"/>
              </w:rPr>
              <w:t>-</w:t>
            </w:r>
          </w:p>
        </w:tc>
        <w:tc>
          <w:tcPr>
            <w:tcW w:w="922" w:type="dxa"/>
            <w:vAlign w:val="center"/>
          </w:tcPr>
          <w:p w14:paraId="00F5C99B">
            <w:pPr>
              <w:jc w:val="right"/>
            </w:pPr>
            <w:r>
              <w:rPr>
                <w:rFonts w:hint="eastAsia"/>
              </w:rPr>
              <w:t>-</w:t>
            </w:r>
          </w:p>
        </w:tc>
        <w:tc>
          <w:tcPr>
            <w:tcW w:w="922" w:type="dxa"/>
            <w:vAlign w:val="center"/>
          </w:tcPr>
          <w:p w14:paraId="6FAFA78B">
            <w:pPr>
              <w:jc w:val="right"/>
            </w:pPr>
            <w:r>
              <w:rPr>
                <w:rFonts w:hint="eastAsia"/>
              </w:rPr>
              <w:t>-</w:t>
            </w:r>
          </w:p>
        </w:tc>
        <w:tc>
          <w:tcPr>
            <w:tcW w:w="922" w:type="dxa"/>
            <w:vAlign w:val="center"/>
          </w:tcPr>
          <w:p w14:paraId="3EEBA698">
            <w:pPr>
              <w:jc w:val="right"/>
            </w:pPr>
            <w:r>
              <w:rPr>
                <w:rFonts w:hint="eastAsia"/>
              </w:rPr>
              <w:t>-</w:t>
            </w:r>
          </w:p>
        </w:tc>
        <w:tc>
          <w:tcPr>
            <w:tcW w:w="922" w:type="dxa"/>
            <w:vAlign w:val="center"/>
          </w:tcPr>
          <w:p w14:paraId="6AA01288">
            <w:pPr>
              <w:jc w:val="right"/>
            </w:pPr>
            <w:r>
              <w:rPr>
                <w:rFonts w:hint="eastAsia"/>
              </w:rPr>
              <w:t>289,350,921.60</w:t>
            </w:r>
          </w:p>
        </w:tc>
        <w:tc>
          <w:tcPr>
            <w:tcW w:w="922" w:type="dxa"/>
            <w:vAlign w:val="center"/>
          </w:tcPr>
          <w:p w14:paraId="619EC476">
            <w:pPr>
              <w:jc w:val="right"/>
            </w:pPr>
            <w:r>
              <w:rPr>
                <w:rFonts w:hint="eastAsia"/>
              </w:rPr>
              <w:t>100.00%</w:t>
            </w:r>
          </w:p>
        </w:tc>
      </w:tr>
      <w:tr w14:paraId="4296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9189CD">
            <w:r>
              <w:rPr>
                <w:rFonts w:hint="eastAsia"/>
              </w:rPr>
              <w:t>招商证券</w:t>
            </w:r>
          </w:p>
        </w:tc>
        <w:tc>
          <w:tcPr>
            <w:tcW w:w="922" w:type="dxa"/>
            <w:vAlign w:val="center"/>
          </w:tcPr>
          <w:p w14:paraId="4C950817">
            <w:pPr>
              <w:jc w:val="right"/>
            </w:pPr>
            <w:r>
              <w:rPr>
                <w:rFonts w:hint="eastAsia"/>
              </w:rPr>
              <w:t>-</w:t>
            </w:r>
          </w:p>
        </w:tc>
        <w:tc>
          <w:tcPr>
            <w:tcW w:w="922" w:type="dxa"/>
            <w:vAlign w:val="center"/>
          </w:tcPr>
          <w:p w14:paraId="7C6BED00">
            <w:pPr>
              <w:jc w:val="right"/>
            </w:pPr>
            <w:r>
              <w:rPr>
                <w:rFonts w:hint="eastAsia"/>
              </w:rPr>
              <w:t>-</w:t>
            </w:r>
          </w:p>
        </w:tc>
        <w:tc>
          <w:tcPr>
            <w:tcW w:w="922" w:type="dxa"/>
            <w:vAlign w:val="center"/>
          </w:tcPr>
          <w:p w14:paraId="2EC86865">
            <w:pPr>
              <w:jc w:val="right"/>
            </w:pPr>
            <w:r>
              <w:rPr>
                <w:rFonts w:hint="eastAsia"/>
              </w:rPr>
              <w:t>-</w:t>
            </w:r>
          </w:p>
        </w:tc>
        <w:tc>
          <w:tcPr>
            <w:tcW w:w="922" w:type="dxa"/>
            <w:vAlign w:val="center"/>
          </w:tcPr>
          <w:p w14:paraId="793EB112">
            <w:pPr>
              <w:jc w:val="right"/>
            </w:pPr>
            <w:r>
              <w:rPr>
                <w:rFonts w:hint="eastAsia"/>
              </w:rPr>
              <w:t>-</w:t>
            </w:r>
          </w:p>
        </w:tc>
        <w:tc>
          <w:tcPr>
            <w:tcW w:w="922" w:type="dxa"/>
            <w:vAlign w:val="center"/>
          </w:tcPr>
          <w:p w14:paraId="52D5D38A">
            <w:pPr>
              <w:jc w:val="right"/>
            </w:pPr>
            <w:r>
              <w:rPr>
                <w:rFonts w:hint="eastAsia"/>
              </w:rPr>
              <w:t>-</w:t>
            </w:r>
          </w:p>
        </w:tc>
        <w:tc>
          <w:tcPr>
            <w:tcW w:w="922" w:type="dxa"/>
            <w:vAlign w:val="center"/>
          </w:tcPr>
          <w:p w14:paraId="6DDA2BF7">
            <w:pPr>
              <w:jc w:val="right"/>
            </w:pPr>
            <w:r>
              <w:rPr>
                <w:rFonts w:hint="eastAsia"/>
              </w:rPr>
              <w:t>-</w:t>
            </w:r>
          </w:p>
        </w:tc>
        <w:tc>
          <w:tcPr>
            <w:tcW w:w="922" w:type="dxa"/>
            <w:vAlign w:val="center"/>
          </w:tcPr>
          <w:p w14:paraId="324FB347">
            <w:pPr>
              <w:jc w:val="right"/>
            </w:pPr>
            <w:r>
              <w:rPr>
                <w:rFonts w:hint="eastAsia"/>
              </w:rPr>
              <w:t>-</w:t>
            </w:r>
          </w:p>
        </w:tc>
        <w:tc>
          <w:tcPr>
            <w:tcW w:w="922" w:type="dxa"/>
            <w:vAlign w:val="center"/>
          </w:tcPr>
          <w:p w14:paraId="0A3F5ECE">
            <w:pPr>
              <w:jc w:val="right"/>
            </w:pPr>
            <w:r>
              <w:rPr>
                <w:rFonts w:hint="eastAsia"/>
              </w:rPr>
              <w:t>-</w:t>
            </w:r>
          </w:p>
        </w:tc>
      </w:tr>
    </w:tbl>
    <w:p w14:paraId="66AD6D16">
      <w:pPr>
        <w:pStyle w:val="23"/>
      </w:pPr>
      <w:bookmarkStart w:id="202" w:name="_Toc20022"/>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929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BBE445D">
            <w:pPr>
              <w:jc w:val="center"/>
            </w:pPr>
            <w:r>
              <w:rPr>
                <w:rFonts w:hint="eastAsia"/>
                <w:b/>
              </w:rPr>
              <w:t>序号</w:t>
            </w:r>
          </w:p>
        </w:tc>
        <w:tc>
          <w:tcPr>
            <w:tcW w:w="4319" w:type="dxa"/>
            <w:shd w:val="clear" w:color="auto" w:fill="BFBFBF"/>
            <w:vAlign w:val="center"/>
          </w:tcPr>
          <w:p w14:paraId="15D4B75F">
            <w:pPr>
              <w:jc w:val="center"/>
            </w:pPr>
            <w:r>
              <w:rPr>
                <w:rFonts w:hint="eastAsia"/>
                <w:b/>
              </w:rPr>
              <w:t>公告事项</w:t>
            </w:r>
          </w:p>
        </w:tc>
        <w:tc>
          <w:tcPr>
            <w:tcW w:w="2076" w:type="dxa"/>
            <w:shd w:val="clear" w:color="auto" w:fill="BFBFBF"/>
            <w:vAlign w:val="center"/>
          </w:tcPr>
          <w:p w14:paraId="470A3ACE">
            <w:pPr>
              <w:jc w:val="center"/>
            </w:pPr>
            <w:r>
              <w:rPr>
                <w:rFonts w:hint="eastAsia"/>
                <w:b/>
              </w:rPr>
              <w:t>法定披露方式</w:t>
            </w:r>
          </w:p>
        </w:tc>
        <w:tc>
          <w:tcPr>
            <w:tcW w:w="1218" w:type="dxa"/>
            <w:shd w:val="clear" w:color="auto" w:fill="BFBFBF"/>
            <w:vAlign w:val="center"/>
          </w:tcPr>
          <w:p w14:paraId="7AE261FD">
            <w:pPr>
              <w:jc w:val="center"/>
            </w:pPr>
            <w:r>
              <w:rPr>
                <w:rFonts w:hint="eastAsia"/>
                <w:b/>
              </w:rPr>
              <w:t>法定披露日期</w:t>
            </w:r>
          </w:p>
        </w:tc>
      </w:tr>
      <w:tr w14:paraId="5A6D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CD73F6">
            <w:pPr>
              <w:jc w:val="center"/>
            </w:pPr>
            <w:r>
              <w:rPr>
                <w:rFonts w:hint="eastAsia"/>
              </w:rPr>
              <w:t>1</w:t>
            </w:r>
          </w:p>
        </w:tc>
        <w:tc>
          <w:tcPr>
            <w:tcW w:w="4319" w:type="dxa"/>
            <w:vAlign w:val="center"/>
          </w:tcPr>
          <w:p w14:paraId="2413CA8E">
            <w:r>
              <w:rPr>
                <w:rFonts w:hint="eastAsia"/>
              </w:rPr>
              <w:t>南方基金关于直销平台相关业务费率优惠的公告</w:t>
            </w:r>
          </w:p>
        </w:tc>
        <w:tc>
          <w:tcPr>
            <w:tcW w:w="2076" w:type="dxa"/>
            <w:vAlign w:val="center"/>
          </w:tcPr>
          <w:p w14:paraId="30CD15E6">
            <w:r>
              <w:rPr>
                <w:rFonts w:hint="eastAsia"/>
              </w:rPr>
              <w:t>证券时报、基金管理人网站、中国证监会基金电子披露网站</w:t>
            </w:r>
          </w:p>
        </w:tc>
        <w:tc>
          <w:tcPr>
            <w:tcW w:w="1218" w:type="dxa"/>
            <w:vAlign w:val="center"/>
          </w:tcPr>
          <w:p w14:paraId="743FF289">
            <w:r>
              <w:rPr>
                <w:rFonts w:hint="eastAsia"/>
              </w:rPr>
              <w:t>2025-01-01</w:t>
            </w:r>
          </w:p>
        </w:tc>
      </w:tr>
      <w:tr w14:paraId="72FB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F0F6E0">
            <w:pPr>
              <w:jc w:val="center"/>
            </w:pPr>
            <w:r>
              <w:rPr>
                <w:rFonts w:hint="eastAsia"/>
              </w:rPr>
              <w:t>2</w:t>
            </w:r>
          </w:p>
        </w:tc>
        <w:tc>
          <w:tcPr>
            <w:tcW w:w="4319" w:type="dxa"/>
            <w:vAlign w:val="center"/>
          </w:tcPr>
          <w:p w14:paraId="1ECC963C">
            <w:r>
              <w:rPr>
                <w:rFonts w:hint="eastAsia"/>
              </w:rPr>
              <w:t>南方基金管理股份有限公司关于旗下部分指数基金2025年非港股通交易日申购赎回等业务安排的公告</w:t>
            </w:r>
          </w:p>
        </w:tc>
        <w:tc>
          <w:tcPr>
            <w:tcW w:w="2076" w:type="dxa"/>
            <w:vAlign w:val="center"/>
          </w:tcPr>
          <w:p w14:paraId="41C4AC3B">
            <w:r>
              <w:rPr>
                <w:rFonts w:hint="eastAsia"/>
              </w:rPr>
              <w:t>证券时报、基金管理人网站、中国证监会基金电子披露网站</w:t>
            </w:r>
          </w:p>
        </w:tc>
        <w:tc>
          <w:tcPr>
            <w:tcW w:w="1218" w:type="dxa"/>
            <w:vAlign w:val="center"/>
          </w:tcPr>
          <w:p w14:paraId="782723FB">
            <w:r>
              <w:rPr>
                <w:rFonts w:hint="eastAsia"/>
              </w:rPr>
              <w:t>2025-01-24</w:t>
            </w:r>
          </w:p>
        </w:tc>
      </w:tr>
      <w:tr w14:paraId="5A6F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DACD81">
            <w:pPr>
              <w:jc w:val="center"/>
            </w:pPr>
            <w:r>
              <w:rPr>
                <w:rFonts w:hint="eastAsia"/>
              </w:rPr>
              <w:t>3</w:t>
            </w:r>
          </w:p>
        </w:tc>
        <w:tc>
          <w:tcPr>
            <w:tcW w:w="4319" w:type="dxa"/>
            <w:vAlign w:val="center"/>
          </w:tcPr>
          <w:p w14:paraId="14974449">
            <w:r>
              <w:rPr>
                <w:rFonts w:hint="eastAsia"/>
              </w:rPr>
              <w:t>南方基金管理股份有限公司旗下公募基金通过证券公司证券交易及佣金支付情况（2024年度）</w:t>
            </w:r>
          </w:p>
        </w:tc>
        <w:tc>
          <w:tcPr>
            <w:tcW w:w="2076" w:type="dxa"/>
            <w:vAlign w:val="center"/>
          </w:tcPr>
          <w:p w14:paraId="47F35C64">
            <w:r>
              <w:rPr>
                <w:rFonts w:hint="eastAsia"/>
              </w:rPr>
              <w:t>证券时报、基金管理人网站、中国证监会基金电子披露网站</w:t>
            </w:r>
          </w:p>
        </w:tc>
        <w:tc>
          <w:tcPr>
            <w:tcW w:w="1218" w:type="dxa"/>
            <w:vAlign w:val="center"/>
          </w:tcPr>
          <w:p w14:paraId="7C9505A3">
            <w:r>
              <w:rPr>
                <w:rFonts w:hint="eastAsia"/>
              </w:rPr>
              <w:t>2025-03-31</w:t>
            </w:r>
          </w:p>
        </w:tc>
      </w:tr>
    </w:tbl>
    <w:p w14:paraId="2EF4140B">
      <w:pPr>
        <w:pStyle w:val="26"/>
      </w:pPr>
      <w:bookmarkStart w:id="203" w:name="_Toc1468"/>
      <w:r>
        <w:t>影响投资者决策的其他重要信息</w:t>
      </w:r>
      <w:bookmarkEnd w:id="203"/>
    </w:p>
    <w:p w14:paraId="0E701E80">
      <w:pPr>
        <w:pStyle w:val="23"/>
      </w:pPr>
      <w:bookmarkStart w:id="204" w:name="_Toc26762"/>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D95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ADFC047">
            <w:r>
              <w:rPr>
                <w:rFonts w:hint="eastAsia"/>
              </w:rPr>
              <w:t>投资者类别</w:t>
            </w:r>
          </w:p>
        </w:tc>
        <w:tc>
          <w:tcPr>
            <w:tcW w:w="500" w:type="dxa"/>
            <w:gridSpan w:val="5"/>
            <w:vAlign w:val="center"/>
          </w:tcPr>
          <w:p w14:paraId="2D587D08">
            <w:r>
              <w:rPr>
                <w:rFonts w:hint="eastAsia"/>
              </w:rPr>
              <w:t>报告期内持有基金份额变化情况</w:t>
            </w:r>
          </w:p>
        </w:tc>
        <w:tc>
          <w:tcPr>
            <w:tcW w:w="1377" w:type="dxa"/>
            <w:gridSpan w:val="2"/>
            <w:vAlign w:val="center"/>
          </w:tcPr>
          <w:p w14:paraId="7CBA6539">
            <w:r>
              <w:rPr>
                <w:rFonts w:hint="eastAsia"/>
              </w:rPr>
              <w:t>报告期末持有基金情况</w:t>
            </w:r>
          </w:p>
        </w:tc>
      </w:tr>
      <w:tr w14:paraId="12A0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D14960F"/>
        </w:tc>
        <w:tc>
          <w:tcPr>
            <w:tcW w:w="500" w:type="dxa"/>
            <w:vAlign w:val="center"/>
          </w:tcPr>
          <w:p w14:paraId="2EE67617">
            <w:r>
              <w:rPr>
                <w:rFonts w:hint="eastAsia"/>
              </w:rPr>
              <w:t>序号</w:t>
            </w:r>
          </w:p>
        </w:tc>
        <w:tc>
          <w:tcPr>
            <w:tcW w:w="876" w:type="dxa"/>
            <w:vAlign w:val="center"/>
          </w:tcPr>
          <w:p w14:paraId="19264A1C">
            <w:r>
              <w:rPr>
                <w:rFonts w:hint="eastAsia"/>
              </w:rPr>
              <w:t>持有基金份额比例达到或者超过20%的时间区间</w:t>
            </w:r>
          </w:p>
        </w:tc>
        <w:tc>
          <w:tcPr>
            <w:tcW w:w="1377" w:type="dxa"/>
            <w:vAlign w:val="center"/>
          </w:tcPr>
          <w:p w14:paraId="2054E60C">
            <w:r>
              <w:rPr>
                <w:rFonts w:hint="eastAsia"/>
              </w:rPr>
              <w:t>期初份额</w:t>
            </w:r>
          </w:p>
        </w:tc>
        <w:tc>
          <w:tcPr>
            <w:tcW w:w="1377" w:type="dxa"/>
            <w:vAlign w:val="center"/>
          </w:tcPr>
          <w:p w14:paraId="6FC73E95">
            <w:r>
              <w:rPr>
                <w:rFonts w:hint="eastAsia"/>
              </w:rPr>
              <w:t>申购份额</w:t>
            </w:r>
          </w:p>
        </w:tc>
        <w:tc>
          <w:tcPr>
            <w:tcW w:w="1377" w:type="dxa"/>
            <w:vAlign w:val="center"/>
          </w:tcPr>
          <w:p w14:paraId="5ACF07B7">
            <w:r>
              <w:rPr>
                <w:rFonts w:hint="eastAsia"/>
              </w:rPr>
              <w:t>赎回份额</w:t>
            </w:r>
          </w:p>
        </w:tc>
        <w:tc>
          <w:tcPr>
            <w:tcW w:w="1377" w:type="dxa"/>
            <w:vAlign w:val="center"/>
          </w:tcPr>
          <w:p w14:paraId="4FF5DDC2">
            <w:r>
              <w:rPr>
                <w:rFonts w:hint="eastAsia"/>
              </w:rPr>
              <w:t>持有份额</w:t>
            </w:r>
          </w:p>
        </w:tc>
        <w:tc>
          <w:tcPr>
            <w:tcW w:w="667" w:type="dxa"/>
            <w:vAlign w:val="center"/>
          </w:tcPr>
          <w:p w14:paraId="69970511">
            <w:r>
              <w:rPr>
                <w:rFonts w:hint="eastAsia"/>
              </w:rPr>
              <w:t>份额占比</w:t>
            </w:r>
          </w:p>
        </w:tc>
      </w:tr>
      <w:tr w14:paraId="6BDF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BA766FD">
            <w:r>
              <w:rPr>
                <w:rFonts w:hint="eastAsia"/>
              </w:rPr>
              <w:t>机构</w:t>
            </w:r>
          </w:p>
        </w:tc>
        <w:tc>
          <w:tcPr>
            <w:tcW w:w="500" w:type="dxa"/>
            <w:vAlign w:val="center"/>
          </w:tcPr>
          <w:p w14:paraId="4D875181">
            <w:pPr>
              <w:jc w:val="right"/>
            </w:pPr>
            <w:r>
              <w:rPr>
                <w:rFonts w:hint="eastAsia"/>
              </w:rPr>
              <w:t>1</w:t>
            </w:r>
          </w:p>
        </w:tc>
        <w:tc>
          <w:tcPr>
            <w:tcW w:w="876" w:type="dxa"/>
            <w:vAlign w:val="center"/>
          </w:tcPr>
          <w:p w14:paraId="29C8CCFD">
            <w:r>
              <w:rPr>
                <w:rFonts w:hint="eastAsia"/>
              </w:rPr>
              <w:t>20250101-20250616</w:t>
            </w:r>
          </w:p>
        </w:tc>
        <w:tc>
          <w:tcPr>
            <w:tcW w:w="1377" w:type="dxa"/>
            <w:vAlign w:val="center"/>
          </w:tcPr>
          <w:p w14:paraId="08D8EE36">
            <w:pPr>
              <w:jc w:val="right"/>
            </w:pPr>
            <w:r>
              <w:rPr>
                <w:rFonts w:hint="eastAsia"/>
              </w:rPr>
              <w:t>10,002,916.95</w:t>
            </w:r>
          </w:p>
        </w:tc>
        <w:tc>
          <w:tcPr>
            <w:tcW w:w="1377" w:type="dxa"/>
            <w:vAlign w:val="center"/>
          </w:tcPr>
          <w:p w14:paraId="0750B8F9">
            <w:pPr>
              <w:jc w:val="right"/>
            </w:pPr>
            <w:r>
              <w:rPr>
                <w:rFonts w:hint="eastAsia"/>
              </w:rPr>
              <w:t>-</w:t>
            </w:r>
          </w:p>
        </w:tc>
        <w:tc>
          <w:tcPr>
            <w:tcW w:w="1377" w:type="dxa"/>
            <w:vAlign w:val="center"/>
          </w:tcPr>
          <w:p w14:paraId="64D9FE95">
            <w:pPr>
              <w:jc w:val="right"/>
            </w:pPr>
            <w:r>
              <w:rPr>
                <w:rFonts w:hint="eastAsia"/>
              </w:rPr>
              <w:t>-</w:t>
            </w:r>
          </w:p>
        </w:tc>
        <w:tc>
          <w:tcPr>
            <w:tcW w:w="1377" w:type="dxa"/>
            <w:vAlign w:val="center"/>
          </w:tcPr>
          <w:p w14:paraId="416500E3">
            <w:pPr>
              <w:jc w:val="right"/>
            </w:pPr>
            <w:r>
              <w:rPr>
                <w:rFonts w:hint="eastAsia"/>
              </w:rPr>
              <w:t>10,002,916.95</w:t>
            </w:r>
          </w:p>
        </w:tc>
        <w:tc>
          <w:tcPr>
            <w:tcW w:w="667" w:type="dxa"/>
            <w:vAlign w:val="center"/>
          </w:tcPr>
          <w:p w14:paraId="5D43A315">
            <w:pPr>
              <w:jc w:val="right"/>
            </w:pPr>
            <w:r>
              <w:rPr>
                <w:rFonts w:hint="eastAsia"/>
              </w:rPr>
              <w:t>6.68%</w:t>
            </w:r>
          </w:p>
        </w:tc>
      </w:tr>
      <w:tr w14:paraId="0349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5C40E96">
            <w:r>
              <w:rPr>
                <w:rFonts w:hint="eastAsia"/>
              </w:rPr>
              <w:t>产品特有风险</w:t>
            </w:r>
          </w:p>
        </w:tc>
      </w:tr>
      <w:tr w14:paraId="2CAA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B3B452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DE46356">
      <w:pPr>
        <w:pStyle w:val="23"/>
      </w:pPr>
      <w:bookmarkStart w:id="205" w:name="_Toc7914"/>
      <w:r>
        <w:t>影响投资者决策的其他重要信息</w:t>
      </w:r>
      <w:bookmarkEnd w:id="205"/>
    </w:p>
    <w:p w14:paraId="2F1A0028">
      <w:pPr>
        <w:pStyle w:val="18"/>
        <w:rPr>
          <w:rFonts w:hint="eastAsia"/>
        </w:rPr>
      </w:pPr>
      <w:r>
        <w:rPr>
          <w:rFonts w:hint="eastAsia"/>
        </w:rPr>
        <w:t>无。</w:t>
      </w:r>
    </w:p>
    <w:p w14:paraId="5D9D951F">
      <w:pPr>
        <w:pStyle w:val="26"/>
      </w:pPr>
      <w:bookmarkStart w:id="206" w:name="_Toc11933"/>
      <w:r>
        <w:t>备查文件目录</w:t>
      </w:r>
      <w:bookmarkEnd w:id="206"/>
    </w:p>
    <w:p w14:paraId="74FA6623">
      <w:pPr>
        <w:pStyle w:val="23"/>
      </w:pPr>
      <w:bookmarkStart w:id="207" w:name="_Toc14717"/>
      <w:r>
        <w:t>备查文件目录</w:t>
      </w:r>
      <w:bookmarkEnd w:id="207"/>
    </w:p>
    <w:p w14:paraId="5D5EAC30">
      <w:pPr>
        <w:pStyle w:val="18"/>
        <w:rPr>
          <w:rFonts w:hint="eastAsia"/>
        </w:rPr>
      </w:pPr>
      <w:r>
        <w:rPr>
          <w:rFonts w:hint="eastAsia"/>
        </w:rPr>
        <w:t>1、中国证监会批准设立南方恒生生物科技交易型开放式指数证券投资基金发起式联接基金（QDII）的文件；</w:t>
      </w:r>
    </w:p>
    <w:p w14:paraId="0A015D25">
      <w:pPr>
        <w:pStyle w:val="18"/>
        <w:rPr>
          <w:rFonts w:hint="eastAsia"/>
        </w:rPr>
      </w:pPr>
      <w:r>
        <w:rPr>
          <w:rFonts w:hint="eastAsia"/>
        </w:rPr>
        <w:t>2、《南方恒生生物科技交易型开放式指数证券投资基金发起式联接基金（QDII）基金合同》；</w:t>
      </w:r>
    </w:p>
    <w:p w14:paraId="5C49BD3D">
      <w:pPr>
        <w:pStyle w:val="18"/>
        <w:rPr>
          <w:rFonts w:hint="eastAsia"/>
        </w:rPr>
      </w:pPr>
      <w:r>
        <w:rPr>
          <w:rFonts w:hint="eastAsia"/>
        </w:rPr>
        <w:t>3、《南方恒生生物科技交易型开放式指数证券投资基金发起式联接基金（QDII）托管协议》；</w:t>
      </w:r>
    </w:p>
    <w:p w14:paraId="12BB4015">
      <w:pPr>
        <w:pStyle w:val="18"/>
        <w:rPr>
          <w:rFonts w:hint="eastAsia"/>
        </w:rPr>
      </w:pPr>
      <w:r>
        <w:rPr>
          <w:rFonts w:hint="eastAsia"/>
        </w:rPr>
        <w:t>4、基金管理人业务资格批件、营业执照；</w:t>
      </w:r>
    </w:p>
    <w:p w14:paraId="7E3F8B6C">
      <w:pPr>
        <w:pStyle w:val="18"/>
        <w:rPr>
          <w:rFonts w:hint="eastAsia"/>
        </w:rPr>
      </w:pPr>
      <w:r>
        <w:rPr>
          <w:rFonts w:hint="eastAsia"/>
        </w:rPr>
        <w:t>5、报告期内在选定报刊上披露的各项公告；</w:t>
      </w:r>
    </w:p>
    <w:p w14:paraId="1843466E">
      <w:pPr>
        <w:pStyle w:val="18"/>
        <w:rPr>
          <w:rFonts w:hint="eastAsia"/>
        </w:rPr>
      </w:pPr>
      <w:r>
        <w:rPr>
          <w:rFonts w:hint="eastAsia"/>
        </w:rPr>
        <w:t>6、《南方恒生生物科技交易型开放式指数证券投资基金发起式联接基金（QDII）2025年年度报告》原文。</w:t>
      </w:r>
    </w:p>
    <w:p w14:paraId="01194E0A">
      <w:pPr>
        <w:pStyle w:val="23"/>
      </w:pPr>
      <w:bookmarkStart w:id="208" w:name="_Toc13214"/>
      <w:r>
        <w:t>存放地点</w:t>
      </w:r>
      <w:bookmarkEnd w:id="208"/>
    </w:p>
    <w:p w14:paraId="481E8DCA">
      <w:pPr>
        <w:pStyle w:val="18"/>
        <w:rPr>
          <w:rFonts w:hint="eastAsia"/>
        </w:rPr>
      </w:pPr>
      <w:r>
        <w:rPr>
          <w:rFonts w:hint="eastAsia"/>
        </w:rPr>
        <w:t>深圳市福田区莲花街道益田路5999号基金大厦32-42楼。</w:t>
      </w:r>
    </w:p>
    <w:p w14:paraId="37DC158E">
      <w:pPr>
        <w:pStyle w:val="23"/>
      </w:pPr>
      <w:bookmarkStart w:id="209" w:name="_Toc23273"/>
      <w:r>
        <w:t>查阅方式</w:t>
      </w:r>
      <w:bookmarkEnd w:id="209"/>
    </w:p>
    <w:p w14:paraId="30F1763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7BB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4776">
    <w:pPr>
      <w:pStyle w:val="7"/>
      <w:pBdr>
        <w:bottom w:val="single" w:color="auto" w:sz="4" w:space="1"/>
      </w:pBdr>
      <w:jc w:val="right"/>
    </w:pPr>
    <w:r>
      <w:t>南方恒生生物科技交易型开放式指数证券投资基金发起式联接基金（QDII）2025年年度报告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64D2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E883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3F0DEF5DF7E94AAC8A1DE7467CF49970_12</vt:lpwstr>
  </property>
</Properties>
</file>