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29D3625">
      <w:pPr>
        <w:pStyle w:val="18"/>
        <w:ind w:firstLine="420"/>
      </w:pPr>
      <w:bookmarkStart w:id="204" w:name="_GoBack"/>
      <w:bookmarkEnd w:id="204"/>
    </w:p>
    <w:p w14:paraId="2B34A6C5">
      <w:pPr>
        <w:jc w:val="center"/>
        <w:rPr>
          <w:rFonts w:ascii="宋体" w:hAnsi="宋体"/>
          <w:b/>
          <w:bCs/>
          <w:sz w:val="28"/>
          <w:szCs w:val="30"/>
        </w:rPr>
      </w:pPr>
    </w:p>
    <w:p w14:paraId="2CD71D81">
      <w:pPr>
        <w:jc w:val="center"/>
        <w:rPr>
          <w:rFonts w:ascii="宋体" w:hAnsi="宋体"/>
          <w:b/>
          <w:bCs/>
          <w:sz w:val="48"/>
          <w:szCs w:val="30"/>
        </w:rPr>
      </w:pPr>
      <w:r>
        <w:rPr>
          <w:rFonts w:ascii="宋体" w:hAnsi="宋体"/>
          <w:b/>
          <w:bCs/>
          <w:sz w:val="48"/>
          <w:szCs w:val="30"/>
        </w:rPr>
        <w:t>南方中证同业存单AAA指数7天持有期证券投资基金2025年年度报告</w:t>
      </w:r>
    </w:p>
    <w:p w14:paraId="69FE0BEA">
      <w:pPr>
        <w:jc w:val="center"/>
        <w:rPr>
          <w:rFonts w:ascii="宋体" w:hAnsi="宋体"/>
          <w:b/>
          <w:bCs/>
          <w:sz w:val="48"/>
          <w:szCs w:val="30"/>
        </w:rPr>
      </w:pPr>
      <w:bookmarkStart w:id="0" w:name="OLE_LINK1"/>
      <w:bookmarkStart w:id="1" w:name="OLE_LINK2"/>
    </w:p>
    <w:p w14:paraId="4D8C2FD4">
      <w:pPr>
        <w:jc w:val="center"/>
        <w:rPr>
          <w:rFonts w:ascii="宋体" w:hAnsi="宋体"/>
          <w:b/>
          <w:bCs/>
          <w:sz w:val="28"/>
          <w:szCs w:val="30"/>
        </w:rPr>
      </w:pPr>
    </w:p>
    <w:bookmarkEnd w:id="0"/>
    <w:bookmarkEnd w:id="1"/>
    <w:p w14:paraId="70973F27">
      <w:pPr>
        <w:jc w:val="center"/>
        <w:rPr>
          <w:rFonts w:ascii="宋体" w:hAnsi="宋体"/>
          <w:b/>
          <w:bCs/>
          <w:sz w:val="28"/>
          <w:szCs w:val="30"/>
        </w:rPr>
      </w:pPr>
      <w:r>
        <w:rPr>
          <w:rFonts w:ascii="宋体" w:hAnsi="宋体"/>
          <w:b/>
          <w:bCs/>
          <w:sz w:val="28"/>
          <w:szCs w:val="30"/>
        </w:rPr>
        <w:t>2025年12月31日</w:t>
      </w:r>
    </w:p>
    <w:p w14:paraId="03082609">
      <w:pPr>
        <w:jc w:val="center"/>
        <w:rPr>
          <w:rFonts w:ascii="宋体" w:hAnsi="宋体"/>
          <w:sz w:val="28"/>
          <w:szCs w:val="30"/>
        </w:rPr>
      </w:pPr>
    </w:p>
    <w:p w14:paraId="5D8EABF4">
      <w:pPr>
        <w:jc w:val="center"/>
        <w:rPr>
          <w:rFonts w:ascii="宋体" w:hAnsi="宋体"/>
          <w:sz w:val="28"/>
          <w:szCs w:val="30"/>
        </w:rPr>
      </w:pPr>
    </w:p>
    <w:p w14:paraId="7354575E">
      <w:pPr>
        <w:jc w:val="center"/>
        <w:rPr>
          <w:rFonts w:ascii="宋体" w:hAnsi="宋体"/>
          <w:sz w:val="28"/>
          <w:szCs w:val="30"/>
        </w:rPr>
      </w:pPr>
    </w:p>
    <w:p w14:paraId="2F346678">
      <w:pPr>
        <w:jc w:val="center"/>
        <w:rPr>
          <w:rFonts w:ascii="宋体" w:hAnsi="宋体"/>
          <w:sz w:val="28"/>
          <w:szCs w:val="30"/>
        </w:rPr>
      </w:pPr>
    </w:p>
    <w:p w14:paraId="115F02C7">
      <w:pPr>
        <w:jc w:val="center"/>
        <w:rPr>
          <w:rFonts w:ascii="宋体" w:hAnsi="宋体"/>
          <w:sz w:val="28"/>
          <w:szCs w:val="30"/>
        </w:rPr>
      </w:pPr>
    </w:p>
    <w:p w14:paraId="3EA5275E">
      <w:pPr>
        <w:jc w:val="center"/>
        <w:rPr>
          <w:rFonts w:ascii="宋体" w:hAnsi="宋体"/>
          <w:sz w:val="28"/>
          <w:szCs w:val="30"/>
        </w:rPr>
      </w:pPr>
    </w:p>
    <w:p w14:paraId="4D2719BF">
      <w:pPr>
        <w:jc w:val="center"/>
        <w:rPr>
          <w:rFonts w:ascii="宋体" w:hAnsi="宋体"/>
          <w:sz w:val="28"/>
          <w:szCs w:val="30"/>
        </w:rPr>
      </w:pPr>
    </w:p>
    <w:p w14:paraId="5CD72657">
      <w:pPr>
        <w:jc w:val="center"/>
        <w:rPr>
          <w:rFonts w:ascii="宋体" w:hAnsi="宋体"/>
          <w:sz w:val="28"/>
          <w:szCs w:val="30"/>
        </w:rPr>
      </w:pPr>
    </w:p>
    <w:p w14:paraId="4DA01FA0">
      <w:pPr>
        <w:jc w:val="center"/>
        <w:rPr>
          <w:rFonts w:ascii="宋体" w:hAnsi="宋体"/>
          <w:sz w:val="28"/>
          <w:szCs w:val="30"/>
        </w:rPr>
      </w:pPr>
    </w:p>
    <w:p w14:paraId="5F36CC81">
      <w:pPr>
        <w:jc w:val="center"/>
        <w:rPr>
          <w:rFonts w:ascii="宋体" w:hAnsi="宋体"/>
          <w:sz w:val="28"/>
          <w:szCs w:val="30"/>
        </w:rPr>
      </w:pPr>
    </w:p>
    <w:p w14:paraId="74ED82D1">
      <w:pPr>
        <w:ind w:firstLine="1687" w:firstLineChars="600"/>
        <w:rPr>
          <w:rFonts w:ascii="宋体" w:hAnsi="宋体"/>
          <w:b/>
          <w:bCs/>
          <w:sz w:val="28"/>
          <w:szCs w:val="30"/>
        </w:rPr>
      </w:pPr>
      <w:r>
        <w:rPr>
          <w:rFonts w:hint="eastAsia" w:ascii="宋体" w:hAnsi="宋体"/>
          <w:b/>
          <w:bCs/>
          <w:sz w:val="28"/>
          <w:szCs w:val="30"/>
        </w:rPr>
        <w:t>基金管理人：南方基金管理股份有限公司</w:t>
      </w:r>
    </w:p>
    <w:p w14:paraId="5DD1E693">
      <w:pPr>
        <w:ind w:firstLine="1687" w:firstLineChars="600"/>
        <w:rPr>
          <w:rFonts w:ascii="宋体" w:hAnsi="宋体"/>
          <w:b/>
          <w:bCs/>
          <w:sz w:val="28"/>
          <w:szCs w:val="30"/>
        </w:rPr>
      </w:pPr>
      <w:r>
        <w:rPr>
          <w:rFonts w:hint="eastAsia" w:ascii="宋体" w:hAnsi="宋体"/>
          <w:b/>
          <w:bCs/>
          <w:sz w:val="28"/>
          <w:szCs w:val="30"/>
        </w:rPr>
        <w:t>基金托管人：交通银行股份有限公司</w:t>
      </w:r>
    </w:p>
    <w:p w14:paraId="6346C43B">
      <w:pPr>
        <w:ind w:firstLine="1687" w:firstLineChars="600"/>
        <w:rPr>
          <w:rFonts w:ascii="宋体" w:hAnsi="宋体"/>
          <w:b/>
          <w:bCs/>
          <w:sz w:val="28"/>
          <w:szCs w:val="30"/>
        </w:rPr>
      </w:pPr>
      <w:r>
        <w:rPr>
          <w:rFonts w:hint="eastAsia" w:ascii="宋体" w:hAnsi="宋体"/>
          <w:b/>
          <w:bCs/>
          <w:sz w:val="28"/>
          <w:szCs w:val="30"/>
        </w:rPr>
        <w:t>送出日期：2026年3月31日</w:t>
      </w:r>
    </w:p>
    <w:p w14:paraId="0A786ABA">
      <w:pPr>
        <w:ind w:firstLine="1687" w:firstLineChars="600"/>
        <w:rPr>
          <w:rFonts w:ascii="宋体" w:hAnsi="宋体"/>
          <w:b/>
          <w:bCs/>
          <w:sz w:val="28"/>
          <w:szCs w:val="30"/>
        </w:rPr>
      </w:pPr>
    </w:p>
    <w:p w14:paraId="748578C7">
      <w:pPr>
        <w:snapToGrid w:val="0"/>
        <w:spacing w:line="360" w:lineRule="auto"/>
        <w:jc w:val="left"/>
      </w:pPr>
      <w:r>
        <w:br w:type="page"/>
      </w:r>
    </w:p>
    <w:p w14:paraId="5FEDE4C0"/>
    <w:p w14:paraId="43365046">
      <w:pPr>
        <w:pStyle w:val="26"/>
      </w:pPr>
      <w:bookmarkStart w:id="2" w:name="_Toc23863"/>
      <w:r>
        <w:t>重要提示及目录</w:t>
      </w:r>
      <w:bookmarkEnd w:id="2"/>
    </w:p>
    <w:p w14:paraId="5BB95F82">
      <w:pPr>
        <w:pStyle w:val="23"/>
      </w:pPr>
      <w:bookmarkStart w:id="3" w:name="_Toc10400"/>
      <w:r>
        <w:t>重要提示</w:t>
      </w:r>
      <w:bookmarkEnd w:id="3"/>
    </w:p>
    <w:p w14:paraId="6E28CABA">
      <w:pPr>
        <w:pStyle w:val="18"/>
        <w:rPr>
          <w:rFonts w:hint="eastAsia"/>
        </w:rPr>
      </w:pPr>
      <w:r>
        <w:rPr>
          <w:rFonts w:hint="eastAsia"/>
        </w:rPr>
        <w:t>基金管理人的董事会及董事保证本报告所载资料不存在虚假记载、误导性陈述或重大遗漏，并对其内容的真实性、准确性和完整性承担个别及连带的法律责任。</w:t>
      </w:r>
    </w:p>
    <w:p w14:paraId="60921A58">
      <w:pPr>
        <w:pStyle w:val="18"/>
        <w:rPr>
          <w:rFonts w:hint="eastAsia"/>
        </w:rPr>
      </w:pPr>
      <w:r>
        <w:rPr>
          <w:rFonts w:hint="eastAsia"/>
        </w:rPr>
        <w:t>本年度报告已经三分之二以上独立董事签字同意，并由董事长签发。</w:t>
      </w:r>
    </w:p>
    <w:p w14:paraId="6E6B9929">
      <w:pPr>
        <w:pStyle w:val="18"/>
        <w:rPr>
          <w:rFonts w:hint="eastAsia"/>
        </w:rPr>
      </w:pPr>
      <w:r>
        <w:rPr>
          <w:rFonts w:hint="eastAsia"/>
        </w:rPr>
        <w:t>基金托管人交通银行股份有限公司根据本基金合同规定，于2026年3月27日复核了本报告中的财务指标、净值表现、利润分配情况、财务会计报告、投资组合报告等内容，保证复核内容不存在虚假记载、误导性陈述或者重大遗漏。</w:t>
      </w:r>
    </w:p>
    <w:p w14:paraId="541F847D">
      <w:pPr>
        <w:pStyle w:val="18"/>
        <w:rPr>
          <w:rFonts w:hint="eastAsia"/>
        </w:rPr>
      </w:pPr>
      <w:r>
        <w:rPr>
          <w:rFonts w:hint="eastAsia"/>
        </w:rPr>
        <w:t>基金管理人承诺以诚实信用、勤勉尽责的原则管理和运用基金资产，但不保证基金一定盈利。</w:t>
      </w:r>
    </w:p>
    <w:p w14:paraId="03E7A7FD">
      <w:pPr>
        <w:pStyle w:val="18"/>
        <w:rPr>
          <w:rFonts w:hint="eastAsia"/>
        </w:rPr>
      </w:pPr>
      <w:r>
        <w:rPr>
          <w:rFonts w:hint="eastAsia"/>
        </w:rPr>
        <w:t>基金的过往业绩并不代表其未来表现。投资有风险，投资者在作出投资决策前应仔细阅读本基金的招募说明书及其更新。</w:t>
      </w:r>
    </w:p>
    <w:p w14:paraId="59297834">
      <w:pPr>
        <w:pStyle w:val="18"/>
        <w:rPr>
          <w:rFonts w:hint="eastAsia"/>
        </w:rPr>
      </w:pPr>
      <w:r>
        <w:rPr>
          <w:rFonts w:hint="eastAsia"/>
        </w:rPr>
        <w:t>本报告期自2025年1月1日起至12月31日止。</w:t>
      </w:r>
    </w:p>
    <w:p w14:paraId="049597B3">
      <w:pPr>
        <w:pStyle w:val="23"/>
        <w:pageBreakBefore/>
      </w:pPr>
      <w:bookmarkStart w:id="4" w:name="_Toc31720"/>
      <w:r>
        <w:t>目录</w:t>
      </w:r>
      <w:bookmarkEnd w:id="4"/>
    </w:p>
    <w:sdt>
      <w:sdtPr>
        <w:rPr>
          <w:rFonts w:ascii="宋体" w:hAnsi="宋体" w:eastAsia="宋体"/>
          <w:color w:val="DBDBDB"/>
          <w:sz w:val="21"/>
          <w:szCs w:val="24"/>
          <w:lang w:val="en-US" w:eastAsia="zh-CN" w:bidi="ar-SA"/>
        </w:rPr>
        <w:id w:val="37067"/>
        <w:docPartObj>
          <w:docPartGallery w:val="Table of Contents"/>
          <w:docPartUnique/>
        </w:docPartObj>
      </w:sdtPr>
      <w:sdtEndPr>
        <w:rPr>
          <w:rFonts w:ascii="宋体" w:hAnsi="宋体" w:eastAsia="宋体"/>
          <w:b/>
          <w:color w:val="DBDBDB"/>
          <w:sz w:val="21"/>
          <w:szCs w:val="24"/>
          <w:lang w:val="en-US" w:eastAsia="zh-CN" w:bidi="ar-SA"/>
        </w:rPr>
      </w:sdtEndPr>
      <w:sdtContent>
        <w:p w14:paraId="4D87B78F">
          <w:pPr>
            <w:pStyle w:val="61"/>
            <w:spacing w:before="0" w:beforeLines="0" w:after="0" w:afterLines="0" w:line="240" w:lineRule="auto"/>
            <w:ind w:left="0" w:leftChars="0" w:right="0" w:rightChars="0" w:firstLine="0" w:firstLineChars="0"/>
            <w:jc w:val="center"/>
            <w:rPr>
              <w:b/>
            </w:rPr>
          </w:pPr>
          <w:r>
            <w:rPr>
              <w:b/>
              <w:lang w:val="zh-CN"/>
            </w:rPr>
            <w:t>目录</w:t>
          </w:r>
        </w:p>
        <w:p w14:paraId="50622CE0">
          <w:pPr>
            <w:pStyle w:val="8"/>
            <w:tabs>
              <w:tab w:val="right" w:leader="dot" w:pos="8306"/>
            </w:tabs>
          </w:pPr>
          <w:r>
            <w:fldChar w:fldCharType="begin"/>
          </w:r>
          <w:r>
            <w:instrText xml:space="preserve">TOC \o "1-2" \h \z \u </w:instrText>
          </w:r>
          <w:r>
            <w:fldChar w:fldCharType="separate"/>
          </w:r>
          <w:r>
            <w:fldChar w:fldCharType="begin"/>
          </w:r>
          <w:r>
            <w:instrText xml:space="preserve"> HYPERLINK \l _Toc23863 </w:instrText>
          </w:r>
          <w:r>
            <w:fldChar w:fldCharType="separate"/>
          </w:r>
          <w:r>
            <w:rPr>
              <w:rFonts w:hint="eastAsia"/>
            </w:rPr>
            <w:t xml:space="preserve">§1 </w:t>
          </w:r>
          <w:r>
            <w:t>重要提示及目录</w:t>
          </w:r>
          <w:r>
            <w:tab/>
          </w:r>
          <w:r>
            <w:fldChar w:fldCharType="begin"/>
          </w:r>
          <w:r>
            <w:instrText xml:space="preserve"> PAGEREF _Toc23863 \h </w:instrText>
          </w:r>
          <w:r>
            <w:fldChar w:fldCharType="separate"/>
          </w:r>
          <w:r>
            <w:t>1</w:t>
          </w:r>
          <w:r>
            <w:fldChar w:fldCharType="end"/>
          </w:r>
          <w:r>
            <w:fldChar w:fldCharType="end"/>
          </w:r>
        </w:p>
        <w:p w14:paraId="731061D8">
          <w:pPr>
            <w:pStyle w:val="10"/>
            <w:tabs>
              <w:tab w:val="right" w:leader="dot" w:pos="8306"/>
            </w:tabs>
          </w:pPr>
          <w:r>
            <w:fldChar w:fldCharType="begin"/>
          </w:r>
          <w:r>
            <w:instrText xml:space="preserve"> HYPERLINK \l _Toc10400 </w:instrText>
          </w:r>
          <w:r>
            <w:fldChar w:fldCharType="separate"/>
          </w:r>
          <w:r>
            <w:rPr>
              <w:rFonts w:hint="eastAsia"/>
            </w:rPr>
            <w:t xml:space="preserve">1.1 </w:t>
          </w:r>
          <w:r>
            <w:t>重要提示</w:t>
          </w:r>
          <w:r>
            <w:tab/>
          </w:r>
          <w:r>
            <w:fldChar w:fldCharType="begin"/>
          </w:r>
          <w:r>
            <w:instrText xml:space="preserve"> PAGEREF _Toc10400 \h </w:instrText>
          </w:r>
          <w:r>
            <w:fldChar w:fldCharType="separate"/>
          </w:r>
          <w:r>
            <w:t>1</w:t>
          </w:r>
          <w:r>
            <w:fldChar w:fldCharType="end"/>
          </w:r>
          <w:r>
            <w:fldChar w:fldCharType="end"/>
          </w:r>
        </w:p>
        <w:p w14:paraId="367C9A37">
          <w:pPr>
            <w:pStyle w:val="10"/>
            <w:tabs>
              <w:tab w:val="right" w:leader="dot" w:pos="8306"/>
            </w:tabs>
          </w:pPr>
          <w:r>
            <w:fldChar w:fldCharType="begin"/>
          </w:r>
          <w:r>
            <w:instrText xml:space="preserve"> HYPERLINK \l _Toc31720 </w:instrText>
          </w:r>
          <w:r>
            <w:fldChar w:fldCharType="separate"/>
          </w:r>
          <w:r>
            <w:rPr>
              <w:rFonts w:hint="eastAsia"/>
            </w:rPr>
            <w:t xml:space="preserve">1.2 </w:t>
          </w:r>
          <w:r>
            <w:t>目录</w:t>
          </w:r>
          <w:r>
            <w:tab/>
          </w:r>
          <w:r>
            <w:fldChar w:fldCharType="begin"/>
          </w:r>
          <w:r>
            <w:instrText xml:space="preserve"> PAGEREF _Toc31720 \h </w:instrText>
          </w:r>
          <w:r>
            <w:fldChar w:fldCharType="separate"/>
          </w:r>
          <w:r>
            <w:t>2</w:t>
          </w:r>
          <w:r>
            <w:fldChar w:fldCharType="end"/>
          </w:r>
          <w:r>
            <w:fldChar w:fldCharType="end"/>
          </w:r>
        </w:p>
        <w:p w14:paraId="51A87C55">
          <w:pPr>
            <w:pStyle w:val="8"/>
            <w:tabs>
              <w:tab w:val="right" w:leader="dot" w:pos="8306"/>
            </w:tabs>
          </w:pPr>
          <w:r>
            <w:fldChar w:fldCharType="begin"/>
          </w:r>
          <w:r>
            <w:instrText xml:space="preserve"> HYPERLINK \l _Toc11640 </w:instrText>
          </w:r>
          <w:r>
            <w:fldChar w:fldCharType="separate"/>
          </w:r>
          <w:r>
            <w:rPr>
              <w:rFonts w:hint="eastAsia"/>
            </w:rPr>
            <w:t xml:space="preserve">§2 </w:t>
          </w:r>
          <w:r>
            <w:t>基金简介</w:t>
          </w:r>
          <w:r>
            <w:tab/>
          </w:r>
          <w:r>
            <w:fldChar w:fldCharType="begin"/>
          </w:r>
          <w:r>
            <w:instrText xml:space="preserve"> PAGEREF _Toc11640 \h </w:instrText>
          </w:r>
          <w:r>
            <w:fldChar w:fldCharType="separate"/>
          </w:r>
          <w:r>
            <w:t>4</w:t>
          </w:r>
          <w:r>
            <w:fldChar w:fldCharType="end"/>
          </w:r>
          <w:r>
            <w:fldChar w:fldCharType="end"/>
          </w:r>
        </w:p>
        <w:p w14:paraId="237292DD">
          <w:pPr>
            <w:pStyle w:val="10"/>
            <w:tabs>
              <w:tab w:val="right" w:leader="dot" w:pos="8306"/>
            </w:tabs>
          </w:pPr>
          <w:r>
            <w:fldChar w:fldCharType="begin"/>
          </w:r>
          <w:r>
            <w:instrText xml:space="preserve"> HYPERLINK \l _Toc29372 </w:instrText>
          </w:r>
          <w:r>
            <w:fldChar w:fldCharType="separate"/>
          </w:r>
          <w:r>
            <w:rPr>
              <w:rFonts w:hint="eastAsia"/>
            </w:rPr>
            <w:t xml:space="preserve">2.1 </w:t>
          </w:r>
          <w:r>
            <w:t>基金基本情况</w:t>
          </w:r>
          <w:r>
            <w:tab/>
          </w:r>
          <w:r>
            <w:fldChar w:fldCharType="begin"/>
          </w:r>
          <w:r>
            <w:instrText xml:space="preserve"> PAGEREF _Toc29372 \h </w:instrText>
          </w:r>
          <w:r>
            <w:fldChar w:fldCharType="separate"/>
          </w:r>
          <w:r>
            <w:t>4</w:t>
          </w:r>
          <w:r>
            <w:fldChar w:fldCharType="end"/>
          </w:r>
          <w:r>
            <w:fldChar w:fldCharType="end"/>
          </w:r>
        </w:p>
        <w:p w14:paraId="523D2A27">
          <w:pPr>
            <w:pStyle w:val="10"/>
            <w:tabs>
              <w:tab w:val="right" w:leader="dot" w:pos="8306"/>
            </w:tabs>
          </w:pPr>
          <w:r>
            <w:fldChar w:fldCharType="begin"/>
          </w:r>
          <w:r>
            <w:instrText xml:space="preserve"> HYPERLINK \l _Toc16518 </w:instrText>
          </w:r>
          <w:r>
            <w:fldChar w:fldCharType="separate"/>
          </w:r>
          <w:r>
            <w:rPr>
              <w:rFonts w:hint="eastAsia"/>
            </w:rPr>
            <w:t xml:space="preserve">2.2 </w:t>
          </w:r>
          <w:r>
            <w:t>基金产品说明</w:t>
          </w:r>
          <w:r>
            <w:tab/>
          </w:r>
          <w:r>
            <w:fldChar w:fldCharType="begin"/>
          </w:r>
          <w:r>
            <w:instrText xml:space="preserve"> PAGEREF _Toc16518 \h </w:instrText>
          </w:r>
          <w:r>
            <w:fldChar w:fldCharType="separate"/>
          </w:r>
          <w:r>
            <w:t>4</w:t>
          </w:r>
          <w:r>
            <w:fldChar w:fldCharType="end"/>
          </w:r>
          <w:r>
            <w:fldChar w:fldCharType="end"/>
          </w:r>
        </w:p>
        <w:p w14:paraId="214D7F3E">
          <w:pPr>
            <w:pStyle w:val="10"/>
            <w:tabs>
              <w:tab w:val="right" w:leader="dot" w:pos="8306"/>
            </w:tabs>
          </w:pPr>
          <w:r>
            <w:fldChar w:fldCharType="begin"/>
          </w:r>
          <w:r>
            <w:instrText xml:space="preserve"> HYPERLINK \l _Toc15388 </w:instrText>
          </w:r>
          <w:r>
            <w:fldChar w:fldCharType="separate"/>
          </w:r>
          <w:r>
            <w:rPr>
              <w:rFonts w:hint="eastAsia"/>
            </w:rPr>
            <w:t xml:space="preserve">2.3 </w:t>
          </w:r>
          <w:r>
            <w:t>基金管理人和基金托管人</w:t>
          </w:r>
          <w:r>
            <w:tab/>
          </w:r>
          <w:r>
            <w:fldChar w:fldCharType="begin"/>
          </w:r>
          <w:r>
            <w:instrText xml:space="preserve"> PAGEREF _Toc15388 \h </w:instrText>
          </w:r>
          <w:r>
            <w:fldChar w:fldCharType="separate"/>
          </w:r>
          <w:r>
            <w:t>4</w:t>
          </w:r>
          <w:r>
            <w:fldChar w:fldCharType="end"/>
          </w:r>
          <w:r>
            <w:fldChar w:fldCharType="end"/>
          </w:r>
        </w:p>
        <w:p w14:paraId="6E052E1C">
          <w:pPr>
            <w:pStyle w:val="10"/>
            <w:tabs>
              <w:tab w:val="right" w:leader="dot" w:pos="8306"/>
            </w:tabs>
          </w:pPr>
          <w:r>
            <w:fldChar w:fldCharType="begin"/>
          </w:r>
          <w:r>
            <w:instrText xml:space="preserve"> HYPERLINK \l _Toc8555 </w:instrText>
          </w:r>
          <w:r>
            <w:fldChar w:fldCharType="separate"/>
          </w:r>
          <w:r>
            <w:rPr>
              <w:rFonts w:hint="eastAsia"/>
            </w:rPr>
            <w:t xml:space="preserve">2.4 </w:t>
          </w:r>
          <w:r>
            <w:t>信息披露方式</w:t>
          </w:r>
          <w:r>
            <w:tab/>
          </w:r>
          <w:r>
            <w:fldChar w:fldCharType="begin"/>
          </w:r>
          <w:r>
            <w:instrText xml:space="preserve"> PAGEREF _Toc8555 \h </w:instrText>
          </w:r>
          <w:r>
            <w:fldChar w:fldCharType="separate"/>
          </w:r>
          <w:r>
            <w:t>5</w:t>
          </w:r>
          <w:r>
            <w:fldChar w:fldCharType="end"/>
          </w:r>
          <w:r>
            <w:fldChar w:fldCharType="end"/>
          </w:r>
        </w:p>
        <w:p w14:paraId="33E00111">
          <w:pPr>
            <w:pStyle w:val="10"/>
            <w:tabs>
              <w:tab w:val="right" w:leader="dot" w:pos="8306"/>
            </w:tabs>
          </w:pPr>
          <w:r>
            <w:fldChar w:fldCharType="begin"/>
          </w:r>
          <w:r>
            <w:instrText xml:space="preserve"> HYPERLINK \l _Toc5242 </w:instrText>
          </w:r>
          <w:r>
            <w:fldChar w:fldCharType="separate"/>
          </w:r>
          <w:r>
            <w:rPr>
              <w:rFonts w:hint="eastAsia"/>
            </w:rPr>
            <w:t xml:space="preserve">2.5 </w:t>
          </w:r>
          <w:r>
            <w:t>其他相关资料</w:t>
          </w:r>
          <w:r>
            <w:tab/>
          </w:r>
          <w:r>
            <w:fldChar w:fldCharType="begin"/>
          </w:r>
          <w:r>
            <w:instrText xml:space="preserve"> PAGEREF _Toc5242 \h </w:instrText>
          </w:r>
          <w:r>
            <w:fldChar w:fldCharType="separate"/>
          </w:r>
          <w:r>
            <w:t>5</w:t>
          </w:r>
          <w:r>
            <w:fldChar w:fldCharType="end"/>
          </w:r>
          <w:r>
            <w:fldChar w:fldCharType="end"/>
          </w:r>
        </w:p>
        <w:p w14:paraId="37233170">
          <w:pPr>
            <w:pStyle w:val="8"/>
            <w:tabs>
              <w:tab w:val="right" w:leader="dot" w:pos="8306"/>
            </w:tabs>
          </w:pPr>
          <w:r>
            <w:fldChar w:fldCharType="begin"/>
          </w:r>
          <w:r>
            <w:instrText xml:space="preserve"> HYPERLINK \l _Toc4296 </w:instrText>
          </w:r>
          <w:r>
            <w:fldChar w:fldCharType="separate"/>
          </w:r>
          <w:r>
            <w:rPr>
              <w:rFonts w:hint="eastAsia"/>
            </w:rPr>
            <w:t xml:space="preserve">§3 </w:t>
          </w:r>
          <w:r>
            <w:t>主要财务指标、基金净值表现及利润分配情况</w:t>
          </w:r>
          <w:r>
            <w:tab/>
          </w:r>
          <w:r>
            <w:fldChar w:fldCharType="begin"/>
          </w:r>
          <w:r>
            <w:instrText xml:space="preserve"> PAGEREF _Toc4296 \h </w:instrText>
          </w:r>
          <w:r>
            <w:fldChar w:fldCharType="separate"/>
          </w:r>
          <w:r>
            <w:t>6</w:t>
          </w:r>
          <w:r>
            <w:fldChar w:fldCharType="end"/>
          </w:r>
          <w:r>
            <w:fldChar w:fldCharType="end"/>
          </w:r>
        </w:p>
        <w:p w14:paraId="2C6EF4BB">
          <w:pPr>
            <w:pStyle w:val="10"/>
            <w:tabs>
              <w:tab w:val="right" w:leader="dot" w:pos="8306"/>
            </w:tabs>
          </w:pPr>
          <w:r>
            <w:fldChar w:fldCharType="begin"/>
          </w:r>
          <w:r>
            <w:instrText xml:space="preserve"> HYPERLINK \l _Toc8225 </w:instrText>
          </w:r>
          <w:r>
            <w:fldChar w:fldCharType="separate"/>
          </w:r>
          <w:r>
            <w:rPr>
              <w:rFonts w:hint="eastAsia"/>
            </w:rPr>
            <w:t xml:space="preserve">3.1 </w:t>
          </w:r>
          <w:r>
            <w:t>主要会计数据和财务指标</w:t>
          </w:r>
          <w:r>
            <w:tab/>
          </w:r>
          <w:r>
            <w:fldChar w:fldCharType="begin"/>
          </w:r>
          <w:r>
            <w:instrText xml:space="preserve"> PAGEREF _Toc8225 \h </w:instrText>
          </w:r>
          <w:r>
            <w:fldChar w:fldCharType="separate"/>
          </w:r>
          <w:r>
            <w:t>6</w:t>
          </w:r>
          <w:r>
            <w:fldChar w:fldCharType="end"/>
          </w:r>
          <w:r>
            <w:fldChar w:fldCharType="end"/>
          </w:r>
        </w:p>
        <w:p w14:paraId="69F7270C">
          <w:pPr>
            <w:pStyle w:val="10"/>
            <w:tabs>
              <w:tab w:val="right" w:leader="dot" w:pos="8306"/>
            </w:tabs>
          </w:pPr>
          <w:r>
            <w:fldChar w:fldCharType="begin"/>
          </w:r>
          <w:r>
            <w:instrText xml:space="preserve"> HYPERLINK \l _Toc5948 </w:instrText>
          </w:r>
          <w:r>
            <w:fldChar w:fldCharType="separate"/>
          </w:r>
          <w:r>
            <w:rPr>
              <w:rFonts w:hint="eastAsia"/>
            </w:rPr>
            <w:t xml:space="preserve">3.2 </w:t>
          </w:r>
          <w:r>
            <w:t>基金净值表现</w:t>
          </w:r>
          <w:r>
            <w:tab/>
          </w:r>
          <w:r>
            <w:fldChar w:fldCharType="begin"/>
          </w:r>
          <w:r>
            <w:instrText xml:space="preserve"> PAGEREF _Toc5948 \h </w:instrText>
          </w:r>
          <w:r>
            <w:fldChar w:fldCharType="separate"/>
          </w:r>
          <w:r>
            <w:t>6</w:t>
          </w:r>
          <w:r>
            <w:fldChar w:fldCharType="end"/>
          </w:r>
          <w:r>
            <w:fldChar w:fldCharType="end"/>
          </w:r>
        </w:p>
        <w:p w14:paraId="1DD342A7">
          <w:pPr>
            <w:pStyle w:val="10"/>
            <w:tabs>
              <w:tab w:val="right" w:leader="dot" w:pos="8306"/>
            </w:tabs>
          </w:pPr>
          <w:r>
            <w:fldChar w:fldCharType="begin"/>
          </w:r>
          <w:r>
            <w:instrText xml:space="preserve"> HYPERLINK \l _Toc27820 </w:instrText>
          </w:r>
          <w:r>
            <w:fldChar w:fldCharType="separate"/>
          </w:r>
          <w:r>
            <w:rPr>
              <w:rFonts w:hint="eastAsia"/>
            </w:rPr>
            <w:t xml:space="preserve">3.3 </w:t>
          </w:r>
          <w:r>
            <w:t>过去三年基金的利润分配情况</w:t>
          </w:r>
          <w:r>
            <w:tab/>
          </w:r>
          <w:r>
            <w:fldChar w:fldCharType="begin"/>
          </w:r>
          <w:r>
            <w:instrText xml:space="preserve"> PAGEREF _Toc27820 \h </w:instrText>
          </w:r>
          <w:r>
            <w:fldChar w:fldCharType="separate"/>
          </w:r>
          <w:r>
            <w:t>8</w:t>
          </w:r>
          <w:r>
            <w:fldChar w:fldCharType="end"/>
          </w:r>
          <w:r>
            <w:fldChar w:fldCharType="end"/>
          </w:r>
        </w:p>
        <w:p w14:paraId="4F5CABFF">
          <w:pPr>
            <w:pStyle w:val="8"/>
            <w:tabs>
              <w:tab w:val="right" w:leader="dot" w:pos="8306"/>
            </w:tabs>
          </w:pPr>
          <w:r>
            <w:fldChar w:fldCharType="begin"/>
          </w:r>
          <w:r>
            <w:instrText xml:space="preserve"> HYPERLINK \l _Toc32135 </w:instrText>
          </w:r>
          <w:r>
            <w:fldChar w:fldCharType="separate"/>
          </w:r>
          <w:r>
            <w:rPr>
              <w:rFonts w:hint="eastAsia"/>
            </w:rPr>
            <w:t xml:space="preserve">§4 </w:t>
          </w:r>
          <w:r>
            <w:t>管理人报告</w:t>
          </w:r>
          <w:r>
            <w:tab/>
          </w:r>
          <w:r>
            <w:fldChar w:fldCharType="begin"/>
          </w:r>
          <w:r>
            <w:instrText xml:space="preserve"> PAGEREF _Toc32135 \h </w:instrText>
          </w:r>
          <w:r>
            <w:fldChar w:fldCharType="separate"/>
          </w:r>
          <w:r>
            <w:t>8</w:t>
          </w:r>
          <w:r>
            <w:fldChar w:fldCharType="end"/>
          </w:r>
          <w:r>
            <w:fldChar w:fldCharType="end"/>
          </w:r>
        </w:p>
        <w:p w14:paraId="2775B59B">
          <w:pPr>
            <w:pStyle w:val="10"/>
            <w:tabs>
              <w:tab w:val="right" w:leader="dot" w:pos="8306"/>
            </w:tabs>
          </w:pPr>
          <w:r>
            <w:fldChar w:fldCharType="begin"/>
          </w:r>
          <w:r>
            <w:instrText xml:space="preserve"> HYPERLINK \l _Toc4901 </w:instrText>
          </w:r>
          <w:r>
            <w:fldChar w:fldCharType="separate"/>
          </w:r>
          <w:r>
            <w:rPr>
              <w:rFonts w:hint="eastAsia"/>
            </w:rPr>
            <w:t xml:space="preserve">4.1 </w:t>
          </w:r>
          <w:r>
            <w:t>基金管理人及基金经理情况</w:t>
          </w:r>
          <w:r>
            <w:tab/>
          </w:r>
          <w:r>
            <w:fldChar w:fldCharType="begin"/>
          </w:r>
          <w:r>
            <w:instrText xml:space="preserve"> PAGEREF _Toc4901 \h </w:instrText>
          </w:r>
          <w:r>
            <w:fldChar w:fldCharType="separate"/>
          </w:r>
          <w:r>
            <w:t>8</w:t>
          </w:r>
          <w:r>
            <w:fldChar w:fldCharType="end"/>
          </w:r>
          <w:r>
            <w:fldChar w:fldCharType="end"/>
          </w:r>
        </w:p>
        <w:p w14:paraId="6F467C93">
          <w:pPr>
            <w:pStyle w:val="10"/>
            <w:tabs>
              <w:tab w:val="right" w:leader="dot" w:pos="8306"/>
            </w:tabs>
          </w:pPr>
          <w:r>
            <w:fldChar w:fldCharType="begin"/>
          </w:r>
          <w:r>
            <w:instrText xml:space="preserve"> HYPERLINK \l _Toc18096 </w:instrText>
          </w:r>
          <w:r>
            <w:fldChar w:fldCharType="separate"/>
          </w:r>
          <w:r>
            <w:rPr>
              <w:rFonts w:hint="eastAsia"/>
            </w:rPr>
            <w:t xml:space="preserve">4.2 </w:t>
          </w:r>
          <w:r>
            <w:t>管理人对报告期内本基金运作遵规守信情况的说明</w:t>
          </w:r>
          <w:r>
            <w:tab/>
          </w:r>
          <w:r>
            <w:fldChar w:fldCharType="begin"/>
          </w:r>
          <w:r>
            <w:instrText xml:space="preserve"> PAGEREF _Toc18096 \h </w:instrText>
          </w:r>
          <w:r>
            <w:fldChar w:fldCharType="separate"/>
          </w:r>
          <w:r>
            <w:t>10</w:t>
          </w:r>
          <w:r>
            <w:fldChar w:fldCharType="end"/>
          </w:r>
          <w:r>
            <w:fldChar w:fldCharType="end"/>
          </w:r>
        </w:p>
        <w:p w14:paraId="54CB9A8E">
          <w:pPr>
            <w:pStyle w:val="10"/>
            <w:tabs>
              <w:tab w:val="right" w:leader="dot" w:pos="8306"/>
            </w:tabs>
          </w:pPr>
          <w:r>
            <w:fldChar w:fldCharType="begin"/>
          </w:r>
          <w:r>
            <w:instrText xml:space="preserve"> HYPERLINK \l _Toc10257 </w:instrText>
          </w:r>
          <w:r>
            <w:fldChar w:fldCharType="separate"/>
          </w:r>
          <w:r>
            <w:rPr>
              <w:rFonts w:hint="eastAsia"/>
            </w:rPr>
            <w:t xml:space="preserve">4.3 </w:t>
          </w:r>
          <w:r>
            <w:t>管理人对报告期内公平交易情况的专项说明</w:t>
          </w:r>
          <w:r>
            <w:tab/>
          </w:r>
          <w:r>
            <w:fldChar w:fldCharType="begin"/>
          </w:r>
          <w:r>
            <w:instrText xml:space="preserve"> PAGEREF _Toc10257 \h </w:instrText>
          </w:r>
          <w:r>
            <w:fldChar w:fldCharType="separate"/>
          </w:r>
          <w:r>
            <w:t>10</w:t>
          </w:r>
          <w:r>
            <w:fldChar w:fldCharType="end"/>
          </w:r>
          <w:r>
            <w:fldChar w:fldCharType="end"/>
          </w:r>
        </w:p>
        <w:p w14:paraId="4C656134">
          <w:pPr>
            <w:pStyle w:val="10"/>
            <w:tabs>
              <w:tab w:val="right" w:leader="dot" w:pos="8306"/>
            </w:tabs>
          </w:pPr>
          <w:r>
            <w:fldChar w:fldCharType="begin"/>
          </w:r>
          <w:r>
            <w:instrText xml:space="preserve"> HYPERLINK \l _Toc17494 </w:instrText>
          </w:r>
          <w:r>
            <w:fldChar w:fldCharType="separate"/>
          </w:r>
          <w:r>
            <w:rPr>
              <w:rFonts w:hint="eastAsia"/>
            </w:rPr>
            <w:t xml:space="preserve">4.4 </w:t>
          </w:r>
          <w:r>
            <w:t>管理人对报告期内基金的投资策略和业绩表现的说明</w:t>
          </w:r>
          <w:r>
            <w:tab/>
          </w:r>
          <w:r>
            <w:fldChar w:fldCharType="begin"/>
          </w:r>
          <w:r>
            <w:instrText xml:space="preserve"> PAGEREF _Toc17494 \h </w:instrText>
          </w:r>
          <w:r>
            <w:fldChar w:fldCharType="separate"/>
          </w:r>
          <w:r>
            <w:t>11</w:t>
          </w:r>
          <w:r>
            <w:fldChar w:fldCharType="end"/>
          </w:r>
          <w:r>
            <w:fldChar w:fldCharType="end"/>
          </w:r>
        </w:p>
        <w:p w14:paraId="48AF04B6">
          <w:pPr>
            <w:pStyle w:val="10"/>
            <w:tabs>
              <w:tab w:val="right" w:leader="dot" w:pos="8306"/>
            </w:tabs>
          </w:pPr>
          <w:r>
            <w:fldChar w:fldCharType="begin"/>
          </w:r>
          <w:r>
            <w:instrText xml:space="preserve"> HYPERLINK \l _Toc20732 </w:instrText>
          </w:r>
          <w:r>
            <w:fldChar w:fldCharType="separate"/>
          </w:r>
          <w:r>
            <w:rPr>
              <w:rFonts w:hint="eastAsia"/>
            </w:rPr>
            <w:t xml:space="preserve">4.5 </w:t>
          </w:r>
          <w:r>
            <w:t>管理人对宏观经济、证券市场及行业走势的简要展望</w:t>
          </w:r>
          <w:r>
            <w:tab/>
          </w:r>
          <w:r>
            <w:fldChar w:fldCharType="begin"/>
          </w:r>
          <w:r>
            <w:instrText xml:space="preserve"> PAGEREF _Toc20732 \h </w:instrText>
          </w:r>
          <w:r>
            <w:fldChar w:fldCharType="separate"/>
          </w:r>
          <w:r>
            <w:t>11</w:t>
          </w:r>
          <w:r>
            <w:fldChar w:fldCharType="end"/>
          </w:r>
          <w:r>
            <w:fldChar w:fldCharType="end"/>
          </w:r>
        </w:p>
        <w:p w14:paraId="1E3B0FDA">
          <w:pPr>
            <w:pStyle w:val="10"/>
            <w:tabs>
              <w:tab w:val="right" w:leader="dot" w:pos="8306"/>
            </w:tabs>
          </w:pPr>
          <w:r>
            <w:fldChar w:fldCharType="begin"/>
          </w:r>
          <w:r>
            <w:instrText xml:space="preserve"> HYPERLINK \l _Toc24218 </w:instrText>
          </w:r>
          <w:r>
            <w:fldChar w:fldCharType="separate"/>
          </w:r>
          <w:r>
            <w:rPr>
              <w:rFonts w:hint="eastAsia"/>
            </w:rPr>
            <w:t xml:space="preserve">4.6 </w:t>
          </w:r>
          <w:r>
            <w:t>管理人内部有关本基金的监察稽核工作情况</w:t>
          </w:r>
          <w:r>
            <w:tab/>
          </w:r>
          <w:r>
            <w:fldChar w:fldCharType="begin"/>
          </w:r>
          <w:r>
            <w:instrText xml:space="preserve"> PAGEREF _Toc24218 \h </w:instrText>
          </w:r>
          <w:r>
            <w:fldChar w:fldCharType="separate"/>
          </w:r>
          <w:r>
            <w:t>12</w:t>
          </w:r>
          <w:r>
            <w:fldChar w:fldCharType="end"/>
          </w:r>
          <w:r>
            <w:fldChar w:fldCharType="end"/>
          </w:r>
        </w:p>
        <w:p w14:paraId="1D0EF393">
          <w:pPr>
            <w:pStyle w:val="10"/>
            <w:tabs>
              <w:tab w:val="right" w:leader="dot" w:pos="8306"/>
            </w:tabs>
          </w:pPr>
          <w:r>
            <w:fldChar w:fldCharType="begin"/>
          </w:r>
          <w:r>
            <w:instrText xml:space="preserve"> HYPERLINK \l _Toc21312 </w:instrText>
          </w:r>
          <w:r>
            <w:fldChar w:fldCharType="separate"/>
          </w:r>
          <w:r>
            <w:rPr>
              <w:rFonts w:hint="eastAsia"/>
            </w:rPr>
            <w:t xml:space="preserve">4.7 </w:t>
          </w:r>
          <w:r>
            <w:t>管理人对报告期内基金估值程序等事项的说明</w:t>
          </w:r>
          <w:r>
            <w:tab/>
          </w:r>
          <w:r>
            <w:fldChar w:fldCharType="begin"/>
          </w:r>
          <w:r>
            <w:instrText xml:space="preserve"> PAGEREF _Toc21312 \h </w:instrText>
          </w:r>
          <w:r>
            <w:fldChar w:fldCharType="separate"/>
          </w:r>
          <w:r>
            <w:t>13</w:t>
          </w:r>
          <w:r>
            <w:fldChar w:fldCharType="end"/>
          </w:r>
          <w:r>
            <w:fldChar w:fldCharType="end"/>
          </w:r>
        </w:p>
        <w:p w14:paraId="04388A28">
          <w:pPr>
            <w:pStyle w:val="10"/>
            <w:tabs>
              <w:tab w:val="right" w:leader="dot" w:pos="8306"/>
            </w:tabs>
          </w:pPr>
          <w:r>
            <w:fldChar w:fldCharType="begin"/>
          </w:r>
          <w:r>
            <w:instrText xml:space="preserve"> HYPERLINK \l _Toc13377 </w:instrText>
          </w:r>
          <w:r>
            <w:fldChar w:fldCharType="separate"/>
          </w:r>
          <w:r>
            <w:rPr>
              <w:rFonts w:hint="eastAsia"/>
            </w:rPr>
            <w:t xml:space="preserve">4.8 </w:t>
          </w:r>
          <w:r>
            <w:t>管理人对报告期内基金利润分配情况的说明</w:t>
          </w:r>
          <w:r>
            <w:tab/>
          </w:r>
          <w:r>
            <w:fldChar w:fldCharType="begin"/>
          </w:r>
          <w:r>
            <w:instrText xml:space="preserve"> PAGEREF _Toc13377 \h </w:instrText>
          </w:r>
          <w:r>
            <w:fldChar w:fldCharType="separate"/>
          </w:r>
          <w:r>
            <w:t>13</w:t>
          </w:r>
          <w:r>
            <w:fldChar w:fldCharType="end"/>
          </w:r>
          <w:r>
            <w:fldChar w:fldCharType="end"/>
          </w:r>
        </w:p>
        <w:p w14:paraId="5508C0D6">
          <w:pPr>
            <w:pStyle w:val="10"/>
            <w:tabs>
              <w:tab w:val="right" w:leader="dot" w:pos="8306"/>
            </w:tabs>
          </w:pPr>
          <w:r>
            <w:fldChar w:fldCharType="begin"/>
          </w:r>
          <w:r>
            <w:instrText xml:space="preserve"> HYPERLINK \l _Toc19990 </w:instrText>
          </w:r>
          <w:r>
            <w:fldChar w:fldCharType="separate"/>
          </w:r>
          <w:r>
            <w:rPr>
              <w:rFonts w:hint="eastAsia"/>
            </w:rPr>
            <w:t xml:space="preserve">4.9 </w:t>
          </w:r>
          <w:r>
            <w:t>报告期内基金持有人数或基金资产净值预警说明</w:t>
          </w:r>
          <w:r>
            <w:tab/>
          </w:r>
          <w:r>
            <w:fldChar w:fldCharType="begin"/>
          </w:r>
          <w:r>
            <w:instrText xml:space="preserve"> PAGEREF _Toc19990 \h </w:instrText>
          </w:r>
          <w:r>
            <w:fldChar w:fldCharType="separate"/>
          </w:r>
          <w:r>
            <w:t>14</w:t>
          </w:r>
          <w:r>
            <w:fldChar w:fldCharType="end"/>
          </w:r>
          <w:r>
            <w:fldChar w:fldCharType="end"/>
          </w:r>
        </w:p>
        <w:p w14:paraId="1B168001">
          <w:pPr>
            <w:pStyle w:val="8"/>
            <w:tabs>
              <w:tab w:val="right" w:leader="dot" w:pos="8306"/>
            </w:tabs>
          </w:pPr>
          <w:r>
            <w:fldChar w:fldCharType="begin"/>
          </w:r>
          <w:r>
            <w:instrText xml:space="preserve"> HYPERLINK \l _Toc7423 </w:instrText>
          </w:r>
          <w:r>
            <w:fldChar w:fldCharType="separate"/>
          </w:r>
          <w:r>
            <w:rPr>
              <w:rFonts w:hint="eastAsia"/>
            </w:rPr>
            <w:t xml:space="preserve">§5 </w:t>
          </w:r>
          <w:r>
            <w:t>托管人报告</w:t>
          </w:r>
          <w:r>
            <w:tab/>
          </w:r>
          <w:r>
            <w:fldChar w:fldCharType="begin"/>
          </w:r>
          <w:r>
            <w:instrText xml:space="preserve"> PAGEREF _Toc7423 \h </w:instrText>
          </w:r>
          <w:r>
            <w:fldChar w:fldCharType="separate"/>
          </w:r>
          <w:r>
            <w:t>14</w:t>
          </w:r>
          <w:r>
            <w:fldChar w:fldCharType="end"/>
          </w:r>
          <w:r>
            <w:fldChar w:fldCharType="end"/>
          </w:r>
        </w:p>
        <w:p w14:paraId="11AAA854">
          <w:pPr>
            <w:pStyle w:val="10"/>
            <w:tabs>
              <w:tab w:val="right" w:leader="dot" w:pos="8306"/>
            </w:tabs>
          </w:pPr>
          <w:r>
            <w:fldChar w:fldCharType="begin"/>
          </w:r>
          <w:r>
            <w:instrText xml:space="preserve"> HYPERLINK \l _Toc8764 </w:instrText>
          </w:r>
          <w:r>
            <w:fldChar w:fldCharType="separate"/>
          </w:r>
          <w:r>
            <w:rPr>
              <w:rFonts w:hint="eastAsia"/>
            </w:rPr>
            <w:t xml:space="preserve">5.1 </w:t>
          </w:r>
          <w:r>
            <w:t>报告期内本基金托管人遵规守信情况声明</w:t>
          </w:r>
          <w:r>
            <w:tab/>
          </w:r>
          <w:r>
            <w:fldChar w:fldCharType="begin"/>
          </w:r>
          <w:r>
            <w:instrText xml:space="preserve"> PAGEREF _Toc8764 \h </w:instrText>
          </w:r>
          <w:r>
            <w:fldChar w:fldCharType="separate"/>
          </w:r>
          <w:r>
            <w:t>14</w:t>
          </w:r>
          <w:r>
            <w:fldChar w:fldCharType="end"/>
          </w:r>
          <w:r>
            <w:fldChar w:fldCharType="end"/>
          </w:r>
        </w:p>
        <w:p w14:paraId="2FB6E75B">
          <w:pPr>
            <w:pStyle w:val="10"/>
            <w:tabs>
              <w:tab w:val="right" w:leader="dot" w:pos="8306"/>
            </w:tabs>
          </w:pPr>
          <w:r>
            <w:fldChar w:fldCharType="begin"/>
          </w:r>
          <w:r>
            <w:instrText xml:space="preserve"> HYPERLINK \l _Toc9998 </w:instrText>
          </w:r>
          <w:r>
            <w:fldChar w:fldCharType="separate"/>
          </w:r>
          <w:r>
            <w:rPr>
              <w:rFonts w:hint="eastAsia"/>
            </w:rPr>
            <w:t xml:space="preserve">5.2 </w:t>
          </w:r>
          <w:r>
            <w:t>托管人对报告期内本基金投资运作遵规守信、净值计算、利润分配等情况的说明</w:t>
          </w:r>
          <w:r>
            <w:tab/>
          </w:r>
          <w:r>
            <w:fldChar w:fldCharType="begin"/>
          </w:r>
          <w:r>
            <w:instrText xml:space="preserve"> PAGEREF _Toc9998 \h </w:instrText>
          </w:r>
          <w:r>
            <w:fldChar w:fldCharType="separate"/>
          </w:r>
          <w:r>
            <w:t>14</w:t>
          </w:r>
          <w:r>
            <w:fldChar w:fldCharType="end"/>
          </w:r>
          <w:r>
            <w:fldChar w:fldCharType="end"/>
          </w:r>
        </w:p>
        <w:p w14:paraId="4D429F70">
          <w:pPr>
            <w:pStyle w:val="10"/>
            <w:tabs>
              <w:tab w:val="right" w:leader="dot" w:pos="8306"/>
            </w:tabs>
          </w:pPr>
          <w:r>
            <w:fldChar w:fldCharType="begin"/>
          </w:r>
          <w:r>
            <w:instrText xml:space="preserve"> HYPERLINK \l _Toc23470 </w:instrText>
          </w:r>
          <w:r>
            <w:fldChar w:fldCharType="separate"/>
          </w:r>
          <w:r>
            <w:rPr>
              <w:rFonts w:hint="eastAsia"/>
            </w:rPr>
            <w:t xml:space="preserve">5.3 </w:t>
          </w:r>
          <w:r>
            <w:t>托管人对本年度报告中财务信息等内容的真实、准确和完整发表意见</w:t>
          </w:r>
          <w:r>
            <w:tab/>
          </w:r>
          <w:r>
            <w:fldChar w:fldCharType="begin"/>
          </w:r>
          <w:r>
            <w:instrText xml:space="preserve"> PAGEREF _Toc23470 \h </w:instrText>
          </w:r>
          <w:r>
            <w:fldChar w:fldCharType="separate"/>
          </w:r>
          <w:r>
            <w:t>14</w:t>
          </w:r>
          <w:r>
            <w:fldChar w:fldCharType="end"/>
          </w:r>
          <w:r>
            <w:fldChar w:fldCharType="end"/>
          </w:r>
        </w:p>
        <w:p w14:paraId="423270A1">
          <w:pPr>
            <w:pStyle w:val="8"/>
            <w:tabs>
              <w:tab w:val="right" w:leader="dot" w:pos="8306"/>
            </w:tabs>
          </w:pPr>
          <w:r>
            <w:fldChar w:fldCharType="begin"/>
          </w:r>
          <w:r>
            <w:instrText xml:space="preserve"> HYPERLINK \l _Toc12920 </w:instrText>
          </w:r>
          <w:r>
            <w:fldChar w:fldCharType="separate"/>
          </w:r>
          <w:r>
            <w:rPr>
              <w:rFonts w:hint="eastAsia"/>
            </w:rPr>
            <w:t xml:space="preserve">§6 </w:t>
          </w:r>
          <w:r>
            <w:t>审计报告</w:t>
          </w:r>
          <w:r>
            <w:tab/>
          </w:r>
          <w:r>
            <w:fldChar w:fldCharType="begin"/>
          </w:r>
          <w:r>
            <w:instrText xml:space="preserve"> PAGEREF _Toc12920 \h </w:instrText>
          </w:r>
          <w:r>
            <w:fldChar w:fldCharType="separate"/>
          </w:r>
          <w:r>
            <w:t>14</w:t>
          </w:r>
          <w:r>
            <w:fldChar w:fldCharType="end"/>
          </w:r>
          <w:r>
            <w:fldChar w:fldCharType="end"/>
          </w:r>
        </w:p>
        <w:p w14:paraId="4BBD6A4F">
          <w:pPr>
            <w:pStyle w:val="10"/>
            <w:tabs>
              <w:tab w:val="right" w:leader="dot" w:pos="8306"/>
            </w:tabs>
          </w:pPr>
          <w:r>
            <w:fldChar w:fldCharType="begin"/>
          </w:r>
          <w:r>
            <w:instrText xml:space="preserve"> HYPERLINK \l _Toc22088 </w:instrText>
          </w:r>
          <w:r>
            <w:fldChar w:fldCharType="separate"/>
          </w:r>
          <w:r>
            <w:rPr>
              <w:rFonts w:hint="eastAsia"/>
            </w:rPr>
            <w:t xml:space="preserve">6.1 </w:t>
          </w:r>
          <w:r>
            <w:t>审计报告基本信息</w:t>
          </w:r>
          <w:r>
            <w:tab/>
          </w:r>
          <w:r>
            <w:fldChar w:fldCharType="begin"/>
          </w:r>
          <w:r>
            <w:instrText xml:space="preserve"> PAGEREF _Toc22088 \h </w:instrText>
          </w:r>
          <w:r>
            <w:fldChar w:fldCharType="separate"/>
          </w:r>
          <w:r>
            <w:t>14</w:t>
          </w:r>
          <w:r>
            <w:fldChar w:fldCharType="end"/>
          </w:r>
          <w:r>
            <w:fldChar w:fldCharType="end"/>
          </w:r>
        </w:p>
        <w:p w14:paraId="6D16418C">
          <w:pPr>
            <w:pStyle w:val="10"/>
            <w:tabs>
              <w:tab w:val="right" w:leader="dot" w:pos="8306"/>
            </w:tabs>
          </w:pPr>
          <w:r>
            <w:fldChar w:fldCharType="begin"/>
          </w:r>
          <w:r>
            <w:instrText xml:space="preserve"> HYPERLINK \l _Toc8130 </w:instrText>
          </w:r>
          <w:r>
            <w:fldChar w:fldCharType="separate"/>
          </w:r>
          <w:r>
            <w:rPr>
              <w:rFonts w:hint="eastAsia"/>
            </w:rPr>
            <w:t xml:space="preserve">6.2 </w:t>
          </w:r>
          <w:r>
            <w:t>审计报告的基本内容</w:t>
          </w:r>
          <w:r>
            <w:tab/>
          </w:r>
          <w:r>
            <w:fldChar w:fldCharType="begin"/>
          </w:r>
          <w:r>
            <w:instrText xml:space="preserve"> PAGEREF _Toc8130 \h </w:instrText>
          </w:r>
          <w:r>
            <w:fldChar w:fldCharType="separate"/>
          </w:r>
          <w:r>
            <w:t>15</w:t>
          </w:r>
          <w:r>
            <w:fldChar w:fldCharType="end"/>
          </w:r>
          <w:r>
            <w:fldChar w:fldCharType="end"/>
          </w:r>
        </w:p>
        <w:p w14:paraId="6C779116">
          <w:pPr>
            <w:pStyle w:val="8"/>
            <w:tabs>
              <w:tab w:val="right" w:leader="dot" w:pos="8306"/>
            </w:tabs>
          </w:pPr>
          <w:r>
            <w:fldChar w:fldCharType="begin"/>
          </w:r>
          <w:r>
            <w:instrText xml:space="preserve"> HYPERLINK \l _Toc23621 </w:instrText>
          </w:r>
          <w:r>
            <w:fldChar w:fldCharType="separate"/>
          </w:r>
          <w:r>
            <w:rPr>
              <w:rFonts w:hint="eastAsia"/>
            </w:rPr>
            <w:t xml:space="preserve">§7 </w:t>
          </w:r>
          <w:r>
            <w:t>年度财务报表</w:t>
          </w:r>
          <w:r>
            <w:tab/>
          </w:r>
          <w:r>
            <w:fldChar w:fldCharType="begin"/>
          </w:r>
          <w:r>
            <w:instrText xml:space="preserve"> PAGEREF _Toc23621 \h </w:instrText>
          </w:r>
          <w:r>
            <w:fldChar w:fldCharType="separate"/>
          </w:r>
          <w:r>
            <w:t>17</w:t>
          </w:r>
          <w:r>
            <w:fldChar w:fldCharType="end"/>
          </w:r>
          <w:r>
            <w:fldChar w:fldCharType="end"/>
          </w:r>
        </w:p>
        <w:p w14:paraId="576DC059">
          <w:pPr>
            <w:pStyle w:val="10"/>
            <w:tabs>
              <w:tab w:val="right" w:leader="dot" w:pos="8306"/>
            </w:tabs>
          </w:pPr>
          <w:r>
            <w:fldChar w:fldCharType="begin"/>
          </w:r>
          <w:r>
            <w:instrText xml:space="preserve"> HYPERLINK \l _Toc29912 </w:instrText>
          </w:r>
          <w:r>
            <w:fldChar w:fldCharType="separate"/>
          </w:r>
          <w:r>
            <w:rPr>
              <w:rFonts w:hint="eastAsia"/>
            </w:rPr>
            <w:t xml:space="preserve">7.1 </w:t>
          </w:r>
          <w:r>
            <w:t>资产负债表</w:t>
          </w:r>
          <w:r>
            <w:tab/>
          </w:r>
          <w:r>
            <w:fldChar w:fldCharType="begin"/>
          </w:r>
          <w:r>
            <w:instrText xml:space="preserve"> PAGEREF _Toc29912 \h </w:instrText>
          </w:r>
          <w:r>
            <w:fldChar w:fldCharType="separate"/>
          </w:r>
          <w:r>
            <w:t>17</w:t>
          </w:r>
          <w:r>
            <w:fldChar w:fldCharType="end"/>
          </w:r>
          <w:r>
            <w:fldChar w:fldCharType="end"/>
          </w:r>
        </w:p>
        <w:p w14:paraId="3AEFB695">
          <w:pPr>
            <w:pStyle w:val="10"/>
            <w:tabs>
              <w:tab w:val="right" w:leader="dot" w:pos="8306"/>
            </w:tabs>
          </w:pPr>
          <w:r>
            <w:fldChar w:fldCharType="begin"/>
          </w:r>
          <w:r>
            <w:instrText xml:space="preserve"> HYPERLINK \l _Toc13820 </w:instrText>
          </w:r>
          <w:r>
            <w:fldChar w:fldCharType="separate"/>
          </w:r>
          <w:r>
            <w:rPr>
              <w:rFonts w:hint="eastAsia"/>
            </w:rPr>
            <w:t xml:space="preserve">7.2 </w:t>
          </w:r>
          <w:r>
            <w:t>利润表</w:t>
          </w:r>
          <w:r>
            <w:tab/>
          </w:r>
          <w:r>
            <w:fldChar w:fldCharType="begin"/>
          </w:r>
          <w:r>
            <w:instrText xml:space="preserve"> PAGEREF _Toc13820 \h </w:instrText>
          </w:r>
          <w:r>
            <w:fldChar w:fldCharType="separate"/>
          </w:r>
          <w:r>
            <w:t>18</w:t>
          </w:r>
          <w:r>
            <w:fldChar w:fldCharType="end"/>
          </w:r>
          <w:r>
            <w:fldChar w:fldCharType="end"/>
          </w:r>
        </w:p>
        <w:p w14:paraId="194A42C7">
          <w:pPr>
            <w:pStyle w:val="10"/>
            <w:tabs>
              <w:tab w:val="right" w:leader="dot" w:pos="8306"/>
            </w:tabs>
          </w:pPr>
          <w:r>
            <w:fldChar w:fldCharType="begin"/>
          </w:r>
          <w:r>
            <w:instrText xml:space="preserve"> HYPERLINK \l _Toc12903 </w:instrText>
          </w:r>
          <w:r>
            <w:fldChar w:fldCharType="separate"/>
          </w:r>
          <w:r>
            <w:rPr>
              <w:rFonts w:hint="eastAsia"/>
            </w:rPr>
            <w:t xml:space="preserve">7.3 </w:t>
          </w:r>
          <w:r>
            <w:t>净资产变动表</w:t>
          </w:r>
          <w:r>
            <w:tab/>
          </w:r>
          <w:r>
            <w:fldChar w:fldCharType="begin"/>
          </w:r>
          <w:r>
            <w:instrText xml:space="preserve"> PAGEREF _Toc12903 \h </w:instrText>
          </w:r>
          <w:r>
            <w:fldChar w:fldCharType="separate"/>
          </w:r>
          <w:r>
            <w:t>20</w:t>
          </w:r>
          <w:r>
            <w:fldChar w:fldCharType="end"/>
          </w:r>
          <w:r>
            <w:fldChar w:fldCharType="end"/>
          </w:r>
        </w:p>
        <w:p w14:paraId="322F8C6E">
          <w:pPr>
            <w:pStyle w:val="10"/>
            <w:tabs>
              <w:tab w:val="right" w:leader="dot" w:pos="8306"/>
            </w:tabs>
          </w:pPr>
          <w:r>
            <w:fldChar w:fldCharType="begin"/>
          </w:r>
          <w:r>
            <w:instrText xml:space="preserve"> HYPERLINK \l _Toc7247 </w:instrText>
          </w:r>
          <w:r>
            <w:fldChar w:fldCharType="separate"/>
          </w:r>
          <w:r>
            <w:rPr>
              <w:rFonts w:hint="eastAsia"/>
            </w:rPr>
            <w:t xml:space="preserve">7.4 </w:t>
          </w:r>
          <w:r>
            <w:t>报表附注</w:t>
          </w:r>
          <w:r>
            <w:tab/>
          </w:r>
          <w:r>
            <w:fldChar w:fldCharType="begin"/>
          </w:r>
          <w:r>
            <w:instrText xml:space="preserve"> PAGEREF _Toc7247 \h </w:instrText>
          </w:r>
          <w:r>
            <w:fldChar w:fldCharType="separate"/>
          </w:r>
          <w:r>
            <w:t>21</w:t>
          </w:r>
          <w:r>
            <w:fldChar w:fldCharType="end"/>
          </w:r>
          <w:r>
            <w:fldChar w:fldCharType="end"/>
          </w:r>
        </w:p>
        <w:p w14:paraId="0B3480F2">
          <w:pPr>
            <w:pStyle w:val="8"/>
            <w:tabs>
              <w:tab w:val="right" w:leader="dot" w:pos="8306"/>
            </w:tabs>
          </w:pPr>
          <w:r>
            <w:fldChar w:fldCharType="begin"/>
          </w:r>
          <w:r>
            <w:instrText xml:space="preserve"> HYPERLINK \l _Toc9487 </w:instrText>
          </w:r>
          <w:r>
            <w:fldChar w:fldCharType="separate"/>
          </w:r>
          <w:r>
            <w:rPr>
              <w:rFonts w:hint="eastAsia"/>
            </w:rPr>
            <w:t xml:space="preserve">§8 </w:t>
          </w:r>
          <w:r>
            <w:t>投资组合报告</w:t>
          </w:r>
          <w:r>
            <w:tab/>
          </w:r>
          <w:r>
            <w:fldChar w:fldCharType="begin"/>
          </w:r>
          <w:r>
            <w:instrText xml:space="preserve"> PAGEREF _Toc9487 \h </w:instrText>
          </w:r>
          <w:r>
            <w:fldChar w:fldCharType="separate"/>
          </w:r>
          <w:r>
            <w:t>46</w:t>
          </w:r>
          <w:r>
            <w:fldChar w:fldCharType="end"/>
          </w:r>
          <w:r>
            <w:fldChar w:fldCharType="end"/>
          </w:r>
        </w:p>
        <w:p w14:paraId="56C47082">
          <w:pPr>
            <w:pStyle w:val="10"/>
            <w:tabs>
              <w:tab w:val="right" w:leader="dot" w:pos="8306"/>
            </w:tabs>
          </w:pPr>
          <w:r>
            <w:fldChar w:fldCharType="begin"/>
          </w:r>
          <w:r>
            <w:instrText xml:space="preserve"> HYPERLINK \l _Toc19353 </w:instrText>
          </w:r>
          <w:r>
            <w:fldChar w:fldCharType="separate"/>
          </w:r>
          <w:r>
            <w:rPr>
              <w:rFonts w:hint="eastAsia"/>
            </w:rPr>
            <w:t xml:space="preserve">8.1 </w:t>
          </w:r>
          <w:r>
            <w:t>期末基金资产组合情况</w:t>
          </w:r>
          <w:r>
            <w:tab/>
          </w:r>
          <w:r>
            <w:fldChar w:fldCharType="begin"/>
          </w:r>
          <w:r>
            <w:instrText xml:space="preserve"> PAGEREF _Toc19353 \h </w:instrText>
          </w:r>
          <w:r>
            <w:fldChar w:fldCharType="separate"/>
          </w:r>
          <w:r>
            <w:t>46</w:t>
          </w:r>
          <w:r>
            <w:fldChar w:fldCharType="end"/>
          </w:r>
          <w:r>
            <w:fldChar w:fldCharType="end"/>
          </w:r>
        </w:p>
        <w:p w14:paraId="5E0CFC30">
          <w:pPr>
            <w:pStyle w:val="10"/>
            <w:tabs>
              <w:tab w:val="right" w:leader="dot" w:pos="8306"/>
            </w:tabs>
          </w:pPr>
          <w:r>
            <w:fldChar w:fldCharType="begin"/>
          </w:r>
          <w:r>
            <w:instrText xml:space="preserve"> HYPERLINK \l _Toc6413 </w:instrText>
          </w:r>
          <w:r>
            <w:fldChar w:fldCharType="separate"/>
          </w:r>
          <w:r>
            <w:rPr>
              <w:rFonts w:hint="eastAsia"/>
            </w:rPr>
            <w:t xml:space="preserve">8.2 </w:t>
          </w:r>
          <w:r>
            <w:t>报告期末按行业分类的股票投资组合</w:t>
          </w:r>
          <w:r>
            <w:tab/>
          </w:r>
          <w:r>
            <w:fldChar w:fldCharType="begin"/>
          </w:r>
          <w:r>
            <w:instrText xml:space="preserve"> PAGEREF _Toc6413 \h </w:instrText>
          </w:r>
          <w:r>
            <w:fldChar w:fldCharType="separate"/>
          </w:r>
          <w:r>
            <w:t>46</w:t>
          </w:r>
          <w:r>
            <w:fldChar w:fldCharType="end"/>
          </w:r>
          <w:r>
            <w:fldChar w:fldCharType="end"/>
          </w:r>
        </w:p>
        <w:p w14:paraId="66A86842">
          <w:pPr>
            <w:pStyle w:val="10"/>
            <w:tabs>
              <w:tab w:val="right" w:leader="dot" w:pos="8306"/>
            </w:tabs>
          </w:pPr>
          <w:r>
            <w:fldChar w:fldCharType="begin"/>
          </w:r>
          <w:r>
            <w:instrText xml:space="preserve"> HYPERLINK \l _Toc9004 </w:instrText>
          </w:r>
          <w:r>
            <w:fldChar w:fldCharType="separate"/>
          </w:r>
          <w:r>
            <w:rPr>
              <w:rFonts w:hint="eastAsia"/>
            </w:rPr>
            <w:t xml:space="preserve">8.3 </w:t>
          </w:r>
          <w:r>
            <w:t>期末按公允价值占基金资产净值比例大小排序的所有股票投资明细</w:t>
          </w:r>
          <w:r>
            <w:tab/>
          </w:r>
          <w:r>
            <w:fldChar w:fldCharType="begin"/>
          </w:r>
          <w:r>
            <w:instrText xml:space="preserve"> PAGEREF _Toc9004 \h </w:instrText>
          </w:r>
          <w:r>
            <w:fldChar w:fldCharType="separate"/>
          </w:r>
          <w:r>
            <w:t>46</w:t>
          </w:r>
          <w:r>
            <w:fldChar w:fldCharType="end"/>
          </w:r>
          <w:r>
            <w:fldChar w:fldCharType="end"/>
          </w:r>
        </w:p>
        <w:p w14:paraId="38DD08FD">
          <w:pPr>
            <w:pStyle w:val="10"/>
            <w:tabs>
              <w:tab w:val="right" w:leader="dot" w:pos="8306"/>
            </w:tabs>
          </w:pPr>
          <w:r>
            <w:fldChar w:fldCharType="begin"/>
          </w:r>
          <w:r>
            <w:instrText xml:space="preserve"> HYPERLINK \l _Toc19534 </w:instrText>
          </w:r>
          <w:r>
            <w:fldChar w:fldCharType="separate"/>
          </w:r>
          <w:r>
            <w:rPr>
              <w:rFonts w:hint="eastAsia"/>
            </w:rPr>
            <w:t xml:space="preserve">8.4 </w:t>
          </w:r>
          <w:r>
            <w:t>报告期内股票投资组合的重大变动</w:t>
          </w:r>
          <w:r>
            <w:tab/>
          </w:r>
          <w:r>
            <w:fldChar w:fldCharType="begin"/>
          </w:r>
          <w:r>
            <w:instrText xml:space="preserve"> PAGEREF _Toc19534 \h </w:instrText>
          </w:r>
          <w:r>
            <w:fldChar w:fldCharType="separate"/>
          </w:r>
          <w:r>
            <w:t>47</w:t>
          </w:r>
          <w:r>
            <w:fldChar w:fldCharType="end"/>
          </w:r>
          <w:r>
            <w:fldChar w:fldCharType="end"/>
          </w:r>
        </w:p>
        <w:p w14:paraId="275FBC5D">
          <w:pPr>
            <w:pStyle w:val="10"/>
            <w:tabs>
              <w:tab w:val="right" w:leader="dot" w:pos="8306"/>
            </w:tabs>
          </w:pPr>
          <w:r>
            <w:fldChar w:fldCharType="begin"/>
          </w:r>
          <w:r>
            <w:instrText xml:space="preserve"> HYPERLINK \l _Toc23962 </w:instrText>
          </w:r>
          <w:r>
            <w:fldChar w:fldCharType="separate"/>
          </w:r>
          <w:r>
            <w:rPr>
              <w:rFonts w:hint="eastAsia"/>
            </w:rPr>
            <w:t xml:space="preserve">8.5 </w:t>
          </w:r>
          <w:r>
            <w:t>期末按债券品种分类的债券投资组合</w:t>
          </w:r>
          <w:r>
            <w:tab/>
          </w:r>
          <w:r>
            <w:fldChar w:fldCharType="begin"/>
          </w:r>
          <w:r>
            <w:instrText xml:space="preserve"> PAGEREF _Toc23962 \h </w:instrText>
          </w:r>
          <w:r>
            <w:fldChar w:fldCharType="separate"/>
          </w:r>
          <w:r>
            <w:t>47</w:t>
          </w:r>
          <w:r>
            <w:fldChar w:fldCharType="end"/>
          </w:r>
          <w:r>
            <w:fldChar w:fldCharType="end"/>
          </w:r>
        </w:p>
        <w:p w14:paraId="6AF349AF">
          <w:pPr>
            <w:pStyle w:val="10"/>
            <w:tabs>
              <w:tab w:val="right" w:leader="dot" w:pos="8306"/>
            </w:tabs>
          </w:pPr>
          <w:r>
            <w:fldChar w:fldCharType="begin"/>
          </w:r>
          <w:r>
            <w:instrText xml:space="preserve"> HYPERLINK \l _Toc6671 </w:instrText>
          </w:r>
          <w:r>
            <w:fldChar w:fldCharType="separate"/>
          </w:r>
          <w:r>
            <w:rPr>
              <w:rFonts w:hint="eastAsia"/>
            </w:rPr>
            <w:t xml:space="preserve">8.6 </w:t>
          </w:r>
          <w:r>
            <w:t>期末按公允价值占基金资产净值比例大小排序的前五名债券投资明细</w:t>
          </w:r>
          <w:r>
            <w:tab/>
          </w:r>
          <w:r>
            <w:fldChar w:fldCharType="begin"/>
          </w:r>
          <w:r>
            <w:instrText xml:space="preserve"> PAGEREF _Toc6671 \h </w:instrText>
          </w:r>
          <w:r>
            <w:fldChar w:fldCharType="separate"/>
          </w:r>
          <w:r>
            <w:t>47</w:t>
          </w:r>
          <w:r>
            <w:fldChar w:fldCharType="end"/>
          </w:r>
          <w:r>
            <w:fldChar w:fldCharType="end"/>
          </w:r>
        </w:p>
        <w:p w14:paraId="20844318">
          <w:pPr>
            <w:pStyle w:val="10"/>
            <w:tabs>
              <w:tab w:val="right" w:leader="dot" w:pos="8306"/>
            </w:tabs>
          </w:pPr>
          <w:r>
            <w:fldChar w:fldCharType="begin"/>
          </w:r>
          <w:r>
            <w:instrText xml:space="preserve"> HYPERLINK \l _Toc4185 </w:instrText>
          </w:r>
          <w:r>
            <w:fldChar w:fldCharType="separate"/>
          </w:r>
          <w:r>
            <w:rPr>
              <w:rFonts w:hint="eastAsia"/>
            </w:rPr>
            <w:t xml:space="preserve">8.7 </w:t>
          </w:r>
          <w:r>
            <w:t>期末按公允价值占基金资产净值比例大小排序的所有资产支持证券投资明细</w:t>
          </w:r>
          <w:r>
            <w:tab/>
          </w:r>
          <w:r>
            <w:fldChar w:fldCharType="begin"/>
          </w:r>
          <w:r>
            <w:instrText xml:space="preserve"> PAGEREF _Toc4185 \h </w:instrText>
          </w:r>
          <w:r>
            <w:fldChar w:fldCharType="separate"/>
          </w:r>
          <w:r>
            <w:t>48</w:t>
          </w:r>
          <w:r>
            <w:fldChar w:fldCharType="end"/>
          </w:r>
          <w:r>
            <w:fldChar w:fldCharType="end"/>
          </w:r>
        </w:p>
        <w:p w14:paraId="5D5CBB79">
          <w:pPr>
            <w:pStyle w:val="10"/>
            <w:tabs>
              <w:tab w:val="right" w:leader="dot" w:pos="8306"/>
            </w:tabs>
          </w:pPr>
          <w:r>
            <w:fldChar w:fldCharType="begin"/>
          </w:r>
          <w:r>
            <w:instrText xml:space="preserve"> HYPERLINK \l _Toc29804 </w:instrText>
          </w:r>
          <w:r>
            <w:fldChar w:fldCharType="separate"/>
          </w:r>
          <w:r>
            <w:rPr>
              <w:rFonts w:hint="eastAsia"/>
            </w:rPr>
            <w:t xml:space="preserve">8.8 </w:t>
          </w:r>
          <w:r>
            <w:t>报告期末按公允价值占基金资产净值比例大小排序的前五名贵金属投资明细</w:t>
          </w:r>
          <w:r>
            <w:tab/>
          </w:r>
          <w:r>
            <w:fldChar w:fldCharType="begin"/>
          </w:r>
          <w:r>
            <w:instrText xml:space="preserve"> PAGEREF _Toc29804 \h </w:instrText>
          </w:r>
          <w:r>
            <w:fldChar w:fldCharType="separate"/>
          </w:r>
          <w:r>
            <w:t>48</w:t>
          </w:r>
          <w:r>
            <w:fldChar w:fldCharType="end"/>
          </w:r>
          <w:r>
            <w:fldChar w:fldCharType="end"/>
          </w:r>
        </w:p>
        <w:p w14:paraId="22027279">
          <w:pPr>
            <w:pStyle w:val="10"/>
            <w:tabs>
              <w:tab w:val="right" w:leader="dot" w:pos="8306"/>
            </w:tabs>
          </w:pPr>
          <w:r>
            <w:fldChar w:fldCharType="begin"/>
          </w:r>
          <w:r>
            <w:instrText xml:space="preserve"> HYPERLINK \l _Toc21899 </w:instrText>
          </w:r>
          <w:r>
            <w:fldChar w:fldCharType="separate"/>
          </w:r>
          <w:r>
            <w:rPr>
              <w:rFonts w:hint="eastAsia"/>
            </w:rPr>
            <w:t xml:space="preserve">8.9 </w:t>
          </w:r>
          <w:r>
            <w:t>期末按公允价值占基金资产净值比例大小排序的前五名权证投资明细</w:t>
          </w:r>
          <w:r>
            <w:tab/>
          </w:r>
          <w:r>
            <w:fldChar w:fldCharType="begin"/>
          </w:r>
          <w:r>
            <w:instrText xml:space="preserve"> PAGEREF _Toc21899 \h </w:instrText>
          </w:r>
          <w:r>
            <w:fldChar w:fldCharType="separate"/>
          </w:r>
          <w:r>
            <w:t>48</w:t>
          </w:r>
          <w:r>
            <w:fldChar w:fldCharType="end"/>
          </w:r>
          <w:r>
            <w:fldChar w:fldCharType="end"/>
          </w:r>
        </w:p>
        <w:p w14:paraId="30DCF24D">
          <w:pPr>
            <w:pStyle w:val="10"/>
            <w:tabs>
              <w:tab w:val="right" w:leader="dot" w:pos="8306"/>
            </w:tabs>
          </w:pPr>
          <w:r>
            <w:fldChar w:fldCharType="begin"/>
          </w:r>
          <w:r>
            <w:instrText xml:space="preserve"> HYPERLINK \l _Toc9111 </w:instrText>
          </w:r>
          <w:r>
            <w:fldChar w:fldCharType="separate"/>
          </w:r>
          <w:r>
            <w:rPr>
              <w:rFonts w:hint="eastAsia"/>
            </w:rPr>
            <w:t xml:space="preserve">8.10 </w:t>
          </w:r>
          <w:r>
            <w:t>本基金投资股指期货的投资政策</w:t>
          </w:r>
          <w:r>
            <w:tab/>
          </w:r>
          <w:r>
            <w:fldChar w:fldCharType="begin"/>
          </w:r>
          <w:r>
            <w:instrText xml:space="preserve"> PAGEREF _Toc9111 \h </w:instrText>
          </w:r>
          <w:r>
            <w:fldChar w:fldCharType="separate"/>
          </w:r>
          <w:r>
            <w:t>48</w:t>
          </w:r>
          <w:r>
            <w:fldChar w:fldCharType="end"/>
          </w:r>
          <w:r>
            <w:fldChar w:fldCharType="end"/>
          </w:r>
        </w:p>
        <w:p w14:paraId="1CA565AF">
          <w:pPr>
            <w:pStyle w:val="10"/>
            <w:tabs>
              <w:tab w:val="right" w:leader="dot" w:pos="8306"/>
            </w:tabs>
          </w:pPr>
          <w:r>
            <w:fldChar w:fldCharType="begin"/>
          </w:r>
          <w:r>
            <w:instrText xml:space="preserve"> HYPERLINK \l _Toc22760 </w:instrText>
          </w:r>
          <w:r>
            <w:fldChar w:fldCharType="separate"/>
          </w:r>
          <w:r>
            <w:rPr>
              <w:rFonts w:hint="eastAsia"/>
            </w:rPr>
            <w:t xml:space="preserve">8.11 </w:t>
          </w:r>
          <w:r>
            <w:t>报告期末本基金投资的国债期货交易情况说明</w:t>
          </w:r>
          <w:r>
            <w:tab/>
          </w:r>
          <w:r>
            <w:fldChar w:fldCharType="begin"/>
          </w:r>
          <w:r>
            <w:instrText xml:space="preserve"> PAGEREF _Toc22760 \h </w:instrText>
          </w:r>
          <w:r>
            <w:fldChar w:fldCharType="separate"/>
          </w:r>
          <w:r>
            <w:t>48</w:t>
          </w:r>
          <w:r>
            <w:fldChar w:fldCharType="end"/>
          </w:r>
          <w:r>
            <w:fldChar w:fldCharType="end"/>
          </w:r>
        </w:p>
        <w:p w14:paraId="5D393E1C">
          <w:pPr>
            <w:pStyle w:val="10"/>
            <w:tabs>
              <w:tab w:val="right" w:leader="dot" w:pos="8306"/>
            </w:tabs>
          </w:pPr>
          <w:r>
            <w:fldChar w:fldCharType="begin"/>
          </w:r>
          <w:r>
            <w:instrText xml:space="preserve"> HYPERLINK \l _Toc16265 </w:instrText>
          </w:r>
          <w:r>
            <w:fldChar w:fldCharType="separate"/>
          </w:r>
          <w:r>
            <w:rPr>
              <w:rFonts w:hint="eastAsia"/>
            </w:rPr>
            <w:t xml:space="preserve">8.12 </w:t>
          </w:r>
          <w:r>
            <w:t>投资组合报告附注</w:t>
          </w:r>
          <w:r>
            <w:tab/>
          </w:r>
          <w:r>
            <w:fldChar w:fldCharType="begin"/>
          </w:r>
          <w:r>
            <w:instrText xml:space="preserve"> PAGEREF _Toc16265 \h </w:instrText>
          </w:r>
          <w:r>
            <w:fldChar w:fldCharType="separate"/>
          </w:r>
          <w:r>
            <w:t>48</w:t>
          </w:r>
          <w:r>
            <w:fldChar w:fldCharType="end"/>
          </w:r>
          <w:r>
            <w:fldChar w:fldCharType="end"/>
          </w:r>
        </w:p>
        <w:p w14:paraId="5A7E2258">
          <w:pPr>
            <w:pStyle w:val="8"/>
            <w:tabs>
              <w:tab w:val="right" w:leader="dot" w:pos="8306"/>
            </w:tabs>
          </w:pPr>
          <w:r>
            <w:fldChar w:fldCharType="begin"/>
          </w:r>
          <w:r>
            <w:instrText xml:space="preserve"> HYPERLINK \l _Toc2334 </w:instrText>
          </w:r>
          <w:r>
            <w:fldChar w:fldCharType="separate"/>
          </w:r>
          <w:r>
            <w:rPr>
              <w:rFonts w:hint="eastAsia"/>
            </w:rPr>
            <w:t xml:space="preserve">§9 </w:t>
          </w:r>
          <w:r>
            <w:t>基金份额持有人信息</w:t>
          </w:r>
          <w:r>
            <w:tab/>
          </w:r>
          <w:r>
            <w:fldChar w:fldCharType="begin"/>
          </w:r>
          <w:r>
            <w:instrText xml:space="preserve"> PAGEREF _Toc2334 \h </w:instrText>
          </w:r>
          <w:r>
            <w:fldChar w:fldCharType="separate"/>
          </w:r>
          <w:r>
            <w:t>49</w:t>
          </w:r>
          <w:r>
            <w:fldChar w:fldCharType="end"/>
          </w:r>
          <w:r>
            <w:fldChar w:fldCharType="end"/>
          </w:r>
        </w:p>
        <w:p w14:paraId="5C2C804D">
          <w:pPr>
            <w:pStyle w:val="10"/>
            <w:tabs>
              <w:tab w:val="right" w:leader="dot" w:pos="8306"/>
            </w:tabs>
          </w:pPr>
          <w:r>
            <w:fldChar w:fldCharType="begin"/>
          </w:r>
          <w:r>
            <w:instrText xml:space="preserve"> HYPERLINK \l _Toc16484 </w:instrText>
          </w:r>
          <w:r>
            <w:fldChar w:fldCharType="separate"/>
          </w:r>
          <w:r>
            <w:rPr>
              <w:rFonts w:hint="eastAsia"/>
            </w:rPr>
            <w:t xml:space="preserve">9.1 </w:t>
          </w:r>
          <w:r>
            <w:t>期末基金份额持有人户数及持有人结构</w:t>
          </w:r>
          <w:r>
            <w:tab/>
          </w:r>
          <w:r>
            <w:fldChar w:fldCharType="begin"/>
          </w:r>
          <w:r>
            <w:instrText xml:space="preserve"> PAGEREF _Toc16484 \h </w:instrText>
          </w:r>
          <w:r>
            <w:fldChar w:fldCharType="separate"/>
          </w:r>
          <w:r>
            <w:t>49</w:t>
          </w:r>
          <w:r>
            <w:fldChar w:fldCharType="end"/>
          </w:r>
          <w:r>
            <w:fldChar w:fldCharType="end"/>
          </w:r>
        </w:p>
        <w:p w14:paraId="42918A6A">
          <w:pPr>
            <w:pStyle w:val="10"/>
            <w:tabs>
              <w:tab w:val="right" w:leader="dot" w:pos="8306"/>
            </w:tabs>
          </w:pPr>
          <w:r>
            <w:fldChar w:fldCharType="begin"/>
          </w:r>
          <w:r>
            <w:instrText xml:space="preserve"> HYPERLINK \l _Toc31021 </w:instrText>
          </w:r>
          <w:r>
            <w:fldChar w:fldCharType="separate"/>
          </w:r>
          <w:r>
            <w:rPr>
              <w:rFonts w:hint="eastAsia"/>
            </w:rPr>
            <w:t xml:space="preserve">9.2 </w:t>
          </w:r>
          <w:r>
            <w:t>期末基金管理人的从业人员持有本基金的情况</w:t>
          </w:r>
          <w:r>
            <w:tab/>
          </w:r>
          <w:r>
            <w:fldChar w:fldCharType="begin"/>
          </w:r>
          <w:r>
            <w:instrText xml:space="preserve"> PAGEREF _Toc31021 \h </w:instrText>
          </w:r>
          <w:r>
            <w:fldChar w:fldCharType="separate"/>
          </w:r>
          <w:r>
            <w:t>50</w:t>
          </w:r>
          <w:r>
            <w:fldChar w:fldCharType="end"/>
          </w:r>
          <w:r>
            <w:fldChar w:fldCharType="end"/>
          </w:r>
        </w:p>
        <w:p w14:paraId="613AF9A4">
          <w:pPr>
            <w:pStyle w:val="10"/>
            <w:tabs>
              <w:tab w:val="right" w:leader="dot" w:pos="8306"/>
            </w:tabs>
          </w:pPr>
          <w:r>
            <w:fldChar w:fldCharType="begin"/>
          </w:r>
          <w:r>
            <w:instrText xml:space="preserve"> HYPERLINK \l _Toc8945 </w:instrText>
          </w:r>
          <w:r>
            <w:fldChar w:fldCharType="separate"/>
          </w:r>
          <w:r>
            <w:rPr>
              <w:rFonts w:hint="eastAsia"/>
            </w:rPr>
            <w:t xml:space="preserve">9.3 </w:t>
          </w:r>
          <w:r>
            <w:t>期末基金管理人的从业人员持有本开放式基金份额总量区间情况</w:t>
          </w:r>
          <w:r>
            <w:tab/>
          </w:r>
          <w:r>
            <w:fldChar w:fldCharType="begin"/>
          </w:r>
          <w:r>
            <w:instrText xml:space="preserve"> PAGEREF _Toc8945 \h </w:instrText>
          </w:r>
          <w:r>
            <w:fldChar w:fldCharType="separate"/>
          </w:r>
          <w:r>
            <w:t>50</w:t>
          </w:r>
          <w:r>
            <w:fldChar w:fldCharType="end"/>
          </w:r>
          <w:r>
            <w:fldChar w:fldCharType="end"/>
          </w:r>
        </w:p>
        <w:p w14:paraId="7CE9B350">
          <w:pPr>
            <w:pStyle w:val="8"/>
            <w:tabs>
              <w:tab w:val="right" w:leader="dot" w:pos="8306"/>
            </w:tabs>
          </w:pPr>
          <w:r>
            <w:fldChar w:fldCharType="begin"/>
          </w:r>
          <w:r>
            <w:instrText xml:space="preserve"> HYPERLINK \l _Toc6524 </w:instrText>
          </w:r>
          <w:r>
            <w:fldChar w:fldCharType="separate"/>
          </w:r>
          <w:r>
            <w:rPr>
              <w:rFonts w:hint="eastAsia"/>
            </w:rPr>
            <w:t xml:space="preserve">§10 </w:t>
          </w:r>
          <w:r>
            <w:t>开放式基金份额变动</w:t>
          </w:r>
          <w:r>
            <w:tab/>
          </w:r>
          <w:r>
            <w:fldChar w:fldCharType="begin"/>
          </w:r>
          <w:r>
            <w:instrText xml:space="preserve"> PAGEREF _Toc6524 \h </w:instrText>
          </w:r>
          <w:r>
            <w:fldChar w:fldCharType="separate"/>
          </w:r>
          <w:r>
            <w:t>50</w:t>
          </w:r>
          <w:r>
            <w:fldChar w:fldCharType="end"/>
          </w:r>
          <w:r>
            <w:fldChar w:fldCharType="end"/>
          </w:r>
        </w:p>
        <w:p w14:paraId="240E7516">
          <w:pPr>
            <w:pStyle w:val="8"/>
            <w:tabs>
              <w:tab w:val="right" w:leader="dot" w:pos="8306"/>
            </w:tabs>
          </w:pPr>
          <w:r>
            <w:fldChar w:fldCharType="begin"/>
          </w:r>
          <w:r>
            <w:instrText xml:space="preserve"> HYPERLINK \l _Toc18891 </w:instrText>
          </w:r>
          <w:r>
            <w:fldChar w:fldCharType="separate"/>
          </w:r>
          <w:r>
            <w:rPr>
              <w:rFonts w:hint="eastAsia"/>
            </w:rPr>
            <w:t xml:space="preserve">§11 </w:t>
          </w:r>
          <w:r>
            <w:t>重大事件揭示</w:t>
          </w:r>
          <w:r>
            <w:tab/>
          </w:r>
          <w:r>
            <w:fldChar w:fldCharType="begin"/>
          </w:r>
          <w:r>
            <w:instrText xml:space="preserve"> PAGEREF _Toc18891 \h </w:instrText>
          </w:r>
          <w:r>
            <w:fldChar w:fldCharType="separate"/>
          </w:r>
          <w:r>
            <w:t>50</w:t>
          </w:r>
          <w:r>
            <w:fldChar w:fldCharType="end"/>
          </w:r>
          <w:r>
            <w:fldChar w:fldCharType="end"/>
          </w:r>
        </w:p>
        <w:p w14:paraId="2919E3FE">
          <w:pPr>
            <w:pStyle w:val="10"/>
            <w:tabs>
              <w:tab w:val="right" w:leader="dot" w:pos="8306"/>
            </w:tabs>
          </w:pPr>
          <w:r>
            <w:fldChar w:fldCharType="begin"/>
          </w:r>
          <w:r>
            <w:instrText xml:space="preserve"> HYPERLINK \l _Toc28347 </w:instrText>
          </w:r>
          <w:r>
            <w:fldChar w:fldCharType="separate"/>
          </w:r>
          <w:r>
            <w:rPr>
              <w:rFonts w:hint="eastAsia"/>
            </w:rPr>
            <w:t xml:space="preserve">11.1 </w:t>
          </w:r>
          <w:r>
            <w:t>基金份额持有人大会决议</w:t>
          </w:r>
          <w:r>
            <w:tab/>
          </w:r>
          <w:r>
            <w:fldChar w:fldCharType="begin"/>
          </w:r>
          <w:r>
            <w:instrText xml:space="preserve"> PAGEREF _Toc28347 \h </w:instrText>
          </w:r>
          <w:r>
            <w:fldChar w:fldCharType="separate"/>
          </w:r>
          <w:r>
            <w:t>50</w:t>
          </w:r>
          <w:r>
            <w:fldChar w:fldCharType="end"/>
          </w:r>
          <w:r>
            <w:fldChar w:fldCharType="end"/>
          </w:r>
        </w:p>
        <w:p w14:paraId="5E62CDB7">
          <w:pPr>
            <w:pStyle w:val="10"/>
            <w:tabs>
              <w:tab w:val="right" w:leader="dot" w:pos="8306"/>
            </w:tabs>
          </w:pPr>
          <w:r>
            <w:fldChar w:fldCharType="begin"/>
          </w:r>
          <w:r>
            <w:instrText xml:space="preserve"> HYPERLINK \l _Toc18754 </w:instrText>
          </w:r>
          <w:r>
            <w:fldChar w:fldCharType="separate"/>
          </w:r>
          <w:r>
            <w:rPr>
              <w:rFonts w:hint="eastAsia"/>
            </w:rPr>
            <w:t xml:space="preserve">11.2 </w:t>
          </w:r>
          <w:r>
            <w:t>基金管理人、基金托管人的专门基金托管部门的重大人事变动</w:t>
          </w:r>
          <w:r>
            <w:tab/>
          </w:r>
          <w:r>
            <w:fldChar w:fldCharType="begin"/>
          </w:r>
          <w:r>
            <w:instrText xml:space="preserve"> PAGEREF _Toc18754 \h </w:instrText>
          </w:r>
          <w:r>
            <w:fldChar w:fldCharType="separate"/>
          </w:r>
          <w:r>
            <w:t>50</w:t>
          </w:r>
          <w:r>
            <w:fldChar w:fldCharType="end"/>
          </w:r>
          <w:r>
            <w:fldChar w:fldCharType="end"/>
          </w:r>
        </w:p>
        <w:p w14:paraId="6B463FF1">
          <w:pPr>
            <w:pStyle w:val="10"/>
            <w:tabs>
              <w:tab w:val="right" w:leader="dot" w:pos="8306"/>
            </w:tabs>
          </w:pPr>
          <w:r>
            <w:fldChar w:fldCharType="begin"/>
          </w:r>
          <w:r>
            <w:instrText xml:space="preserve"> HYPERLINK \l _Toc23769 </w:instrText>
          </w:r>
          <w:r>
            <w:fldChar w:fldCharType="separate"/>
          </w:r>
          <w:r>
            <w:rPr>
              <w:rFonts w:hint="eastAsia"/>
            </w:rPr>
            <w:t xml:space="preserve">11.3 </w:t>
          </w:r>
          <w:r>
            <w:t>涉及基金管理人、基金财产、基金托管业务的诉讼</w:t>
          </w:r>
          <w:r>
            <w:tab/>
          </w:r>
          <w:r>
            <w:fldChar w:fldCharType="begin"/>
          </w:r>
          <w:r>
            <w:instrText xml:space="preserve"> PAGEREF _Toc23769 \h </w:instrText>
          </w:r>
          <w:r>
            <w:fldChar w:fldCharType="separate"/>
          </w:r>
          <w:r>
            <w:t>50</w:t>
          </w:r>
          <w:r>
            <w:fldChar w:fldCharType="end"/>
          </w:r>
          <w:r>
            <w:fldChar w:fldCharType="end"/>
          </w:r>
        </w:p>
        <w:p w14:paraId="7357A2D3">
          <w:pPr>
            <w:pStyle w:val="10"/>
            <w:tabs>
              <w:tab w:val="right" w:leader="dot" w:pos="8306"/>
            </w:tabs>
          </w:pPr>
          <w:r>
            <w:fldChar w:fldCharType="begin"/>
          </w:r>
          <w:r>
            <w:instrText xml:space="preserve"> HYPERLINK \l _Toc31484 </w:instrText>
          </w:r>
          <w:r>
            <w:fldChar w:fldCharType="separate"/>
          </w:r>
          <w:r>
            <w:rPr>
              <w:rFonts w:hint="eastAsia"/>
            </w:rPr>
            <w:t xml:space="preserve">11.4 </w:t>
          </w:r>
          <w:r>
            <w:t>基金投资策略的改变</w:t>
          </w:r>
          <w:r>
            <w:tab/>
          </w:r>
          <w:r>
            <w:fldChar w:fldCharType="begin"/>
          </w:r>
          <w:r>
            <w:instrText xml:space="preserve"> PAGEREF _Toc31484 \h </w:instrText>
          </w:r>
          <w:r>
            <w:fldChar w:fldCharType="separate"/>
          </w:r>
          <w:r>
            <w:t>51</w:t>
          </w:r>
          <w:r>
            <w:fldChar w:fldCharType="end"/>
          </w:r>
          <w:r>
            <w:fldChar w:fldCharType="end"/>
          </w:r>
        </w:p>
        <w:p w14:paraId="5174BE19">
          <w:pPr>
            <w:pStyle w:val="10"/>
            <w:tabs>
              <w:tab w:val="right" w:leader="dot" w:pos="8306"/>
            </w:tabs>
          </w:pPr>
          <w:r>
            <w:fldChar w:fldCharType="begin"/>
          </w:r>
          <w:r>
            <w:instrText xml:space="preserve"> HYPERLINK \l _Toc3727 </w:instrText>
          </w:r>
          <w:r>
            <w:fldChar w:fldCharType="separate"/>
          </w:r>
          <w:r>
            <w:rPr>
              <w:rFonts w:hint="eastAsia"/>
            </w:rPr>
            <w:t xml:space="preserve">11.5 </w:t>
          </w:r>
          <w:r>
            <w:t>为基金进行审计的会计师事务所情况</w:t>
          </w:r>
          <w:r>
            <w:tab/>
          </w:r>
          <w:r>
            <w:fldChar w:fldCharType="begin"/>
          </w:r>
          <w:r>
            <w:instrText xml:space="preserve"> PAGEREF _Toc3727 \h </w:instrText>
          </w:r>
          <w:r>
            <w:fldChar w:fldCharType="separate"/>
          </w:r>
          <w:r>
            <w:t>51</w:t>
          </w:r>
          <w:r>
            <w:fldChar w:fldCharType="end"/>
          </w:r>
          <w:r>
            <w:fldChar w:fldCharType="end"/>
          </w:r>
        </w:p>
        <w:p w14:paraId="7AFAE0F4">
          <w:pPr>
            <w:pStyle w:val="10"/>
            <w:tabs>
              <w:tab w:val="right" w:leader="dot" w:pos="8306"/>
            </w:tabs>
          </w:pPr>
          <w:r>
            <w:fldChar w:fldCharType="begin"/>
          </w:r>
          <w:r>
            <w:instrText xml:space="preserve"> HYPERLINK \l _Toc24530 </w:instrText>
          </w:r>
          <w:r>
            <w:fldChar w:fldCharType="separate"/>
          </w:r>
          <w:r>
            <w:rPr>
              <w:rFonts w:hint="eastAsia"/>
            </w:rPr>
            <w:t xml:space="preserve">11.6 </w:t>
          </w:r>
          <w:r>
            <w:t>管理人、托管人及相关从业人员受调查或处罚等情况</w:t>
          </w:r>
          <w:r>
            <w:tab/>
          </w:r>
          <w:r>
            <w:fldChar w:fldCharType="begin"/>
          </w:r>
          <w:r>
            <w:instrText xml:space="preserve"> PAGEREF _Toc24530 \h </w:instrText>
          </w:r>
          <w:r>
            <w:fldChar w:fldCharType="separate"/>
          </w:r>
          <w:r>
            <w:t>51</w:t>
          </w:r>
          <w:r>
            <w:fldChar w:fldCharType="end"/>
          </w:r>
          <w:r>
            <w:fldChar w:fldCharType="end"/>
          </w:r>
        </w:p>
        <w:p w14:paraId="68C35FC2">
          <w:pPr>
            <w:pStyle w:val="10"/>
            <w:tabs>
              <w:tab w:val="right" w:leader="dot" w:pos="8306"/>
            </w:tabs>
          </w:pPr>
          <w:r>
            <w:fldChar w:fldCharType="begin"/>
          </w:r>
          <w:r>
            <w:instrText xml:space="preserve"> HYPERLINK \l _Toc1611 </w:instrText>
          </w:r>
          <w:r>
            <w:fldChar w:fldCharType="separate"/>
          </w:r>
          <w:r>
            <w:rPr>
              <w:rFonts w:hint="eastAsia"/>
            </w:rPr>
            <w:t xml:space="preserve">11.7 </w:t>
          </w:r>
          <w:r>
            <w:t>基金租用证券公司交易单元的有关情况</w:t>
          </w:r>
          <w:r>
            <w:tab/>
          </w:r>
          <w:r>
            <w:fldChar w:fldCharType="begin"/>
          </w:r>
          <w:r>
            <w:instrText xml:space="preserve"> PAGEREF _Toc1611 \h </w:instrText>
          </w:r>
          <w:r>
            <w:fldChar w:fldCharType="separate"/>
          </w:r>
          <w:r>
            <w:t>52</w:t>
          </w:r>
          <w:r>
            <w:fldChar w:fldCharType="end"/>
          </w:r>
          <w:r>
            <w:fldChar w:fldCharType="end"/>
          </w:r>
        </w:p>
        <w:p w14:paraId="42C0CFB1">
          <w:pPr>
            <w:pStyle w:val="10"/>
            <w:tabs>
              <w:tab w:val="right" w:leader="dot" w:pos="8306"/>
            </w:tabs>
          </w:pPr>
          <w:r>
            <w:fldChar w:fldCharType="begin"/>
          </w:r>
          <w:r>
            <w:instrText xml:space="preserve"> HYPERLINK \l _Toc18823 </w:instrText>
          </w:r>
          <w:r>
            <w:fldChar w:fldCharType="separate"/>
          </w:r>
          <w:r>
            <w:rPr>
              <w:rFonts w:hint="eastAsia"/>
            </w:rPr>
            <w:t xml:space="preserve">11.8 </w:t>
          </w:r>
          <w:r>
            <w:t>其他重大事件</w:t>
          </w:r>
          <w:r>
            <w:tab/>
          </w:r>
          <w:r>
            <w:fldChar w:fldCharType="begin"/>
          </w:r>
          <w:r>
            <w:instrText xml:space="preserve"> PAGEREF _Toc18823 \h </w:instrText>
          </w:r>
          <w:r>
            <w:fldChar w:fldCharType="separate"/>
          </w:r>
          <w:r>
            <w:t>53</w:t>
          </w:r>
          <w:r>
            <w:fldChar w:fldCharType="end"/>
          </w:r>
          <w:r>
            <w:fldChar w:fldCharType="end"/>
          </w:r>
        </w:p>
        <w:p w14:paraId="394A6FCE">
          <w:pPr>
            <w:pStyle w:val="8"/>
            <w:tabs>
              <w:tab w:val="right" w:leader="dot" w:pos="8306"/>
            </w:tabs>
          </w:pPr>
          <w:r>
            <w:fldChar w:fldCharType="begin"/>
          </w:r>
          <w:r>
            <w:instrText xml:space="preserve"> HYPERLINK \l _Toc2954 </w:instrText>
          </w:r>
          <w:r>
            <w:fldChar w:fldCharType="separate"/>
          </w:r>
          <w:r>
            <w:rPr>
              <w:rFonts w:hint="eastAsia"/>
            </w:rPr>
            <w:t xml:space="preserve">§12 </w:t>
          </w:r>
          <w:r>
            <w:t>影响投资者决策的其他重要信息</w:t>
          </w:r>
          <w:r>
            <w:tab/>
          </w:r>
          <w:r>
            <w:fldChar w:fldCharType="begin"/>
          </w:r>
          <w:r>
            <w:instrText xml:space="preserve"> PAGEREF _Toc2954 \h </w:instrText>
          </w:r>
          <w:r>
            <w:fldChar w:fldCharType="separate"/>
          </w:r>
          <w:r>
            <w:t>55</w:t>
          </w:r>
          <w:r>
            <w:fldChar w:fldCharType="end"/>
          </w:r>
          <w:r>
            <w:fldChar w:fldCharType="end"/>
          </w:r>
        </w:p>
        <w:p w14:paraId="2470D55C">
          <w:pPr>
            <w:pStyle w:val="10"/>
            <w:tabs>
              <w:tab w:val="right" w:leader="dot" w:pos="8306"/>
            </w:tabs>
          </w:pPr>
          <w:r>
            <w:fldChar w:fldCharType="begin"/>
          </w:r>
          <w:r>
            <w:instrText xml:space="preserve"> HYPERLINK \l _Toc21323 </w:instrText>
          </w:r>
          <w:r>
            <w:fldChar w:fldCharType="separate"/>
          </w:r>
          <w:r>
            <w:rPr>
              <w:rFonts w:hint="eastAsia"/>
            </w:rPr>
            <w:t xml:space="preserve">12.1 </w:t>
          </w:r>
          <w:r>
            <w:t>报告期内单一投资者持有基金份额比例达到或超过20%的情况</w:t>
          </w:r>
          <w:r>
            <w:tab/>
          </w:r>
          <w:r>
            <w:fldChar w:fldCharType="begin"/>
          </w:r>
          <w:r>
            <w:instrText xml:space="preserve"> PAGEREF _Toc21323 \h </w:instrText>
          </w:r>
          <w:r>
            <w:fldChar w:fldCharType="separate"/>
          </w:r>
          <w:r>
            <w:t>55</w:t>
          </w:r>
          <w:r>
            <w:fldChar w:fldCharType="end"/>
          </w:r>
          <w:r>
            <w:fldChar w:fldCharType="end"/>
          </w:r>
        </w:p>
        <w:p w14:paraId="35A9BF75">
          <w:pPr>
            <w:pStyle w:val="10"/>
            <w:tabs>
              <w:tab w:val="right" w:leader="dot" w:pos="8306"/>
            </w:tabs>
          </w:pPr>
          <w:r>
            <w:fldChar w:fldCharType="begin"/>
          </w:r>
          <w:r>
            <w:instrText xml:space="preserve"> HYPERLINK \l _Toc32732 </w:instrText>
          </w:r>
          <w:r>
            <w:fldChar w:fldCharType="separate"/>
          </w:r>
          <w:r>
            <w:rPr>
              <w:rFonts w:hint="eastAsia"/>
            </w:rPr>
            <w:t xml:space="preserve">12.2 </w:t>
          </w:r>
          <w:r>
            <w:t>影响投资者决策的其他重要信息</w:t>
          </w:r>
          <w:r>
            <w:tab/>
          </w:r>
          <w:r>
            <w:fldChar w:fldCharType="begin"/>
          </w:r>
          <w:r>
            <w:instrText xml:space="preserve"> PAGEREF _Toc32732 \h </w:instrText>
          </w:r>
          <w:r>
            <w:fldChar w:fldCharType="separate"/>
          </w:r>
          <w:r>
            <w:t>55</w:t>
          </w:r>
          <w:r>
            <w:fldChar w:fldCharType="end"/>
          </w:r>
          <w:r>
            <w:fldChar w:fldCharType="end"/>
          </w:r>
        </w:p>
        <w:p w14:paraId="20E397EB">
          <w:pPr>
            <w:pStyle w:val="8"/>
            <w:tabs>
              <w:tab w:val="right" w:leader="dot" w:pos="8306"/>
            </w:tabs>
          </w:pPr>
          <w:r>
            <w:fldChar w:fldCharType="begin"/>
          </w:r>
          <w:r>
            <w:instrText xml:space="preserve"> HYPERLINK \l _Toc10015 </w:instrText>
          </w:r>
          <w:r>
            <w:fldChar w:fldCharType="separate"/>
          </w:r>
          <w:r>
            <w:rPr>
              <w:rFonts w:hint="eastAsia"/>
            </w:rPr>
            <w:t xml:space="preserve">§13 </w:t>
          </w:r>
          <w:r>
            <w:t>备查文件目录</w:t>
          </w:r>
          <w:r>
            <w:tab/>
          </w:r>
          <w:r>
            <w:fldChar w:fldCharType="begin"/>
          </w:r>
          <w:r>
            <w:instrText xml:space="preserve"> PAGEREF _Toc10015 \h </w:instrText>
          </w:r>
          <w:r>
            <w:fldChar w:fldCharType="separate"/>
          </w:r>
          <w:r>
            <w:t>55</w:t>
          </w:r>
          <w:r>
            <w:fldChar w:fldCharType="end"/>
          </w:r>
          <w:r>
            <w:fldChar w:fldCharType="end"/>
          </w:r>
        </w:p>
        <w:p w14:paraId="6FCEEAC2">
          <w:pPr>
            <w:pStyle w:val="10"/>
            <w:tabs>
              <w:tab w:val="right" w:leader="dot" w:pos="8306"/>
            </w:tabs>
          </w:pPr>
          <w:r>
            <w:fldChar w:fldCharType="begin"/>
          </w:r>
          <w:r>
            <w:instrText xml:space="preserve"> HYPERLINK \l _Toc16677 </w:instrText>
          </w:r>
          <w:r>
            <w:fldChar w:fldCharType="separate"/>
          </w:r>
          <w:r>
            <w:rPr>
              <w:rFonts w:hint="eastAsia"/>
            </w:rPr>
            <w:t xml:space="preserve">13.1 </w:t>
          </w:r>
          <w:r>
            <w:t>备查文件目录</w:t>
          </w:r>
          <w:r>
            <w:tab/>
          </w:r>
          <w:r>
            <w:fldChar w:fldCharType="begin"/>
          </w:r>
          <w:r>
            <w:instrText xml:space="preserve"> PAGEREF _Toc16677 \h </w:instrText>
          </w:r>
          <w:r>
            <w:fldChar w:fldCharType="separate"/>
          </w:r>
          <w:r>
            <w:t>55</w:t>
          </w:r>
          <w:r>
            <w:fldChar w:fldCharType="end"/>
          </w:r>
          <w:r>
            <w:fldChar w:fldCharType="end"/>
          </w:r>
        </w:p>
        <w:p w14:paraId="65114024">
          <w:pPr>
            <w:pStyle w:val="10"/>
            <w:tabs>
              <w:tab w:val="right" w:leader="dot" w:pos="8306"/>
            </w:tabs>
          </w:pPr>
          <w:r>
            <w:fldChar w:fldCharType="begin"/>
          </w:r>
          <w:r>
            <w:instrText xml:space="preserve"> HYPERLINK \l _Toc16280 </w:instrText>
          </w:r>
          <w:r>
            <w:fldChar w:fldCharType="separate"/>
          </w:r>
          <w:r>
            <w:rPr>
              <w:rFonts w:hint="eastAsia"/>
            </w:rPr>
            <w:t xml:space="preserve">13.2 </w:t>
          </w:r>
          <w:r>
            <w:t>存放地点</w:t>
          </w:r>
          <w:r>
            <w:tab/>
          </w:r>
          <w:r>
            <w:fldChar w:fldCharType="begin"/>
          </w:r>
          <w:r>
            <w:instrText xml:space="preserve"> PAGEREF _Toc16280 \h </w:instrText>
          </w:r>
          <w:r>
            <w:fldChar w:fldCharType="separate"/>
          </w:r>
          <w:r>
            <w:t>55</w:t>
          </w:r>
          <w:r>
            <w:fldChar w:fldCharType="end"/>
          </w:r>
          <w:r>
            <w:fldChar w:fldCharType="end"/>
          </w:r>
        </w:p>
        <w:p w14:paraId="15D12944">
          <w:pPr>
            <w:pStyle w:val="10"/>
            <w:tabs>
              <w:tab w:val="right" w:leader="dot" w:pos="8306"/>
            </w:tabs>
          </w:pPr>
          <w:r>
            <w:fldChar w:fldCharType="begin"/>
          </w:r>
          <w:r>
            <w:instrText xml:space="preserve"> HYPERLINK \l _Toc10974 </w:instrText>
          </w:r>
          <w:r>
            <w:fldChar w:fldCharType="separate"/>
          </w:r>
          <w:r>
            <w:rPr>
              <w:rFonts w:hint="eastAsia"/>
            </w:rPr>
            <w:t xml:space="preserve">13.3 </w:t>
          </w:r>
          <w:r>
            <w:t>查阅方式</w:t>
          </w:r>
          <w:r>
            <w:tab/>
          </w:r>
          <w:r>
            <w:fldChar w:fldCharType="begin"/>
          </w:r>
          <w:r>
            <w:instrText xml:space="preserve"> PAGEREF _Toc10974 \h </w:instrText>
          </w:r>
          <w:r>
            <w:fldChar w:fldCharType="separate"/>
          </w:r>
          <w:r>
            <w:t>55</w:t>
          </w:r>
          <w:r>
            <w:fldChar w:fldCharType="end"/>
          </w:r>
          <w:r>
            <w:fldChar w:fldCharType="end"/>
          </w:r>
        </w:p>
        <w:p w14:paraId="4327BAF5">
          <w:r>
            <w:fldChar w:fldCharType="end"/>
          </w:r>
        </w:p>
      </w:sdtContent>
    </w:sdt>
    <w:p w14:paraId="3963CC16">
      <w:pPr>
        <w:pStyle w:val="26"/>
        <w:pageBreakBefore/>
      </w:pPr>
      <w:bookmarkStart w:id="5" w:name="_Toc11640"/>
      <w:r>
        <w:t>基金简介</w:t>
      </w:r>
      <w:bookmarkEnd w:id="5"/>
    </w:p>
    <w:p w14:paraId="51FD7A0B">
      <w:pPr>
        <w:pStyle w:val="23"/>
      </w:pPr>
      <w:bookmarkStart w:id="6" w:name="_Toc29372"/>
      <w:r>
        <w:t>基金基本情况</w:t>
      </w:r>
      <w:bookmarkEnd w:id="6"/>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715"/>
        <w:gridCol w:w="4590"/>
      </w:tblGrid>
      <w:tr w14:paraId="308FBA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3715" w:type="dxa"/>
            <w:vAlign w:val="center"/>
          </w:tcPr>
          <w:p w14:paraId="2455E9A8">
            <w:r>
              <w:rPr>
                <w:rFonts w:hint="eastAsia"/>
              </w:rPr>
              <w:t>基金名称</w:t>
            </w:r>
          </w:p>
        </w:tc>
        <w:tc>
          <w:tcPr>
            <w:tcW w:w="4590" w:type="dxa"/>
            <w:vAlign w:val="center"/>
          </w:tcPr>
          <w:p w14:paraId="793940C2">
            <w:r>
              <w:rPr>
                <w:rFonts w:hint="eastAsia"/>
              </w:rPr>
              <w:t>南方中证同业存单AAA指数7天持有期证券投资基金</w:t>
            </w:r>
          </w:p>
        </w:tc>
      </w:tr>
      <w:tr w14:paraId="12965F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5" w:type="dxa"/>
            <w:vAlign w:val="center"/>
          </w:tcPr>
          <w:p w14:paraId="21595B27">
            <w:r>
              <w:rPr>
                <w:rFonts w:hint="eastAsia"/>
              </w:rPr>
              <w:t>基金简称</w:t>
            </w:r>
          </w:p>
        </w:tc>
        <w:tc>
          <w:tcPr>
            <w:tcW w:w="4590" w:type="dxa"/>
            <w:vAlign w:val="center"/>
          </w:tcPr>
          <w:p w14:paraId="0D3F9544">
            <w:r>
              <w:rPr>
                <w:rFonts w:hint="eastAsia"/>
              </w:rPr>
              <w:t>南方中证同业存单AAA指数7天持有</w:t>
            </w:r>
          </w:p>
        </w:tc>
      </w:tr>
      <w:tr w14:paraId="5C45A3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5" w:type="dxa"/>
            <w:vAlign w:val="center"/>
          </w:tcPr>
          <w:p w14:paraId="7E9EE3E6">
            <w:r>
              <w:rPr>
                <w:rFonts w:hint="eastAsia"/>
              </w:rPr>
              <w:t>基金主代码</w:t>
            </w:r>
          </w:p>
        </w:tc>
        <w:tc>
          <w:tcPr>
            <w:tcW w:w="4590" w:type="dxa"/>
            <w:vAlign w:val="center"/>
          </w:tcPr>
          <w:p w14:paraId="6F2AA6E3">
            <w:r>
              <w:rPr>
                <w:rFonts w:hint="eastAsia"/>
              </w:rPr>
              <w:t>014430</w:t>
            </w:r>
          </w:p>
        </w:tc>
      </w:tr>
      <w:tr w14:paraId="0E70AC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5" w:type="dxa"/>
            <w:vAlign w:val="center"/>
          </w:tcPr>
          <w:p w14:paraId="21ED9ACA">
            <w:r>
              <w:rPr>
                <w:rFonts w:hint="eastAsia"/>
              </w:rPr>
              <w:t>交易代码</w:t>
            </w:r>
          </w:p>
        </w:tc>
        <w:tc>
          <w:tcPr>
            <w:tcW w:w="4590" w:type="dxa"/>
            <w:vAlign w:val="center"/>
          </w:tcPr>
          <w:p w14:paraId="36C19E46">
            <w:r>
              <w:rPr>
                <w:rFonts w:hint="eastAsia"/>
              </w:rPr>
              <w:t>014430</w:t>
            </w:r>
          </w:p>
        </w:tc>
      </w:tr>
      <w:tr w14:paraId="64EF5C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5" w:type="dxa"/>
            <w:vAlign w:val="center"/>
          </w:tcPr>
          <w:p w14:paraId="38D266FA">
            <w:r>
              <w:rPr>
                <w:rFonts w:hint="eastAsia"/>
              </w:rPr>
              <w:t>基金运作方式</w:t>
            </w:r>
          </w:p>
        </w:tc>
        <w:tc>
          <w:tcPr>
            <w:tcW w:w="4590" w:type="dxa"/>
            <w:vAlign w:val="center"/>
          </w:tcPr>
          <w:p w14:paraId="3C999219">
            <w:r>
              <w:rPr>
                <w:rFonts w:hint="eastAsia"/>
              </w:rPr>
              <w:t>契约型开放式</w:t>
            </w:r>
          </w:p>
        </w:tc>
      </w:tr>
      <w:tr w14:paraId="216816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5" w:type="dxa"/>
            <w:vAlign w:val="center"/>
          </w:tcPr>
          <w:p w14:paraId="08A21F71">
            <w:r>
              <w:rPr>
                <w:rFonts w:hint="eastAsia"/>
              </w:rPr>
              <w:t>基金合同生效日</w:t>
            </w:r>
          </w:p>
        </w:tc>
        <w:tc>
          <w:tcPr>
            <w:tcW w:w="4590" w:type="dxa"/>
            <w:vAlign w:val="center"/>
          </w:tcPr>
          <w:p w14:paraId="6CA78407">
            <w:r>
              <w:rPr>
                <w:rFonts w:hint="eastAsia"/>
              </w:rPr>
              <w:t>2021年12月20日</w:t>
            </w:r>
          </w:p>
        </w:tc>
      </w:tr>
      <w:tr w14:paraId="3D2F3E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5" w:type="dxa"/>
            <w:vAlign w:val="center"/>
          </w:tcPr>
          <w:p w14:paraId="070BF497">
            <w:r>
              <w:rPr>
                <w:rFonts w:hint="eastAsia"/>
              </w:rPr>
              <w:t>基金管理人</w:t>
            </w:r>
          </w:p>
        </w:tc>
        <w:tc>
          <w:tcPr>
            <w:tcW w:w="4590" w:type="dxa"/>
            <w:vAlign w:val="center"/>
          </w:tcPr>
          <w:p w14:paraId="5062A20B">
            <w:r>
              <w:rPr>
                <w:rFonts w:hint="eastAsia"/>
              </w:rPr>
              <w:t>南方基金管理股份有限公司</w:t>
            </w:r>
          </w:p>
        </w:tc>
      </w:tr>
      <w:tr w14:paraId="1256DD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5" w:type="dxa"/>
            <w:vAlign w:val="center"/>
          </w:tcPr>
          <w:p w14:paraId="192C7401">
            <w:r>
              <w:rPr>
                <w:rFonts w:hint="eastAsia"/>
              </w:rPr>
              <w:t>基金托管人</w:t>
            </w:r>
          </w:p>
        </w:tc>
        <w:tc>
          <w:tcPr>
            <w:tcW w:w="4590" w:type="dxa"/>
            <w:vAlign w:val="center"/>
          </w:tcPr>
          <w:p w14:paraId="1A3A2B23">
            <w:r>
              <w:rPr>
                <w:rFonts w:hint="eastAsia"/>
              </w:rPr>
              <w:t>交通银行股份有限公司</w:t>
            </w:r>
          </w:p>
        </w:tc>
      </w:tr>
      <w:tr w14:paraId="3954BC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5" w:type="dxa"/>
            <w:vAlign w:val="center"/>
          </w:tcPr>
          <w:p w14:paraId="3E5752D2">
            <w:r>
              <w:rPr>
                <w:rFonts w:hint="eastAsia"/>
              </w:rPr>
              <w:t>报告期末基金份额总额</w:t>
            </w:r>
          </w:p>
        </w:tc>
        <w:tc>
          <w:tcPr>
            <w:tcW w:w="4590" w:type="dxa"/>
            <w:vAlign w:val="center"/>
          </w:tcPr>
          <w:p w14:paraId="0FF1B892">
            <w:r>
              <w:rPr>
                <w:rFonts w:hint="eastAsia"/>
              </w:rPr>
              <w:t>7,160,678,228.51份</w:t>
            </w:r>
          </w:p>
        </w:tc>
      </w:tr>
      <w:tr w14:paraId="389369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5" w:type="dxa"/>
            <w:vAlign w:val="center"/>
          </w:tcPr>
          <w:p w14:paraId="11ED48A3">
            <w:r>
              <w:rPr>
                <w:rFonts w:hint="eastAsia"/>
              </w:rPr>
              <w:t>基金合同存续期</w:t>
            </w:r>
          </w:p>
        </w:tc>
        <w:tc>
          <w:tcPr>
            <w:tcW w:w="4590" w:type="dxa"/>
            <w:vAlign w:val="center"/>
          </w:tcPr>
          <w:p w14:paraId="31F670C8">
            <w:r>
              <w:rPr>
                <w:rFonts w:hint="eastAsia"/>
              </w:rPr>
              <w:t>不定期</w:t>
            </w:r>
          </w:p>
        </w:tc>
      </w:tr>
    </w:tbl>
    <w:p w14:paraId="4DC84F03">
      <w:pPr>
        <w:pStyle w:val="23"/>
      </w:pPr>
      <w:bookmarkStart w:id="7" w:name="_Toc16518"/>
      <w:r>
        <w:t>基金产品说明</w:t>
      </w:r>
      <w:bookmarkEnd w:id="7"/>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6644"/>
      </w:tblGrid>
      <w:tr w14:paraId="1CFD25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20593EE">
            <w:r>
              <w:rPr>
                <w:rFonts w:hint="eastAsia"/>
              </w:rPr>
              <w:t>投资目标</w:t>
            </w:r>
          </w:p>
        </w:tc>
        <w:tc>
          <w:tcPr>
            <w:tcW w:w="6644" w:type="dxa"/>
            <w:vAlign w:val="center"/>
          </w:tcPr>
          <w:p w14:paraId="5A590DD4">
            <w:r>
              <w:rPr>
                <w:rFonts w:hint="eastAsia"/>
              </w:rPr>
              <w:t>本基金采用被动式指数化投资，通过严格的投资纪律约束和数量化的风险管理手段,以实现对标的指数的有效跟踪。</w:t>
            </w:r>
          </w:p>
        </w:tc>
      </w:tr>
      <w:tr w14:paraId="19283B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4B56852">
            <w:r>
              <w:rPr>
                <w:rFonts w:hint="eastAsia"/>
              </w:rPr>
              <w:t>投资策略</w:t>
            </w:r>
          </w:p>
        </w:tc>
        <w:tc>
          <w:tcPr>
            <w:tcW w:w="6644" w:type="dxa"/>
            <w:vAlign w:val="center"/>
          </w:tcPr>
          <w:p w14:paraId="415FA2F6">
            <w:pPr>
              <w:jc w:val="both"/>
            </w:pPr>
            <w:r>
              <w:rPr>
                <w:rFonts w:hint="eastAsia"/>
              </w:rPr>
              <w:t>本基金为被动式指数基金，采用抽样复制和动态最优化的方法，选取标的指数成份券和备选成份券中流动性较好的同业存单，构造与标的指数风险收益特征相似的资产组合，以实现对标的指数的有效跟踪。具体投资策略包括：1、资产配置策略；2、债券投资策略；3、资产支持证券投资策略等。</w:t>
            </w:r>
          </w:p>
        </w:tc>
      </w:tr>
      <w:tr w14:paraId="28B163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5ED9608">
            <w:r>
              <w:rPr>
                <w:rFonts w:hint="eastAsia"/>
              </w:rPr>
              <w:t>业绩比较基准</w:t>
            </w:r>
          </w:p>
        </w:tc>
        <w:tc>
          <w:tcPr>
            <w:tcW w:w="6644" w:type="dxa"/>
            <w:vAlign w:val="center"/>
          </w:tcPr>
          <w:p w14:paraId="244BF713">
            <w:r>
              <w:rPr>
                <w:rFonts w:hint="eastAsia"/>
              </w:rPr>
              <w:t>中证同业存单AAA指数收益率×95%+银行人民币一年定期存款利率（税后）×5%</w:t>
            </w:r>
          </w:p>
        </w:tc>
      </w:tr>
      <w:tr w14:paraId="1448CF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C470DE6">
            <w:r>
              <w:rPr>
                <w:rFonts w:hint="eastAsia"/>
              </w:rPr>
              <w:t>风险收益特征</w:t>
            </w:r>
          </w:p>
        </w:tc>
        <w:tc>
          <w:tcPr>
            <w:tcW w:w="6644" w:type="dxa"/>
            <w:vAlign w:val="center"/>
          </w:tcPr>
          <w:p w14:paraId="12617146">
            <w:pPr>
              <w:jc w:val="both"/>
            </w:pPr>
            <w:r>
              <w:rPr>
                <w:rFonts w:hint="eastAsia"/>
              </w:rPr>
              <w:t>本基金主要采用抽样复制和动态最优化的方法跟踪标的指数的表现，具有与标的指数、以及标的指数所代表的市场相似的风险收益特征。一般而言，本基金的长期平均风险和预期的收益率低于股票型基金和偏股混合型基金，高于货币市场基金。</w:t>
            </w:r>
          </w:p>
        </w:tc>
      </w:tr>
    </w:tbl>
    <w:p w14:paraId="51114FBB">
      <w:pPr>
        <w:pStyle w:val="23"/>
      </w:pPr>
      <w:bookmarkStart w:id="8" w:name="_Toc15388"/>
      <w:r>
        <w:t>基金管理人和基金托管人</w:t>
      </w:r>
      <w:bookmarkEnd w:id="8"/>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384"/>
        <w:gridCol w:w="2270"/>
        <w:gridCol w:w="2990"/>
      </w:tblGrid>
      <w:tr w14:paraId="495C16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125583D4">
            <w:r>
              <w:rPr>
                <w:rFonts w:hint="eastAsia"/>
              </w:rPr>
              <w:t>项目</w:t>
            </w:r>
          </w:p>
        </w:tc>
        <w:tc>
          <w:tcPr>
            <w:tcW w:w="2270" w:type="dxa"/>
            <w:vAlign w:val="center"/>
          </w:tcPr>
          <w:p w14:paraId="293E95F3">
            <w:r>
              <w:rPr>
                <w:rFonts w:hint="eastAsia"/>
              </w:rPr>
              <w:t>基金管理人</w:t>
            </w:r>
          </w:p>
        </w:tc>
        <w:tc>
          <w:tcPr>
            <w:tcW w:w="2990" w:type="dxa"/>
            <w:vAlign w:val="center"/>
          </w:tcPr>
          <w:p w14:paraId="0079D00B">
            <w:r>
              <w:rPr>
                <w:rFonts w:hint="eastAsia"/>
              </w:rPr>
              <w:t>基金托管人</w:t>
            </w:r>
          </w:p>
        </w:tc>
      </w:tr>
      <w:tr w14:paraId="5359A1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52BA5D06">
            <w:r>
              <w:rPr>
                <w:rFonts w:hint="eastAsia"/>
              </w:rPr>
              <w:t>名称</w:t>
            </w:r>
          </w:p>
        </w:tc>
        <w:tc>
          <w:tcPr>
            <w:tcW w:w="2270" w:type="dxa"/>
            <w:vAlign w:val="center"/>
          </w:tcPr>
          <w:p w14:paraId="29C40BC6">
            <w:r>
              <w:rPr>
                <w:rFonts w:hint="eastAsia"/>
              </w:rPr>
              <w:t>南方基金管理股份有限公司</w:t>
            </w:r>
          </w:p>
        </w:tc>
        <w:tc>
          <w:tcPr>
            <w:tcW w:w="2990" w:type="dxa"/>
            <w:vAlign w:val="center"/>
          </w:tcPr>
          <w:p w14:paraId="62373DFA">
            <w:r>
              <w:rPr>
                <w:rFonts w:hint="eastAsia"/>
              </w:rPr>
              <w:t>交通银行股份有限公司</w:t>
            </w:r>
          </w:p>
        </w:tc>
      </w:tr>
      <w:tr w14:paraId="1CB566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080F8EEA">
            <w:r>
              <w:rPr>
                <w:rFonts w:hint="eastAsia"/>
              </w:rPr>
              <w:t>信息披露负责人</w:t>
            </w:r>
          </w:p>
        </w:tc>
        <w:tc>
          <w:tcPr>
            <w:tcW w:w="1384" w:type="dxa"/>
            <w:vAlign w:val="center"/>
          </w:tcPr>
          <w:p w14:paraId="153871ED">
            <w:r>
              <w:rPr>
                <w:rFonts w:hint="eastAsia"/>
              </w:rPr>
              <w:t>姓名</w:t>
            </w:r>
          </w:p>
        </w:tc>
        <w:tc>
          <w:tcPr>
            <w:tcW w:w="2270" w:type="dxa"/>
            <w:vAlign w:val="center"/>
          </w:tcPr>
          <w:p w14:paraId="09263CE6">
            <w:r>
              <w:rPr>
                <w:rFonts w:hint="eastAsia"/>
              </w:rPr>
              <w:t>鲍文革</w:t>
            </w:r>
          </w:p>
        </w:tc>
        <w:tc>
          <w:tcPr>
            <w:tcW w:w="2990" w:type="dxa"/>
            <w:vAlign w:val="center"/>
          </w:tcPr>
          <w:p w14:paraId="2C97533F">
            <w:r>
              <w:rPr>
                <w:rFonts w:hint="eastAsia"/>
              </w:rPr>
              <w:t>方圆</w:t>
            </w:r>
          </w:p>
        </w:tc>
      </w:tr>
      <w:tr w14:paraId="322022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6A3E5AB8"/>
        </w:tc>
        <w:tc>
          <w:tcPr>
            <w:tcW w:w="1384" w:type="dxa"/>
            <w:vAlign w:val="center"/>
          </w:tcPr>
          <w:p w14:paraId="3200FF21">
            <w:r>
              <w:rPr>
                <w:rFonts w:hint="eastAsia"/>
              </w:rPr>
              <w:t>联系电话</w:t>
            </w:r>
          </w:p>
        </w:tc>
        <w:tc>
          <w:tcPr>
            <w:tcW w:w="2270" w:type="dxa"/>
            <w:vAlign w:val="center"/>
          </w:tcPr>
          <w:p w14:paraId="057F89E8">
            <w:r>
              <w:rPr>
                <w:rFonts w:hint="eastAsia"/>
              </w:rPr>
              <w:t>0755-82763888</w:t>
            </w:r>
          </w:p>
        </w:tc>
        <w:tc>
          <w:tcPr>
            <w:tcW w:w="2990" w:type="dxa"/>
            <w:vAlign w:val="center"/>
          </w:tcPr>
          <w:p w14:paraId="189E09DA">
            <w:r>
              <w:rPr>
                <w:rFonts w:hint="eastAsia"/>
              </w:rPr>
              <w:t>95559</w:t>
            </w:r>
          </w:p>
        </w:tc>
      </w:tr>
      <w:tr w14:paraId="0F8927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16BD1224"/>
        </w:tc>
        <w:tc>
          <w:tcPr>
            <w:tcW w:w="1384" w:type="dxa"/>
            <w:vAlign w:val="center"/>
          </w:tcPr>
          <w:p w14:paraId="71E184DC">
            <w:r>
              <w:rPr>
                <w:rFonts w:hint="eastAsia"/>
              </w:rPr>
              <w:t>电子邮箱</w:t>
            </w:r>
          </w:p>
        </w:tc>
        <w:tc>
          <w:tcPr>
            <w:tcW w:w="2270" w:type="dxa"/>
            <w:vAlign w:val="center"/>
          </w:tcPr>
          <w:p w14:paraId="49AADFF6">
            <w:r>
              <w:rPr>
                <w:rFonts w:hint="eastAsia"/>
              </w:rPr>
              <w:t>manager@southernfund.com</w:t>
            </w:r>
          </w:p>
        </w:tc>
        <w:tc>
          <w:tcPr>
            <w:tcW w:w="2990" w:type="dxa"/>
            <w:vAlign w:val="center"/>
          </w:tcPr>
          <w:p w14:paraId="45FB3B3B">
            <w:r>
              <w:rPr>
                <w:rFonts w:hint="eastAsia"/>
              </w:rPr>
              <w:t>fangy_20@bankcomm.com</w:t>
            </w:r>
          </w:p>
        </w:tc>
      </w:tr>
      <w:tr w14:paraId="4FA67E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221A014B">
            <w:r>
              <w:rPr>
                <w:rFonts w:hint="eastAsia"/>
              </w:rPr>
              <w:t>客户服务电话</w:t>
            </w:r>
          </w:p>
        </w:tc>
        <w:tc>
          <w:tcPr>
            <w:tcW w:w="2270" w:type="dxa"/>
            <w:vAlign w:val="center"/>
          </w:tcPr>
          <w:p w14:paraId="5684F53E">
            <w:r>
              <w:rPr>
                <w:rFonts w:hint="eastAsia"/>
              </w:rPr>
              <w:t>400-889-8899</w:t>
            </w:r>
          </w:p>
        </w:tc>
        <w:tc>
          <w:tcPr>
            <w:tcW w:w="2990" w:type="dxa"/>
            <w:vAlign w:val="center"/>
          </w:tcPr>
          <w:p w14:paraId="5E7E3CAD">
            <w:r>
              <w:rPr>
                <w:rFonts w:hint="eastAsia"/>
              </w:rPr>
              <w:t>95559</w:t>
            </w:r>
          </w:p>
        </w:tc>
      </w:tr>
      <w:tr w14:paraId="347161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4A421EB2">
            <w:r>
              <w:rPr>
                <w:rFonts w:hint="eastAsia"/>
              </w:rPr>
              <w:t>传真</w:t>
            </w:r>
          </w:p>
        </w:tc>
        <w:tc>
          <w:tcPr>
            <w:tcW w:w="2270" w:type="dxa"/>
            <w:vAlign w:val="center"/>
          </w:tcPr>
          <w:p w14:paraId="7F3D545D">
            <w:r>
              <w:rPr>
                <w:rFonts w:hint="eastAsia"/>
              </w:rPr>
              <w:t>0755-82763889</w:t>
            </w:r>
          </w:p>
        </w:tc>
        <w:tc>
          <w:tcPr>
            <w:tcW w:w="2990" w:type="dxa"/>
            <w:vAlign w:val="center"/>
          </w:tcPr>
          <w:p w14:paraId="0219D120">
            <w:r>
              <w:rPr>
                <w:rFonts w:hint="eastAsia"/>
              </w:rPr>
              <w:t>021-62701216</w:t>
            </w:r>
          </w:p>
        </w:tc>
      </w:tr>
      <w:tr w14:paraId="74546F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07C7D26A">
            <w:r>
              <w:rPr>
                <w:rFonts w:hint="eastAsia"/>
              </w:rPr>
              <w:t>注册地址</w:t>
            </w:r>
          </w:p>
        </w:tc>
        <w:tc>
          <w:tcPr>
            <w:tcW w:w="2270" w:type="dxa"/>
            <w:vAlign w:val="center"/>
          </w:tcPr>
          <w:p w14:paraId="154DC49C">
            <w:r>
              <w:rPr>
                <w:rFonts w:hint="eastAsia"/>
              </w:rPr>
              <w:t>深圳市福田区莲花街道益田路5999号基金大厦32-42楼</w:t>
            </w:r>
          </w:p>
        </w:tc>
        <w:tc>
          <w:tcPr>
            <w:tcW w:w="2990" w:type="dxa"/>
            <w:vAlign w:val="center"/>
          </w:tcPr>
          <w:p w14:paraId="1C051C61">
            <w:r>
              <w:rPr>
                <w:rFonts w:hint="eastAsia"/>
              </w:rPr>
              <w:t>中国（上海）自由贸易试验区银城中路188号</w:t>
            </w:r>
          </w:p>
        </w:tc>
      </w:tr>
      <w:tr w14:paraId="742DCC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3AB0DAB8">
            <w:r>
              <w:rPr>
                <w:rFonts w:hint="eastAsia"/>
              </w:rPr>
              <w:t>办公地址</w:t>
            </w:r>
          </w:p>
        </w:tc>
        <w:tc>
          <w:tcPr>
            <w:tcW w:w="2270" w:type="dxa"/>
            <w:vAlign w:val="center"/>
          </w:tcPr>
          <w:p w14:paraId="26C306BB">
            <w:r>
              <w:rPr>
                <w:rFonts w:hint="eastAsia"/>
              </w:rPr>
              <w:t>深圳市福田区莲花街道益田路5999号基金大厦32-42楼</w:t>
            </w:r>
          </w:p>
        </w:tc>
        <w:tc>
          <w:tcPr>
            <w:tcW w:w="2990" w:type="dxa"/>
            <w:vAlign w:val="center"/>
          </w:tcPr>
          <w:p w14:paraId="08A32947">
            <w:r>
              <w:rPr>
                <w:rFonts w:hint="eastAsia"/>
              </w:rPr>
              <w:t>中国（上海）长宁区仙霞路18号</w:t>
            </w:r>
          </w:p>
        </w:tc>
      </w:tr>
      <w:tr w14:paraId="31CBF2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7EC0E426">
            <w:r>
              <w:rPr>
                <w:rFonts w:hint="eastAsia"/>
              </w:rPr>
              <w:t>邮政编码</w:t>
            </w:r>
          </w:p>
        </w:tc>
        <w:tc>
          <w:tcPr>
            <w:tcW w:w="2270" w:type="dxa"/>
            <w:vAlign w:val="center"/>
          </w:tcPr>
          <w:p w14:paraId="0FEE1989">
            <w:r>
              <w:rPr>
                <w:rFonts w:hint="eastAsia"/>
              </w:rPr>
              <w:t>518017</w:t>
            </w:r>
          </w:p>
        </w:tc>
        <w:tc>
          <w:tcPr>
            <w:tcW w:w="2990" w:type="dxa"/>
            <w:vAlign w:val="center"/>
          </w:tcPr>
          <w:p w14:paraId="14076ED1">
            <w:r>
              <w:rPr>
                <w:rFonts w:hint="eastAsia"/>
              </w:rPr>
              <w:t>200336</w:t>
            </w:r>
          </w:p>
        </w:tc>
      </w:tr>
      <w:tr w14:paraId="7331F2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798BC0F9">
            <w:r>
              <w:rPr>
                <w:rFonts w:hint="eastAsia"/>
              </w:rPr>
              <w:t>法定代表人</w:t>
            </w:r>
          </w:p>
        </w:tc>
        <w:tc>
          <w:tcPr>
            <w:tcW w:w="2270" w:type="dxa"/>
            <w:vAlign w:val="center"/>
          </w:tcPr>
          <w:p w14:paraId="0A48D070">
            <w:r>
              <w:rPr>
                <w:rFonts w:hint="eastAsia"/>
              </w:rPr>
              <w:t>周易</w:t>
            </w:r>
          </w:p>
        </w:tc>
        <w:tc>
          <w:tcPr>
            <w:tcW w:w="2990" w:type="dxa"/>
            <w:vAlign w:val="center"/>
          </w:tcPr>
          <w:p w14:paraId="06ACA915">
            <w:r>
              <w:rPr>
                <w:rFonts w:hint="eastAsia"/>
              </w:rPr>
              <w:t>任德奇</w:t>
            </w:r>
          </w:p>
        </w:tc>
      </w:tr>
    </w:tbl>
    <w:p w14:paraId="5639C593">
      <w:pPr>
        <w:pStyle w:val="23"/>
      </w:pPr>
      <w:bookmarkStart w:id="9" w:name="_Toc8555"/>
      <w:r>
        <w:t>信息披露方式</w:t>
      </w:r>
      <w:bookmarkEnd w:id="9"/>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1C2D65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4983" w:type="dxa"/>
            <w:vAlign w:val="center"/>
          </w:tcPr>
          <w:p w14:paraId="3D91AE7C">
            <w:r>
              <w:rPr>
                <w:rFonts w:hint="eastAsia"/>
              </w:rPr>
              <w:t>本基金选定的信息披露报纸名称</w:t>
            </w:r>
          </w:p>
        </w:tc>
        <w:tc>
          <w:tcPr>
            <w:tcW w:w="3322" w:type="dxa"/>
            <w:vAlign w:val="center"/>
          </w:tcPr>
          <w:p w14:paraId="4311935B">
            <w:r>
              <w:rPr>
                <w:rFonts w:hint="eastAsia"/>
              </w:rPr>
              <w:t>上海证券报</w:t>
            </w:r>
          </w:p>
        </w:tc>
      </w:tr>
      <w:tr w14:paraId="5F94EC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1900C01">
            <w:r>
              <w:rPr>
                <w:rFonts w:hint="eastAsia"/>
              </w:rPr>
              <w:t>登载基金年度报告正文的管理人互联网网址</w:t>
            </w:r>
          </w:p>
        </w:tc>
        <w:tc>
          <w:tcPr>
            <w:tcW w:w="3322" w:type="dxa"/>
            <w:vAlign w:val="center"/>
          </w:tcPr>
          <w:p w14:paraId="2C43933B">
            <w:r>
              <w:rPr>
                <w:rFonts w:hint="eastAsia"/>
              </w:rPr>
              <w:t>http://www.nffund.com</w:t>
            </w:r>
          </w:p>
        </w:tc>
      </w:tr>
      <w:tr w14:paraId="7E32E5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25C96D7">
            <w:r>
              <w:rPr>
                <w:rFonts w:hint="eastAsia"/>
              </w:rPr>
              <w:t>基金年度报告备置地点</w:t>
            </w:r>
          </w:p>
        </w:tc>
        <w:tc>
          <w:tcPr>
            <w:tcW w:w="3322" w:type="dxa"/>
            <w:vAlign w:val="center"/>
          </w:tcPr>
          <w:p w14:paraId="425DF020">
            <w:r>
              <w:rPr>
                <w:rFonts w:hint="eastAsia"/>
              </w:rPr>
              <w:t>基金管理人、基金托管人的办公地址、基金上市交易的证券交易所（如有）</w:t>
            </w:r>
          </w:p>
        </w:tc>
      </w:tr>
    </w:tbl>
    <w:p w14:paraId="3BBA0DA1">
      <w:pPr>
        <w:pStyle w:val="23"/>
      </w:pPr>
      <w:bookmarkStart w:id="10" w:name="_Toc5242"/>
      <w:r>
        <w:t>其他相关资料</w:t>
      </w:r>
      <w:bookmarkEnd w:id="10"/>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2"/>
        <w:gridCol w:w="2907"/>
        <w:gridCol w:w="3876"/>
      </w:tblGrid>
      <w:tr w14:paraId="1F7461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shd w:val="clear" w:color="auto" w:fill="BFBFBF"/>
            <w:vAlign w:val="center"/>
          </w:tcPr>
          <w:p w14:paraId="08B14BEF">
            <w:pPr>
              <w:jc w:val="center"/>
            </w:pPr>
            <w:r>
              <w:rPr>
                <w:rFonts w:hint="eastAsia"/>
                <w:b/>
              </w:rPr>
              <w:t>项目</w:t>
            </w:r>
          </w:p>
        </w:tc>
        <w:tc>
          <w:tcPr>
            <w:tcW w:w="2907" w:type="dxa"/>
            <w:shd w:val="clear" w:color="auto" w:fill="BFBFBF"/>
            <w:vAlign w:val="center"/>
          </w:tcPr>
          <w:p w14:paraId="7756358B">
            <w:pPr>
              <w:jc w:val="center"/>
            </w:pPr>
            <w:r>
              <w:rPr>
                <w:rFonts w:hint="eastAsia"/>
                <w:b/>
              </w:rPr>
              <w:t>名称</w:t>
            </w:r>
          </w:p>
        </w:tc>
        <w:tc>
          <w:tcPr>
            <w:tcW w:w="3876" w:type="dxa"/>
            <w:shd w:val="clear" w:color="auto" w:fill="BFBFBF"/>
            <w:vAlign w:val="center"/>
          </w:tcPr>
          <w:p w14:paraId="04085A38">
            <w:pPr>
              <w:jc w:val="center"/>
            </w:pPr>
            <w:r>
              <w:rPr>
                <w:rFonts w:hint="eastAsia"/>
                <w:b/>
              </w:rPr>
              <w:t>办公地址</w:t>
            </w:r>
          </w:p>
        </w:tc>
      </w:tr>
      <w:tr w14:paraId="7916B5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61DA1CEA">
            <w:r>
              <w:rPr>
                <w:rFonts w:hint="eastAsia"/>
              </w:rPr>
              <w:t>会计师事务所</w:t>
            </w:r>
          </w:p>
        </w:tc>
        <w:tc>
          <w:tcPr>
            <w:tcW w:w="2907" w:type="dxa"/>
            <w:vAlign w:val="center"/>
          </w:tcPr>
          <w:p w14:paraId="0BF03D7A">
            <w:r>
              <w:rPr>
                <w:rFonts w:hint="eastAsia"/>
              </w:rPr>
              <w:t>容诚会计师事务所（特殊普通合伙）</w:t>
            </w:r>
          </w:p>
        </w:tc>
        <w:tc>
          <w:tcPr>
            <w:tcW w:w="3876" w:type="dxa"/>
            <w:vAlign w:val="center"/>
          </w:tcPr>
          <w:p w14:paraId="3F4B1E7B">
            <w:r>
              <w:rPr>
                <w:rFonts w:hint="eastAsia"/>
              </w:rPr>
              <w:t>北京市西城区阜成门外大街22号1幢10层1001-1至1001-26</w:t>
            </w:r>
          </w:p>
        </w:tc>
      </w:tr>
      <w:tr w14:paraId="0509A1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4F56D0B1">
            <w:r>
              <w:rPr>
                <w:rFonts w:hint="eastAsia"/>
              </w:rPr>
              <w:t>注册登记机构</w:t>
            </w:r>
          </w:p>
        </w:tc>
        <w:tc>
          <w:tcPr>
            <w:tcW w:w="2907" w:type="dxa"/>
            <w:vAlign w:val="center"/>
          </w:tcPr>
          <w:p w14:paraId="440FC11D">
            <w:r>
              <w:rPr>
                <w:rFonts w:hint="eastAsia"/>
              </w:rPr>
              <w:t>南方基金管理股份有限公司</w:t>
            </w:r>
          </w:p>
        </w:tc>
        <w:tc>
          <w:tcPr>
            <w:tcW w:w="3876" w:type="dxa"/>
            <w:vAlign w:val="center"/>
          </w:tcPr>
          <w:p w14:paraId="1E46BDE8">
            <w:r>
              <w:rPr>
                <w:rFonts w:hint="eastAsia"/>
              </w:rPr>
              <w:t>深圳市福田区莲花街道益田路5999号基金大厦32-42楼</w:t>
            </w:r>
          </w:p>
        </w:tc>
      </w:tr>
    </w:tbl>
    <w:p w14:paraId="695E2907">
      <w:pPr>
        <w:pStyle w:val="26"/>
        <w:pageBreakBefore/>
      </w:pPr>
      <w:bookmarkStart w:id="11" w:name="_Toc4296"/>
      <w:r>
        <w:t>主要财务指标、基金净值表现及利润分配情况</w:t>
      </w:r>
      <w:bookmarkEnd w:id="11"/>
    </w:p>
    <w:p w14:paraId="3F76C07A">
      <w:pPr>
        <w:pStyle w:val="23"/>
      </w:pPr>
      <w:bookmarkStart w:id="12" w:name="_Toc8225"/>
      <w:r>
        <w:t>主要会计数据和财务指标</w:t>
      </w:r>
      <w:bookmarkEnd w:id="12"/>
    </w:p>
    <w:p w14:paraId="79980D98">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57"/>
        <w:gridCol w:w="1771"/>
        <w:gridCol w:w="1949"/>
        <w:gridCol w:w="1827"/>
      </w:tblGrid>
      <w:tr w14:paraId="45C3CA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2D86836">
            <w:r>
              <w:rPr>
                <w:rFonts w:hint="eastAsia"/>
              </w:rPr>
              <w:t>3.1.1 期间数据和指标</w:t>
            </w:r>
          </w:p>
        </w:tc>
        <w:tc>
          <w:tcPr>
            <w:tcW w:w="1771" w:type="dxa"/>
            <w:vAlign w:val="center"/>
          </w:tcPr>
          <w:p w14:paraId="33A3405D">
            <w:r>
              <w:rPr>
                <w:rFonts w:hint="eastAsia"/>
              </w:rPr>
              <w:t>2025年</w:t>
            </w:r>
          </w:p>
        </w:tc>
        <w:tc>
          <w:tcPr>
            <w:tcW w:w="1949" w:type="dxa"/>
            <w:vAlign w:val="center"/>
          </w:tcPr>
          <w:p w14:paraId="41BE496C">
            <w:r>
              <w:rPr>
                <w:rFonts w:hint="eastAsia"/>
              </w:rPr>
              <w:t>2024年</w:t>
            </w:r>
          </w:p>
        </w:tc>
        <w:tc>
          <w:tcPr>
            <w:tcW w:w="1827" w:type="dxa"/>
            <w:vAlign w:val="center"/>
          </w:tcPr>
          <w:p w14:paraId="4E8FBB0E">
            <w:r>
              <w:rPr>
                <w:rFonts w:hint="eastAsia"/>
              </w:rPr>
              <w:t>2023年</w:t>
            </w:r>
          </w:p>
        </w:tc>
      </w:tr>
      <w:tr w14:paraId="275AF9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83C06C7">
            <w:r>
              <w:rPr>
                <w:rFonts w:hint="eastAsia"/>
              </w:rPr>
              <w:t>本期已实现收益</w:t>
            </w:r>
          </w:p>
        </w:tc>
        <w:tc>
          <w:tcPr>
            <w:tcW w:w="1771" w:type="dxa"/>
            <w:vAlign w:val="center"/>
          </w:tcPr>
          <w:p w14:paraId="7E33E4D3">
            <w:pPr>
              <w:jc w:val="right"/>
            </w:pPr>
            <w:r>
              <w:rPr>
                <w:rFonts w:hint="eastAsia"/>
              </w:rPr>
              <w:t>71,478,571.44</w:t>
            </w:r>
          </w:p>
        </w:tc>
        <w:tc>
          <w:tcPr>
            <w:tcW w:w="1949" w:type="dxa"/>
            <w:vAlign w:val="center"/>
          </w:tcPr>
          <w:p w14:paraId="3E932060">
            <w:pPr>
              <w:jc w:val="right"/>
            </w:pPr>
            <w:r>
              <w:rPr>
                <w:rFonts w:hint="eastAsia"/>
              </w:rPr>
              <w:t>80,260,987.69</w:t>
            </w:r>
          </w:p>
        </w:tc>
        <w:tc>
          <w:tcPr>
            <w:tcW w:w="1827" w:type="dxa"/>
            <w:vAlign w:val="center"/>
          </w:tcPr>
          <w:p w14:paraId="685DC887">
            <w:pPr>
              <w:jc w:val="right"/>
            </w:pPr>
            <w:r>
              <w:rPr>
                <w:rFonts w:hint="eastAsia"/>
              </w:rPr>
              <w:t>113,152,196.85</w:t>
            </w:r>
          </w:p>
        </w:tc>
      </w:tr>
      <w:tr w14:paraId="16A16C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FC3304F">
            <w:r>
              <w:rPr>
                <w:rFonts w:hint="eastAsia"/>
              </w:rPr>
              <w:t>本期利润</w:t>
            </w:r>
          </w:p>
        </w:tc>
        <w:tc>
          <w:tcPr>
            <w:tcW w:w="1771" w:type="dxa"/>
            <w:vAlign w:val="center"/>
          </w:tcPr>
          <w:p w14:paraId="729715DC">
            <w:pPr>
              <w:jc w:val="right"/>
            </w:pPr>
            <w:r>
              <w:rPr>
                <w:rFonts w:hint="eastAsia"/>
              </w:rPr>
              <w:t>68,038,868.01</w:t>
            </w:r>
          </w:p>
        </w:tc>
        <w:tc>
          <w:tcPr>
            <w:tcW w:w="1949" w:type="dxa"/>
            <w:vAlign w:val="center"/>
          </w:tcPr>
          <w:p w14:paraId="7E66D0B6">
            <w:pPr>
              <w:jc w:val="right"/>
            </w:pPr>
            <w:r>
              <w:rPr>
                <w:rFonts w:hint="eastAsia"/>
              </w:rPr>
              <w:t>77,560,415.55</w:t>
            </w:r>
          </w:p>
        </w:tc>
        <w:tc>
          <w:tcPr>
            <w:tcW w:w="1827" w:type="dxa"/>
            <w:vAlign w:val="center"/>
          </w:tcPr>
          <w:p w14:paraId="4EAAEA5E">
            <w:pPr>
              <w:jc w:val="right"/>
            </w:pPr>
            <w:r>
              <w:rPr>
                <w:rFonts w:hint="eastAsia"/>
              </w:rPr>
              <w:t>117,757,902.20</w:t>
            </w:r>
          </w:p>
        </w:tc>
      </w:tr>
      <w:tr w14:paraId="5C0EC7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D6364D5">
            <w:r>
              <w:rPr>
                <w:rFonts w:hint="eastAsia"/>
              </w:rPr>
              <w:t>加权平均基金份额本期利润</w:t>
            </w:r>
          </w:p>
        </w:tc>
        <w:tc>
          <w:tcPr>
            <w:tcW w:w="1771" w:type="dxa"/>
            <w:vAlign w:val="center"/>
          </w:tcPr>
          <w:p w14:paraId="4302B183">
            <w:pPr>
              <w:jc w:val="right"/>
            </w:pPr>
            <w:r>
              <w:rPr>
                <w:rFonts w:hint="eastAsia"/>
              </w:rPr>
              <w:t>0.0142</w:t>
            </w:r>
          </w:p>
        </w:tc>
        <w:tc>
          <w:tcPr>
            <w:tcW w:w="1949" w:type="dxa"/>
            <w:vAlign w:val="center"/>
          </w:tcPr>
          <w:p w14:paraId="52EE5443">
            <w:pPr>
              <w:jc w:val="right"/>
            </w:pPr>
            <w:r>
              <w:rPr>
                <w:rFonts w:hint="eastAsia"/>
              </w:rPr>
              <w:t>0.0239</w:t>
            </w:r>
          </w:p>
        </w:tc>
        <w:tc>
          <w:tcPr>
            <w:tcW w:w="1827" w:type="dxa"/>
            <w:vAlign w:val="center"/>
          </w:tcPr>
          <w:p w14:paraId="242910E8">
            <w:pPr>
              <w:jc w:val="right"/>
            </w:pPr>
            <w:r>
              <w:rPr>
                <w:rFonts w:hint="eastAsia"/>
              </w:rPr>
              <w:t>0.0228</w:t>
            </w:r>
          </w:p>
        </w:tc>
      </w:tr>
      <w:tr w14:paraId="113BC2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D3649D2">
            <w:r>
              <w:rPr>
                <w:rFonts w:hint="eastAsia"/>
              </w:rPr>
              <w:t>本期加权平均净值利润率</w:t>
            </w:r>
          </w:p>
        </w:tc>
        <w:tc>
          <w:tcPr>
            <w:tcW w:w="1771" w:type="dxa"/>
            <w:vAlign w:val="center"/>
          </w:tcPr>
          <w:p w14:paraId="5ADBF7BE">
            <w:pPr>
              <w:jc w:val="right"/>
            </w:pPr>
            <w:r>
              <w:rPr>
                <w:rFonts w:hint="eastAsia"/>
              </w:rPr>
              <w:t>1.32%</w:t>
            </w:r>
          </w:p>
        </w:tc>
        <w:tc>
          <w:tcPr>
            <w:tcW w:w="1949" w:type="dxa"/>
            <w:vAlign w:val="center"/>
          </w:tcPr>
          <w:p w14:paraId="511A6427">
            <w:pPr>
              <w:jc w:val="right"/>
            </w:pPr>
            <w:r>
              <w:rPr>
                <w:rFonts w:hint="eastAsia"/>
              </w:rPr>
              <w:t>2.26%</w:t>
            </w:r>
          </w:p>
        </w:tc>
        <w:tc>
          <w:tcPr>
            <w:tcW w:w="1827" w:type="dxa"/>
            <w:vAlign w:val="center"/>
          </w:tcPr>
          <w:p w14:paraId="15E4E06B">
            <w:pPr>
              <w:jc w:val="right"/>
            </w:pPr>
            <w:r>
              <w:rPr>
                <w:rFonts w:hint="eastAsia"/>
              </w:rPr>
              <w:t>2.20%</w:t>
            </w:r>
          </w:p>
        </w:tc>
      </w:tr>
      <w:tr w14:paraId="46E653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16AA264">
            <w:r>
              <w:rPr>
                <w:rFonts w:hint="eastAsia"/>
              </w:rPr>
              <w:t>本期基金份额净值增长率</w:t>
            </w:r>
          </w:p>
        </w:tc>
        <w:tc>
          <w:tcPr>
            <w:tcW w:w="1771" w:type="dxa"/>
            <w:vAlign w:val="center"/>
          </w:tcPr>
          <w:p w14:paraId="6F5E7A55">
            <w:pPr>
              <w:jc w:val="right"/>
            </w:pPr>
            <w:r>
              <w:rPr>
                <w:rFonts w:hint="eastAsia"/>
              </w:rPr>
              <w:t>1.38%</w:t>
            </w:r>
          </w:p>
        </w:tc>
        <w:tc>
          <w:tcPr>
            <w:tcW w:w="1949" w:type="dxa"/>
            <w:vAlign w:val="center"/>
          </w:tcPr>
          <w:p w14:paraId="60DD4EB0">
            <w:pPr>
              <w:jc w:val="right"/>
            </w:pPr>
            <w:r>
              <w:rPr>
                <w:rFonts w:hint="eastAsia"/>
              </w:rPr>
              <w:t>2.33%</w:t>
            </w:r>
          </w:p>
        </w:tc>
        <w:tc>
          <w:tcPr>
            <w:tcW w:w="1827" w:type="dxa"/>
            <w:vAlign w:val="center"/>
          </w:tcPr>
          <w:p w14:paraId="7487FBF7">
            <w:pPr>
              <w:jc w:val="right"/>
            </w:pPr>
            <w:r>
              <w:rPr>
                <w:rFonts w:hint="eastAsia"/>
              </w:rPr>
              <w:t>2.33%</w:t>
            </w:r>
          </w:p>
        </w:tc>
      </w:tr>
      <w:tr w14:paraId="139C76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7C481F1">
            <w:r>
              <w:rPr>
                <w:rFonts w:hint="eastAsia"/>
              </w:rPr>
              <w:t>3.1.2 期末数据和指标</w:t>
            </w:r>
          </w:p>
        </w:tc>
        <w:tc>
          <w:tcPr>
            <w:tcW w:w="1771" w:type="dxa"/>
            <w:vAlign w:val="center"/>
          </w:tcPr>
          <w:p w14:paraId="5D2A1B99">
            <w:r>
              <w:rPr>
                <w:rFonts w:hint="eastAsia"/>
              </w:rPr>
              <w:t>2025年末</w:t>
            </w:r>
          </w:p>
        </w:tc>
        <w:tc>
          <w:tcPr>
            <w:tcW w:w="1949" w:type="dxa"/>
            <w:vAlign w:val="center"/>
          </w:tcPr>
          <w:p w14:paraId="683F9C51">
            <w:r>
              <w:rPr>
                <w:rFonts w:hint="eastAsia"/>
              </w:rPr>
              <w:t>2024年末</w:t>
            </w:r>
          </w:p>
        </w:tc>
        <w:tc>
          <w:tcPr>
            <w:tcW w:w="1827" w:type="dxa"/>
            <w:vAlign w:val="center"/>
          </w:tcPr>
          <w:p w14:paraId="66385BB0">
            <w:r>
              <w:rPr>
                <w:rFonts w:hint="eastAsia"/>
              </w:rPr>
              <w:t>2023年末</w:t>
            </w:r>
          </w:p>
        </w:tc>
      </w:tr>
      <w:tr w14:paraId="166FA4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46F8428">
            <w:r>
              <w:rPr>
                <w:rFonts w:hint="eastAsia"/>
              </w:rPr>
              <w:t>期末可供分配利润</w:t>
            </w:r>
          </w:p>
        </w:tc>
        <w:tc>
          <w:tcPr>
            <w:tcW w:w="1771" w:type="dxa"/>
            <w:vAlign w:val="center"/>
          </w:tcPr>
          <w:p w14:paraId="1F247379">
            <w:pPr>
              <w:jc w:val="right"/>
            </w:pPr>
            <w:r>
              <w:rPr>
                <w:rFonts w:hint="eastAsia"/>
              </w:rPr>
              <w:t>598,131,036.93</w:t>
            </w:r>
          </w:p>
        </w:tc>
        <w:tc>
          <w:tcPr>
            <w:tcW w:w="1949" w:type="dxa"/>
            <w:vAlign w:val="center"/>
          </w:tcPr>
          <w:p w14:paraId="6A39FEDD">
            <w:pPr>
              <w:jc w:val="right"/>
            </w:pPr>
            <w:r>
              <w:rPr>
                <w:rFonts w:hint="eastAsia"/>
              </w:rPr>
              <w:t>232,114,025.21</w:t>
            </w:r>
          </w:p>
        </w:tc>
        <w:tc>
          <w:tcPr>
            <w:tcW w:w="1827" w:type="dxa"/>
            <w:vAlign w:val="center"/>
          </w:tcPr>
          <w:p w14:paraId="684718D7">
            <w:pPr>
              <w:jc w:val="right"/>
            </w:pPr>
            <w:r>
              <w:rPr>
                <w:rFonts w:hint="eastAsia"/>
              </w:rPr>
              <w:t>190,209,094.19</w:t>
            </w:r>
          </w:p>
        </w:tc>
      </w:tr>
      <w:tr w14:paraId="2E164D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E6364EB">
            <w:r>
              <w:rPr>
                <w:rFonts w:hint="eastAsia"/>
              </w:rPr>
              <w:t>期末可供分配基金份额利润</w:t>
            </w:r>
          </w:p>
        </w:tc>
        <w:tc>
          <w:tcPr>
            <w:tcW w:w="1771" w:type="dxa"/>
            <w:vAlign w:val="center"/>
          </w:tcPr>
          <w:p w14:paraId="3E2AA4D5">
            <w:pPr>
              <w:jc w:val="right"/>
            </w:pPr>
            <w:r>
              <w:rPr>
                <w:rFonts w:hint="eastAsia"/>
              </w:rPr>
              <w:t>0.0835</w:t>
            </w:r>
          </w:p>
        </w:tc>
        <w:tc>
          <w:tcPr>
            <w:tcW w:w="1949" w:type="dxa"/>
            <w:vAlign w:val="center"/>
          </w:tcPr>
          <w:p w14:paraId="12E73C8F">
            <w:pPr>
              <w:jc w:val="right"/>
            </w:pPr>
            <w:r>
              <w:rPr>
                <w:rFonts w:hint="eastAsia"/>
              </w:rPr>
              <w:t>0.0675</w:t>
            </w:r>
          </w:p>
        </w:tc>
        <w:tc>
          <w:tcPr>
            <w:tcW w:w="1827" w:type="dxa"/>
            <w:vAlign w:val="center"/>
          </w:tcPr>
          <w:p w14:paraId="0BB1DECC">
            <w:pPr>
              <w:jc w:val="right"/>
            </w:pPr>
            <w:r>
              <w:rPr>
                <w:rFonts w:hint="eastAsia"/>
              </w:rPr>
              <w:t>0.0429</w:t>
            </w:r>
          </w:p>
        </w:tc>
      </w:tr>
      <w:tr w14:paraId="4EB22F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67DDA8E">
            <w:r>
              <w:rPr>
                <w:rFonts w:hint="eastAsia"/>
              </w:rPr>
              <w:t>期末基金资产净值</w:t>
            </w:r>
          </w:p>
        </w:tc>
        <w:tc>
          <w:tcPr>
            <w:tcW w:w="1771" w:type="dxa"/>
            <w:vAlign w:val="center"/>
          </w:tcPr>
          <w:p w14:paraId="746A534A">
            <w:pPr>
              <w:jc w:val="right"/>
            </w:pPr>
            <w:r>
              <w:rPr>
                <w:rFonts w:hint="eastAsia"/>
              </w:rPr>
              <w:t>7,780,273,449.66</w:t>
            </w:r>
          </w:p>
        </w:tc>
        <w:tc>
          <w:tcPr>
            <w:tcW w:w="1949" w:type="dxa"/>
            <w:vAlign w:val="center"/>
          </w:tcPr>
          <w:p w14:paraId="65A0FF87">
            <w:pPr>
              <w:jc w:val="right"/>
            </w:pPr>
            <w:r>
              <w:rPr>
                <w:rFonts w:hint="eastAsia"/>
              </w:rPr>
              <w:t>3,682,804,214.97</w:t>
            </w:r>
          </w:p>
        </w:tc>
        <w:tc>
          <w:tcPr>
            <w:tcW w:w="1827" w:type="dxa"/>
            <w:vAlign w:val="center"/>
          </w:tcPr>
          <w:p w14:paraId="11FCA62B">
            <w:pPr>
              <w:jc w:val="right"/>
            </w:pPr>
            <w:r>
              <w:rPr>
                <w:rFonts w:hint="eastAsia"/>
              </w:rPr>
              <w:t>4,637,700,727.94</w:t>
            </w:r>
          </w:p>
        </w:tc>
      </w:tr>
      <w:tr w14:paraId="129A70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74E8B26">
            <w:r>
              <w:rPr>
                <w:rFonts w:hint="eastAsia"/>
              </w:rPr>
              <w:t>期末基金份额净值</w:t>
            </w:r>
          </w:p>
        </w:tc>
        <w:tc>
          <w:tcPr>
            <w:tcW w:w="1771" w:type="dxa"/>
            <w:vAlign w:val="center"/>
          </w:tcPr>
          <w:p w14:paraId="72A887BA">
            <w:pPr>
              <w:jc w:val="right"/>
            </w:pPr>
            <w:r>
              <w:rPr>
                <w:rFonts w:hint="eastAsia"/>
              </w:rPr>
              <w:t>1.0865</w:t>
            </w:r>
          </w:p>
        </w:tc>
        <w:tc>
          <w:tcPr>
            <w:tcW w:w="1949" w:type="dxa"/>
            <w:vAlign w:val="center"/>
          </w:tcPr>
          <w:p w14:paraId="07A70317">
            <w:pPr>
              <w:jc w:val="right"/>
            </w:pPr>
            <w:r>
              <w:rPr>
                <w:rFonts w:hint="eastAsia"/>
              </w:rPr>
              <w:t>1.0717</w:t>
            </w:r>
          </w:p>
        </w:tc>
        <w:tc>
          <w:tcPr>
            <w:tcW w:w="1827" w:type="dxa"/>
            <w:vAlign w:val="center"/>
          </w:tcPr>
          <w:p w14:paraId="678430AE">
            <w:pPr>
              <w:jc w:val="right"/>
            </w:pPr>
            <w:r>
              <w:rPr>
                <w:rFonts w:hint="eastAsia"/>
              </w:rPr>
              <w:t>1.0473</w:t>
            </w:r>
          </w:p>
        </w:tc>
      </w:tr>
      <w:tr w14:paraId="314AAC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132F5D0">
            <w:r>
              <w:rPr>
                <w:rFonts w:hint="eastAsia"/>
              </w:rPr>
              <w:t>3.1.3 累计期末指标</w:t>
            </w:r>
          </w:p>
        </w:tc>
        <w:tc>
          <w:tcPr>
            <w:tcW w:w="1771" w:type="dxa"/>
            <w:vAlign w:val="center"/>
          </w:tcPr>
          <w:p w14:paraId="5DE0EF3B">
            <w:r>
              <w:rPr>
                <w:rFonts w:hint="eastAsia"/>
              </w:rPr>
              <w:t>2025年末</w:t>
            </w:r>
          </w:p>
        </w:tc>
        <w:tc>
          <w:tcPr>
            <w:tcW w:w="1949" w:type="dxa"/>
            <w:vAlign w:val="center"/>
          </w:tcPr>
          <w:p w14:paraId="431E18DB">
            <w:r>
              <w:rPr>
                <w:rFonts w:hint="eastAsia"/>
              </w:rPr>
              <w:t>2024年末</w:t>
            </w:r>
          </w:p>
        </w:tc>
        <w:tc>
          <w:tcPr>
            <w:tcW w:w="1827" w:type="dxa"/>
            <w:vAlign w:val="center"/>
          </w:tcPr>
          <w:p w14:paraId="4B2EE500">
            <w:r>
              <w:rPr>
                <w:rFonts w:hint="eastAsia"/>
              </w:rPr>
              <w:t>2023年末</w:t>
            </w:r>
          </w:p>
        </w:tc>
      </w:tr>
      <w:tr w14:paraId="354D9B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EF1796F">
            <w:r>
              <w:rPr>
                <w:rFonts w:hint="eastAsia"/>
              </w:rPr>
              <w:t>基金份额累计净值增长率</w:t>
            </w:r>
          </w:p>
        </w:tc>
        <w:tc>
          <w:tcPr>
            <w:tcW w:w="1771" w:type="dxa"/>
            <w:vAlign w:val="center"/>
          </w:tcPr>
          <w:p w14:paraId="2F9B17C7">
            <w:pPr>
              <w:jc w:val="right"/>
            </w:pPr>
            <w:r>
              <w:rPr>
                <w:rFonts w:hint="eastAsia"/>
              </w:rPr>
              <w:t>8.65%</w:t>
            </w:r>
          </w:p>
        </w:tc>
        <w:tc>
          <w:tcPr>
            <w:tcW w:w="1949" w:type="dxa"/>
            <w:vAlign w:val="center"/>
          </w:tcPr>
          <w:p w14:paraId="2021BB3F">
            <w:pPr>
              <w:jc w:val="right"/>
            </w:pPr>
            <w:r>
              <w:rPr>
                <w:rFonts w:hint="eastAsia"/>
              </w:rPr>
              <w:t>7.17%</w:t>
            </w:r>
          </w:p>
        </w:tc>
        <w:tc>
          <w:tcPr>
            <w:tcW w:w="1827" w:type="dxa"/>
            <w:vAlign w:val="center"/>
          </w:tcPr>
          <w:p w14:paraId="5DAF5170">
            <w:pPr>
              <w:jc w:val="right"/>
            </w:pPr>
            <w:r>
              <w:rPr>
                <w:rFonts w:hint="eastAsia"/>
              </w:rPr>
              <w:t>4.73%</w:t>
            </w:r>
          </w:p>
        </w:tc>
      </w:tr>
    </w:tbl>
    <w:p w14:paraId="4EBBF245">
      <w:pPr>
        <w:pStyle w:val="47"/>
        <w:rPr>
          <w:rFonts w:hint="eastAsia"/>
        </w:rPr>
      </w:pPr>
      <w:r>
        <w:rPr>
          <w:rFonts w:hint="eastAsia"/>
        </w:rPr>
        <w:t>注：基金业绩指标不包括持有人认（申）购或交易基金的各项费用，计入费用后实际收益水平要低于所列数字；</w:t>
      </w:r>
    </w:p>
    <w:p w14:paraId="6FB0A565">
      <w:pPr>
        <w:pStyle w:val="47"/>
        <w:rPr>
          <w:rFonts w:hint="eastAsia"/>
        </w:rPr>
      </w:pPr>
      <w:r>
        <w:tab/>
      </w:r>
      <w:r>
        <w:rPr>
          <w:rFonts w:hint="eastAsia"/>
        </w:rPr>
        <w:t>本期已实现收益指基金本期利息收入、投资收益、其他收入（不含公允价值变动收益）扣除相关费用和信用减值损失后的余额，本期利润为本期已实现收益加上本期公允价值变动收益；</w:t>
      </w:r>
    </w:p>
    <w:p w14:paraId="308854DD">
      <w:pPr>
        <w:pStyle w:val="47"/>
        <w:rPr>
          <w:rFonts w:hint="eastAsia"/>
        </w:rPr>
      </w:pPr>
      <w:r>
        <w:tab/>
      </w:r>
      <w:r>
        <w:rPr>
          <w:rFonts w:hint="eastAsia"/>
        </w:rPr>
        <w:t>对期末可供分配利润，采用期末资产负债表中未分配利润与未分配利润中已实现部分的孰低数。</w:t>
      </w:r>
    </w:p>
    <w:p w14:paraId="1430B7FC">
      <w:pPr>
        <w:pStyle w:val="23"/>
      </w:pPr>
      <w:bookmarkStart w:id="13" w:name="_Toc5948"/>
      <w:r>
        <w:t>基金净值表现</w:t>
      </w:r>
      <w:bookmarkEnd w:id="13"/>
      <w:r>
        <w:t xml:space="preserve"> </w:t>
      </w:r>
    </w:p>
    <w:p w14:paraId="0FCED64E">
      <w:pPr>
        <w:pStyle w:val="28"/>
      </w:pPr>
      <w:bookmarkStart w:id="14" w:name="_Toc14"/>
      <w:r>
        <w:t xml:space="preserve">基金份额净值增长率及其与同期业绩比较基准收益率的比较 </w:t>
      </w:r>
      <w:bookmarkEnd w:id="14"/>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59B162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3FABC652">
            <w:pPr>
              <w:jc w:val="center"/>
            </w:pPr>
            <w:r>
              <w:rPr>
                <w:rFonts w:hint="eastAsia"/>
                <w:b/>
              </w:rPr>
              <w:t>阶段</w:t>
            </w:r>
          </w:p>
        </w:tc>
        <w:tc>
          <w:tcPr>
            <w:tcW w:w="1101" w:type="dxa"/>
            <w:shd w:val="clear" w:color="auto" w:fill="BFBFBF"/>
            <w:vAlign w:val="center"/>
          </w:tcPr>
          <w:p w14:paraId="63726C8E">
            <w:pPr>
              <w:jc w:val="center"/>
            </w:pPr>
            <w:r>
              <w:rPr>
                <w:rFonts w:hint="eastAsia"/>
                <w:b/>
              </w:rPr>
              <w:t>份额净值增长率①</w:t>
            </w:r>
          </w:p>
        </w:tc>
        <w:tc>
          <w:tcPr>
            <w:tcW w:w="1101" w:type="dxa"/>
            <w:shd w:val="clear" w:color="auto" w:fill="BFBFBF"/>
            <w:vAlign w:val="center"/>
          </w:tcPr>
          <w:p w14:paraId="1FC02E73">
            <w:pPr>
              <w:jc w:val="center"/>
            </w:pPr>
            <w:r>
              <w:rPr>
                <w:rFonts w:hint="eastAsia"/>
                <w:b/>
              </w:rPr>
              <w:t>份额净值增长率标准差②</w:t>
            </w:r>
          </w:p>
        </w:tc>
        <w:tc>
          <w:tcPr>
            <w:tcW w:w="1101" w:type="dxa"/>
            <w:shd w:val="clear" w:color="auto" w:fill="BFBFBF"/>
            <w:vAlign w:val="center"/>
          </w:tcPr>
          <w:p w14:paraId="7F501B3D">
            <w:pPr>
              <w:jc w:val="center"/>
            </w:pPr>
            <w:r>
              <w:rPr>
                <w:rFonts w:hint="eastAsia"/>
                <w:b/>
              </w:rPr>
              <w:t>业绩比较基准收益率③</w:t>
            </w:r>
          </w:p>
        </w:tc>
        <w:tc>
          <w:tcPr>
            <w:tcW w:w="1207" w:type="dxa"/>
            <w:shd w:val="clear" w:color="auto" w:fill="BFBFBF"/>
            <w:vAlign w:val="center"/>
          </w:tcPr>
          <w:p w14:paraId="22C07E1C">
            <w:pPr>
              <w:jc w:val="center"/>
            </w:pPr>
            <w:r>
              <w:rPr>
                <w:rFonts w:hint="eastAsia"/>
                <w:b/>
              </w:rPr>
              <w:t>业绩比较基准收益率标准差④</w:t>
            </w:r>
          </w:p>
        </w:tc>
        <w:tc>
          <w:tcPr>
            <w:tcW w:w="1251" w:type="dxa"/>
            <w:shd w:val="clear" w:color="auto" w:fill="BFBFBF"/>
            <w:vAlign w:val="center"/>
          </w:tcPr>
          <w:p w14:paraId="16650854">
            <w:pPr>
              <w:jc w:val="center"/>
            </w:pPr>
            <w:r>
              <w:rPr>
                <w:rFonts w:hint="eastAsia"/>
                <w:b/>
              </w:rPr>
              <w:t>①-③</w:t>
            </w:r>
          </w:p>
        </w:tc>
        <w:tc>
          <w:tcPr>
            <w:tcW w:w="1218" w:type="dxa"/>
            <w:shd w:val="clear" w:color="auto" w:fill="BFBFBF"/>
            <w:vAlign w:val="center"/>
          </w:tcPr>
          <w:p w14:paraId="0983343F">
            <w:pPr>
              <w:jc w:val="center"/>
            </w:pPr>
            <w:r>
              <w:rPr>
                <w:rFonts w:hint="eastAsia"/>
                <w:b/>
              </w:rPr>
              <w:t>②-④</w:t>
            </w:r>
          </w:p>
        </w:tc>
      </w:tr>
      <w:tr w14:paraId="4A0D55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3A609C05">
            <w:r>
              <w:rPr>
                <w:rFonts w:hint="eastAsia"/>
              </w:rPr>
              <w:t>过去三个月</w:t>
            </w:r>
          </w:p>
        </w:tc>
        <w:tc>
          <w:tcPr>
            <w:tcW w:w="1101" w:type="dxa"/>
            <w:vAlign w:val="center"/>
          </w:tcPr>
          <w:p w14:paraId="3C127103">
            <w:pPr>
              <w:jc w:val="right"/>
            </w:pPr>
            <w:r>
              <w:rPr>
                <w:rFonts w:hint="eastAsia"/>
              </w:rPr>
              <w:t>0.32%</w:t>
            </w:r>
          </w:p>
        </w:tc>
        <w:tc>
          <w:tcPr>
            <w:tcW w:w="1101" w:type="dxa"/>
            <w:vAlign w:val="center"/>
          </w:tcPr>
          <w:p w14:paraId="30AB1755">
            <w:pPr>
              <w:jc w:val="right"/>
            </w:pPr>
            <w:r>
              <w:rPr>
                <w:rFonts w:hint="eastAsia"/>
              </w:rPr>
              <w:t>0.01%</w:t>
            </w:r>
          </w:p>
        </w:tc>
        <w:tc>
          <w:tcPr>
            <w:tcW w:w="1101" w:type="dxa"/>
            <w:vAlign w:val="center"/>
          </w:tcPr>
          <w:p w14:paraId="36D8455C">
            <w:pPr>
              <w:jc w:val="right"/>
            </w:pPr>
            <w:r>
              <w:rPr>
                <w:rFonts w:hint="eastAsia"/>
              </w:rPr>
              <w:t>0.42%</w:t>
            </w:r>
          </w:p>
        </w:tc>
        <w:tc>
          <w:tcPr>
            <w:tcW w:w="1207" w:type="dxa"/>
            <w:vAlign w:val="center"/>
          </w:tcPr>
          <w:p w14:paraId="2BA68242">
            <w:pPr>
              <w:jc w:val="right"/>
            </w:pPr>
            <w:r>
              <w:rPr>
                <w:rFonts w:hint="eastAsia"/>
              </w:rPr>
              <w:t>0.01%</w:t>
            </w:r>
          </w:p>
        </w:tc>
        <w:tc>
          <w:tcPr>
            <w:tcW w:w="1251" w:type="dxa"/>
            <w:vAlign w:val="center"/>
          </w:tcPr>
          <w:p w14:paraId="2A26E12D">
            <w:pPr>
              <w:jc w:val="right"/>
            </w:pPr>
            <w:r>
              <w:rPr>
                <w:rFonts w:hint="eastAsia"/>
              </w:rPr>
              <w:t>-0.10%</w:t>
            </w:r>
          </w:p>
        </w:tc>
        <w:tc>
          <w:tcPr>
            <w:tcW w:w="1218" w:type="dxa"/>
            <w:vAlign w:val="center"/>
          </w:tcPr>
          <w:p w14:paraId="29D441B4">
            <w:pPr>
              <w:jc w:val="right"/>
            </w:pPr>
            <w:r>
              <w:rPr>
                <w:rFonts w:hint="eastAsia"/>
              </w:rPr>
              <w:t>0.00%</w:t>
            </w:r>
          </w:p>
        </w:tc>
      </w:tr>
      <w:tr w14:paraId="0E3261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17A02200">
            <w:r>
              <w:rPr>
                <w:rFonts w:hint="eastAsia"/>
              </w:rPr>
              <w:t>过去六个月</w:t>
            </w:r>
          </w:p>
        </w:tc>
        <w:tc>
          <w:tcPr>
            <w:tcW w:w="1101" w:type="dxa"/>
            <w:vAlign w:val="center"/>
          </w:tcPr>
          <w:p w14:paraId="6F0116CC">
            <w:pPr>
              <w:jc w:val="right"/>
            </w:pPr>
            <w:r>
              <w:rPr>
                <w:rFonts w:hint="eastAsia"/>
              </w:rPr>
              <w:t>0.64%</w:t>
            </w:r>
          </w:p>
        </w:tc>
        <w:tc>
          <w:tcPr>
            <w:tcW w:w="1101" w:type="dxa"/>
            <w:vAlign w:val="center"/>
          </w:tcPr>
          <w:p w14:paraId="628CB68E">
            <w:pPr>
              <w:jc w:val="right"/>
            </w:pPr>
            <w:r>
              <w:rPr>
                <w:rFonts w:hint="eastAsia"/>
              </w:rPr>
              <w:t>0.01%</w:t>
            </w:r>
          </w:p>
        </w:tc>
        <w:tc>
          <w:tcPr>
            <w:tcW w:w="1101" w:type="dxa"/>
            <w:vAlign w:val="center"/>
          </w:tcPr>
          <w:p w14:paraId="28BFBF2A">
            <w:pPr>
              <w:jc w:val="right"/>
            </w:pPr>
            <w:r>
              <w:rPr>
                <w:rFonts w:hint="eastAsia"/>
              </w:rPr>
              <w:t>0.84%</w:t>
            </w:r>
          </w:p>
        </w:tc>
        <w:tc>
          <w:tcPr>
            <w:tcW w:w="1207" w:type="dxa"/>
            <w:vAlign w:val="center"/>
          </w:tcPr>
          <w:p w14:paraId="70F01937">
            <w:pPr>
              <w:jc w:val="right"/>
            </w:pPr>
            <w:r>
              <w:rPr>
                <w:rFonts w:hint="eastAsia"/>
              </w:rPr>
              <w:t>0.01%</w:t>
            </w:r>
          </w:p>
        </w:tc>
        <w:tc>
          <w:tcPr>
            <w:tcW w:w="1251" w:type="dxa"/>
            <w:vAlign w:val="center"/>
          </w:tcPr>
          <w:p w14:paraId="4AC39B5F">
            <w:pPr>
              <w:jc w:val="right"/>
            </w:pPr>
            <w:r>
              <w:rPr>
                <w:rFonts w:hint="eastAsia"/>
              </w:rPr>
              <w:t>-0.20%</w:t>
            </w:r>
          </w:p>
        </w:tc>
        <w:tc>
          <w:tcPr>
            <w:tcW w:w="1218" w:type="dxa"/>
            <w:vAlign w:val="center"/>
          </w:tcPr>
          <w:p w14:paraId="423A9328">
            <w:pPr>
              <w:jc w:val="right"/>
            </w:pPr>
            <w:r>
              <w:rPr>
                <w:rFonts w:hint="eastAsia"/>
              </w:rPr>
              <w:t>0.00%</w:t>
            </w:r>
          </w:p>
        </w:tc>
      </w:tr>
      <w:tr w14:paraId="236EC6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1C6FC5DB">
            <w:r>
              <w:rPr>
                <w:rFonts w:hint="eastAsia"/>
              </w:rPr>
              <w:t>过去一年</w:t>
            </w:r>
          </w:p>
        </w:tc>
        <w:tc>
          <w:tcPr>
            <w:tcW w:w="1101" w:type="dxa"/>
            <w:vAlign w:val="center"/>
          </w:tcPr>
          <w:p w14:paraId="1A220534">
            <w:pPr>
              <w:jc w:val="right"/>
            </w:pPr>
            <w:r>
              <w:rPr>
                <w:rFonts w:hint="eastAsia"/>
              </w:rPr>
              <w:t>1.38%</w:t>
            </w:r>
          </w:p>
        </w:tc>
        <w:tc>
          <w:tcPr>
            <w:tcW w:w="1101" w:type="dxa"/>
            <w:vAlign w:val="center"/>
          </w:tcPr>
          <w:p w14:paraId="3D9DE602">
            <w:pPr>
              <w:jc w:val="right"/>
            </w:pPr>
            <w:r>
              <w:rPr>
                <w:rFonts w:hint="eastAsia"/>
              </w:rPr>
              <w:t>0.01%</w:t>
            </w:r>
          </w:p>
        </w:tc>
        <w:tc>
          <w:tcPr>
            <w:tcW w:w="1101" w:type="dxa"/>
            <w:vAlign w:val="center"/>
          </w:tcPr>
          <w:p w14:paraId="0B3590BD">
            <w:pPr>
              <w:jc w:val="right"/>
            </w:pPr>
            <w:r>
              <w:rPr>
                <w:rFonts w:hint="eastAsia"/>
              </w:rPr>
              <w:t>1.70%</w:t>
            </w:r>
          </w:p>
        </w:tc>
        <w:tc>
          <w:tcPr>
            <w:tcW w:w="1207" w:type="dxa"/>
            <w:vAlign w:val="center"/>
          </w:tcPr>
          <w:p w14:paraId="70B4D978">
            <w:pPr>
              <w:jc w:val="right"/>
            </w:pPr>
            <w:r>
              <w:rPr>
                <w:rFonts w:hint="eastAsia"/>
              </w:rPr>
              <w:t>0.01%</w:t>
            </w:r>
          </w:p>
        </w:tc>
        <w:tc>
          <w:tcPr>
            <w:tcW w:w="1251" w:type="dxa"/>
            <w:vAlign w:val="center"/>
          </w:tcPr>
          <w:p w14:paraId="41EAA8DA">
            <w:pPr>
              <w:jc w:val="right"/>
            </w:pPr>
            <w:r>
              <w:rPr>
                <w:rFonts w:hint="eastAsia"/>
              </w:rPr>
              <w:t>-0.32%</w:t>
            </w:r>
          </w:p>
        </w:tc>
        <w:tc>
          <w:tcPr>
            <w:tcW w:w="1218" w:type="dxa"/>
            <w:vAlign w:val="center"/>
          </w:tcPr>
          <w:p w14:paraId="0A8697CC">
            <w:pPr>
              <w:jc w:val="right"/>
            </w:pPr>
            <w:r>
              <w:rPr>
                <w:rFonts w:hint="eastAsia"/>
              </w:rPr>
              <w:t>0.00%</w:t>
            </w:r>
          </w:p>
        </w:tc>
      </w:tr>
      <w:tr w14:paraId="5ADEBB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3B22ED37">
            <w:r>
              <w:rPr>
                <w:rFonts w:hint="eastAsia"/>
              </w:rPr>
              <w:t>过去三年</w:t>
            </w:r>
          </w:p>
        </w:tc>
        <w:tc>
          <w:tcPr>
            <w:tcW w:w="1101" w:type="dxa"/>
            <w:vAlign w:val="center"/>
          </w:tcPr>
          <w:p w14:paraId="002132CC">
            <w:pPr>
              <w:jc w:val="right"/>
            </w:pPr>
            <w:r>
              <w:rPr>
                <w:rFonts w:hint="eastAsia"/>
              </w:rPr>
              <w:t>6.16%</w:t>
            </w:r>
          </w:p>
        </w:tc>
        <w:tc>
          <w:tcPr>
            <w:tcW w:w="1101" w:type="dxa"/>
            <w:vAlign w:val="center"/>
          </w:tcPr>
          <w:p w14:paraId="2207A8E8">
            <w:pPr>
              <w:jc w:val="right"/>
            </w:pPr>
            <w:r>
              <w:rPr>
                <w:rFonts w:hint="eastAsia"/>
              </w:rPr>
              <w:t>0.02%</w:t>
            </w:r>
          </w:p>
        </w:tc>
        <w:tc>
          <w:tcPr>
            <w:tcW w:w="1101" w:type="dxa"/>
            <w:vAlign w:val="center"/>
          </w:tcPr>
          <w:p w14:paraId="296949A8">
            <w:pPr>
              <w:jc w:val="right"/>
            </w:pPr>
            <w:r>
              <w:rPr>
                <w:rFonts w:hint="eastAsia"/>
              </w:rPr>
              <w:t>6.66%</w:t>
            </w:r>
          </w:p>
        </w:tc>
        <w:tc>
          <w:tcPr>
            <w:tcW w:w="1207" w:type="dxa"/>
            <w:vAlign w:val="center"/>
          </w:tcPr>
          <w:p w14:paraId="3F5FAEAB">
            <w:pPr>
              <w:jc w:val="right"/>
            </w:pPr>
            <w:r>
              <w:rPr>
                <w:rFonts w:hint="eastAsia"/>
              </w:rPr>
              <w:t>0.01%</w:t>
            </w:r>
          </w:p>
        </w:tc>
        <w:tc>
          <w:tcPr>
            <w:tcW w:w="1251" w:type="dxa"/>
            <w:vAlign w:val="center"/>
          </w:tcPr>
          <w:p w14:paraId="443495A8">
            <w:pPr>
              <w:jc w:val="right"/>
            </w:pPr>
            <w:r>
              <w:rPr>
                <w:rFonts w:hint="eastAsia"/>
              </w:rPr>
              <w:t>-0.50%</w:t>
            </w:r>
          </w:p>
        </w:tc>
        <w:tc>
          <w:tcPr>
            <w:tcW w:w="1218" w:type="dxa"/>
            <w:vAlign w:val="center"/>
          </w:tcPr>
          <w:p w14:paraId="3D2F1A17">
            <w:pPr>
              <w:jc w:val="right"/>
            </w:pPr>
            <w:r>
              <w:rPr>
                <w:rFonts w:hint="eastAsia"/>
              </w:rPr>
              <w:t>0.01%</w:t>
            </w:r>
          </w:p>
        </w:tc>
      </w:tr>
      <w:tr w14:paraId="4EF945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52A4F298">
            <w:r>
              <w:rPr>
                <w:rFonts w:hint="eastAsia"/>
              </w:rPr>
              <w:t>自基金合同生效起至今</w:t>
            </w:r>
          </w:p>
        </w:tc>
        <w:tc>
          <w:tcPr>
            <w:tcW w:w="1101" w:type="dxa"/>
            <w:vAlign w:val="center"/>
          </w:tcPr>
          <w:p w14:paraId="195E7E88">
            <w:pPr>
              <w:jc w:val="right"/>
            </w:pPr>
            <w:r>
              <w:rPr>
                <w:rFonts w:hint="eastAsia"/>
              </w:rPr>
              <w:t>8.65%</w:t>
            </w:r>
          </w:p>
        </w:tc>
        <w:tc>
          <w:tcPr>
            <w:tcW w:w="1101" w:type="dxa"/>
            <w:vAlign w:val="center"/>
          </w:tcPr>
          <w:p w14:paraId="51D7C504">
            <w:pPr>
              <w:jc w:val="right"/>
            </w:pPr>
            <w:r>
              <w:rPr>
                <w:rFonts w:hint="eastAsia"/>
              </w:rPr>
              <w:t>0.02%</w:t>
            </w:r>
          </w:p>
        </w:tc>
        <w:tc>
          <w:tcPr>
            <w:tcW w:w="1101" w:type="dxa"/>
            <w:vAlign w:val="center"/>
          </w:tcPr>
          <w:p w14:paraId="10EFC5DF">
            <w:pPr>
              <w:jc w:val="right"/>
            </w:pPr>
            <w:r>
              <w:rPr>
                <w:rFonts w:hint="eastAsia"/>
              </w:rPr>
              <w:t>9.30%</w:t>
            </w:r>
          </w:p>
        </w:tc>
        <w:tc>
          <w:tcPr>
            <w:tcW w:w="1207" w:type="dxa"/>
            <w:vAlign w:val="center"/>
          </w:tcPr>
          <w:p w14:paraId="6F24159A">
            <w:pPr>
              <w:jc w:val="right"/>
            </w:pPr>
            <w:r>
              <w:rPr>
                <w:rFonts w:hint="eastAsia"/>
              </w:rPr>
              <w:t>0.01%</w:t>
            </w:r>
          </w:p>
        </w:tc>
        <w:tc>
          <w:tcPr>
            <w:tcW w:w="1251" w:type="dxa"/>
            <w:vAlign w:val="center"/>
          </w:tcPr>
          <w:p w14:paraId="74891570">
            <w:pPr>
              <w:jc w:val="right"/>
            </w:pPr>
            <w:r>
              <w:rPr>
                <w:rFonts w:hint="eastAsia"/>
              </w:rPr>
              <w:t>-0.65%</w:t>
            </w:r>
          </w:p>
        </w:tc>
        <w:tc>
          <w:tcPr>
            <w:tcW w:w="1218" w:type="dxa"/>
            <w:vAlign w:val="center"/>
          </w:tcPr>
          <w:p w14:paraId="38285CB6">
            <w:pPr>
              <w:jc w:val="right"/>
            </w:pPr>
            <w:r>
              <w:rPr>
                <w:rFonts w:hint="eastAsia"/>
              </w:rPr>
              <w:t>0.01%</w:t>
            </w:r>
          </w:p>
        </w:tc>
      </w:tr>
    </w:tbl>
    <w:p w14:paraId="4AC901AF">
      <w:pPr>
        <w:pStyle w:val="28"/>
      </w:pPr>
      <w:bookmarkStart w:id="15" w:name="_Toc15"/>
      <w:r>
        <w:t>自基金合同生效以来基金份额累计净值增长率变动及其与同期业绩比较基准收益率变动的比较</w:t>
      </w:r>
      <w:bookmarkEnd w:id="15"/>
    </w:p>
    <w:p w14:paraId="190B9E94">
      <w:pPr>
        <w:jc w:val="center"/>
      </w:pPr>
      <w:r>
        <w:drawing>
          <wp:inline distT="0" distB="0" distL="114300" distR="114300">
            <wp:extent cx="5274310" cy="3379470"/>
            <wp:effectExtent l="0" t="0" r="2540" b="1143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7"/>
                    <a:stretch>
                      <a:fillRect/>
                    </a:stretch>
                  </pic:blipFill>
                  <pic:spPr>
                    <a:xfrm>
                      <a:off x="0" y="0"/>
                      <a:ext cx="5274310" cy="3380065"/>
                    </a:xfrm>
                    <a:prstGeom prst="rect">
                      <a:avLst/>
                    </a:prstGeom>
                  </pic:spPr>
                </pic:pic>
              </a:graphicData>
            </a:graphic>
          </wp:inline>
        </w:drawing>
      </w:r>
    </w:p>
    <w:p w14:paraId="620ED1F5">
      <w:pPr>
        <w:pStyle w:val="28"/>
      </w:pPr>
      <w:bookmarkStart w:id="16" w:name="_Toc16"/>
      <w:r>
        <w:t>自基金合同生效以来基金每年净值增长率及其与同期业绩比较基准收益率的比较</w:t>
      </w:r>
      <w:bookmarkEnd w:id="16"/>
    </w:p>
    <w:p w14:paraId="7C66B52E">
      <w:pPr>
        <w:jc w:val="center"/>
      </w:pPr>
      <w:r>
        <w:drawing>
          <wp:inline distT="0" distB="0" distL="114300" distR="114300">
            <wp:extent cx="5274310" cy="3435985"/>
            <wp:effectExtent l="0" t="0" r="2540" b="12065"/>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8"/>
                    <a:stretch>
                      <a:fillRect/>
                    </a:stretch>
                  </pic:blipFill>
                  <pic:spPr>
                    <a:xfrm>
                      <a:off x="0" y="0"/>
                      <a:ext cx="5274310" cy="3436058"/>
                    </a:xfrm>
                    <a:prstGeom prst="rect">
                      <a:avLst/>
                    </a:prstGeom>
                  </pic:spPr>
                </pic:pic>
              </a:graphicData>
            </a:graphic>
          </wp:inline>
        </w:drawing>
      </w:r>
    </w:p>
    <w:p w14:paraId="3AF67637">
      <w:pPr>
        <w:pStyle w:val="47"/>
        <w:rPr>
          <w:rFonts w:hint="eastAsia"/>
        </w:rPr>
      </w:pPr>
      <w:r>
        <w:rPr>
          <w:rFonts w:hint="eastAsia"/>
        </w:rPr>
        <w:t>注：基金合同生效当年按实际存续期计算，不按整个自然年度进行折算。</w:t>
      </w:r>
    </w:p>
    <w:p w14:paraId="056C1448">
      <w:pPr>
        <w:pStyle w:val="23"/>
      </w:pPr>
      <w:bookmarkStart w:id="17" w:name="_Toc27820"/>
      <w:r>
        <w:t>过去三年基金的利润分配情况</w:t>
      </w:r>
      <w:bookmarkEnd w:id="17"/>
    </w:p>
    <w:p w14:paraId="1A105BC7">
      <w:pPr>
        <w:pStyle w:val="18"/>
        <w:rPr>
          <w:rFonts w:hint="eastAsia"/>
        </w:rPr>
      </w:pPr>
      <w:r>
        <w:rPr>
          <w:rFonts w:hint="eastAsia"/>
        </w:rPr>
        <w:t>本基金过去三年未进行利润分配。</w:t>
      </w:r>
    </w:p>
    <w:p w14:paraId="318CBA7E">
      <w:pPr>
        <w:pStyle w:val="26"/>
      </w:pPr>
      <w:bookmarkStart w:id="18" w:name="_Toc32135"/>
      <w:r>
        <w:t>管理人报告</w:t>
      </w:r>
      <w:bookmarkEnd w:id="18"/>
    </w:p>
    <w:p w14:paraId="4AEBE905">
      <w:pPr>
        <w:pStyle w:val="23"/>
      </w:pPr>
      <w:bookmarkStart w:id="19" w:name="_Toc4901"/>
      <w:r>
        <w:t>基金管理人及基金经理情况</w:t>
      </w:r>
      <w:bookmarkEnd w:id="19"/>
    </w:p>
    <w:p w14:paraId="65243016">
      <w:pPr>
        <w:pStyle w:val="28"/>
      </w:pPr>
      <w:bookmarkStart w:id="20" w:name="_Toc20"/>
      <w:r>
        <w:t>基金管理人及其管理基金的经验</w:t>
      </w:r>
      <w:bookmarkEnd w:id="20"/>
    </w:p>
    <w:p w14:paraId="42856ADE">
      <w:pPr>
        <w:pStyle w:val="18"/>
        <w:rPr>
          <w:rFonts w:hint="eastAsia"/>
        </w:rPr>
      </w:pPr>
      <w:r>
        <w:rPr>
          <w:rFonts w:hint="eastAsia"/>
        </w:rPr>
        <w:t>1998年3月6日，经中国证监会批准，南方基金管理有限公司作为国内首批规范的基金管理公司正式成立，成为我国“新基金时代”的起始标志。</w:t>
      </w:r>
    </w:p>
    <w:p w14:paraId="799F3883">
      <w:pPr>
        <w:pStyle w:val="18"/>
        <w:rPr>
          <w:rFonts w:hint="eastAsia"/>
        </w:rPr>
      </w:pPr>
      <w:r>
        <w:rPr>
          <w:rFonts w:hint="eastAsia"/>
        </w:rPr>
        <w:t>2018年1月，公司整体变更设立为南方基金管理股份有限公司。目前，公司总部设在深圳，在北京、上海、深圳、南京、成都、合肥等地设有分公司，在香港和深圳前海设有子公司——南方东英资产管理有限公司（香港子公司）和南方资本管理有限公司（深圳子公司）。其中，南方东英是境内基金公司获批成立的第一家境外分支机构。</w:t>
      </w:r>
    </w:p>
    <w:p w14:paraId="37B2A99C">
      <w:pPr>
        <w:pStyle w:val="18"/>
        <w:rPr>
          <w:rFonts w:hint="eastAsia"/>
        </w:rPr>
      </w:pPr>
      <w:r>
        <w:rPr>
          <w:rFonts w:hint="eastAsia"/>
        </w:rPr>
        <w:t>南方基金管理股份有限公司旗下管理公募基金、全国社保、基本养老保险、企业年金、职业年金和专户组合，已发展成为产品种类丰富、业务领域全面、经营业绩优秀、资产管理规模位居前列的基金管理公司之一。</w:t>
      </w:r>
    </w:p>
    <w:p w14:paraId="3EB49B9D">
      <w:pPr>
        <w:pStyle w:val="28"/>
      </w:pPr>
      <w:bookmarkStart w:id="21" w:name="_Toc21"/>
      <w:r>
        <w:t xml:space="preserve">基金经理（或基金经理小组）及基金经理助理简介 </w:t>
      </w:r>
      <w:bookmarkEnd w:id="21"/>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1"/>
        <w:gridCol w:w="830"/>
        <w:gridCol w:w="1090"/>
        <w:gridCol w:w="1090"/>
        <w:gridCol w:w="686"/>
        <w:gridCol w:w="3765"/>
      </w:tblGrid>
      <w:tr w14:paraId="22A9A1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restart"/>
            <w:shd w:val="clear" w:color="auto" w:fill="BFBFBF"/>
            <w:vAlign w:val="center"/>
          </w:tcPr>
          <w:p w14:paraId="65E324F7">
            <w:pPr>
              <w:jc w:val="center"/>
            </w:pPr>
            <w:r>
              <w:rPr>
                <w:rFonts w:hint="eastAsia"/>
                <w:b/>
              </w:rPr>
              <w:t>姓名</w:t>
            </w:r>
          </w:p>
        </w:tc>
        <w:tc>
          <w:tcPr>
            <w:tcW w:w="830" w:type="dxa"/>
            <w:vMerge w:val="restart"/>
            <w:shd w:val="clear" w:color="auto" w:fill="BFBFBF"/>
            <w:vAlign w:val="center"/>
          </w:tcPr>
          <w:p w14:paraId="5EF4950A">
            <w:pPr>
              <w:jc w:val="center"/>
            </w:pPr>
            <w:r>
              <w:rPr>
                <w:rFonts w:hint="eastAsia"/>
                <w:b/>
              </w:rPr>
              <w:t>职务</w:t>
            </w:r>
          </w:p>
        </w:tc>
        <w:tc>
          <w:tcPr>
            <w:tcW w:w="1090" w:type="dxa"/>
            <w:gridSpan w:val="2"/>
            <w:shd w:val="clear" w:color="auto" w:fill="BFBFBF"/>
            <w:vAlign w:val="center"/>
          </w:tcPr>
          <w:p w14:paraId="6247051F">
            <w:pPr>
              <w:jc w:val="center"/>
            </w:pPr>
            <w:r>
              <w:rPr>
                <w:rFonts w:hint="eastAsia"/>
                <w:b/>
              </w:rPr>
              <w:t>任本基金的基金经理（助理）期限</w:t>
            </w:r>
          </w:p>
        </w:tc>
        <w:tc>
          <w:tcPr>
            <w:tcW w:w="686" w:type="dxa"/>
            <w:vMerge w:val="restart"/>
            <w:shd w:val="clear" w:color="auto" w:fill="BFBFBF"/>
            <w:vAlign w:val="center"/>
          </w:tcPr>
          <w:p w14:paraId="54AB9A51">
            <w:pPr>
              <w:jc w:val="center"/>
            </w:pPr>
            <w:r>
              <w:rPr>
                <w:rFonts w:hint="eastAsia"/>
                <w:b/>
              </w:rPr>
              <w:t>证券从业年限</w:t>
            </w:r>
          </w:p>
        </w:tc>
        <w:tc>
          <w:tcPr>
            <w:tcW w:w="3765" w:type="dxa"/>
            <w:vMerge w:val="restart"/>
            <w:shd w:val="clear" w:color="auto" w:fill="BFBFBF"/>
            <w:vAlign w:val="center"/>
          </w:tcPr>
          <w:p w14:paraId="27DE3CDB">
            <w:pPr>
              <w:jc w:val="center"/>
            </w:pPr>
            <w:r>
              <w:rPr>
                <w:rFonts w:hint="eastAsia"/>
                <w:b/>
              </w:rPr>
              <w:t>说明</w:t>
            </w:r>
          </w:p>
        </w:tc>
      </w:tr>
      <w:tr w14:paraId="226AAE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continue"/>
            <w:vAlign w:val="center"/>
          </w:tcPr>
          <w:p w14:paraId="137E3D11"/>
        </w:tc>
        <w:tc>
          <w:tcPr>
            <w:tcW w:w="830" w:type="dxa"/>
            <w:vMerge w:val="continue"/>
            <w:vAlign w:val="center"/>
          </w:tcPr>
          <w:p w14:paraId="7B778CA8"/>
        </w:tc>
        <w:tc>
          <w:tcPr>
            <w:tcW w:w="1090" w:type="dxa"/>
            <w:shd w:val="clear" w:color="auto" w:fill="BFBFBF"/>
            <w:vAlign w:val="center"/>
          </w:tcPr>
          <w:p w14:paraId="1042A363">
            <w:pPr>
              <w:jc w:val="center"/>
            </w:pPr>
            <w:r>
              <w:rPr>
                <w:rFonts w:hint="eastAsia"/>
                <w:b/>
              </w:rPr>
              <w:t>任职日期</w:t>
            </w:r>
          </w:p>
        </w:tc>
        <w:tc>
          <w:tcPr>
            <w:tcW w:w="1090" w:type="dxa"/>
            <w:shd w:val="clear" w:color="auto" w:fill="BFBFBF"/>
            <w:vAlign w:val="center"/>
          </w:tcPr>
          <w:p w14:paraId="24FB3D60">
            <w:pPr>
              <w:jc w:val="center"/>
            </w:pPr>
            <w:r>
              <w:rPr>
                <w:rFonts w:hint="eastAsia"/>
                <w:b/>
              </w:rPr>
              <w:t>离任日期</w:t>
            </w:r>
          </w:p>
        </w:tc>
        <w:tc>
          <w:tcPr>
            <w:tcW w:w="686" w:type="dxa"/>
            <w:vMerge w:val="continue"/>
            <w:vAlign w:val="center"/>
          </w:tcPr>
          <w:p w14:paraId="10F7BF07"/>
        </w:tc>
        <w:tc>
          <w:tcPr>
            <w:tcW w:w="3765" w:type="dxa"/>
            <w:vMerge w:val="continue"/>
            <w:vAlign w:val="center"/>
          </w:tcPr>
          <w:p w14:paraId="309DE207"/>
        </w:tc>
      </w:tr>
      <w:tr w14:paraId="5FEEE9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Align w:val="center"/>
          </w:tcPr>
          <w:p w14:paraId="3BDFACB7">
            <w:r>
              <w:rPr>
                <w:rFonts w:hint="eastAsia"/>
              </w:rPr>
              <w:t>夏晨曦</w:t>
            </w:r>
          </w:p>
        </w:tc>
        <w:tc>
          <w:tcPr>
            <w:tcW w:w="830" w:type="dxa"/>
            <w:vAlign w:val="center"/>
          </w:tcPr>
          <w:p w14:paraId="6E3FE9D3">
            <w:r>
              <w:rPr>
                <w:rFonts w:hint="eastAsia"/>
              </w:rPr>
              <w:t>本基金基金经理</w:t>
            </w:r>
          </w:p>
        </w:tc>
        <w:tc>
          <w:tcPr>
            <w:tcW w:w="1090" w:type="dxa"/>
            <w:vAlign w:val="center"/>
          </w:tcPr>
          <w:p w14:paraId="140832CA">
            <w:r>
              <w:rPr>
                <w:rFonts w:hint="eastAsia"/>
              </w:rPr>
              <w:t>2021年12月20日</w:t>
            </w:r>
          </w:p>
        </w:tc>
        <w:tc>
          <w:tcPr>
            <w:tcW w:w="1090" w:type="dxa"/>
            <w:vAlign w:val="center"/>
          </w:tcPr>
          <w:p w14:paraId="0C73BBDB">
            <w:pPr>
              <w:jc w:val="right"/>
            </w:pPr>
            <w:r>
              <w:rPr>
                <w:rFonts w:hint="eastAsia"/>
              </w:rPr>
              <w:t>-</w:t>
            </w:r>
          </w:p>
        </w:tc>
        <w:tc>
          <w:tcPr>
            <w:tcW w:w="686" w:type="dxa"/>
            <w:vAlign w:val="center"/>
          </w:tcPr>
          <w:p w14:paraId="1CC86F13">
            <w:r>
              <w:rPr>
                <w:rFonts w:hint="eastAsia"/>
              </w:rPr>
              <w:t>20年</w:t>
            </w:r>
          </w:p>
        </w:tc>
        <w:tc>
          <w:tcPr>
            <w:tcW w:w="3765" w:type="dxa"/>
            <w:vAlign w:val="center"/>
          </w:tcPr>
          <w:p w14:paraId="70D913A5">
            <w:pPr>
              <w:jc w:val="both"/>
            </w:pPr>
            <w:r>
              <w:rPr>
                <w:rFonts w:hint="eastAsia"/>
              </w:rPr>
              <w:t>中国国籍，香港科技大学理学硕士，具有基金从业资格。2005年5月加入南方基金，曾担任金融工程研究员、固定收益研究员、风险控制员等职务，现任现金及债券指数投资部总经理、固定收益投资决策委员会副主席。2008年6月17日至2012年7月20日，任固定收益部投资经理；2013年1月22日至2014年12月15日，任南方理财30天基金经理；2012年7月20日至2015年1月13日，任南方润元基金经理；2014年7月25日至2016年11月17日，任南方薪金宝基金经理；2014年12月5日至2016年11月17日，任南方理财金基金经理；2012年10月19日至2019年10月15日，任南方理财60天基金经理；2014年12月15日至2019年10月15日，任南方收益宝基金经理；2016年2月3日至2019年10月15日，任南方日添益货币基金经理；2017年8月9日至2019年10月15日，任南方天天宝基金经理；2012年8月14日至2020年6月16日，任南方理财14天基金经理；2014年7月25日至2020年11月6日，任南方现金增利基金经理；2018年12月5日至2020年11月6日，任南方3-5年农发债基金经理；2019年3月15日至2020年11月6日，任南方7-10年国开债基金经理；2020年4月17日至2022年1月14日，任南方1-5年国开债基金经理；2020年8月6日至2022年1月14日，任南方0-2年国开债基金经理；2020年3月5日至2023年6月19日，任南方0-5年江苏城投债基金经理；2014年7月25日至今，任南方现金通基金经理；2016年10月20日至今，任南方天天利基金经理；2018年11月8日至今，任南方1-3年国开债基金经理；2021年12月20日至今，任南方中证同业存单AAA指数7天持有基金经理；2023年6月19日至今，任南方现金增利基金经理；2025年7月4日至今，任南方理财金货币ETF基金经理。</w:t>
            </w:r>
          </w:p>
        </w:tc>
      </w:tr>
      <w:tr w14:paraId="7C5D5E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Align w:val="center"/>
          </w:tcPr>
          <w:p w14:paraId="0B64AB53">
            <w:r>
              <w:rPr>
                <w:rFonts w:hint="eastAsia"/>
              </w:rPr>
              <w:t>朱佳</w:t>
            </w:r>
          </w:p>
        </w:tc>
        <w:tc>
          <w:tcPr>
            <w:tcW w:w="830" w:type="dxa"/>
            <w:vAlign w:val="center"/>
          </w:tcPr>
          <w:p w14:paraId="63FC1C54">
            <w:r>
              <w:rPr>
                <w:rFonts w:hint="eastAsia"/>
              </w:rPr>
              <w:t>本基金基金经理</w:t>
            </w:r>
          </w:p>
        </w:tc>
        <w:tc>
          <w:tcPr>
            <w:tcW w:w="1090" w:type="dxa"/>
            <w:vAlign w:val="center"/>
          </w:tcPr>
          <w:p w14:paraId="1EA39FAF">
            <w:r>
              <w:rPr>
                <w:rFonts w:hint="eastAsia"/>
              </w:rPr>
              <w:t>2021年12月20日</w:t>
            </w:r>
          </w:p>
        </w:tc>
        <w:tc>
          <w:tcPr>
            <w:tcW w:w="1090" w:type="dxa"/>
            <w:vAlign w:val="center"/>
          </w:tcPr>
          <w:p w14:paraId="1A239350">
            <w:pPr>
              <w:jc w:val="right"/>
            </w:pPr>
            <w:r>
              <w:rPr>
                <w:rFonts w:hint="eastAsia"/>
              </w:rPr>
              <w:t>-</w:t>
            </w:r>
          </w:p>
        </w:tc>
        <w:tc>
          <w:tcPr>
            <w:tcW w:w="686" w:type="dxa"/>
            <w:vAlign w:val="center"/>
          </w:tcPr>
          <w:p w14:paraId="563E9413">
            <w:r>
              <w:rPr>
                <w:rFonts w:hint="eastAsia"/>
              </w:rPr>
              <w:t>12年</w:t>
            </w:r>
          </w:p>
        </w:tc>
        <w:tc>
          <w:tcPr>
            <w:tcW w:w="3765" w:type="dxa"/>
            <w:vAlign w:val="center"/>
          </w:tcPr>
          <w:p w14:paraId="4FEAE65B">
            <w:pPr>
              <w:jc w:val="both"/>
            </w:pPr>
            <w:r>
              <w:rPr>
                <w:rFonts w:hint="eastAsia"/>
              </w:rPr>
              <w:t>中国国籍，女，英国约克大学商业金融与管理硕士，具有基金从业资格。曾先后就职于泰达宏利基金交易部和中国光大银行资产管理部，历任债券交易员、固定收益投资经理。2019年11月加入南方基金；2020年5月22日至2023年12月29日，任南方1-5年国开债基金经理；2020年5月22日至今，任南方1-3年国开债、南方3-5年农发债、南方7-10年国开债、南方0-5年江苏城投债基金经理；2020年8月21日至今，任南方0-2年国开债基金经理；2021年12月20日至今，任南方中证同业存单AAA指数7天持有基金经理；2022年12月21日至今，任南方中证政策性金融债指数基金经理。</w:t>
            </w:r>
          </w:p>
        </w:tc>
      </w:tr>
    </w:tbl>
    <w:p w14:paraId="12CB1CC7">
      <w:pPr>
        <w:pStyle w:val="47"/>
        <w:rPr>
          <w:rFonts w:hint="eastAsia"/>
        </w:rPr>
      </w:pPr>
      <w:r>
        <w:rPr>
          <w:rFonts w:hint="eastAsia"/>
        </w:rPr>
        <w:t>注：1、本基金首任基金经理的任职日期为本基金合同生效日，后任基金经理的任职日期以及历任基金经理的离任日期为公司相关会议作出决定的公告（生效）日期；</w:t>
      </w:r>
    </w:p>
    <w:p w14:paraId="6913CBF3">
      <w:pPr>
        <w:pStyle w:val="47"/>
        <w:rPr>
          <w:rFonts w:hint="eastAsia"/>
        </w:rPr>
      </w:pPr>
      <w:r>
        <w:tab/>
      </w:r>
      <w:r>
        <w:rPr>
          <w:rFonts w:hint="eastAsia"/>
        </w:rPr>
        <w:t>2、证券从业年限计算标准遵从中国证监会《证券基金经营机构董事、监事、高级管理人员及从业人员监督管理办法》中关于证券基金从业人员范围的相关规定。</w:t>
      </w:r>
    </w:p>
    <w:p w14:paraId="32583B0D">
      <w:pPr>
        <w:pStyle w:val="28"/>
      </w:pPr>
      <w:bookmarkStart w:id="22" w:name="_Toc22"/>
      <w:r>
        <w:t>基金经理薪酬机制</w:t>
      </w:r>
      <w:bookmarkEnd w:id="22"/>
    </w:p>
    <w:p w14:paraId="37531887">
      <w:pPr>
        <w:pStyle w:val="18"/>
        <w:rPr>
          <w:rFonts w:hint="eastAsia"/>
        </w:rPr>
      </w:pPr>
      <w:r>
        <w:rPr>
          <w:rFonts w:hint="eastAsia"/>
        </w:rPr>
        <w:t>本基金管理人旗下如有基金经理兼任私募资产管理计划投资经理的，其薪酬激励与私募资产管理计划浮动管理费或产品业绩表现不直接挂钩，具体根据其对产品长期业绩与团队综合贡献、个人绩效考核等情况实施分配。</w:t>
      </w:r>
    </w:p>
    <w:p w14:paraId="75C9B9A1">
      <w:pPr>
        <w:pStyle w:val="23"/>
      </w:pPr>
      <w:bookmarkStart w:id="23" w:name="_Toc18096"/>
      <w:r>
        <w:t>管理人对报告期内本基金运作遵规守信情况的说明</w:t>
      </w:r>
      <w:bookmarkEnd w:id="23"/>
      <w:r>
        <w:t xml:space="preserve"> </w:t>
      </w:r>
    </w:p>
    <w:p w14:paraId="2EEB3B83">
      <w:pPr>
        <w:pStyle w:val="18"/>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最大利益。本报告期内，本基金运作整体合法合规，没有损害基金份额持有人利益。基金的投资范围、投资比例及投资组合符合有关法律法规及基金合同的规定。</w:t>
      </w:r>
    </w:p>
    <w:p w14:paraId="2CCC0FF0">
      <w:pPr>
        <w:pStyle w:val="23"/>
      </w:pPr>
      <w:bookmarkStart w:id="24" w:name="_Toc10257"/>
      <w:r>
        <w:t>管理人对报告期内公平交易情况的专项说明</w:t>
      </w:r>
      <w:bookmarkEnd w:id="24"/>
    </w:p>
    <w:p w14:paraId="21B4FCA5">
      <w:pPr>
        <w:pStyle w:val="28"/>
      </w:pPr>
      <w:bookmarkStart w:id="25" w:name="_Toc25"/>
      <w:r>
        <w:t>公平交易制度和控制方法</w:t>
      </w:r>
      <w:bookmarkEnd w:id="25"/>
    </w:p>
    <w:p w14:paraId="0617030B">
      <w:pPr>
        <w:pStyle w:val="18"/>
        <w:rPr>
          <w:rFonts w:hint="eastAsia"/>
        </w:rPr>
      </w:pPr>
      <w:r>
        <w:rPr>
          <w:rFonts w:hint="eastAsia"/>
        </w:rPr>
        <w:t>本基金管理人根据《证券投资基金管理公司公平交易制度指导意见》和有关法律法规的规定，针对股票、债券的一级市场申购和二级市场交易等投资管理活动，以及授权、研究分析、投资决策、交易执行、业绩评估等投资管理活动相关的各个环节，建立了股票、债券、基金等证券池管理制度和细则，投资管理制度和细则，集中交易管理办法，公平交易操作指引，异常交易管理制度等公平交易相关的公司制度或流程指引。通过加强投资决策、交易执行的内部控制，完善对投资交易行为的日常监控和事后分析评估，以及履行相关的报告和信息披露义务，切实防范投资管理业务中的不公平交易和利益输送行为，保护投资者合法权益。</w:t>
      </w:r>
    </w:p>
    <w:p w14:paraId="0FA57008">
      <w:pPr>
        <w:pStyle w:val="28"/>
      </w:pPr>
      <w:bookmarkStart w:id="26" w:name="_Toc26"/>
      <w:r>
        <w:t>公平交易制度的执行情况</w:t>
      </w:r>
      <w:bookmarkEnd w:id="26"/>
    </w:p>
    <w:p w14:paraId="21AD54A7">
      <w:pPr>
        <w:pStyle w:val="18"/>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 公司每季度对旗下组合进行股票和债券的同向交易价差专项分析。</w:t>
      </w:r>
    </w:p>
    <w:p w14:paraId="4E3C844C">
      <w:pPr>
        <w:pStyle w:val="18"/>
        <w:rPr>
          <w:rFonts w:hint="eastAsia"/>
        </w:rPr>
      </w:pPr>
      <w:r>
        <w:rPr>
          <w:rFonts w:hint="eastAsia"/>
        </w:rPr>
        <w:t>本报告期内，两两组合间单日、3日、5日时间窗口内同向交易买入溢价率均值或卖出溢价率均值显著不为0的情况不存在，并且交易占优比也没有明显异常，未发现不公平对待各组合或组合间相互利益输送的情况。</w:t>
      </w:r>
    </w:p>
    <w:p w14:paraId="5626D811">
      <w:pPr>
        <w:pStyle w:val="35"/>
      </w:pPr>
      <w:bookmarkStart w:id="27" w:name="_Toc27"/>
      <w:r>
        <w:t>增加执行的基金经理公平交易制度执行情况及公平交易管理情况</w:t>
      </w:r>
      <w:bookmarkEnd w:id="27"/>
    </w:p>
    <w:p w14:paraId="1739105B">
      <w:pPr>
        <w:pStyle w:val="18"/>
        <w:rPr>
          <w:rFonts w:hint="eastAsia"/>
        </w:rPr>
      </w:pPr>
      <w:r>
        <w:rPr>
          <w:rFonts w:hint="eastAsia"/>
        </w:rPr>
        <w:t>本基金管理人依据《基金经理兼任私募资产管理计划投资经理工作指引（试行）》的要求，建立和完善了兼任相关的制度及流程，确保兼任基金经理公平对待其管理的所有投资组合。通过对基金经理的投资交易行为进行监控和分析，本报告期内，两两组合间各项操作、流程及事后分析均正常，未发现不公平对待各组合或组合间相互利益输送的情况。</w:t>
      </w:r>
    </w:p>
    <w:p w14:paraId="7BA205C7">
      <w:pPr>
        <w:pStyle w:val="28"/>
      </w:pPr>
      <w:bookmarkStart w:id="28" w:name="_Toc28"/>
      <w:r>
        <w:t>异常交易行为的专项说明</w:t>
      </w:r>
      <w:bookmarkEnd w:id="28"/>
    </w:p>
    <w:p w14:paraId="15B75DDF">
      <w:pPr>
        <w:pStyle w:val="18"/>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138次，是由于指数投资组合的投资策略导致。</w:t>
      </w:r>
    </w:p>
    <w:p w14:paraId="6ACE8292">
      <w:pPr>
        <w:pStyle w:val="23"/>
      </w:pPr>
      <w:bookmarkStart w:id="29" w:name="_Toc17494"/>
      <w:r>
        <w:t>管理人对报告期内基金的投资策略和业绩表现的说明</w:t>
      </w:r>
      <w:bookmarkEnd w:id="29"/>
    </w:p>
    <w:p w14:paraId="740C1590">
      <w:pPr>
        <w:pStyle w:val="28"/>
      </w:pPr>
      <w:bookmarkStart w:id="30" w:name="_Toc30"/>
      <w:r>
        <w:t>报告期内基金投资策略和运作分析</w:t>
      </w:r>
      <w:bookmarkEnd w:id="30"/>
    </w:p>
    <w:p w14:paraId="7ABFA79F">
      <w:pPr>
        <w:pStyle w:val="18"/>
        <w:rPr>
          <w:rFonts w:hint="eastAsia"/>
        </w:rPr>
      </w:pPr>
      <w:r>
        <w:rPr>
          <w:rFonts w:hint="eastAsia"/>
        </w:rPr>
        <w:t>2025年，围绕“稳增长、调结构、防风险”的核心政策基调，经济整体勾勒出“政策落地进程加快、内需修复态势明晰”的宏观图景。货币政策除一季度边际收紧外，其余时间基本维持宽松基调。全年实施降息1次、降准1次，实际形成了“3个月期限买断式逆回购 + 6个月期限买断式逆回购 + 1年期MLF + 国债买卖”相结合的流动性投放工具组合，覆盖短、中、长期限。在宽货币背景下，资金价格在下半年低位平稳运行，银行负债预期稳定，因此同业存单供给压力不高，整体收益率处于窄幅震荡的状态。</w:t>
      </w:r>
    </w:p>
    <w:p w14:paraId="4DC9E1F4">
      <w:pPr>
        <w:pStyle w:val="18"/>
        <w:rPr>
          <w:rFonts w:hint="eastAsia"/>
        </w:rPr>
      </w:pPr>
      <w:r>
        <w:rPr>
          <w:rFonts w:hint="eastAsia"/>
        </w:rPr>
        <w:t>全年来看，同业存单大致经历了“上行-下行-震荡”三段行情：年初至3月中旬，由于资金价格中枢上行，同业存单出现较大调整，1年期中债同业存单(AAA)到期收益率从最低约1.54%左右上行至2.00%以上；3月中旬至7月初，央行释放宽松信号、降准降息各1次，加上美国关税政策落地，1年期中债同业存单(AAA)到期收益率最低下行至1.60%以下；下半年央行对资金面呵护力度有所加大：据券商研究所调研，买断式逆回购、MLF最低中标利率边际下行，资金价格低位运行，同业存单收益率大部分时间处于1.63-1.70%区间震荡。</w:t>
      </w:r>
    </w:p>
    <w:p w14:paraId="0AF4AC61">
      <w:pPr>
        <w:pStyle w:val="18"/>
        <w:rPr>
          <w:rFonts w:hint="eastAsia"/>
        </w:rPr>
      </w:pPr>
      <w:r>
        <w:rPr>
          <w:rFonts w:hint="eastAsia"/>
        </w:rPr>
        <w:t>全年来看，3个月、6个月、1年期中债同业存单(AAA)估值收益率分别下行约6bp、上行约2bp、上行约5bp。与OMO利率相比，当前同业存单的收益率有较高的套息价值，配置价值显现。本基金密切跟踪指数，并根据成份券变更和规模的变动进行小幅的调整，有效实现了对指数的跟踪。</w:t>
      </w:r>
    </w:p>
    <w:p w14:paraId="7B6635F4">
      <w:pPr>
        <w:pStyle w:val="28"/>
      </w:pPr>
      <w:bookmarkStart w:id="31" w:name="_Toc31"/>
      <w:r>
        <w:t>报告期内基金的业绩表现</w:t>
      </w:r>
      <w:bookmarkEnd w:id="31"/>
    </w:p>
    <w:p w14:paraId="0F96CACD">
      <w:pPr>
        <w:pStyle w:val="18"/>
        <w:rPr>
          <w:rFonts w:hint="eastAsia"/>
        </w:rPr>
      </w:pPr>
      <w:r>
        <w:rPr>
          <w:rFonts w:hint="eastAsia"/>
        </w:rPr>
        <w:t>截至报告期末，本基金份额净值为1.0865元，报告期内，份额净值增长率为1.38%，同期业绩基准增长率为1.70%。</w:t>
      </w:r>
    </w:p>
    <w:p w14:paraId="720A8915">
      <w:pPr>
        <w:pStyle w:val="23"/>
      </w:pPr>
      <w:bookmarkStart w:id="32" w:name="_Toc20732"/>
      <w:r>
        <w:t>管理人对宏观经济、证券市场及行业走势的简要展望</w:t>
      </w:r>
      <w:bookmarkEnd w:id="32"/>
    </w:p>
    <w:p w14:paraId="36D2D8C9">
      <w:pPr>
        <w:pStyle w:val="18"/>
        <w:rPr>
          <w:rFonts w:hint="eastAsia"/>
        </w:rPr>
      </w:pPr>
      <w:r>
        <w:rPr>
          <w:rFonts w:hint="eastAsia"/>
        </w:rPr>
        <w:t>展望 2026 年，宏观政策预计将持续发力，通过 “适度积极财政 + 适度宽松货币” 的协同配合，为经济高质量发展持续托底，内需有望实现进一步回暖，消费升级与产业升级双轮驱动的发展格局将更加突出。</w:t>
      </w:r>
    </w:p>
    <w:p w14:paraId="29E2DB0E">
      <w:pPr>
        <w:pStyle w:val="18"/>
        <w:rPr>
          <w:rFonts w:hint="eastAsia"/>
        </w:rPr>
      </w:pPr>
      <w:r>
        <w:rPr>
          <w:rFonts w:hint="eastAsia"/>
        </w:rPr>
        <w:t>具体到同业存单品种，在货币政策与财政政策预计保持高效协同的背景下，资金价格有望延续低位运行，存单收益率波动或相对有限。因此，税期、月末和季末等容易出现资金扰动的时点，或是同业存单重要的配置窗口期。</w:t>
      </w:r>
    </w:p>
    <w:p w14:paraId="4C1B5E1E">
      <w:pPr>
        <w:pStyle w:val="18"/>
        <w:rPr>
          <w:rFonts w:hint="eastAsia"/>
        </w:rPr>
      </w:pPr>
      <w:r>
        <w:rPr>
          <w:rFonts w:hint="eastAsia"/>
        </w:rPr>
        <w:t>央行重视银行净息差，多措并举引导银行负债成本下行。同业存单作为银行同业负债的重要组成部分，收益率大概率仍有一定下行空间。本基金为被动型指数基金，我们将进一步优化既有的跟踪策略，注重保持组合的流动性，有效跟踪标的指数。</w:t>
      </w:r>
    </w:p>
    <w:p w14:paraId="20C7F2A0">
      <w:pPr>
        <w:pStyle w:val="23"/>
      </w:pPr>
      <w:bookmarkStart w:id="33" w:name="_Toc24218"/>
      <w:r>
        <w:t>管理人内部有关本基金的监察稽核工作情况</w:t>
      </w:r>
      <w:bookmarkEnd w:id="33"/>
      <w:r>
        <w:t xml:space="preserve"> </w:t>
      </w:r>
    </w:p>
    <w:p w14:paraId="06E63295">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本报告期内，本基金管理人根据法律法规、自律规则、监管要求和业务发展情况，严格遵守包括《公开募集证券投资基金信息披露管理办法》在内的公募基金行业各项法律法规及其他规范要求，有效落实了202</w:t>
      </w:r>
      <w:r>
        <w:rPr>
          <w:color w:val="222222"/>
          <w:sz w:val="21"/>
          <w:szCs w:val="21"/>
        </w:rPr>
        <w:t>5</w:t>
      </w:r>
      <w:r>
        <w:rPr>
          <w:rFonts w:hint="eastAsia"/>
          <w:color w:val="222222"/>
          <w:sz w:val="21"/>
          <w:szCs w:val="21"/>
        </w:rPr>
        <w:t>年度发布的《推动公募基金高质量发展行动方案》《基金经营机构及其工作人员廉洁从业实施细则》和《公开募集证券投资基金管理人参与上市公司治理管理规则》等公募基金相关新法律法规。</w:t>
      </w:r>
    </w:p>
    <w:p w14:paraId="42352800">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坚持从保护基金份额持有人利益出发，树立并坚守“全员合规、合规从高层做起、合规创造价值、合规是公司生存基础、合规为先、行稳致远”的合规理念。严守合规底线，贯彻落实行业高质量发展要求，以全面覆盖法律法规和监管要求为出发点，推动实现公司合规内控体系迭代升级，强化落实全面风险管理要求，确保各项法规和管理制度的落实，有效保障了旗下基金及公司各项业务合法合规、稳健有序运作开展。</w:t>
      </w:r>
    </w:p>
    <w:p w14:paraId="29AB2480">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积极推动监管新规落实，持续完善内控体系制度及业务流程，制订和修订了包括公司《廉洁从业内部控制制度》《防控内幕交易管理制度》《信息和保密管理制度》《反洗钱和反恐怖融资基本制度》等一系列与监察稽核和合规内控相关的公司管理制度。</w:t>
      </w:r>
    </w:p>
    <w:p w14:paraId="4C6542A2">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在进一步优化制度体系的基础上，坚持“看不清管不住则不展业”原则，切实推动“合规创造价值”理念走深走实，强化新规及监管政策的内化落实，推进落实全面风险管理与全员合规管理要求，提升公司业务发展内在稳定性。持续夯实投研交易长效管控基础，着力加强日常风险监测预警与应对处置，切实防范各环节业务风险；紧跟监管动态，精准强化产品运作及市场营销各环节关键机制，系统性强化风险防范及排查，确保监管要求及政策精神的贯彻落实；对投研交易、市场销售、运营管理及人员管理等业务和相关部门通过专项稽核和合规检查工作，促进公司业务合规运作、稳健经营；厚植公司廉洁从业合规文化根基，强化智能高效的人员检查机制，丰富文化建设和宣导形式，有效规范人员从业行为；持续完善信息披露工作机制，保障所披露信息的真实性、准确性和完整性；落实提升投资者获得感，持续加强投资者教育及保护力度，监督和落实客户投诉处理，重视媒体监督和投资者关系管理。</w:t>
      </w:r>
    </w:p>
    <w:p w14:paraId="365C2D84">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高度重视反洗钱工作，贯彻风险为本，持续提升内控建设及风险防范有效性。从制度建设、系统数据管理、业务流程规范建设、宣传培训等方面入手，依据新《反洗钱法》持续增强公司反洗钱制度机制有效性，将反洗钱工作贯穿于公司各项业务流程，提升公司洗钱风险防范水平。</w:t>
      </w:r>
    </w:p>
    <w:p w14:paraId="0CFEABF7">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承诺将坚持诚实信用、勤勉尽责的原则管理和运用基金资产，积极健全各项内控管理制度，不断提高监察稽核及合规管理工作的科学性和有效性，筑牢全员合规防线，落实全面风险管理与全员合规管理要求，持续构建高效赋能的合规数智化体系，努力防范和管理各类风险，确保各项业务稳健运行，切实维护基金资产的安全与利益。</w:t>
      </w:r>
    </w:p>
    <w:p w14:paraId="4A2701BF">
      <w:pPr>
        <w:pStyle w:val="23"/>
      </w:pPr>
      <w:bookmarkStart w:id="34" w:name="_Toc21312"/>
      <w:r>
        <w:t>管理人对报告期内基金估值程序等事项的说明</w:t>
      </w:r>
      <w:bookmarkEnd w:id="34"/>
    </w:p>
    <w:p w14:paraId="718C3D66">
      <w:pPr>
        <w:pStyle w:val="18"/>
        <w:rPr>
          <w:rFonts w:hint="eastAsia"/>
        </w:rPr>
      </w:pPr>
      <w:r>
        <w:rPr>
          <w:rFonts w:hint="eastAsia"/>
        </w:rPr>
        <w:t>根据中国证监会相关规定和基金合同约定，本基金管理人应严格按照企业会计准则、中国证监会相关规定和基金合同关于估值的约定，对基金所持有的投资品种进行估值。本基金管理人已制定基金估值和份额净值计价的业务管理制度，明确基金估值的程序和技术；建立了估值委员会，组成人员包括财务负责人、督察长、权益研究部总经理、固定收益研究部总经理、指数投资部总经理、现金及债券指数投资部总经理、国际业务部总经理、风险管理部总经理及运作保障部总经理等。本基金管理人使用可靠的估值业务系统，估值人员熟悉各类投资品种的估值原则和具体估值程序。估值流程中包含风险监测、控制和报告机制。基金管理人改变估值技术，导致基金资产净值的变化在0.25%以上的，对所采用的相关估值技术、假设及输入值的适当性咨询会计师事务所的专业意见。本基金托管人根据法律法规要求履行估值及净值计算的复核责任。定价服务机构按照商业合同约定提供定价服务。基金经理可参与估值原则和方法的讨论，但不参与估值价格的最终决策。本报告期内，参与估值流程各方之间无重大利益冲突。</w:t>
      </w:r>
    </w:p>
    <w:p w14:paraId="08DE9BE0">
      <w:pPr>
        <w:pStyle w:val="23"/>
      </w:pPr>
      <w:bookmarkStart w:id="35" w:name="_Toc13377"/>
      <w:r>
        <w:t>管理人对报告期内基金利润分配情况的说明</w:t>
      </w:r>
      <w:bookmarkEnd w:id="35"/>
      <w:r>
        <w:t xml:space="preserve"> </w:t>
      </w:r>
    </w:p>
    <w:p w14:paraId="6E7A2493">
      <w:pPr>
        <w:pStyle w:val="18"/>
        <w:rPr>
          <w:rFonts w:hint="eastAsia"/>
        </w:rPr>
      </w:pPr>
      <w:r>
        <w:rPr>
          <w:rFonts w:hint="eastAsia"/>
        </w:rPr>
        <w:t>根据相关法律法规的规定和基金合同的约定，以及本基金的实际运作情况，本基金报告期未进行利润分配。在符合分红条件的前提下，本基金已实现尚未分配的可供分配收益部分，将严格按照基金合同的约定适时向投资者予以分配。</w:t>
      </w:r>
    </w:p>
    <w:p w14:paraId="59E6B672">
      <w:pPr>
        <w:pStyle w:val="23"/>
      </w:pPr>
      <w:bookmarkStart w:id="36" w:name="_Toc19990"/>
      <w:r>
        <w:t>报告期内基金持有人数或基金资产净值预警说明</w:t>
      </w:r>
      <w:bookmarkEnd w:id="36"/>
    </w:p>
    <w:p w14:paraId="324FBCEA">
      <w:pPr>
        <w:pStyle w:val="18"/>
        <w:rPr>
          <w:rFonts w:hint="eastAsia"/>
        </w:rPr>
      </w:pPr>
      <w:r>
        <w:rPr>
          <w:rFonts w:hint="eastAsia"/>
        </w:rPr>
        <w:t>报告期内，本基金未出现连续二十个交易日基金份额持有人数量不满二百人或者基金资产净值低于五千万元的情形。</w:t>
      </w:r>
    </w:p>
    <w:p w14:paraId="4C498AFB">
      <w:pPr>
        <w:pStyle w:val="26"/>
      </w:pPr>
      <w:bookmarkStart w:id="37" w:name="_Toc7423"/>
      <w:r>
        <w:t>托管人报告</w:t>
      </w:r>
      <w:bookmarkEnd w:id="37"/>
    </w:p>
    <w:p w14:paraId="73283619">
      <w:pPr>
        <w:pStyle w:val="23"/>
      </w:pPr>
      <w:bookmarkStart w:id="38" w:name="_Toc8764"/>
      <w:r>
        <w:t>报告期内本基金托管人遵规守信情况声明</w:t>
      </w:r>
      <w:bookmarkEnd w:id="38"/>
    </w:p>
    <w:p w14:paraId="7624B2F4">
      <w:pPr>
        <w:pStyle w:val="18"/>
        <w:rPr>
          <w:rFonts w:hint="eastAsia"/>
        </w:rPr>
      </w:pPr>
      <w:r>
        <w:rPr>
          <w:rFonts w:hint="eastAsia"/>
        </w:rPr>
        <w:t>本报告期内，基金托管人在南方中证同业存单AAA指数7天持有期证券投资基金的托管过程中，严格遵守了《证券投资基金法》及其他有关法律法规、基金合同、托管协议，尽职尽责地履行了托管人应尽的义务，不存在任何损害基金持有人利益的行为。</w:t>
      </w:r>
    </w:p>
    <w:p w14:paraId="0C95800D">
      <w:pPr>
        <w:pStyle w:val="23"/>
      </w:pPr>
      <w:bookmarkStart w:id="39" w:name="_Toc9998"/>
      <w:r>
        <w:t>托管人对报告期内本基金投资运作遵规守信、净值计算、利润分配等情况的说明</w:t>
      </w:r>
      <w:bookmarkEnd w:id="39"/>
      <w:r>
        <w:t xml:space="preserve"> </w:t>
      </w:r>
    </w:p>
    <w:p w14:paraId="77C93A72">
      <w:pPr>
        <w:pStyle w:val="18"/>
        <w:rPr>
          <w:rFonts w:hint="eastAsia"/>
        </w:rPr>
      </w:pPr>
      <w:r>
        <w:rPr>
          <w:rFonts w:hint="eastAsia"/>
        </w:rPr>
        <w:t>本报告期内，南方基金管理股份有限公司在南方中证同业存单AAA指数7天持有期证券投资基金投资运作、基金资产净值的计算、基金份额申购赎回价格的计算、基金费用开支、基金收益分配等问题上，托管人未发现损害基金持有人利益的行为。</w:t>
      </w:r>
    </w:p>
    <w:p w14:paraId="7D22150C">
      <w:pPr>
        <w:pStyle w:val="23"/>
      </w:pPr>
      <w:bookmarkStart w:id="40" w:name="_Toc23470"/>
      <w:r>
        <w:t>托管人对本年度报告中财务信息等内容的真实、准确和完整发表意见</w:t>
      </w:r>
      <w:bookmarkEnd w:id="40"/>
    </w:p>
    <w:p w14:paraId="143C802C">
      <w:pPr>
        <w:pStyle w:val="18"/>
        <w:rPr>
          <w:rFonts w:hint="eastAsia"/>
        </w:rPr>
      </w:pPr>
      <w:r>
        <w:rPr>
          <w:rFonts w:hint="eastAsia"/>
        </w:rPr>
        <w:t>本报告期内，由南方基金管理股份有限公司编制并经托管人复核审查的有关南方中证同业存单AAA指数7天持有期证券投资基金的年度报告中财务指标、净值表现、收益分配情况、财务会计报告相关内容、投资组合报告等内容真实、准确、完整。</w:t>
      </w:r>
    </w:p>
    <w:p w14:paraId="0811C82F">
      <w:pPr>
        <w:pStyle w:val="26"/>
      </w:pPr>
      <w:bookmarkStart w:id="41" w:name="_Toc12920"/>
      <w:r>
        <w:t>审计报告</w:t>
      </w:r>
      <w:bookmarkEnd w:id="41"/>
    </w:p>
    <w:p w14:paraId="4C177DD2">
      <w:pPr>
        <w:pStyle w:val="23"/>
      </w:pPr>
      <w:bookmarkStart w:id="42" w:name="_Toc22088"/>
      <w:r>
        <w:t>审计报告基本信息</w:t>
      </w:r>
      <w:bookmarkEnd w:id="42"/>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20B415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F077DE2">
            <w:r>
              <w:rPr>
                <w:rFonts w:hint="eastAsia"/>
              </w:rPr>
              <w:t>财务报表是否经过审计</w:t>
            </w:r>
          </w:p>
        </w:tc>
        <w:tc>
          <w:tcPr>
            <w:tcW w:w="4153" w:type="dxa"/>
            <w:vAlign w:val="center"/>
          </w:tcPr>
          <w:p w14:paraId="062CE2B7">
            <w:r>
              <w:rPr>
                <w:rFonts w:hint="eastAsia"/>
              </w:rPr>
              <w:t>是</w:t>
            </w:r>
          </w:p>
        </w:tc>
      </w:tr>
      <w:tr w14:paraId="31A752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2DBFFA8">
            <w:r>
              <w:rPr>
                <w:rFonts w:hint="eastAsia"/>
              </w:rPr>
              <w:t>审计意见类型</w:t>
            </w:r>
          </w:p>
        </w:tc>
        <w:tc>
          <w:tcPr>
            <w:tcW w:w="4153" w:type="dxa"/>
            <w:vAlign w:val="center"/>
          </w:tcPr>
          <w:p w14:paraId="06F4DE97">
            <w:r>
              <w:rPr>
                <w:rFonts w:hint="eastAsia"/>
              </w:rPr>
              <w:t>标准无保留意见</w:t>
            </w:r>
          </w:p>
        </w:tc>
      </w:tr>
      <w:tr w14:paraId="66E757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F679634">
            <w:r>
              <w:rPr>
                <w:rFonts w:hint="eastAsia"/>
              </w:rPr>
              <w:t>审计报告编号</w:t>
            </w:r>
          </w:p>
        </w:tc>
        <w:tc>
          <w:tcPr>
            <w:tcW w:w="4153" w:type="dxa"/>
            <w:vAlign w:val="center"/>
          </w:tcPr>
          <w:p w14:paraId="5D12567E">
            <w:r>
              <w:rPr>
                <w:rFonts w:hint="eastAsia"/>
              </w:rPr>
              <w:t>容诚审字[2026]200Z0806号</w:t>
            </w:r>
          </w:p>
        </w:tc>
      </w:tr>
    </w:tbl>
    <w:p w14:paraId="64C7E719">
      <w:pPr>
        <w:pStyle w:val="23"/>
      </w:pPr>
      <w:bookmarkStart w:id="43" w:name="_Toc8130"/>
      <w:r>
        <w:t>审计报告的基本内容</w:t>
      </w:r>
      <w:bookmarkEnd w:id="43"/>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45"/>
        <w:gridCol w:w="2491"/>
        <w:gridCol w:w="2768"/>
      </w:tblGrid>
      <w:tr w14:paraId="66F575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3045" w:type="dxa"/>
            <w:shd w:val="clear" w:color="auto" w:fill="BFBFBF"/>
            <w:vAlign w:val="center"/>
          </w:tcPr>
          <w:p w14:paraId="7831FC97">
            <w:pPr>
              <w:jc w:val="center"/>
            </w:pPr>
            <w:r>
              <w:rPr>
                <w:rFonts w:hint="eastAsia"/>
                <w:b/>
              </w:rPr>
              <w:t>审计报告标题</w:t>
            </w:r>
          </w:p>
        </w:tc>
        <w:tc>
          <w:tcPr>
            <w:tcW w:w="2491" w:type="dxa"/>
            <w:gridSpan w:val="2"/>
            <w:shd w:val="clear" w:color="auto" w:fill="BFBFBF"/>
            <w:vAlign w:val="center"/>
          </w:tcPr>
          <w:p w14:paraId="4A39119A">
            <w:pPr>
              <w:jc w:val="center"/>
            </w:pPr>
            <w:r>
              <w:rPr>
                <w:rFonts w:hint="eastAsia"/>
                <w:b/>
              </w:rPr>
              <w:t>审计报告</w:t>
            </w:r>
          </w:p>
        </w:tc>
      </w:tr>
      <w:tr w14:paraId="5E2040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71D350A6">
            <w:r>
              <w:rPr>
                <w:rFonts w:hint="eastAsia"/>
              </w:rPr>
              <w:t>审计报告收件人</w:t>
            </w:r>
          </w:p>
        </w:tc>
        <w:tc>
          <w:tcPr>
            <w:tcW w:w="2491" w:type="dxa"/>
            <w:gridSpan w:val="2"/>
            <w:vAlign w:val="center"/>
          </w:tcPr>
          <w:p w14:paraId="273B724B">
            <w:r>
              <w:rPr>
                <w:rFonts w:hint="eastAsia"/>
              </w:rPr>
              <w:t>南方中证同业存单AAA指数7天持有期证券投资基金全体基金份额持有人</w:t>
            </w:r>
          </w:p>
        </w:tc>
      </w:tr>
      <w:tr w14:paraId="7FBE12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01D1CC84">
            <w:r>
              <w:rPr>
                <w:rFonts w:hint="eastAsia"/>
              </w:rPr>
              <w:t>审计意见</w:t>
            </w:r>
          </w:p>
        </w:tc>
        <w:tc>
          <w:tcPr>
            <w:tcW w:w="2491" w:type="dxa"/>
            <w:gridSpan w:val="2"/>
            <w:vAlign w:val="center"/>
          </w:tcPr>
          <w:p w14:paraId="2D259EB7">
            <w:pPr>
              <w:jc w:val="both"/>
              <w:rPr>
                <w:rFonts w:hint="eastAsia"/>
              </w:rPr>
            </w:pPr>
            <w:r>
              <w:rPr>
                <w:rFonts w:hint="eastAsia"/>
              </w:rPr>
              <w:t>我们审计了南方中证同业存单AAA指数7天持有期证券投资基金（以下简称“南方中证同业存单AAA指数7天持有期基金”）财务报表，包括2025年12月31日的资产负债表，2025年度的利润表、净资产变动表以及相关财务报表附注。
</w:t>
            </w:r>
            <w:r>
              <w:rPr>
                <w:rFonts w:hint="eastAsia"/>
              </w:rPr>
              <w:br w:type="textWrapping"/>
            </w:r>
            <w:r>
              <w:rPr>
                <w:rFonts w:hint="eastAsia"/>
              </w:rPr>
              <w:t>我们认为，后附的财务报表在所有重大方面按照企业会计准则和在财务报表附注中所列示的中国证券监督管理委员会（以下简称“中国证监会”）、中国证券投资基金业协会（以下简称“中国基金业协会”）发布的有关规定及允许的基金行业实务操作编制，公允反映了南方中证同业存单AAA指数7天持有期基金2025年12月31日的财务状况以及2025年度的经营成果和净资产变动情况。</w:t>
            </w:r>
          </w:p>
        </w:tc>
      </w:tr>
      <w:tr w14:paraId="4B91D5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4646B38D">
            <w:r>
              <w:rPr>
                <w:rFonts w:hint="eastAsia"/>
              </w:rPr>
              <w:t>形成审计意见的基础</w:t>
            </w:r>
          </w:p>
        </w:tc>
        <w:tc>
          <w:tcPr>
            <w:tcW w:w="2491" w:type="dxa"/>
            <w:gridSpan w:val="2"/>
            <w:vAlign w:val="center"/>
          </w:tcPr>
          <w:p w14:paraId="4805F0DC">
            <w:pPr>
              <w:jc w:val="both"/>
            </w:pPr>
            <w:r>
              <w:rPr>
                <w:rFonts w:hint="eastAsia"/>
              </w:rPr>
              <w:t>我们按照中国注册会计师审计准则的规定执行了审计工作。审计报告的“注册会计师对财务报表审计的责任”部分进一步阐述了我们在这些准则下的责任。按照中国注册会计师职业道德守则和中国注册会计师独立性准则，我们独立于南方中证同业存单AAA指数7天持有期基金，并遵守了独立性准则中适用于公众利益实体财务报表审计的规定，同时履行了职业道德方面的其他责任。我们相信，我们获取的审计证据是充分、适当的，为发表审计意见提供了基础。</w:t>
            </w:r>
          </w:p>
        </w:tc>
      </w:tr>
      <w:tr w14:paraId="4C0F69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613A0D61">
            <w:r>
              <w:rPr>
                <w:rFonts w:hint="eastAsia"/>
              </w:rPr>
              <w:t>强调事项</w:t>
            </w:r>
          </w:p>
        </w:tc>
        <w:tc>
          <w:tcPr>
            <w:tcW w:w="2491" w:type="dxa"/>
            <w:gridSpan w:val="2"/>
            <w:vAlign w:val="center"/>
          </w:tcPr>
          <w:p w14:paraId="2133FF74">
            <w:pPr>
              <w:jc w:val="right"/>
            </w:pPr>
            <w:r>
              <w:rPr>
                <w:rFonts w:hint="eastAsia"/>
              </w:rPr>
              <w:t>-</w:t>
            </w:r>
          </w:p>
        </w:tc>
      </w:tr>
      <w:tr w14:paraId="150478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67CC0A89">
            <w:r>
              <w:rPr>
                <w:rFonts w:hint="eastAsia"/>
              </w:rPr>
              <w:t>其他事项</w:t>
            </w:r>
          </w:p>
        </w:tc>
        <w:tc>
          <w:tcPr>
            <w:tcW w:w="2491" w:type="dxa"/>
            <w:gridSpan w:val="2"/>
            <w:vAlign w:val="center"/>
          </w:tcPr>
          <w:p w14:paraId="4B773C98">
            <w:pPr>
              <w:jc w:val="right"/>
            </w:pPr>
            <w:r>
              <w:rPr>
                <w:rFonts w:hint="eastAsia"/>
              </w:rPr>
              <w:t>-</w:t>
            </w:r>
          </w:p>
        </w:tc>
      </w:tr>
      <w:tr w14:paraId="0CEC73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2D4C61FA">
            <w:r>
              <w:rPr>
                <w:rFonts w:hint="eastAsia"/>
              </w:rPr>
              <w:t>其他信息</w:t>
            </w:r>
          </w:p>
        </w:tc>
        <w:tc>
          <w:tcPr>
            <w:tcW w:w="2491" w:type="dxa"/>
            <w:gridSpan w:val="2"/>
            <w:vAlign w:val="center"/>
          </w:tcPr>
          <w:p w14:paraId="3247C51D">
            <w:pPr>
              <w:jc w:val="both"/>
              <w:rPr>
                <w:rFonts w:hint="eastAsia"/>
              </w:rPr>
            </w:pPr>
            <w:r>
              <w:rPr>
                <w:rFonts w:hint="eastAsia"/>
              </w:rPr>
              <w:t>南方中证同业存单AAA指数7天持有期基金的基金管理人南方基金管理股份有限公司（以下简称“基金管理人”）管理层对其他信息负责。其他信息包括南方中证同业存单AAA指数7天持有期基金2025年年度报告中涵盖的信息，但不包括财务报表和我们的审计报告。
</w:t>
            </w:r>
            <w:r>
              <w:rPr>
                <w:rFonts w:hint="eastAsia"/>
              </w:rPr>
              <w:br w:type="textWrapping"/>
            </w:r>
            <w:r>
              <w:rPr>
                <w:rFonts w:hint="eastAsia"/>
              </w:rPr>
              <w:t>我们对财务报表发表的审计意见不涵盖其他信息，我们也不对其他信息发表任何形式的鉴证结论。
</w:t>
            </w:r>
            <w:r>
              <w:rPr>
                <w:rFonts w:hint="eastAsia"/>
              </w:rPr>
              <w:br w:type="textWrapping"/>
            </w:r>
            <w:r>
              <w:rPr>
                <w:rFonts w:hint="eastAsia"/>
              </w:rPr>
              <w:t>结合我们对财务报表的审计，我们的责任是阅读其他信息，在此过程中，考虑其他信息是否与财务报表或我们在审计过程中了解到的情况存在重大不一致或者似乎存在重大错报。
</w:t>
            </w:r>
            <w:r>
              <w:rPr>
                <w:rFonts w:hint="eastAsia"/>
              </w:rPr>
              <w:br w:type="textWrapping"/>
            </w:r>
            <w:r>
              <w:rPr>
                <w:rFonts w:hint="eastAsia"/>
              </w:rPr>
              <w:t>基于我们已执行的工作，如果我们确定其他信息存在重大错报，我们应当报告该事实。在这方面，我们无任何事项需要报告。</w:t>
            </w:r>
          </w:p>
        </w:tc>
      </w:tr>
      <w:tr w14:paraId="4AD641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6DE29504">
            <w:r>
              <w:rPr>
                <w:rFonts w:hint="eastAsia"/>
              </w:rPr>
              <w:t>管理层和治理层对财务报表的责任</w:t>
            </w:r>
          </w:p>
        </w:tc>
        <w:tc>
          <w:tcPr>
            <w:tcW w:w="2491" w:type="dxa"/>
            <w:gridSpan w:val="2"/>
            <w:vAlign w:val="center"/>
          </w:tcPr>
          <w:p w14:paraId="1BC25BA0">
            <w:pPr>
              <w:jc w:val="both"/>
              <w:rPr>
                <w:rFonts w:hint="eastAsia"/>
              </w:rPr>
            </w:pPr>
            <w:r>
              <w:rPr>
                <w:rFonts w:hint="eastAsia"/>
              </w:rPr>
              <w:t>基金管理人管理层负责按照企业会计准则和中国证监会、中国基金业协会发布的有关规定及允许的基金行业实务操作编制财务报表，使其实现公允反映，并设计、执行和维护必要的内部控制，以使财务报表不存在由于舞弊或错误导致的重大错报。
</w:t>
            </w:r>
            <w:r>
              <w:rPr>
                <w:rFonts w:hint="eastAsia"/>
              </w:rPr>
              <w:br w:type="textWrapping"/>
            </w:r>
            <w:r>
              <w:rPr>
                <w:rFonts w:hint="eastAsia"/>
              </w:rPr>
              <w:t>在编制财务报表时，基金管理人管理层负责评估南方中证同业存单AAA指数7天持有期基金的持续经营能力，披露与持续经营相关的事项（如适用），并运用持续经营假设，除非基金管理人管理层计划清算南方中证同业存单AAA指数7天持有期基金、终止运营或别无其他现实的选择。
</w:t>
            </w:r>
            <w:r>
              <w:rPr>
                <w:rFonts w:hint="eastAsia"/>
              </w:rPr>
              <w:br w:type="textWrapping"/>
            </w:r>
            <w:r>
              <w:rPr>
                <w:rFonts w:hint="eastAsia"/>
              </w:rPr>
              <w:t>基金管理人治理层负责监督南方中证同业存单AAA指数7天持有期基金的财务报告过程。</w:t>
            </w:r>
          </w:p>
        </w:tc>
      </w:tr>
      <w:tr w14:paraId="6F0EFD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33B48310">
            <w:r>
              <w:rPr>
                <w:rFonts w:hint="eastAsia"/>
              </w:rPr>
              <w:t>注册会计师对财务报表审计的责任</w:t>
            </w:r>
          </w:p>
        </w:tc>
        <w:tc>
          <w:tcPr>
            <w:tcW w:w="2491" w:type="dxa"/>
            <w:gridSpan w:val="2"/>
            <w:vAlign w:val="center"/>
          </w:tcPr>
          <w:p w14:paraId="38ACD98F">
            <w:pPr>
              <w:jc w:val="both"/>
              <w:rPr>
                <w:rFonts w:hint="eastAsia"/>
              </w:rPr>
            </w:pPr>
            <w:r>
              <w:rPr>
                <w:rFonts w:hint="eastAsia"/>
              </w:rPr>
              <w:t>我们的目标是对财务报表整体是否不存在由于舞弊或错误导致的重大错报获取合理保证，并出具包含审计意见的审计报告。合理保证是高水平的保证，但并不能保证按照审计准则执行的审计在某一重大错报存在时总能发现。错报可能由于舞弊或错误导致，如果合理预期错报单独或汇总起来可能影响财务报表使用者依据财务报表作出的经济决策，则通常认为错报是重大的。
</w:t>
            </w:r>
            <w:r>
              <w:rPr>
                <w:rFonts w:hint="eastAsia"/>
              </w:rPr>
              <w:br w:type="textWrapping"/>
            </w:r>
            <w:r>
              <w:rPr>
                <w:rFonts w:hint="eastAsia"/>
              </w:rPr>
              <w:t>在按照审计准则执行审计工作的过程中，我们运用职业判断，并保持职业怀疑。同时，我们也执行以下工作：
</w:t>
            </w:r>
            <w:r>
              <w:rPr>
                <w:rFonts w:hint="eastAsia"/>
              </w:rPr>
              <w:br w:type="textWrapping"/>
            </w:r>
            <w:r>
              <w:rPr>
                <w:rFonts w:hint="eastAsia"/>
              </w:rPr>
              <w:t>（1）识别和评估由于舞弊或错误导致的财务报表重大错报风险，设计和实施审计程序以应对这些风险，并获取充分、适当的审计证据，作为发表审计意见的基础。由于舞弊可能涉及串通、伪造、故意遗漏、虚假陈述或凌驾于内部控制之上，未能发现由于舞弊导致的重大错报的风险高于未能发现由于错误导致的重大错报的风险。
</w:t>
            </w:r>
            <w:r>
              <w:rPr>
                <w:rFonts w:hint="eastAsia"/>
              </w:rPr>
              <w:br w:type="textWrapping"/>
            </w:r>
            <w:r>
              <w:rPr>
                <w:rFonts w:hint="eastAsia"/>
              </w:rPr>
              <w:t>（2）了解与审计相关的内部控制，以设计恰当的审计程序，但目的并非对内部控制的有效性发表意见。
</w:t>
            </w:r>
            <w:r>
              <w:rPr>
                <w:rFonts w:hint="eastAsia"/>
              </w:rPr>
              <w:br w:type="textWrapping"/>
            </w:r>
            <w:r>
              <w:rPr>
                <w:rFonts w:hint="eastAsia"/>
              </w:rPr>
              <w:t>（3）评价基金管理人管理层选用会计政策的恰当性和作出会计估计及相关披露的合理性。
</w:t>
            </w:r>
            <w:r>
              <w:rPr>
                <w:rFonts w:hint="eastAsia"/>
              </w:rPr>
              <w:br w:type="textWrapping"/>
            </w:r>
            <w:r>
              <w:rPr>
                <w:rFonts w:hint="eastAsia"/>
              </w:rPr>
              <w:t>（4）对基金管理人管理层使用持续经营假设的恰当性得出结论。同时，根据获取的审计证据，就可能导致对南方中证同业存单AAA指数7天持有期基金持续经营能力产生重大疑虑的事项或情况是否存在重大不确定性得出结论。如果我们得出结论认为存在重大不确定性，审计准则要求我们在审计报告中提请报表使用者注意财务报表中的相关披露；如果披露不充分，我们应当发表非无保留意见。我们的结论基于截至审计报告日可获得的信息。然而，未来的事项或情况可能导致南方中证同业存单AAA指数7天持有期基金不能持续经营。
</w:t>
            </w:r>
            <w:r>
              <w:rPr>
                <w:rFonts w:hint="eastAsia"/>
              </w:rPr>
              <w:br w:type="textWrapping"/>
            </w:r>
            <w:r>
              <w:rPr>
                <w:rFonts w:hint="eastAsia"/>
              </w:rPr>
              <w:t>（5）评价财务报表的总体列报、结构和内容，并评价财务报表是否公允反映相关交易和事项。
</w:t>
            </w:r>
            <w:r>
              <w:rPr>
                <w:rFonts w:hint="eastAsia"/>
              </w:rPr>
              <w:br w:type="textWrapping"/>
            </w:r>
            <w:r>
              <w:rPr>
                <w:rFonts w:hint="eastAsia"/>
              </w:rPr>
              <w:t>我们与基金管理人治理层就计划的审计范围、时间安排和重大审计发现等事项进行沟通，包括沟通我们在审计中识别出的值得关注的内部控制缺陷。</w:t>
            </w:r>
          </w:p>
        </w:tc>
      </w:tr>
      <w:tr w14:paraId="22F3F1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2BA3151D">
            <w:r>
              <w:rPr>
                <w:rFonts w:hint="eastAsia"/>
              </w:rPr>
              <w:t>会计师事务所的名称</w:t>
            </w:r>
          </w:p>
        </w:tc>
        <w:tc>
          <w:tcPr>
            <w:tcW w:w="2491" w:type="dxa"/>
            <w:gridSpan w:val="2"/>
            <w:vAlign w:val="center"/>
          </w:tcPr>
          <w:p w14:paraId="2AB76E06">
            <w:r>
              <w:rPr>
                <w:rFonts w:hint="eastAsia"/>
              </w:rPr>
              <w:t>容诚会计师事务所（特殊普通合伙）</w:t>
            </w:r>
          </w:p>
        </w:tc>
      </w:tr>
      <w:tr w14:paraId="192F36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286FFA67">
            <w:r>
              <w:rPr>
                <w:rFonts w:hint="eastAsia"/>
              </w:rPr>
              <w:t>注册会计师的姓名</w:t>
            </w:r>
          </w:p>
        </w:tc>
        <w:tc>
          <w:tcPr>
            <w:tcW w:w="2491" w:type="dxa"/>
            <w:vAlign w:val="center"/>
          </w:tcPr>
          <w:p w14:paraId="036B5B01">
            <w:r>
              <w:rPr>
                <w:rFonts w:hint="eastAsia"/>
              </w:rPr>
              <w:t>陈熹</w:t>
            </w:r>
          </w:p>
        </w:tc>
        <w:tc>
          <w:tcPr>
            <w:tcW w:w="2768" w:type="dxa"/>
            <w:vAlign w:val="center"/>
          </w:tcPr>
          <w:p w14:paraId="24EE7CC5">
            <w:r>
              <w:rPr>
                <w:rFonts w:hint="eastAsia"/>
              </w:rPr>
              <w:t>成磊</w:t>
            </w:r>
          </w:p>
        </w:tc>
      </w:tr>
      <w:tr w14:paraId="7AFBA7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5EA98823">
            <w:r>
              <w:rPr>
                <w:rFonts w:hint="eastAsia"/>
              </w:rPr>
              <w:t>会计师事务所的地址</w:t>
            </w:r>
          </w:p>
        </w:tc>
        <w:tc>
          <w:tcPr>
            <w:tcW w:w="2491" w:type="dxa"/>
            <w:gridSpan w:val="2"/>
            <w:vAlign w:val="center"/>
          </w:tcPr>
          <w:p w14:paraId="23B8521E">
            <w:r>
              <w:rPr>
                <w:rFonts w:hint="eastAsia"/>
              </w:rPr>
              <w:t>北京市西城区阜成门外大街22号1幢10层1001-1至1001-26</w:t>
            </w:r>
          </w:p>
        </w:tc>
      </w:tr>
      <w:tr w14:paraId="5EEDB3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01C7C918">
            <w:r>
              <w:rPr>
                <w:rFonts w:hint="eastAsia"/>
              </w:rPr>
              <w:t>审计报告日期</w:t>
            </w:r>
          </w:p>
        </w:tc>
        <w:tc>
          <w:tcPr>
            <w:tcW w:w="2491" w:type="dxa"/>
            <w:gridSpan w:val="2"/>
            <w:vAlign w:val="center"/>
          </w:tcPr>
          <w:p w14:paraId="0F0586D0">
            <w:r>
              <w:rPr>
                <w:rFonts w:hint="eastAsia"/>
              </w:rPr>
              <w:t>2026年3月27日</w:t>
            </w:r>
          </w:p>
        </w:tc>
      </w:tr>
    </w:tbl>
    <w:p w14:paraId="0FBC9C9D">
      <w:pPr>
        <w:pStyle w:val="26"/>
      </w:pPr>
      <w:bookmarkStart w:id="44" w:name="_Toc23621"/>
      <w:r>
        <w:t>年度财务报表</w:t>
      </w:r>
      <w:bookmarkEnd w:id="44"/>
      <w:r>
        <w:t xml:space="preserve"> </w:t>
      </w:r>
    </w:p>
    <w:p w14:paraId="25519C14">
      <w:pPr>
        <w:pStyle w:val="23"/>
      </w:pPr>
      <w:bookmarkStart w:id="45" w:name="_Toc29912"/>
      <w:r>
        <w:t>资产负债表</w:t>
      </w:r>
      <w:bookmarkEnd w:id="45"/>
    </w:p>
    <w:p w14:paraId="4D37F03B">
      <w:pPr>
        <w:pStyle w:val="18"/>
        <w:rPr>
          <w:rFonts w:hint="eastAsia"/>
        </w:rPr>
      </w:pPr>
      <w:r>
        <w:rPr>
          <w:rFonts w:hint="eastAsia"/>
        </w:rPr>
        <w:t>会计主体：南方中证同业存单AAA指数7天持有期证券投资基金</w:t>
      </w:r>
    </w:p>
    <w:p w14:paraId="690FCBD8">
      <w:pPr>
        <w:pStyle w:val="18"/>
        <w:rPr>
          <w:rFonts w:hint="eastAsia"/>
        </w:rPr>
      </w:pPr>
      <w:r>
        <w:rPr>
          <w:rFonts w:hint="eastAsia"/>
        </w:rPr>
        <w:t>报告截止日：2025年12月31日</w:t>
      </w:r>
    </w:p>
    <w:p w14:paraId="3D4F1A59">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572E29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EB6255B">
            <w:r>
              <w:rPr>
                <w:rFonts w:hint="eastAsia"/>
              </w:rPr>
              <w:t>资产</w:t>
            </w:r>
          </w:p>
        </w:tc>
        <w:tc>
          <w:tcPr>
            <w:tcW w:w="1262" w:type="dxa"/>
            <w:vAlign w:val="center"/>
          </w:tcPr>
          <w:p w14:paraId="1542E983">
            <w:r>
              <w:rPr>
                <w:rFonts w:hint="eastAsia"/>
              </w:rPr>
              <w:t>附注号</w:t>
            </w:r>
          </w:p>
        </w:tc>
        <w:tc>
          <w:tcPr>
            <w:tcW w:w="2289" w:type="dxa"/>
            <w:vAlign w:val="center"/>
          </w:tcPr>
          <w:p w14:paraId="34C31CB5">
            <w:r>
              <w:rPr>
                <w:rFonts w:hint="eastAsia"/>
              </w:rPr>
              <w:t>本期末2025年12月31日</w:t>
            </w:r>
          </w:p>
        </w:tc>
        <w:tc>
          <w:tcPr>
            <w:tcW w:w="2295" w:type="dxa"/>
            <w:vAlign w:val="center"/>
          </w:tcPr>
          <w:p w14:paraId="1B4FE48B">
            <w:r>
              <w:rPr>
                <w:rFonts w:hint="eastAsia"/>
              </w:rPr>
              <w:t>上年度末2024年12月31日</w:t>
            </w:r>
          </w:p>
        </w:tc>
      </w:tr>
      <w:tr w14:paraId="691116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9B6DCCD">
            <w:r>
              <w:rPr>
                <w:rFonts w:hint="eastAsia"/>
              </w:rPr>
              <w:t>资产：</w:t>
            </w:r>
          </w:p>
        </w:tc>
        <w:tc>
          <w:tcPr>
            <w:tcW w:w="1262" w:type="dxa"/>
            <w:vAlign w:val="center"/>
          </w:tcPr>
          <w:p w14:paraId="01A29953"/>
        </w:tc>
        <w:tc>
          <w:tcPr>
            <w:tcW w:w="2289" w:type="dxa"/>
            <w:vAlign w:val="center"/>
          </w:tcPr>
          <w:p w14:paraId="5FA3A86F"/>
        </w:tc>
        <w:tc>
          <w:tcPr>
            <w:tcW w:w="2295" w:type="dxa"/>
            <w:vAlign w:val="center"/>
          </w:tcPr>
          <w:p w14:paraId="4919B761"/>
        </w:tc>
      </w:tr>
      <w:tr w14:paraId="60E750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8359748">
            <w:r>
              <w:rPr>
                <w:rFonts w:hint="eastAsia"/>
              </w:rPr>
              <w:t>货币资金</w:t>
            </w:r>
          </w:p>
        </w:tc>
        <w:tc>
          <w:tcPr>
            <w:tcW w:w="1262" w:type="dxa"/>
            <w:vAlign w:val="center"/>
          </w:tcPr>
          <w:p w14:paraId="3DBAC49C">
            <w:r>
              <w:rPr>
                <w:rFonts w:hint="eastAsia"/>
              </w:rPr>
              <w:t>7.4.7.1</w:t>
            </w:r>
          </w:p>
        </w:tc>
        <w:tc>
          <w:tcPr>
            <w:tcW w:w="2289" w:type="dxa"/>
            <w:vAlign w:val="center"/>
          </w:tcPr>
          <w:p w14:paraId="5A9697FD">
            <w:pPr>
              <w:jc w:val="right"/>
            </w:pPr>
            <w:r>
              <w:rPr>
                <w:rFonts w:hint="eastAsia"/>
              </w:rPr>
              <w:t>488,786.88</w:t>
            </w:r>
          </w:p>
        </w:tc>
        <w:tc>
          <w:tcPr>
            <w:tcW w:w="2295" w:type="dxa"/>
            <w:vAlign w:val="center"/>
          </w:tcPr>
          <w:p w14:paraId="6ABC8787">
            <w:pPr>
              <w:jc w:val="right"/>
            </w:pPr>
            <w:r>
              <w:rPr>
                <w:rFonts w:hint="eastAsia"/>
              </w:rPr>
              <w:t>437,941.36</w:t>
            </w:r>
          </w:p>
        </w:tc>
      </w:tr>
      <w:tr w14:paraId="340C11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E448114">
            <w:r>
              <w:rPr>
                <w:rFonts w:hint="eastAsia"/>
              </w:rPr>
              <w:t>结算备付金</w:t>
            </w:r>
          </w:p>
        </w:tc>
        <w:tc>
          <w:tcPr>
            <w:tcW w:w="1262" w:type="dxa"/>
            <w:vAlign w:val="center"/>
          </w:tcPr>
          <w:p w14:paraId="2F4FDF76"/>
        </w:tc>
        <w:tc>
          <w:tcPr>
            <w:tcW w:w="2289" w:type="dxa"/>
            <w:vAlign w:val="center"/>
          </w:tcPr>
          <w:p w14:paraId="6F056FBB">
            <w:pPr>
              <w:jc w:val="right"/>
            </w:pPr>
            <w:r>
              <w:rPr>
                <w:rFonts w:hint="eastAsia"/>
              </w:rPr>
              <w:t>-</w:t>
            </w:r>
          </w:p>
        </w:tc>
        <w:tc>
          <w:tcPr>
            <w:tcW w:w="2295" w:type="dxa"/>
            <w:vAlign w:val="center"/>
          </w:tcPr>
          <w:p w14:paraId="080B354B">
            <w:pPr>
              <w:jc w:val="right"/>
            </w:pPr>
            <w:r>
              <w:rPr>
                <w:rFonts w:hint="eastAsia"/>
              </w:rPr>
              <w:t>-</w:t>
            </w:r>
          </w:p>
        </w:tc>
      </w:tr>
      <w:tr w14:paraId="07DAA7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8667C28">
            <w:r>
              <w:rPr>
                <w:rFonts w:hint="eastAsia"/>
              </w:rPr>
              <w:t>存出保证金</w:t>
            </w:r>
          </w:p>
        </w:tc>
        <w:tc>
          <w:tcPr>
            <w:tcW w:w="1262" w:type="dxa"/>
            <w:vAlign w:val="center"/>
          </w:tcPr>
          <w:p w14:paraId="0AEE10D6"/>
        </w:tc>
        <w:tc>
          <w:tcPr>
            <w:tcW w:w="2289" w:type="dxa"/>
            <w:vAlign w:val="center"/>
          </w:tcPr>
          <w:p w14:paraId="43C4ED9F">
            <w:pPr>
              <w:jc w:val="right"/>
            </w:pPr>
            <w:r>
              <w:rPr>
                <w:rFonts w:hint="eastAsia"/>
              </w:rPr>
              <w:t>5,861.66</w:t>
            </w:r>
          </w:p>
        </w:tc>
        <w:tc>
          <w:tcPr>
            <w:tcW w:w="2295" w:type="dxa"/>
            <w:vAlign w:val="center"/>
          </w:tcPr>
          <w:p w14:paraId="6B93ACE6">
            <w:pPr>
              <w:jc w:val="right"/>
            </w:pPr>
            <w:r>
              <w:rPr>
                <w:rFonts w:hint="eastAsia"/>
              </w:rPr>
              <w:t>8,674.83</w:t>
            </w:r>
          </w:p>
        </w:tc>
      </w:tr>
      <w:tr w14:paraId="358341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9888805">
            <w:r>
              <w:rPr>
                <w:rFonts w:hint="eastAsia"/>
              </w:rPr>
              <w:t>交易性金融资产</w:t>
            </w:r>
          </w:p>
        </w:tc>
        <w:tc>
          <w:tcPr>
            <w:tcW w:w="1262" w:type="dxa"/>
            <w:vAlign w:val="center"/>
          </w:tcPr>
          <w:p w14:paraId="49F7B97C">
            <w:r>
              <w:rPr>
                <w:rFonts w:hint="eastAsia"/>
              </w:rPr>
              <w:t>7.4.7.2</w:t>
            </w:r>
          </w:p>
        </w:tc>
        <w:tc>
          <w:tcPr>
            <w:tcW w:w="2289" w:type="dxa"/>
            <w:vAlign w:val="center"/>
          </w:tcPr>
          <w:p w14:paraId="1AB5200C">
            <w:pPr>
              <w:jc w:val="right"/>
            </w:pPr>
            <w:r>
              <w:rPr>
                <w:rFonts w:hint="eastAsia"/>
              </w:rPr>
              <w:t>9,137,841,000.27</w:t>
            </w:r>
          </w:p>
        </w:tc>
        <w:tc>
          <w:tcPr>
            <w:tcW w:w="2295" w:type="dxa"/>
            <w:vAlign w:val="center"/>
          </w:tcPr>
          <w:p w14:paraId="2F6615C0">
            <w:pPr>
              <w:jc w:val="right"/>
            </w:pPr>
            <w:r>
              <w:rPr>
                <w:rFonts w:hint="eastAsia"/>
              </w:rPr>
              <w:t>3,984,815,984.80</w:t>
            </w:r>
          </w:p>
        </w:tc>
      </w:tr>
      <w:tr w14:paraId="5A8E2E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9B1CE51">
            <w:r>
              <w:rPr>
                <w:rFonts w:hint="eastAsia"/>
              </w:rPr>
              <w:t>其中：股票投资</w:t>
            </w:r>
          </w:p>
        </w:tc>
        <w:tc>
          <w:tcPr>
            <w:tcW w:w="1262" w:type="dxa"/>
            <w:vAlign w:val="center"/>
          </w:tcPr>
          <w:p w14:paraId="1839FC4C"/>
        </w:tc>
        <w:tc>
          <w:tcPr>
            <w:tcW w:w="2289" w:type="dxa"/>
            <w:vAlign w:val="center"/>
          </w:tcPr>
          <w:p w14:paraId="24CF3E6B">
            <w:pPr>
              <w:jc w:val="right"/>
            </w:pPr>
            <w:r>
              <w:rPr>
                <w:rFonts w:hint="eastAsia"/>
              </w:rPr>
              <w:t>-</w:t>
            </w:r>
          </w:p>
        </w:tc>
        <w:tc>
          <w:tcPr>
            <w:tcW w:w="2295" w:type="dxa"/>
            <w:vAlign w:val="center"/>
          </w:tcPr>
          <w:p w14:paraId="1B009A8D">
            <w:pPr>
              <w:jc w:val="right"/>
            </w:pPr>
            <w:r>
              <w:rPr>
                <w:rFonts w:hint="eastAsia"/>
              </w:rPr>
              <w:t>-</w:t>
            </w:r>
          </w:p>
        </w:tc>
      </w:tr>
      <w:tr w14:paraId="039FD9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90CDF23">
            <w:r>
              <w:rPr>
                <w:rFonts w:hint="eastAsia"/>
              </w:rPr>
              <w:t xml:space="preserve">      基金投资</w:t>
            </w:r>
          </w:p>
        </w:tc>
        <w:tc>
          <w:tcPr>
            <w:tcW w:w="1262" w:type="dxa"/>
            <w:vAlign w:val="center"/>
          </w:tcPr>
          <w:p w14:paraId="4E347550"/>
        </w:tc>
        <w:tc>
          <w:tcPr>
            <w:tcW w:w="2289" w:type="dxa"/>
            <w:vAlign w:val="center"/>
          </w:tcPr>
          <w:p w14:paraId="203AFF49">
            <w:pPr>
              <w:jc w:val="right"/>
            </w:pPr>
            <w:r>
              <w:rPr>
                <w:rFonts w:hint="eastAsia"/>
              </w:rPr>
              <w:t>-</w:t>
            </w:r>
          </w:p>
        </w:tc>
        <w:tc>
          <w:tcPr>
            <w:tcW w:w="2295" w:type="dxa"/>
            <w:vAlign w:val="center"/>
          </w:tcPr>
          <w:p w14:paraId="1C072CD3">
            <w:pPr>
              <w:jc w:val="right"/>
            </w:pPr>
            <w:r>
              <w:rPr>
                <w:rFonts w:hint="eastAsia"/>
              </w:rPr>
              <w:t>-</w:t>
            </w:r>
          </w:p>
        </w:tc>
      </w:tr>
      <w:tr w14:paraId="5D184B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7ABD57B">
            <w:r>
              <w:rPr>
                <w:rFonts w:hint="eastAsia"/>
              </w:rPr>
              <w:t xml:space="preserve">      债券投资</w:t>
            </w:r>
          </w:p>
        </w:tc>
        <w:tc>
          <w:tcPr>
            <w:tcW w:w="1262" w:type="dxa"/>
            <w:vAlign w:val="center"/>
          </w:tcPr>
          <w:p w14:paraId="24CB9EE1"/>
        </w:tc>
        <w:tc>
          <w:tcPr>
            <w:tcW w:w="2289" w:type="dxa"/>
            <w:vAlign w:val="center"/>
          </w:tcPr>
          <w:p w14:paraId="53A068B3">
            <w:pPr>
              <w:jc w:val="right"/>
            </w:pPr>
            <w:r>
              <w:rPr>
                <w:rFonts w:hint="eastAsia"/>
              </w:rPr>
              <w:t>9,137,841,000.27</w:t>
            </w:r>
          </w:p>
        </w:tc>
        <w:tc>
          <w:tcPr>
            <w:tcW w:w="2295" w:type="dxa"/>
            <w:vAlign w:val="center"/>
          </w:tcPr>
          <w:p w14:paraId="70A1E74E">
            <w:pPr>
              <w:jc w:val="right"/>
            </w:pPr>
            <w:r>
              <w:rPr>
                <w:rFonts w:hint="eastAsia"/>
              </w:rPr>
              <w:t>3,984,815,984.80</w:t>
            </w:r>
          </w:p>
        </w:tc>
      </w:tr>
      <w:tr w14:paraId="635DEA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B2F49B9">
            <w:r>
              <w:rPr>
                <w:rFonts w:hint="eastAsia"/>
              </w:rPr>
              <w:t xml:space="preserve">      资产支持证券投资</w:t>
            </w:r>
          </w:p>
        </w:tc>
        <w:tc>
          <w:tcPr>
            <w:tcW w:w="1262" w:type="dxa"/>
            <w:vAlign w:val="center"/>
          </w:tcPr>
          <w:p w14:paraId="44B3451E"/>
        </w:tc>
        <w:tc>
          <w:tcPr>
            <w:tcW w:w="2289" w:type="dxa"/>
            <w:vAlign w:val="center"/>
          </w:tcPr>
          <w:p w14:paraId="5A3A45F3">
            <w:pPr>
              <w:jc w:val="right"/>
            </w:pPr>
            <w:r>
              <w:rPr>
                <w:rFonts w:hint="eastAsia"/>
              </w:rPr>
              <w:t>-</w:t>
            </w:r>
          </w:p>
        </w:tc>
        <w:tc>
          <w:tcPr>
            <w:tcW w:w="2295" w:type="dxa"/>
            <w:vAlign w:val="center"/>
          </w:tcPr>
          <w:p w14:paraId="5FCAA31A">
            <w:pPr>
              <w:jc w:val="right"/>
            </w:pPr>
            <w:r>
              <w:rPr>
                <w:rFonts w:hint="eastAsia"/>
              </w:rPr>
              <w:t>-</w:t>
            </w:r>
          </w:p>
        </w:tc>
      </w:tr>
      <w:tr w14:paraId="66F44C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C0379D7">
            <w:r>
              <w:rPr>
                <w:rFonts w:hint="eastAsia"/>
              </w:rPr>
              <w:t xml:space="preserve">      贵金属投资</w:t>
            </w:r>
          </w:p>
        </w:tc>
        <w:tc>
          <w:tcPr>
            <w:tcW w:w="1262" w:type="dxa"/>
            <w:vAlign w:val="center"/>
          </w:tcPr>
          <w:p w14:paraId="5E4F1294"/>
        </w:tc>
        <w:tc>
          <w:tcPr>
            <w:tcW w:w="2289" w:type="dxa"/>
            <w:vAlign w:val="center"/>
          </w:tcPr>
          <w:p w14:paraId="4B4ED95B">
            <w:pPr>
              <w:jc w:val="right"/>
            </w:pPr>
            <w:r>
              <w:rPr>
                <w:rFonts w:hint="eastAsia"/>
              </w:rPr>
              <w:t>-</w:t>
            </w:r>
          </w:p>
        </w:tc>
        <w:tc>
          <w:tcPr>
            <w:tcW w:w="2295" w:type="dxa"/>
            <w:vAlign w:val="center"/>
          </w:tcPr>
          <w:p w14:paraId="37BFB0DB">
            <w:pPr>
              <w:jc w:val="right"/>
            </w:pPr>
            <w:r>
              <w:rPr>
                <w:rFonts w:hint="eastAsia"/>
              </w:rPr>
              <w:t>-</w:t>
            </w:r>
          </w:p>
        </w:tc>
      </w:tr>
      <w:tr w14:paraId="0625D9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690093F">
            <w:r>
              <w:rPr>
                <w:rFonts w:hint="eastAsia"/>
              </w:rPr>
              <w:t xml:space="preserve">      其他投资</w:t>
            </w:r>
          </w:p>
        </w:tc>
        <w:tc>
          <w:tcPr>
            <w:tcW w:w="1262" w:type="dxa"/>
            <w:vAlign w:val="center"/>
          </w:tcPr>
          <w:p w14:paraId="0AD83D06"/>
        </w:tc>
        <w:tc>
          <w:tcPr>
            <w:tcW w:w="2289" w:type="dxa"/>
            <w:vAlign w:val="center"/>
          </w:tcPr>
          <w:p w14:paraId="404A7D92">
            <w:pPr>
              <w:jc w:val="right"/>
            </w:pPr>
            <w:r>
              <w:rPr>
                <w:rFonts w:hint="eastAsia"/>
              </w:rPr>
              <w:t>-</w:t>
            </w:r>
          </w:p>
        </w:tc>
        <w:tc>
          <w:tcPr>
            <w:tcW w:w="2295" w:type="dxa"/>
            <w:vAlign w:val="center"/>
          </w:tcPr>
          <w:p w14:paraId="10682B91">
            <w:pPr>
              <w:jc w:val="right"/>
            </w:pPr>
            <w:r>
              <w:rPr>
                <w:rFonts w:hint="eastAsia"/>
              </w:rPr>
              <w:t>-</w:t>
            </w:r>
          </w:p>
        </w:tc>
      </w:tr>
      <w:tr w14:paraId="73D867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956FBA6">
            <w:r>
              <w:rPr>
                <w:rFonts w:hint="eastAsia"/>
              </w:rPr>
              <w:t>衍生金融资产</w:t>
            </w:r>
          </w:p>
        </w:tc>
        <w:tc>
          <w:tcPr>
            <w:tcW w:w="1262" w:type="dxa"/>
            <w:vAlign w:val="center"/>
          </w:tcPr>
          <w:p w14:paraId="15FCCD9B">
            <w:r>
              <w:rPr>
                <w:rFonts w:hint="eastAsia"/>
              </w:rPr>
              <w:t>7.4.7.3</w:t>
            </w:r>
          </w:p>
        </w:tc>
        <w:tc>
          <w:tcPr>
            <w:tcW w:w="2289" w:type="dxa"/>
            <w:vAlign w:val="center"/>
          </w:tcPr>
          <w:p w14:paraId="2ABAB125">
            <w:pPr>
              <w:jc w:val="right"/>
            </w:pPr>
            <w:r>
              <w:rPr>
                <w:rFonts w:hint="eastAsia"/>
              </w:rPr>
              <w:t>-</w:t>
            </w:r>
          </w:p>
        </w:tc>
        <w:tc>
          <w:tcPr>
            <w:tcW w:w="2295" w:type="dxa"/>
            <w:vAlign w:val="center"/>
          </w:tcPr>
          <w:p w14:paraId="7871124D">
            <w:pPr>
              <w:jc w:val="right"/>
            </w:pPr>
            <w:r>
              <w:rPr>
                <w:rFonts w:hint="eastAsia"/>
              </w:rPr>
              <w:t>-</w:t>
            </w:r>
          </w:p>
        </w:tc>
      </w:tr>
      <w:tr w14:paraId="5D4724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DBA70DB">
            <w:r>
              <w:rPr>
                <w:rFonts w:hint="eastAsia"/>
              </w:rPr>
              <w:t>买入返售金融资产</w:t>
            </w:r>
          </w:p>
        </w:tc>
        <w:tc>
          <w:tcPr>
            <w:tcW w:w="1262" w:type="dxa"/>
            <w:vAlign w:val="center"/>
          </w:tcPr>
          <w:p w14:paraId="307A04B7">
            <w:r>
              <w:rPr>
                <w:rFonts w:hint="eastAsia"/>
              </w:rPr>
              <w:t>7.4.7.4</w:t>
            </w:r>
          </w:p>
        </w:tc>
        <w:tc>
          <w:tcPr>
            <w:tcW w:w="2289" w:type="dxa"/>
            <w:vAlign w:val="center"/>
          </w:tcPr>
          <w:p w14:paraId="6F291871">
            <w:pPr>
              <w:jc w:val="right"/>
            </w:pPr>
            <w:r>
              <w:rPr>
                <w:rFonts w:hint="eastAsia"/>
              </w:rPr>
              <w:t>-</w:t>
            </w:r>
          </w:p>
        </w:tc>
        <w:tc>
          <w:tcPr>
            <w:tcW w:w="2295" w:type="dxa"/>
            <w:vAlign w:val="center"/>
          </w:tcPr>
          <w:p w14:paraId="4B18B31C">
            <w:pPr>
              <w:jc w:val="right"/>
            </w:pPr>
            <w:r>
              <w:rPr>
                <w:rFonts w:hint="eastAsia"/>
              </w:rPr>
              <w:t>-</w:t>
            </w:r>
          </w:p>
        </w:tc>
      </w:tr>
      <w:tr w14:paraId="0C6B60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22B9443">
            <w:r>
              <w:rPr>
                <w:rFonts w:hint="eastAsia"/>
              </w:rPr>
              <w:t>债权投资</w:t>
            </w:r>
          </w:p>
        </w:tc>
        <w:tc>
          <w:tcPr>
            <w:tcW w:w="1262" w:type="dxa"/>
            <w:vAlign w:val="center"/>
          </w:tcPr>
          <w:p w14:paraId="2A34A271"/>
        </w:tc>
        <w:tc>
          <w:tcPr>
            <w:tcW w:w="2289" w:type="dxa"/>
            <w:vAlign w:val="center"/>
          </w:tcPr>
          <w:p w14:paraId="58C8E595">
            <w:pPr>
              <w:jc w:val="right"/>
            </w:pPr>
            <w:r>
              <w:rPr>
                <w:rFonts w:hint="eastAsia"/>
              </w:rPr>
              <w:t>-</w:t>
            </w:r>
          </w:p>
        </w:tc>
        <w:tc>
          <w:tcPr>
            <w:tcW w:w="2295" w:type="dxa"/>
            <w:vAlign w:val="center"/>
          </w:tcPr>
          <w:p w14:paraId="01934840">
            <w:pPr>
              <w:jc w:val="right"/>
            </w:pPr>
            <w:r>
              <w:rPr>
                <w:rFonts w:hint="eastAsia"/>
              </w:rPr>
              <w:t>-</w:t>
            </w:r>
          </w:p>
        </w:tc>
      </w:tr>
      <w:tr w14:paraId="1805F2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3EC104B">
            <w:r>
              <w:rPr>
                <w:rFonts w:hint="eastAsia"/>
              </w:rPr>
              <w:t>其中：债券投资</w:t>
            </w:r>
          </w:p>
        </w:tc>
        <w:tc>
          <w:tcPr>
            <w:tcW w:w="1262" w:type="dxa"/>
            <w:vAlign w:val="center"/>
          </w:tcPr>
          <w:p w14:paraId="069771D9"/>
        </w:tc>
        <w:tc>
          <w:tcPr>
            <w:tcW w:w="2289" w:type="dxa"/>
            <w:vAlign w:val="center"/>
          </w:tcPr>
          <w:p w14:paraId="0F74CB82">
            <w:pPr>
              <w:jc w:val="right"/>
            </w:pPr>
            <w:r>
              <w:rPr>
                <w:rFonts w:hint="eastAsia"/>
              </w:rPr>
              <w:t>-</w:t>
            </w:r>
          </w:p>
        </w:tc>
        <w:tc>
          <w:tcPr>
            <w:tcW w:w="2295" w:type="dxa"/>
            <w:vAlign w:val="center"/>
          </w:tcPr>
          <w:p w14:paraId="4CAFC52C">
            <w:pPr>
              <w:jc w:val="right"/>
            </w:pPr>
            <w:r>
              <w:rPr>
                <w:rFonts w:hint="eastAsia"/>
              </w:rPr>
              <w:t>-</w:t>
            </w:r>
          </w:p>
        </w:tc>
      </w:tr>
      <w:tr w14:paraId="4DECCE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1C34391">
            <w:r>
              <w:rPr>
                <w:rFonts w:hint="eastAsia"/>
              </w:rPr>
              <w:t xml:space="preserve">      资产支持证券投资</w:t>
            </w:r>
          </w:p>
        </w:tc>
        <w:tc>
          <w:tcPr>
            <w:tcW w:w="1262" w:type="dxa"/>
            <w:vAlign w:val="center"/>
          </w:tcPr>
          <w:p w14:paraId="1A6F08C2"/>
        </w:tc>
        <w:tc>
          <w:tcPr>
            <w:tcW w:w="2289" w:type="dxa"/>
            <w:vAlign w:val="center"/>
          </w:tcPr>
          <w:p w14:paraId="2C66EFA3">
            <w:pPr>
              <w:jc w:val="right"/>
            </w:pPr>
            <w:r>
              <w:rPr>
                <w:rFonts w:hint="eastAsia"/>
              </w:rPr>
              <w:t>-</w:t>
            </w:r>
          </w:p>
        </w:tc>
        <w:tc>
          <w:tcPr>
            <w:tcW w:w="2295" w:type="dxa"/>
            <w:vAlign w:val="center"/>
          </w:tcPr>
          <w:p w14:paraId="44AED53E">
            <w:pPr>
              <w:jc w:val="right"/>
            </w:pPr>
            <w:r>
              <w:rPr>
                <w:rFonts w:hint="eastAsia"/>
              </w:rPr>
              <w:t>-</w:t>
            </w:r>
          </w:p>
        </w:tc>
      </w:tr>
      <w:tr w14:paraId="2D1748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9FDE68A">
            <w:r>
              <w:rPr>
                <w:rFonts w:hint="eastAsia"/>
              </w:rPr>
              <w:t xml:space="preserve">      其他投资</w:t>
            </w:r>
          </w:p>
        </w:tc>
        <w:tc>
          <w:tcPr>
            <w:tcW w:w="1262" w:type="dxa"/>
            <w:vAlign w:val="center"/>
          </w:tcPr>
          <w:p w14:paraId="5C9A2605"/>
        </w:tc>
        <w:tc>
          <w:tcPr>
            <w:tcW w:w="2289" w:type="dxa"/>
            <w:vAlign w:val="center"/>
          </w:tcPr>
          <w:p w14:paraId="20B26453">
            <w:pPr>
              <w:jc w:val="right"/>
            </w:pPr>
            <w:r>
              <w:rPr>
                <w:rFonts w:hint="eastAsia"/>
              </w:rPr>
              <w:t>-</w:t>
            </w:r>
          </w:p>
        </w:tc>
        <w:tc>
          <w:tcPr>
            <w:tcW w:w="2295" w:type="dxa"/>
            <w:vAlign w:val="center"/>
          </w:tcPr>
          <w:p w14:paraId="587F943D">
            <w:pPr>
              <w:jc w:val="right"/>
            </w:pPr>
            <w:r>
              <w:rPr>
                <w:rFonts w:hint="eastAsia"/>
              </w:rPr>
              <w:t>-</w:t>
            </w:r>
          </w:p>
        </w:tc>
      </w:tr>
      <w:tr w14:paraId="6ED2AD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2E0EB51">
            <w:r>
              <w:rPr>
                <w:rFonts w:hint="eastAsia"/>
              </w:rPr>
              <w:t>其他债权投资</w:t>
            </w:r>
          </w:p>
        </w:tc>
        <w:tc>
          <w:tcPr>
            <w:tcW w:w="1262" w:type="dxa"/>
            <w:vAlign w:val="center"/>
          </w:tcPr>
          <w:p w14:paraId="2F237C13"/>
        </w:tc>
        <w:tc>
          <w:tcPr>
            <w:tcW w:w="2289" w:type="dxa"/>
            <w:vAlign w:val="center"/>
          </w:tcPr>
          <w:p w14:paraId="3E4DE865">
            <w:pPr>
              <w:jc w:val="right"/>
            </w:pPr>
            <w:r>
              <w:rPr>
                <w:rFonts w:hint="eastAsia"/>
              </w:rPr>
              <w:t>-</w:t>
            </w:r>
          </w:p>
        </w:tc>
        <w:tc>
          <w:tcPr>
            <w:tcW w:w="2295" w:type="dxa"/>
            <w:vAlign w:val="center"/>
          </w:tcPr>
          <w:p w14:paraId="38AF739B">
            <w:pPr>
              <w:jc w:val="right"/>
            </w:pPr>
            <w:r>
              <w:rPr>
                <w:rFonts w:hint="eastAsia"/>
              </w:rPr>
              <w:t>-</w:t>
            </w:r>
          </w:p>
        </w:tc>
      </w:tr>
      <w:tr w14:paraId="10BB25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9334CD0">
            <w:r>
              <w:rPr>
                <w:rFonts w:hint="eastAsia"/>
              </w:rPr>
              <w:t>其他权益工具投资</w:t>
            </w:r>
          </w:p>
        </w:tc>
        <w:tc>
          <w:tcPr>
            <w:tcW w:w="1262" w:type="dxa"/>
            <w:vAlign w:val="center"/>
          </w:tcPr>
          <w:p w14:paraId="7A3FC384"/>
        </w:tc>
        <w:tc>
          <w:tcPr>
            <w:tcW w:w="2289" w:type="dxa"/>
            <w:vAlign w:val="center"/>
          </w:tcPr>
          <w:p w14:paraId="6DC6DAF7">
            <w:pPr>
              <w:jc w:val="right"/>
            </w:pPr>
            <w:r>
              <w:rPr>
                <w:rFonts w:hint="eastAsia"/>
              </w:rPr>
              <w:t>-</w:t>
            </w:r>
          </w:p>
        </w:tc>
        <w:tc>
          <w:tcPr>
            <w:tcW w:w="2295" w:type="dxa"/>
            <w:vAlign w:val="center"/>
          </w:tcPr>
          <w:p w14:paraId="1ED703F1">
            <w:pPr>
              <w:jc w:val="right"/>
            </w:pPr>
            <w:r>
              <w:rPr>
                <w:rFonts w:hint="eastAsia"/>
              </w:rPr>
              <w:t>-</w:t>
            </w:r>
          </w:p>
        </w:tc>
      </w:tr>
      <w:tr w14:paraId="489BAF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D2C57B0">
            <w:r>
              <w:rPr>
                <w:rFonts w:hint="eastAsia"/>
              </w:rPr>
              <w:t>应收清算款</w:t>
            </w:r>
          </w:p>
        </w:tc>
        <w:tc>
          <w:tcPr>
            <w:tcW w:w="1262" w:type="dxa"/>
            <w:vAlign w:val="center"/>
          </w:tcPr>
          <w:p w14:paraId="2A3C96FC"/>
        </w:tc>
        <w:tc>
          <w:tcPr>
            <w:tcW w:w="2289" w:type="dxa"/>
            <w:vAlign w:val="center"/>
          </w:tcPr>
          <w:p w14:paraId="35B64DA0">
            <w:pPr>
              <w:jc w:val="right"/>
            </w:pPr>
            <w:r>
              <w:rPr>
                <w:rFonts w:hint="eastAsia"/>
              </w:rPr>
              <w:t>-</w:t>
            </w:r>
          </w:p>
        </w:tc>
        <w:tc>
          <w:tcPr>
            <w:tcW w:w="2295" w:type="dxa"/>
            <w:vAlign w:val="center"/>
          </w:tcPr>
          <w:p w14:paraId="22FDE280">
            <w:pPr>
              <w:jc w:val="right"/>
            </w:pPr>
            <w:r>
              <w:rPr>
                <w:rFonts w:hint="eastAsia"/>
              </w:rPr>
              <w:t>-</w:t>
            </w:r>
          </w:p>
        </w:tc>
      </w:tr>
      <w:tr w14:paraId="15FA8E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FF8A01A">
            <w:r>
              <w:rPr>
                <w:rFonts w:hint="eastAsia"/>
              </w:rPr>
              <w:t>应收股利</w:t>
            </w:r>
          </w:p>
        </w:tc>
        <w:tc>
          <w:tcPr>
            <w:tcW w:w="1262" w:type="dxa"/>
            <w:vAlign w:val="center"/>
          </w:tcPr>
          <w:p w14:paraId="2BFB174B"/>
        </w:tc>
        <w:tc>
          <w:tcPr>
            <w:tcW w:w="2289" w:type="dxa"/>
            <w:vAlign w:val="center"/>
          </w:tcPr>
          <w:p w14:paraId="42D7F83D">
            <w:pPr>
              <w:jc w:val="right"/>
            </w:pPr>
            <w:r>
              <w:rPr>
                <w:rFonts w:hint="eastAsia"/>
              </w:rPr>
              <w:t>-</w:t>
            </w:r>
          </w:p>
        </w:tc>
        <w:tc>
          <w:tcPr>
            <w:tcW w:w="2295" w:type="dxa"/>
            <w:vAlign w:val="center"/>
          </w:tcPr>
          <w:p w14:paraId="171FD8F5">
            <w:pPr>
              <w:jc w:val="right"/>
            </w:pPr>
            <w:r>
              <w:rPr>
                <w:rFonts w:hint="eastAsia"/>
              </w:rPr>
              <w:t>-</w:t>
            </w:r>
          </w:p>
        </w:tc>
      </w:tr>
      <w:tr w14:paraId="66E51A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A8C211D">
            <w:r>
              <w:rPr>
                <w:rFonts w:hint="eastAsia"/>
              </w:rPr>
              <w:t>应收申购款</w:t>
            </w:r>
          </w:p>
        </w:tc>
        <w:tc>
          <w:tcPr>
            <w:tcW w:w="1262" w:type="dxa"/>
            <w:vAlign w:val="center"/>
          </w:tcPr>
          <w:p w14:paraId="63A8A97D"/>
        </w:tc>
        <w:tc>
          <w:tcPr>
            <w:tcW w:w="2289" w:type="dxa"/>
            <w:vAlign w:val="center"/>
          </w:tcPr>
          <w:p w14:paraId="50805D7D">
            <w:pPr>
              <w:jc w:val="right"/>
            </w:pPr>
            <w:r>
              <w:rPr>
                <w:rFonts w:hint="eastAsia"/>
              </w:rPr>
              <w:t>32,192.00</w:t>
            </w:r>
          </w:p>
        </w:tc>
        <w:tc>
          <w:tcPr>
            <w:tcW w:w="2295" w:type="dxa"/>
            <w:vAlign w:val="center"/>
          </w:tcPr>
          <w:p w14:paraId="23331A42">
            <w:pPr>
              <w:jc w:val="right"/>
            </w:pPr>
            <w:r>
              <w:rPr>
                <w:rFonts w:hint="eastAsia"/>
              </w:rPr>
              <w:t>83,969,340.47</w:t>
            </w:r>
          </w:p>
        </w:tc>
      </w:tr>
      <w:tr w14:paraId="3C0BA6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2755D9B">
            <w:r>
              <w:rPr>
                <w:rFonts w:hint="eastAsia"/>
              </w:rPr>
              <w:t>递延所得税资产</w:t>
            </w:r>
          </w:p>
        </w:tc>
        <w:tc>
          <w:tcPr>
            <w:tcW w:w="1262" w:type="dxa"/>
            <w:vAlign w:val="center"/>
          </w:tcPr>
          <w:p w14:paraId="2329BB51"/>
        </w:tc>
        <w:tc>
          <w:tcPr>
            <w:tcW w:w="2289" w:type="dxa"/>
            <w:vAlign w:val="center"/>
          </w:tcPr>
          <w:p w14:paraId="28581D5B">
            <w:pPr>
              <w:jc w:val="right"/>
            </w:pPr>
            <w:r>
              <w:rPr>
                <w:rFonts w:hint="eastAsia"/>
              </w:rPr>
              <w:t>-</w:t>
            </w:r>
          </w:p>
        </w:tc>
        <w:tc>
          <w:tcPr>
            <w:tcW w:w="2295" w:type="dxa"/>
            <w:vAlign w:val="center"/>
          </w:tcPr>
          <w:p w14:paraId="5AE131C3">
            <w:pPr>
              <w:jc w:val="right"/>
            </w:pPr>
            <w:r>
              <w:rPr>
                <w:rFonts w:hint="eastAsia"/>
              </w:rPr>
              <w:t>-</w:t>
            </w:r>
          </w:p>
        </w:tc>
      </w:tr>
      <w:tr w14:paraId="786EDB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99860DB">
            <w:r>
              <w:rPr>
                <w:rFonts w:hint="eastAsia"/>
              </w:rPr>
              <w:t>其他资产</w:t>
            </w:r>
          </w:p>
        </w:tc>
        <w:tc>
          <w:tcPr>
            <w:tcW w:w="1262" w:type="dxa"/>
            <w:vAlign w:val="center"/>
          </w:tcPr>
          <w:p w14:paraId="2AC6D6F6">
            <w:r>
              <w:rPr>
                <w:rFonts w:hint="eastAsia"/>
              </w:rPr>
              <w:t>7.4.7.5</w:t>
            </w:r>
          </w:p>
        </w:tc>
        <w:tc>
          <w:tcPr>
            <w:tcW w:w="2289" w:type="dxa"/>
            <w:vAlign w:val="center"/>
          </w:tcPr>
          <w:p w14:paraId="1051F1D9">
            <w:pPr>
              <w:jc w:val="right"/>
            </w:pPr>
            <w:r>
              <w:rPr>
                <w:rFonts w:hint="eastAsia"/>
              </w:rPr>
              <w:t>-</w:t>
            </w:r>
          </w:p>
        </w:tc>
        <w:tc>
          <w:tcPr>
            <w:tcW w:w="2295" w:type="dxa"/>
            <w:vAlign w:val="center"/>
          </w:tcPr>
          <w:p w14:paraId="1892E918">
            <w:pPr>
              <w:jc w:val="right"/>
            </w:pPr>
            <w:r>
              <w:rPr>
                <w:rFonts w:hint="eastAsia"/>
              </w:rPr>
              <w:t>-</w:t>
            </w:r>
          </w:p>
        </w:tc>
      </w:tr>
      <w:tr w14:paraId="3274D8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4DB1D88">
            <w:r>
              <w:rPr>
                <w:rFonts w:hint="eastAsia"/>
              </w:rPr>
              <w:t>资产总计</w:t>
            </w:r>
          </w:p>
        </w:tc>
        <w:tc>
          <w:tcPr>
            <w:tcW w:w="1262" w:type="dxa"/>
            <w:vAlign w:val="center"/>
          </w:tcPr>
          <w:p w14:paraId="14623C09"/>
        </w:tc>
        <w:tc>
          <w:tcPr>
            <w:tcW w:w="2289" w:type="dxa"/>
            <w:vAlign w:val="center"/>
          </w:tcPr>
          <w:p w14:paraId="1E42CC67">
            <w:pPr>
              <w:jc w:val="right"/>
            </w:pPr>
            <w:r>
              <w:rPr>
                <w:rFonts w:hint="eastAsia"/>
              </w:rPr>
              <w:t>9,138,367,840.81</w:t>
            </w:r>
          </w:p>
        </w:tc>
        <w:tc>
          <w:tcPr>
            <w:tcW w:w="2295" w:type="dxa"/>
            <w:vAlign w:val="center"/>
          </w:tcPr>
          <w:p w14:paraId="20E31C8C">
            <w:pPr>
              <w:jc w:val="right"/>
            </w:pPr>
            <w:r>
              <w:rPr>
                <w:rFonts w:hint="eastAsia"/>
              </w:rPr>
              <w:t>4,069,231,941.46</w:t>
            </w:r>
          </w:p>
        </w:tc>
      </w:tr>
      <w:tr w14:paraId="319065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3B10FE4">
            <w:r>
              <w:rPr>
                <w:rFonts w:hint="eastAsia"/>
              </w:rPr>
              <w:t>负债和净资产</w:t>
            </w:r>
          </w:p>
        </w:tc>
        <w:tc>
          <w:tcPr>
            <w:tcW w:w="1262" w:type="dxa"/>
            <w:vAlign w:val="center"/>
          </w:tcPr>
          <w:p w14:paraId="6D314538">
            <w:r>
              <w:rPr>
                <w:rFonts w:hint="eastAsia"/>
              </w:rPr>
              <w:t>附注号</w:t>
            </w:r>
          </w:p>
        </w:tc>
        <w:tc>
          <w:tcPr>
            <w:tcW w:w="2289" w:type="dxa"/>
            <w:vAlign w:val="center"/>
          </w:tcPr>
          <w:p w14:paraId="6A9738C0">
            <w:r>
              <w:rPr>
                <w:rFonts w:hint="eastAsia"/>
              </w:rPr>
              <w:t>本期末2025年12月31日</w:t>
            </w:r>
          </w:p>
        </w:tc>
        <w:tc>
          <w:tcPr>
            <w:tcW w:w="2295" w:type="dxa"/>
            <w:vAlign w:val="center"/>
          </w:tcPr>
          <w:p w14:paraId="60C10E0E">
            <w:r>
              <w:rPr>
                <w:rFonts w:hint="eastAsia"/>
              </w:rPr>
              <w:t>上年度末2024年12月31日</w:t>
            </w:r>
          </w:p>
        </w:tc>
      </w:tr>
      <w:tr w14:paraId="5127BD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7DAE9D6">
            <w:r>
              <w:rPr>
                <w:rFonts w:hint="eastAsia"/>
              </w:rPr>
              <w:t>负债：</w:t>
            </w:r>
          </w:p>
        </w:tc>
        <w:tc>
          <w:tcPr>
            <w:tcW w:w="1262" w:type="dxa"/>
            <w:vAlign w:val="center"/>
          </w:tcPr>
          <w:p w14:paraId="1D22AB36"/>
        </w:tc>
        <w:tc>
          <w:tcPr>
            <w:tcW w:w="2289" w:type="dxa"/>
            <w:vAlign w:val="center"/>
          </w:tcPr>
          <w:p w14:paraId="580A328A"/>
        </w:tc>
        <w:tc>
          <w:tcPr>
            <w:tcW w:w="2295" w:type="dxa"/>
            <w:vAlign w:val="center"/>
          </w:tcPr>
          <w:p w14:paraId="565B8319"/>
        </w:tc>
      </w:tr>
      <w:tr w14:paraId="30B7D0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6C777C4">
            <w:r>
              <w:rPr>
                <w:rFonts w:hint="eastAsia"/>
              </w:rPr>
              <w:t>短期借款</w:t>
            </w:r>
          </w:p>
        </w:tc>
        <w:tc>
          <w:tcPr>
            <w:tcW w:w="1262" w:type="dxa"/>
            <w:vAlign w:val="center"/>
          </w:tcPr>
          <w:p w14:paraId="122E39C4"/>
        </w:tc>
        <w:tc>
          <w:tcPr>
            <w:tcW w:w="2289" w:type="dxa"/>
            <w:vAlign w:val="center"/>
          </w:tcPr>
          <w:p w14:paraId="264A49C4">
            <w:pPr>
              <w:jc w:val="right"/>
            </w:pPr>
            <w:r>
              <w:rPr>
                <w:rFonts w:hint="eastAsia"/>
              </w:rPr>
              <w:t>-</w:t>
            </w:r>
          </w:p>
        </w:tc>
        <w:tc>
          <w:tcPr>
            <w:tcW w:w="2295" w:type="dxa"/>
            <w:vAlign w:val="center"/>
          </w:tcPr>
          <w:p w14:paraId="0ACAD961">
            <w:pPr>
              <w:jc w:val="right"/>
            </w:pPr>
            <w:r>
              <w:rPr>
                <w:rFonts w:hint="eastAsia"/>
              </w:rPr>
              <w:t>-</w:t>
            </w:r>
          </w:p>
        </w:tc>
      </w:tr>
      <w:tr w14:paraId="4FC3A1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E009238">
            <w:r>
              <w:rPr>
                <w:rFonts w:hint="eastAsia"/>
              </w:rPr>
              <w:t>交易性金融负债</w:t>
            </w:r>
          </w:p>
        </w:tc>
        <w:tc>
          <w:tcPr>
            <w:tcW w:w="1262" w:type="dxa"/>
            <w:vAlign w:val="center"/>
          </w:tcPr>
          <w:p w14:paraId="5D525A9A"/>
        </w:tc>
        <w:tc>
          <w:tcPr>
            <w:tcW w:w="2289" w:type="dxa"/>
            <w:vAlign w:val="center"/>
          </w:tcPr>
          <w:p w14:paraId="5E4586B3">
            <w:pPr>
              <w:jc w:val="right"/>
            </w:pPr>
            <w:r>
              <w:rPr>
                <w:rFonts w:hint="eastAsia"/>
              </w:rPr>
              <w:t>-</w:t>
            </w:r>
          </w:p>
        </w:tc>
        <w:tc>
          <w:tcPr>
            <w:tcW w:w="2295" w:type="dxa"/>
            <w:vAlign w:val="center"/>
          </w:tcPr>
          <w:p w14:paraId="12AB64D1">
            <w:pPr>
              <w:jc w:val="right"/>
            </w:pPr>
            <w:r>
              <w:rPr>
                <w:rFonts w:hint="eastAsia"/>
              </w:rPr>
              <w:t>-</w:t>
            </w:r>
          </w:p>
        </w:tc>
      </w:tr>
      <w:tr w14:paraId="0FDF9F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ACC6D9C">
            <w:r>
              <w:rPr>
                <w:rFonts w:hint="eastAsia"/>
              </w:rPr>
              <w:t>衍生金融负债</w:t>
            </w:r>
          </w:p>
        </w:tc>
        <w:tc>
          <w:tcPr>
            <w:tcW w:w="1262" w:type="dxa"/>
            <w:vAlign w:val="center"/>
          </w:tcPr>
          <w:p w14:paraId="21B921DB">
            <w:r>
              <w:rPr>
                <w:rFonts w:hint="eastAsia"/>
              </w:rPr>
              <w:t>7.4.7.3</w:t>
            </w:r>
          </w:p>
        </w:tc>
        <w:tc>
          <w:tcPr>
            <w:tcW w:w="2289" w:type="dxa"/>
            <w:vAlign w:val="center"/>
          </w:tcPr>
          <w:p w14:paraId="60F859DE">
            <w:pPr>
              <w:jc w:val="right"/>
            </w:pPr>
            <w:r>
              <w:rPr>
                <w:rFonts w:hint="eastAsia"/>
              </w:rPr>
              <w:t>-</w:t>
            </w:r>
          </w:p>
        </w:tc>
        <w:tc>
          <w:tcPr>
            <w:tcW w:w="2295" w:type="dxa"/>
            <w:vAlign w:val="center"/>
          </w:tcPr>
          <w:p w14:paraId="22CD92C1">
            <w:pPr>
              <w:jc w:val="right"/>
            </w:pPr>
            <w:r>
              <w:rPr>
                <w:rFonts w:hint="eastAsia"/>
              </w:rPr>
              <w:t>-</w:t>
            </w:r>
          </w:p>
        </w:tc>
      </w:tr>
      <w:tr w14:paraId="6A08E1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E68927A">
            <w:r>
              <w:rPr>
                <w:rFonts w:hint="eastAsia"/>
              </w:rPr>
              <w:t>卖出回购金融资产款</w:t>
            </w:r>
          </w:p>
        </w:tc>
        <w:tc>
          <w:tcPr>
            <w:tcW w:w="1262" w:type="dxa"/>
            <w:vAlign w:val="center"/>
          </w:tcPr>
          <w:p w14:paraId="2F15DF09"/>
        </w:tc>
        <w:tc>
          <w:tcPr>
            <w:tcW w:w="2289" w:type="dxa"/>
            <w:vAlign w:val="center"/>
          </w:tcPr>
          <w:p w14:paraId="49718FA1">
            <w:pPr>
              <w:jc w:val="right"/>
            </w:pPr>
            <w:r>
              <w:rPr>
                <w:rFonts w:hint="eastAsia"/>
              </w:rPr>
              <w:t>1,354,364,899.22</w:t>
            </w:r>
          </w:p>
        </w:tc>
        <w:tc>
          <w:tcPr>
            <w:tcW w:w="2295" w:type="dxa"/>
            <w:vAlign w:val="center"/>
          </w:tcPr>
          <w:p w14:paraId="2E50683B">
            <w:pPr>
              <w:jc w:val="right"/>
            </w:pPr>
            <w:r>
              <w:rPr>
                <w:rFonts w:hint="eastAsia"/>
              </w:rPr>
              <w:t>384,328,678.46</w:t>
            </w:r>
          </w:p>
        </w:tc>
      </w:tr>
      <w:tr w14:paraId="22E47E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4788335">
            <w:r>
              <w:rPr>
                <w:rFonts w:hint="eastAsia"/>
              </w:rPr>
              <w:t>应付清算款</w:t>
            </w:r>
          </w:p>
        </w:tc>
        <w:tc>
          <w:tcPr>
            <w:tcW w:w="1262" w:type="dxa"/>
            <w:vAlign w:val="center"/>
          </w:tcPr>
          <w:p w14:paraId="115F3892"/>
        </w:tc>
        <w:tc>
          <w:tcPr>
            <w:tcW w:w="2289" w:type="dxa"/>
            <w:vAlign w:val="center"/>
          </w:tcPr>
          <w:p w14:paraId="70B736B3">
            <w:pPr>
              <w:jc w:val="right"/>
            </w:pPr>
            <w:r>
              <w:rPr>
                <w:rFonts w:hint="eastAsia"/>
              </w:rPr>
              <w:t>-</w:t>
            </w:r>
          </w:p>
        </w:tc>
        <w:tc>
          <w:tcPr>
            <w:tcW w:w="2295" w:type="dxa"/>
            <w:vAlign w:val="center"/>
          </w:tcPr>
          <w:p w14:paraId="3D01A4A5">
            <w:pPr>
              <w:jc w:val="right"/>
            </w:pPr>
            <w:r>
              <w:rPr>
                <w:rFonts w:hint="eastAsia"/>
              </w:rPr>
              <w:t>-</w:t>
            </w:r>
          </w:p>
        </w:tc>
      </w:tr>
      <w:tr w14:paraId="521749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372BADB">
            <w:r>
              <w:rPr>
                <w:rFonts w:hint="eastAsia"/>
              </w:rPr>
              <w:t>应付赎回款</w:t>
            </w:r>
          </w:p>
        </w:tc>
        <w:tc>
          <w:tcPr>
            <w:tcW w:w="1262" w:type="dxa"/>
            <w:vAlign w:val="center"/>
          </w:tcPr>
          <w:p w14:paraId="1C437757"/>
        </w:tc>
        <w:tc>
          <w:tcPr>
            <w:tcW w:w="2289" w:type="dxa"/>
            <w:vAlign w:val="center"/>
          </w:tcPr>
          <w:p w14:paraId="6ABC162A">
            <w:pPr>
              <w:jc w:val="right"/>
            </w:pPr>
            <w:r>
              <w:rPr>
                <w:rFonts w:hint="eastAsia"/>
              </w:rPr>
              <w:t>385,326.69</w:t>
            </w:r>
          </w:p>
        </w:tc>
        <w:tc>
          <w:tcPr>
            <w:tcW w:w="2295" w:type="dxa"/>
            <w:vAlign w:val="center"/>
          </w:tcPr>
          <w:p w14:paraId="30036899">
            <w:pPr>
              <w:jc w:val="right"/>
            </w:pPr>
            <w:r>
              <w:rPr>
                <w:rFonts w:hint="eastAsia"/>
              </w:rPr>
              <w:t>605,702.22</w:t>
            </w:r>
          </w:p>
        </w:tc>
      </w:tr>
      <w:tr w14:paraId="1EE601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D5A3E57">
            <w:r>
              <w:rPr>
                <w:rFonts w:hint="eastAsia"/>
              </w:rPr>
              <w:t>应付管理人报酬</w:t>
            </w:r>
          </w:p>
        </w:tc>
        <w:tc>
          <w:tcPr>
            <w:tcW w:w="1262" w:type="dxa"/>
            <w:vAlign w:val="center"/>
          </w:tcPr>
          <w:p w14:paraId="7B956C59"/>
        </w:tc>
        <w:tc>
          <w:tcPr>
            <w:tcW w:w="2289" w:type="dxa"/>
            <w:vAlign w:val="center"/>
          </w:tcPr>
          <w:p w14:paraId="53142822">
            <w:pPr>
              <w:jc w:val="right"/>
            </w:pPr>
            <w:r>
              <w:rPr>
                <w:rFonts w:hint="eastAsia"/>
              </w:rPr>
              <w:t>1,357,717.60</w:t>
            </w:r>
          </w:p>
        </w:tc>
        <w:tc>
          <w:tcPr>
            <w:tcW w:w="2295" w:type="dxa"/>
            <w:vAlign w:val="center"/>
          </w:tcPr>
          <w:p w14:paraId="79836B4D">
            <w:pPr>
              <w:jc w:val="right"/>
            </w:pPr>
            <w:r>
              <w:rPr>
                <w:rFonts w:hint="eastAsia"/>
              </w:rPr>
              <w:t>585,680.10</w:t>
            </w:r>
          </w:p>
        </w:tc>
      </w:tr>
      <w:tr w14:paraId="4D2467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26BFA6D">
            <w:r>
              <w:rPr>
                <w:rFonts w:hint="eastAsia"/>
              </w:rPr>
              <w:t>应付托管费</w:t>
            </w:r>
          </w:p>
        </w:tc>
        <w:tc>
          <w:tcPr>
            <w:tcW w:w="1262" w:type="dxa"/>
            <w:vAlign w:val="center"/>
          </w:tcPr>
          <w:p w14:paraId="770A338E"/>
        </w:tc>
        <w:tc>
          <w:tcPr>
            <w:tcW w:w="2289" w:type="dxa"/>
            <w:vAlign w:val="center"/>
          </w:tcPr>
          <w:p w14:paraId="6C03326E">
            <w:pPr>
              <w:jc w:val="right"/>
            </w:pPr>
            <w:r>
              <w:rPr>
                <w:rFonts w:hint="eastAsia"/>
              </w:rPr>
              <w:t>339,429.38</w:t>
            </w:r>
          </w:p>
        </w:tc>
        <w:tc>
          <w:tcPr>
            <w:tcW w:w="2295" w:type="dxa"/>
            <w:vAlign w:val="center"/>
          </w:tcPr>
          <w:p w14:paraId="101CFDC4">
            <w:pPr>
              <w:jc w:val="right"/>
            </w:pPr>
            <w:r>
              <w:rPr>
                <w:rFonts w:hint="eastAsia"/>
              </w:rPr>
              <w:t>146,420.06</w:t>
            </w:r>
          </w:p>
        </w:tc>
      </w:tr>
      <w:tr w14:paraId="261287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1BFD8D5">
            <w:r>
              <w:rPr>
                <w:rFonts w:hint="eastAsia"/>
              </w:rPr>
              <w:t>应付销售服务费</w:t>
            </w:r>
          </w:p>
        </w:tc>
        <w:tc>
          <w:tcPr>
            <w:tcW w:w="1262" w:type="dxa"/>
            <w:vAlign w:val="center"/>
          </w:tcPr>
          <w:p w14:paraId="2C8A113F"/>
        </w:tc>
        <w:tc>
          <w:tcPr>
            <w:tcW w:w="2289" w:type="dxa"/>
            <w:vAlign w:val="center"/>
          </w:tcPr>
          <w:p w14:paraId="7E9F1E6F">
            <w:pPr>
              <w:jc w:val="right"/>
            </w:pPr>
            <w:r>
              <w:rPr>
                <w:rFonts w:hint="eastAsia"/>
              </w:rPr>
              <w:t>1,357,717.60</w:t>
            </w:r>
          </w:p>
        </w:tc>
        <w:tc>
          <w:tcPr>
            <w:tcW w:w="2295" w:type="dxa"/>
            <w:vAlign w:val="center"/>
          </w:tcPr>
          <w:p w14:paraId="7237CC14">
            <w:pPr>
              <w:jc w:val="right"/>
            </w:pPr>
            <w:r>
              <w:rPr>
                <w:rFonts w:hint="eastAsia"/>
              </w:rPr>
              <w:t>585,680.10</w:t>
            </w:r>
          </w:p>
        </w:tc>
      </w:tr>
      <w:tr w14:paraId="1FEACB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BF10ED2">
            <w:r>
              <w:rPr>
                <w:rFonts w:hint="eastAsia"/>
              </w:rPr>
              <w:t>应付投资顾问费</w:t>
            </w:r>
          </w:p>
        </w:tc>
        <w:tc>
          <w:tcPr>
            <w:tcW w:w="1262" w:type="dxa"/>
            <w:vAlign w:val="center"/>
          </w:tcPr>
          <w:p w14:paraId="6BF630AC"/>
        </w:tc>
        <w:tc>
          <w:tcPr>
            <w:tcW w:w="2289" w:type="dxa"/>
            <w:vAlign w:val="center"/>
          </w:tcPr>
          <w:p w14:paraId="481E0133">
            <w:pPr>
              <w:jc w:val="right"/>
            </w:pPr>
            <w:r>
              <w:rPr>
                <w:rFonts w:hint="eastAsia"/>
              </w:rPr>
              <w:t>-</w:t>
            </w:r>
          </w:p>
        </w:tc>
        <w:tc>
          <w:tcPr>
            <w:tcW w:w="2295" w:type="dxa"/>
            <w:vAlign w:val="center"/>
          </w:tcPr>
          <w:p w14:paraId="3AD05186">
            <w:pPr>
              <w:jc w:val="right"/>
            </w:pPr>
            <w:r>
              <w:rPr>
                <w:rFonts w:hint="eastAsia"/>
              </w:rPr>
              <w:t>-</w:t>
            </w:r>
          </w:p>
        </w:tc>
      </w:tr>
      <w:tr w14:paraId="7C9F09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4266334">
            <w:r>
              <w:rPr>
                <w:rFonts w:hint="eastAsia"/>
              </w:rPr>
              <w:t>应交税费</w:t>
            </w:r>
          </w:p>
        </w:tc>
        <w:tc>
          <w:tcPr>
            <w:tcW w:w="1262" w:type="dxa"/>
            <w:vAlign w:val="center"/>
          </w:tcPr>
          <w:p w14:paraId="245A50C7"/>
        </w:tc>
        <w:tc>
          <w:tcPr>
            <w:tcW w:w="2289" w:type="dxa"/>
            <w:vAlign w:val="center"/>
          </w:tcPr>
          <w:p w14:paraId="4D0DA12B">
            <w:pPr>
              <w:jc w:val="right"/>
            </w:pPr>
            <w:r>
              <w:rPr>
                <w:rFonts w:hint="eastAsia"/>
              </w:rPr>
              <w:t>16,658.18</w:t>
            </w:r>
          </w:p>
        </w:tc>
        <w:tc>
          <w:tcPr>
            <w:tcW w:w="2295" w:type="dxa"/>
            <w:vAlign w:val="center"/>
          </w:tcPr>
          <w:p w14:paraId="09855E0D">
            <w:pPr>
              <w:jc w:val="right"/>
            </w:pPr>
            <w:r>
              <w:rPr>
                <w:rFonts w:hint="eastAsia"/>
              </w:rPr>
              <w:t>12,309.00</w:t>
            </w:r>
          </w:p>
        </w:tc>
      </w:tr>
      <w:tr w14:paraId="0EA3E5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BE335B6">
            <w:r>
              <w:rPr>
                <w:rFonts w:hint="eastAsia"/>
              </w:rPr>
              <w:t>应付利润</w:t>
            </w:r>
          </w:p>
        </w:tc>
        <w:tc>
          <w:tcPr>
            <w:tcW w:w="1262" w:type="dxa"/>
            <w:vAlign w:val="center"/>
          </w:tcPr>
          <w:p w14:paraId="6C4CA7F4"/>
        </w:tc>
        <w:tc>
          <w:tcPr>
            <w:tcW w:w="2289" w:type="dxa"/>
            <w:vAlign w:val="center"/>
          </w:tcPr>
          <w:p w14:paraId="3DE55E14">
            <w:pPr>
              <w:jc w:val="right"/>
            </w:pPr>
            <w:r>
              <w:rPr>
                <w:rFonts w:hint="eastAsia"/>
              </w:rPr>
              <w:t>-</w:t>
            </w:r>
          </w:p>
        </w:tc>
        <w:tc>
          <w:tcPr>
            <w:tcW w:w="2295" w:type="dxa"/>
            <w:vAlign w:val="center"/>
          </w:tcPr>
          <w:p w14:paraId="068FB8BE">
            <w:pPr>
              <w:jc w:val="right"/>
            </w:pPr>
            <w:r>
              <w:rPr>
                <w:rFonts w:hint="eastAsia"/>
              </w:rPr>
              <w:t>-</w:t>
            </w:r>
          </w:p>
        </w:tc>
      </w:tr>
      <w:tr w14:paraId="20DD0B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41E302A">
            <w:r>
              <w:rPr>
                <w:rFonts w:hint="eastAsia"/>
              </w:rPr>
              <w:t>递延所得税负债</w:t>
            </w:r>
          </w:p>
        </w:tc>
        <w:tc>
          <w:tcPr>
            <w:tcW w:w="1262" w:type="dxa"/>
            <w:vAlign w:val="center"/>
          </w:tcPr>
          <w:p w14:paraId="24F5E70D"/>
        </w:tc>
        <w:tc>
          <w:tcPr>
            <w:tcW w:w="2289" w:type="dxa"/>
            <w:vAlign w:val="center"/>
          </w:tcPr>
          <w:p w14:paraId="58D4D624">
            <w:pPr>
              <w:jc w:val="right"/>
            </w:pPr>
            <w:r>
              <w:rPr>
                <w:rFonts w:hint="eastAsia"/>
              </w:rPr>
              <w:t>-</w:t>
            </w:r>
          </w:p>
        </w:tc>
        <w:tc>
          <w:tcPr>
            <w:tcW w:w="2295" w:type="dxa"/>
            <w:vAlign w:val="center"/>
          </w:tcPr>
          <w:p w14:paraId="0AF47D77">
            <w:pPr>
              <w:jc w:val="right"/>
            </w:pPr>
            <w:r>
              <w:rPr>
                <w:rFonts w:hint="eastAsia"/>
              </w:rPr>
              <w:t>-</w:t>
            </w:r>
          </w:p>
        </w:tc>
      </w:tr>
      <w:tr w14:paraId="01EBBF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CF6DE70">
            <w:r>
              <w:rPr>
                <w:rFonts w:hint="eastAsia"/>
              </w:rPr>
              <w:t>其他负债</w:t>
            </w:r>
          </w:p>
        </w:tc>
        <w:tc>
          <w:tcPr>
            <w:tcW w:w="1262" w:type="dxa"/>
            <w:vAlign w:val="center"/>
          </w:tcPr>
          <w:p w14:paraId="71B99E85">
            <w:r>
              <w:rPr>
                <w:rFonts w:hint="eastAsia"/>
              </w:rPr>
              <w:t>7.4.7.6</w:t>
            </w:r>
          </w:p>
        </w:tc>
        <w:tc>
          <w:tcPr>
            <w:tcW w:w="2289" w:type="dxa"/>
            <w:vAlign w:val="center"/>
          </w:tcPr>
          <w:p w14:paraId="0569C855">
            <w:pPr>
              <w:jc w:val="right"/>
            </w:pPr>
            <w:r>
              <w:rPr>
                <w:rFonts w:hint="eastAsia"/>
              </w:rPr>
              <w:t>272,642.48</w:t>
            </w:r>
          </w:p>
        </w:tc>
        <w:tc>
          <w:tcPr>
            <w:tcW w:w="2295" w:type="dxa"/>
            <w:vAlign w:val="center"/>
          </w:tcPr>
          <w:p w14:paraId="2708575D">
            <w:pPr>
              <w:jc w:val="right"/>
            </w:pPr>
            <w:r>
              <w:rPr>
                <w:rFonts w:hint="eastAsia"/>
              </w:rPr>
              <w:t>163,256.55</w:t>
            </w:r>
          </w:p>
        </w:tc>
      </w:tr>
      <w:tr w14:paraId="24588A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451684C">
            <w:r>
              <w:rPr>
                <w:rFonts w:hint="eastAsia"/>
              </w:rPr>
              <w:t>负债合计</w:t>
            </w:r>
          </w:p>
        </w:tc>
        <w:tc>
          <w:tcPr>
            <w:tcW w:w="1262" w:type="dxa"/>
            <w:vAlign w:val="center"/>
          </w:tcPr>
          <w:p w14:paraId="37B135C2"/>
        </w:tc>
        <w:tc>
          <w:tcPr>
            <w:tcW w:w="2289" w:type="dxa"/>
            <w:vAlign w:val="center"/>
          </w:tcPr>
          <w:p w14:paraId="1C59E4A5">
            <w:pPr>
              <w:jc w:val="right"/>
            </w:pPr>
            <w:r>
              <w:rPr>
                <w:rFonts w:hint="eastAsia"/>
              </w:rPr>
              <w:t>1,358,094,391.15</w:t>
            </w:r>
          </w:p>
        </w:tc>
        <w:tc>
          <w:tcPr>
            <w:tcW w:w="2295" w:type="dxa"/>
            <w:vAlign w:val="center"/>
          </w:tcPr>
          <w:p w14:paraId="7AFCDDEB">
            <w:pPr>
              <w:jc w:val="right"/>
            </w:pPr>
            <w:r>
              <w:rPr>
                <w:rFonts w:hint="eastAsia"/>
              </w:rPr>
              <w:t>386,427,726.49</w:t>
            </w:r>
          </w:p>
        </w:tc>
      </w:tr>
      <w:tr w14:paraId="2FF7EA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F37E84A">
            <w:r>
              <w:rPr>
                <w:rFonts w:hint="eastAsia"/>
              </w:rPr>
              <w:t>净资产：</w:t>
            </w:r>
          </w:p>
        </w:tc>
        <w:tc>
          <w:tcPr>
            <w:tcW w:w="1262" w:type="dxa"/>
            <w:vAlign w:val="center"/>
          </w:tcPr>
          <w:p w14:paraId="41E5CE83"/>
        </w:tc>
        <w:tc>
          <w:tcPr>
            <w:tcW w:w="2289" w:type="dxa"/>
            <w:vAlign w:val="center"/>
          </w:tcPr>
          <w:p w14:paraId="679FD684"/>
        </w:tc>
        <w:tc>
          <w:tcPr>
            <w:tcW w:w="2295" w:type="dxa"/>
            <w:vAlign w:val="center"/>
          </w:tcPr>
          <w:p w14:paraId="1BB79B6D"/>
        </w:tc>
      </w:tr>
      <w:tr w14:paraId="6EC4BC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F465DC5">
            <w:r>
              <w:rPr>
                <w:rFonts w:hint="eastAsia"/>
              </w:rPr>
              <w:t>实收基金</w:t>
            </w:r>
          </w:p>
        </w:tc>
        <w:tc>
          <w:tcPr>
            <w:tcW w:w="1262" w:type="dxa"/>
            <w:vAlign w:val="center"/>
          </w:tcPr>
          <w:p w14:paraId="2446E354">
            <w:r>
              <w:rPr>
                <w:rFonts w:hint="eastAsia"/>
              </w:rPr>
              <w:t>7.4.7.7</w:t>
            </w:r>
          </w:p>
        </w:tc>
        <w:tc>
          <w:tcPr>
            <w:tcW w:w="2289" w:type="dxa"/>
            <w:vAlign w:val="center"/>
          </w:tcPr>
          <w:p w14:paraId="6C36ADE8">
            <w:pPr>
              <w:jc w:val="right"/>
            </w:pPr>
            <w:r>
              <w:rPr>
                <w:rFonts w:hint="eastAsia"/>
              </w:rPr>
              <w:t>7,160,678,228.51</w:t>
            </w:r>
          </w:p>
        </w:tc>
        <w:tc>
          <w:tcPr>
            <w:tcW w:w="2295" w:type="dxa"/>
            <w:vAlign w:val="center"/>
          </w:tcPr>
          <w:p w14:paraId="7008F73B">
            <w:pPr>
              <w:jc w:val="right"/>
            </w:pPr>
            <w:r>
              <w:rPr>
                <w:rFonts w:hint="eastAsia"/>
              </w:rPr>
              <w:t>3,436,465,719.57</w:t>
            </w:r>
          </w:p>
        </w:tc>
      </w:tr>
      <w:tr w14:paraId="2EB070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0085657">
            <w:r>
              <w:rPr>
                <w:rFonts w:hint="eastAsia"/>
              </w:rPr>
              <w:t>其他综合收益</w:t>
            </w:r>
          </w:p>
        </w:tc>
        <w:tc>
          <w:tcPr>
            <w:tcW w:w="1262" w:type="dxa"/>
            <w:vAlign w:val="center"/>
          </w:tcPr>
          <w:p w14:paraId="150CC7D0"/>
        </w:tc>
        <w:tc>
          <w:tcPr>
            <w:tcW w:w="2289" w:type="dxa"/>
            <w:vAlign w:val="center"/>
          </w:tcPr>
          <w:p w14:paraId="6F44B5F8">
            <w:pPr>
              <w:jc w:val="right"/>
            </w:pPr>
            <w:r>
              <w:rPr>
                <w:rFonts w:hint="eastAsia"/>
              </w:rPr>
              <w:t>-</w:t>
            </w:r>
          </w:p>
        </w:tc>
        <w:tc>
          <w:tcPr>
            <w:tcW w:w="2295" w:type="dxa"/>
            <w:vAlign w:val="center"/>
          </w:tcPr>
          <w:p w14:paraId="44109BF9">
            <w:pPr>
              <w:jc w:val="right"/>
            </w:pPr>
            <w:r>
              <w:rPr>
                <w:rFonts w:hint="eastAsia"/>
              </w:rPr>
              <w:t>-</w:t>
            </w:r>
          </w:p>
        </w:tc>
      </w:tr>
      <w:tr w14:paraId="2D86C2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5C88EF8">
            <w:r>
              <w:rPr>
                <w:rFonts w:hint="eastAsia"/>
              </w:rPr>
              <w:t>未分配利润</w:t>
            </w:r>
          </w:p>
        </w:tc>
        <w:tc>
          <w:tcPr>
            <w:tcW w:w="1262" w:type="dxa"/>
            <w:vAlign w:val="center"/>
          </w:tcPr>
          <w:p w14:paraId="71A08D0B">
            <w:r>
              <w:rPr>
                <w:rFonts w:hint="eastAsia"/>
              </w:rPr>
              <w:t>7.4.7.8</w:t>
            </w:r>
          </w:p>
        </w:tc>
        <w:tc>
          <w:tcPr>
            <w:tcW w:w="2289" w:type="dxa"/>
            <w:vAlign w:val="center"/>
          </w:tcPr>
          <w:p w14:paraId="42BF7FE4">
            <w:pPr>
              <w:jc w:val="right"/>
            </w:pPr>
            <w:r>
              <w:rPr>
                <w:rFonts w:hint="eastAsia"/>
              </w:rPr>
              <w:t>619,595,221.15</w:t>
            </w:r>
          </w:p>
        </w:tc>
        <w:tc>
          <w:tcPr>
            <w:tcW w:w="2295" w:type="dxa"/>
            <w:vAlign w:val="center"/>
          </w:tcPr>
          <w:p w14:paraId="13E3418A">
            <w:pPr>
              <w:jc w:val="right"/>
            </w:pPr>
            <w:r>
              <w:rPr>
                <w:rFonts w:hint="eastAsia"/>
              </w:rPr>
              <w:t>246,338,495.40</w:t>
            </w:r>
          </w:p>
        </w:tc>
      </w:tr>
      <w:tr w14:paraId="5A866A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7620EF9">
            <w:r>
              <w:rPr>
                <w:rFonts w:hint="eastAsia"/>
              </w:rPr>
              <w:t>净资产合计</w:t>
            </w:r>
          </w:p>
        </w:tc>
        <w:tc>
          <w:tcPr>
            <w:tcW w:w="1262" w:type="dxa"/>
            <w:vAlign w:val="center"/>
          </w:tcPr>
          <w:p w14:paraId="3DF17A88"/>
        </w:tc>
        <w:tc>
          <w:tcPr>
            <w:tcW w:w="2289" w:type="dxa"/>
            <w:vAlign w:val="center"/>
          </w:tcPr>
          <w:p w14:paraId="3B9091C5">
            <w:pPr>
              <w:jc w:val="right"/>
            </w:pPr>
            <w:r>
              <w:rPr>
                <w:rFonts w:hint="eastAsia"/>
              </w:rPr>
              <w:t>7,780,273,449.66</w:t>
            </w:r>
          </w:p>
        </w:tc>
        <w:tc>
          <w:tcPr>
            <w:tcW w:w="2295" w:type="dxa"/>
            <w:vAlign w:val="center"/>
          </w:tcPr>
          <w:p w14:paraId="7BF999AF">
            <w:pPr>
              <w:jc w:val="right"/>
            </w:pPr>
            <w:r>
              <w:rPr>
                <w:rFonts w:hint="eastAsia"/>
              </w:rPr>
              <w:t>3,682,804,214.97</w:t>
            </w:r>
          </w:p>
        </w:tc>
      </w:tr>
      <w:tr w14:paraId="587A14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3B97D35">
            <w:r>
              <w:rPr>
                <w:rFonts w:hint="eastAsia"/>
              </w:rPr>
              <w:t>负债和净资产总计</w:t>
            </w:r>
          </w:p>
        </w:tc>
        <w:tc>
          <w:tcPr>
            <w:tcW w:w="1262" w:type="dxa"/>
            <w:vAlign w:val="center"/>
          </w:tcPr>
          <w:p w14:paraId="7F31E95F"/>
        </w:tc>
        <w:tc>
          <w:tcPr>
            <w:tcW w:w="2289" w:type="dxa"/>
            <w:vAlign w:val="center"/>
          </w:tcPr>
          <w:p w14:paraId="01BA212E">
            <w:pPr>
              <w:jc w:val="right"/>
            </w:pPr>
            <w:r>
              <w:rPr>
                <w:rFonts w:hint="eastAsia"/>
              </w:rPr>
              <w:t>9,138,367,840.81</w:t>
            </w:r>
          </w:p>
        </w:tc>
        <w:tc>
          <w:tcPr>
            <w:tcW w:w="2295" w:type="dxa"/>
            <w:vAlign w:val="center"/>
          </w:tcPr>
          <w:p w14:paraId="0904E0DE">
            <w:pPr>
              <w:jc w:val="right"/>
            </w:pPr>
            <w:r>
              <w:rPr>
                <w:rFonts w:hint="eastAsia"/>
              </w:rPr>
              <w:t>4,069,231,941.46</w:t>
            </w:r>
          </w:p>
        </w:tc>
      </w:tr>
    </w:tbl>
    <w:p w14:paraId="4349F1A8">
      <w:pPr>
        <w:pStyle w:val="47"/>
        <w:rPr>
          <w:rFonts w:hint="eastAsia"/>
        </w:rPr>
      </w:pPr>
      <w:r>
        <w:rPr>
          <w:rFonts w:hint="eastAsia"/>
        </w:rPr>
        <w:t>注：报告截止日2025年12月31日，基金份额净值1.0865元，基金份额总额7,160,678,228.51份。</w:t>
      </w:r>
    </w:p>
    <w:p w14:paraId="31687147">
      <w:pPr>
        <w:pStyle w:val="23"/>
      </w:pPr>
      <w:bookmarkStart w:id="46" w:name="_Toc13820"/>
      <w:r>
        <w:t>利润表</w:t>
      </w:r>
      <w:bookmarkEnd w:id="46"/>
    </w:p>
    <w:p w14:paraId="17BC0EA8">
      <w:pPr>
        <w:pStyle w:val="18"/>
        <w:rPr>
          <w:rFonts w:hint="eastAsia"/>
        </w:rPr>
      </w:pPr>
      <w:r>
        <w:rPr>
          <w:rFonts w:hint="eastAsia"/>
        </w:rPr>
        <w:t>会计主体：南方中证同业存单AAA指数7天持有期证券投资基金</w:t>
      </w:r>
    </w:p>
    <w:p w14:paraId="650F0AA6">
      <w:pPr>
        <w:pStyle w:val="18"/>
        <w:rPr>
          <w:rFonts w:hint="eastAsia"/>
        </w:rPr>
      </w:pPr>
      <w:r>
        <w:rPr>
          <w:rFonts w:hint="eastAsia"/>
        </w:rPr>
        <w:t>本报告期：2025年1月1日至2025年12月31日</w:t>
      </w:r>
    </w:p>
    <w:p w14:paraId="3D2355A5">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5E4920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shd w:val="clear" w:color="auto" w:fill="BFBFBF"/>
            <w:vAlign w:val="center"/>
          </w:tcPr>
          <w:p w14:paraId="6B7A3F54">
            <w:pPr>
              <w:jc w:val="center"/>
            </w:pPr>
            <w:r>
              <w:rPr>
                <w:rFonts w:hint="eastAsia"/>
                <w:b/>
              </w:rPr>
              <w:t>项目</w:t>
            </w:r>
          </w:p>
        </w:tc>
        <w:tc>
          <w:tcPr>
            <w:tcW w:w="1262" w:type="dxa"/>
            <w:shd w:val="clear" w:color="auto" w:fill="BFBFBF"/>
            <w:vAlign w:val="center"/>
          </w:tcPr>
          <w:p w14:paraId="140047C6">
            <w:pPr>
              <w:jc w:val="center"/>
            </w:pPr>
            <w:r>
              <w:rPr>
                <w:rFonts w:hint="eastAsia"/>
                <w:b/>
              </w:rPr>
              <w:t>附注号</w:t>
            </w:r>
          </w:p>
        </w:tc>
        <w:tc>
          <w:tcPr>
            <w:tcW w:w="2289" w:type="dxa"/>
            <w:shd w:val="clear" w:color="auto" w:fill="BFBFBF"/>
            <w:vAlign w:val="center"/>
          </w:tcPr>
          <w:p w14:paraId="3CDBFFED">
            <w:pPr>
              <w:jc w:val="center"/>
            </w:pPr>
            <w:r>
              <w:rPr>
                <w:rFonts w:hint="eastAsia"/>
                <w:b/>
              </w:rPr>
              <w:t>本期2025年1月1日至2025年12月31日</w:t>
            </w:r>
          </w:p>
        </w:tc>
        <w:tc>
          <w:tcPr>
            <w:tcW w:w="2295" w:type="dxa"/>
            <w:shd w:val="clear" w:color="auto" w:fill="BFBFBF"/>
            <w:vAlign w:val="center"/>
          </w:tcPr>
          <w:p w14:paraId="129CC468">
            <w:pPr>
              <w:jc w:val="center"/>
            </w:pPr>
            <w:r>
              <w:rPr>
                <w:rFonts w:hint="eastAsia"/>
                <w:b/>
              </w:rPr>
              <w:t>上年度可比期间2024年1月1日至2024年12月31日</w:t>
            </w:r>
          </w:p>
        </w:tc>
      </w:tr>
      <w:tr w14:paraId="481817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41CCED5">
            <w:r>
              <w:rPr>
                <w:rFonts w:hint="eastAsia"/>
              </w:rPr>
              <w:t>一、营业总收入</w:t>
            </w:r>
          </w:p>
        </w:tc>
        <w:tc>
          <w:tcPr>
            <w:tcW w:w="1262" w:type="dxa"/>
            <w:vAlign w:val="center"/>
          </w:tcPr>
          <w:p w14:paraId="29EC64F3"/>
        </w:tc>
        <w:tc>
          <w:tcPr>
            <w:tcW w:w="2289" w:type="dxa"/>
            <w:vAlign w:val="center"/>
          </w:tcPr>
          <w:p w14:paraId="6A7E1266">
            <w:pPr>
              <w:jc w:val="right"/>
            </w:pPr>
            <w:r>
              <w:rPr>
                <w:rFonts w:hint="eastAsia"/>
              </w:rPr>
              <w:t>102,117,249.05</w:t>
            </w:r>
          </w:p>
        </w:tc>
        <w:tc>
          <w:tcPr>
            <w:tcW w:w="2295" w:type="dxa"/>
            <w:vAlign w:val="center"/>
          </w:tcPr>
          <w:p w14:paraId="5311A576">
            <w:pPr>
              <w:jc w:val="right"/>
            </w:pPr>
            <w:r>
              <w:rPr>
                <w:rFonts w:hint="eastAsia"/>
              </w:rPr>
              <w:t>98,375,624.58</w:t>
            </w:r>
          </w:p>
        </w:tc>
      </w:tr>
      <w:tr w14:paraId="7FDE7C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4D59DD2">
            <w:r>
              <w:rPr>
                <w:rFonts w:hint="eastAsia"/>
              </w:rPr>
              <w:t>1.利息收入</w:t>
            </w:r>
          </w:p>
        </w:tc>
        <w:tc>
          <w:tcPr>
            <w:tcW w:w="1262" w:type="dxa"/>
            <w:vAlign w:val="center"/>
          </w:tcPr>
          <w:p w14:paraId="44A1DEAC"/>
        </w:tc>
        <w:tc>
          <w:tcPr>
            <w:tcW w:w="2289" w:type="dxa"/>
            <w:vAlign w:val="center"/>
          </w:tcPr>
          <w:p w14:paraId="16CBA640">
            <w:pPr>
              <w:jc w:val="right"/>
            </w:pPr>
            <w:r>
              <w:rPr>
                <w:rFonts w:hint="eastAsia"/>
              </w:rPr>
              <w:t>355,326.32</w:t>
            </w:r>
          </w:p>
        </w:tc>
        <w:tc>
          <w:tcPr>
            <w:tcW w:w="2295" w:type="dxa"/>
            <w:vAlign w:val="center"/>
          </w:tcPr>
          <w:p w14:paraId="31097F14">
            <w:pPr>
              <w:jc w:val="right"/>
            </w:pPr>
            <w:r>
              <w:rPr>
                <w:rFonts w:hint="eastAsia"/>
              </w:rPr>
              <w:t>1,588,894.56</w:t>
            </w:r>
          </w:p>
        </w:tc>
      </w:tr>
      <w:tr w14:paraId="52C14288">
        <w:tblPrEx>
          <w:tblCellMar>
            <w:top w:w="0" w:type="dxa"/>
            <w:left w:w="108" w:type="dxa"/>
            <w:bottom w:w="0" w:type="dxa"/>
            <w:right w:w="108" w:type="dxa"/>
          </w:tblCellMar>
        </w:tblPrEx>
        <w:trPr>
          <w:jc w:val="center"/>
        </w:trPr>
        <w:tc>
          <w:tcPr>
            <w:tcW w:w="2459" w:type="dxa"/>
            <w:vAlign w:val="center"/>
          </w:tcPr>
          <w:p w14:paraId="79AAB162">
            <w:r>
              <w:rPr>
                <w:rFonts w:hint="eastAsia"/>
              </w:rPr>
              <w:t>其中：存款利息收入</w:t>
            </w:r>
          </w:p>
        </w:tc>
        <w:tc>
          <w:tcPr>
            <w:tcW w:w="1262" w:type="dxa"/>
            <w:vAlign w:val="center"/>
          </w:tcPr>
          <w:p w14:paraId="60038F40">
            <w:r>
              <w:rPr>
                <w:rFonts w:hint="eastAsia"/>
              </w:rPr>
              <w:t>7.4.7.9</w:t>
            </w:r>
          </w:p>
        </w:tc>
        <w:tc>
          <w:tcPr>
            <w:tcW w:w="2289" w:type="dxa"/>
            <w:vAlign w:val="center"/>
          </w:tcPr>
          <w:p w14:paraId="6C94C3AD">
            <w:pPr>
              <w:jc w:val="right"/>
            </w:pPr>
            <w:r>
              <w:rPr>
                <w:rFonts w:hint="eastAsia"/>
              </w:rPr>
              <w:t>46,516.03</w:t>
            </w:r>
          </w:p>
        </w:tc>
        <w:tc>
          <w:tcPr>
            <w:tcW w:w="2295" w:type="dxa"/>
            <w:vAlign w:val="center"/>
          </w:tcPr>
          <w:p w14:paraId="6D044EFE">
            <w:pPr>
              <w:jc w:val="right"/>
            </w:pPr>
            <w:r>
              <w:rPr>
                <w:rFonts w:hint="eastAsia"/>
              </w:rPr>
              <w:t>1,313,675.79</w:t>
            </w:r>
          </w:p>
        </w:tc>
      </w:tr>
      <w:tr w14:paraId="2B58D1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A56A4A4">
            <w:r>
              <w:rPr>
                <w:rFonts w:hint="eastAsia"/>
              </w:rPr>
              <w:t xml:space="preserve">      债券利息收入</w:t>
            </w:r>
          </w:p>
        </w:tc>
        <w:tc>
          <w:tcPr>
            <w:tcW w:w="1262" w:type="dxa"/>
            <w:vAlign w:val="center"/>
          </w:tcPr>
          <w:p w14:paraId="55346019"/>
        </w:tc>
        <w:tc>
          <w:tcPr>
            <w:tcW w:w="2289" w:type="dxa"/>
            <w:vAlign w:val="center"/>
          </w:tcPr>
          <w:p w14:paraId="2FBD16F6">
            <w:pPr>
              <w:jc w:val="right"/>
            </w:pPr>
            <w:r>
              <w:rPr>
                <w:rFonts w:hint="eastAsia"/>
              </w:rPr>
              <w:t>-</w:t>
            </w:r>
          </w:p>
        </w:tc>
        <w:tc>
          <w:tcPr>
            <w:tcW w:w="2295" w:type="dxa"/>
            <w:vAlign w:val="center"/>
          </w:tcPr>
          <w:p w14:paraId="4C71D0DB">
            <w:pPr>
              <w:jc w:val="right"/>
            </w:pPr>
            <w:r>
              <w:rPr>
                <w:rFonts w:hint="eastAsia"/>
              </w:rPr>
              <w:t>-</w:t>
            </w:r>
          </w:p>
        </w:tc>
      </w:tr>
      <w:tr w14:paraId="206D63C6">
        <w:tblPrEx>
          <w:tblCellMar>
            <w:top w:w="0" w:type="dxa"/>
            <w:left w:w="108" w:type="dxa"/>
            <w:bottom w:w="0" w:type="dxa"/>
            <w:right w:w="108" w:type="dxa"/>
          </w:tblCellMar>
        </w:tblPrEx>
        <w:trPr>
          <w:jc w:val="center"/>
        </w:trPr>
        <w:tc>
          <w:tcPr>
            <w:tcW w:w="2459" w:type="dxa"/>
            <w:vAlign w:val="center"/>
          </w:tcPr>
          <w:p w14:paraId="55C72F64">
            <w:r>
              <w:rPr>
                <w:rFonts w:hint="eastAsia"/>
              </w:rPr>
              <w:t xml:space="preserve">      资产支持证券利息收入</w:t>
            </w:r>
          </w:p>
        </w:tc>
        <w:tc>
          <w:tcPr>
            <w:tcW w:w="1262" w:type="dxa"/>
            <w:vAlign w:val="center"/>
          </w:tcPr>
          <w:p w14:paraId="400F0C73"/>
        </w:tc>
        <w:tc>
          <w:tcPr>
            <w:tcW w:w="2289" w:type="dxa"/>
            <w:vAlign w:val="center"/>
          </w:tcPr>
          <w:p w14:paraId="4A41B852">
            <w:pPr>
              <w:jc w:val="right"/>
            </w:pPr>
            <w:r>
              <w:rPr>
                <w:rFonts w:hint="eastAsia"/>
              </w:rPr>
              <w:t>-</w:t>
            </w:r>
          </w:p>
        </w:tc>
        <w:tc>
          <w:tcPr>
            <w:tcW w:w="2295" w:type="dxa"/>
            <w:vAlign w:val="center"/>
          </w:tcPr>
          <w:p w14:paraId="4F085A4E">
            <w:pPr>
              <w:jc w:val="right"/>
            </w:pPr>
            <w:r>
              <w:rPr>
                <w:rFonts w:hint="eastAsia"/>
              </w:rPr>
              <w:t>-</w:t>
            </w:r>
          </w:p>
        </w:tc>
      </w:tr>
      <w:tr w14:paraId="6E19EC96">
        <w:tblPrEx>
          <w:tblCellMar>
            <w:top w:w="0" w:type="dxa"/>
            <w:left w:w="108" w:type="dxa"/>
            <w:bottom w:w="0" w:type="dxa"/>
            <w:right w:w="108" w:type="dxa"/>
          </w:tblCellMar>
        </w:tblPrEx>
        <w:trPr>
          <w:jc w:val="center"/>
        </w:trPr>
        <w:tc>
          <w:tcPr>
            <w:tcW w:w="2459" w:type="dxa"/>
            <w:vAlign w:val="center"/>
          </w:tcPr>
          <w:p w14:paraId="41241E0D">
            <w:r>
              <w:rPr>
                <w:rFonts w:hint="eastAsia"/>
              </w:rPr>
              <w:t xml:space="preserve">      买入返售金融资产收入</w:t>
            </w:r>
          </w:p>
        </w:tc>
        <w:tc>
          <w:tcPr>
            <w:tcW w:w="1262" w:type="dxa"/>
            <w:vAlign w:val="center"/>
          </w:tcPr>
          <w:p w14:paraId="1DD0A8BE"/>
        </w:tc>
        <w:tc>
          <w:tcPr>
            <w:tcW w:w="2289" w:type="dxa"/>
            <w:vAlign w:val="center"/>
          </w:tcPr>
          <w:p w14:paraId="05182659">
            <w:pPr>
              <w:jc w:val="right"/>
            </w:pPr>
            <w:r>
              <w:rPr>
                <w:rFonts w:hint="eastAsia"/>
              </w:rPr>
              <w:t>308,810.29</w:t>
            </w:r>
          </w:p>
        </w:tc>
        <w:tc>
          <w:tcPr>
            <w:tcW w:w="2295" w:type="dxa"/>
            <w:vAlign w:val="center"/>
          </w:tcPr>
          <w:p w14:paraId="4F8FACE1">
            <w:pPr>
              <w:jc w:val="right"/>
            </w:pPr>
            <w:r>
              <w:rPr>
                <w:rFonts w:hint="eastAsia"/>
              </w:rPr>
              <w:t>275,218.77</w:t>
            </w:r>
          </w:p>
        </w:tc>
      </w:tr>
      <w:tr w14:paraId="159499AE">
        <w:tblPrEx>
          <w:tblCellMar>
            <w:top w:w="0" w:type="dxa"/>
            <w:left w:w="108" w:type="dxa"/>
            <w:bottom w:w="0" w:type="dxa"/>
            <w:right w:w="108" w:type="dxa"/>
          </w:tblCellMar>
        </w:tblPrEx>
        <w:trPr>
          <w:jc w:val="center"/>
        </w:trPr>
        <w:tc>
          <w:tcPr>
            <w:tcW w:w="2459" w:type="dxa"/>
            <w:vAlign w:val="center"/>
          </w:tcPr>
          <w:p w14:paraId="796D3398">
            <w:r>
              <w:rPr>
                <w:rFonts w:hint="eastAsia"/>
              </w:rPr>
              <w:t xml:space="preserve">      其他利息收入</w:t>
            </w:r>
          </w:p>
        </w:tc>
        <w:tc>
          <w:tcPr>
            <w:tcW w:w="1262" w:type="dxa"/>
            <w:vAlign w:val="center"/>
          </w:tcPr>
          <w:p w14:paraId="2EF22D5F"/>
        </w:tc>
        <w:tc>
          <w:tcPr>
            <w:tcW w:w="2289" w:type="dxa"/>
            <w:vAlign w:val="center"/>
          </w:tcPr>
          <w:p w14:paraId="3DAFB8D8">
            <w:pPr>
              <w:jc w:val="right"/>
            </w:pPr>
            <w:r>
              <w:rPr>
                <w:rFonts w:hint="eastAsia"/>
              </w:rPr>
              <w:t>-</w:t>
            </w:r>
          </w:p>
        </w:tc>
        <w:tc>
          <w:tcPr>
            <w:tcW w:w="2295" w:type="dxa"/>
            <w:vAlign w:val="center"/>
          </w:tcPr>
          <w:p w14:paraId="6A6BF352">
            <w:pPr>
              <w:jc w:val="right"/>
            </w:pPr>
            <w:r>
              <w:rPr>
                <w:rFonts w:hint="eastAsia"/>
              </w:rPr>
              <w:t>-</w:t>
            </w:r>
          </w:p>
        </w:tc>
      </w:tr>
      <w:tr w14:paraId="7C197D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9AF8F30">
            <w:r>
              <w:rPr>
                <w:rFonts w:hint="eastAsia"/>
              </w:rPr>
              <w:t>2.投资收益（损失以“-”填列）</w:t>
            </w:r>
          </w:p>
        </w:tc>
        <w:tc>
          <w:tcPr>
            <w:tcW w:w="1262" w:type="dxa"/>
            <w:vAlign w:val="center"/>
          </w:tcPr>
          <w:p w14:paraId="33E44B8E"/>
        </w:tc>
        <w:tc>
          <w:tcPr>
            <w:tcW w:w="2289" w:type="dxa"/>
            <w:vAlign w:val="center"/>
          </w:tcPr>
          <w:p w14:paraId="636FDA50">
            <w:pPr>
              <w:jc w:val="right"/>
            </w:pPr>
            <w:r>
              <w:rPr>
                <w:rFonts w:hint="eastAsia"/>
              </w:rPr>
              <w:t>105,201,626.16</w:t>
            </w:r>
          </w:p>
        </w:tc>
        <w:tc>
          <w:tcPr>
            <w:tcW w:w="2295" w:type="dxa"/>
            <w:vAlign w:val="center"/>
          </w:tcPr>
          <w:p w14:paraId="3EC9FF62">
            <w:pPr>
              <w:jc w:val="right"/>
            </w:pPr>
            <w:r>
              <w:rPr>
                <w:rFonts w:hint="eastAsia"/>
              </w:rPr>
              <w:t>99,487,302.16</w:t>
            </w:r>
          </w:p>
        </w:tc>
      </w:tr>
      <w:tr w14:paraId="731B69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B8729EA">
            <w:r>
              <w:rPr>
                <w:rFonts w:hint="eastAsia"/>
              </w:rPr>
              <w:t>其中：股票投资收益</w:t>
            </w:r>
          </w:p>
        </w:tc>
        <w:tc>
          <w:tcPr>
            <w:tcW w:w="1262" w:type="dxa"/>
            <w:vAlign w:val="center"/>
          </w:tcPr>
          <w:p w14:paraId="489C0277">
            <w:r>
              <w:rPr>
                <w:rFonts w:hint="eastAsia"/>
              </w:rPr>
              <w:t>7.4.7.10</w:t>
            </w:r>
          </w:p>
        </w:tc>
        <w:tc>
          <w:tcPr>
            <w:tcW w:w="2289" w:type="dxa"/>
            <w:vAlign w:val="center"/>
          </w:tcPr>
          <w:p w14:paraId="210EB1E4">
            <w:pPr>
              <w:jc w:val="right"/>
            </w:pPr>
            <w:r>
              <w:rPr>
                <w:rFonts w:hint="eastAsia"/>
              </w:rPr>
              <w:t>-</w:t>
            </w:r>
          </w:p>
        </w:tc>
        <w:tc>
          <w:tcPr>
            <w:tcW w:w="2295" w:type="dxa"/>
            <w:vAlign w:val="center"/>
          </w:tcPr>
          <w:p w14:paraId="7D58BE6C">
            <w:pPr>
              <w:jc w:val="right"/>
            </w:pPr>
            <w:r>
              <w:rPr>
                <w:rFonts w:hint="eastAsia"/>
              </w:rPr>
              <w:t>-</w:t>
            </w:r>
          </w:p>
        </w:tc>
      </w:tr>
      <w:tr w14:paraId="14E86C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D7EE125">
            <w:r>
              <w:rPr>
                <w:rFonts w:hint="eastAsia"/>
              </w:rPr>
              <w:t xml:space="preserve">      基金投资收益</w:t>
            </w:r>
          </w:p>
        </w:tc>
        <w:tc>
          <w:tcPr>
            <w:tcW w:w="1262" w:type="dxa"/>
            <w:vAlign w:val="center"/>
          </w:tcPr>
          <w:p w14:paraId="1BCA7CB8">
            <w:r>
              <w:rPr>
                <w:rFonts w:hint="eastAsia"/>
              </w:rPr>
              <w:t>7.4.7.11</w:t>
            </w:r>
          </w:p>
        </w:tc>
        <w:tc>
          <w:tcPr>
            <w:tcW w:w="2289" w:type="dxa"/>
            <w:vAlign w:val="center"/>
          </w:tcPr>
          <w:p w14:paraId="2FA78BC5">
            <w:pPr>
              <w:jc w:val="right"/>
            </w:pPr>
            <w:r>
              <w:rPr>
                <w:rFonts w:hint="eastAsia"/>
              </w:rPr>
              <w:t>-</w:t>
            </w:r>
          </w:p>
        </w:tc>
        <w:tc>
          <w:tcPr>
            <w:tcW w:w="2295" w:type="dxa"/>
            <w:vAlign w:val="center"/>
          </w:tcPr>
          <w:p w14:paraId="33058369">
            <w:pPr>
              <w:jc w:val="right"/>
            </w:pPr>
            <w:r>
              <w:rPr>
                <w:rFonts w:hint="eastAsia"/>
              </w:rPr>
              <w:t>-</w:t>
            </w:r>
          </w:p>
        </w:tc>
      </w:tr>
      <w:tr w14:paraId="4AF562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07B27BE">
            <w:r>
              <w:rPr>
                <w:rFonts w:hint="eastAsia"/>
              </w:rPr>
              <w:t xml:space="preserve">      债券投资收益</w:t>
            </w:r>
          </w:p>
        </w:tc>
        <w:tc>
          <w:tcPr>
            <w:tcW w:w="1262" w:type="dxa"/>
            <w:vAlign w:val="center"/>
          </w:tcPr>
          <w:p w14:paraId="7A9056B1">
            <w:r>
              <w:rPr>
                <w:rFonts w:hint="eastAsia"/>
              </w:rPr>
              <w:t>7.4.7.12</w:t>
            </w:r>
          </w:p>
        </w:tc>
        <w:tc>
          <w:tcPr>
            <w:tcW w:w="2289" w:type="dxa"/>
            <w:vAlign w:val="center"/>
          </w:tcPr>
          <w:p w14:paraId="014A2FE2">
            <w:pPr>
              <w:jc w:val="right"/>
            </w:pPr>
            <w:r>
              <w:rPr>
                <w:rFonts w:hint="eastAsia"/>
              </w:rPr>
              <w:t>105,201,626.16</w:t>
            </w:r>
          </w:p>
        </w:tc>
        <w:tc>
          <w:tcPr>
            <w:tcW w:w="2295" w:type="dxa"/>
            <w:vAlign w:val="center"/>
          </w:tcPr>
          <w:p w14:paraId="01A39F01">
            <w:pPr>
              <w:jc w:val="right"/>
            </w:pPr>
            <w:r>
              <w:rPr>
                <w:rFonts w:hint="eastAsia"/>
              </w:rPr>
              <w:t>99,487,302.16</w:t>
            </w:r>
          </w:p>
        </w:tc>
      </w:tr>
      <w:tr w14:paraId="683731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11C742F">
            <w:r>
              <w:rPr>
                <w:rFonts w:hint="eastAsia"/>
              </w:rPr>
              <w:t xml:space="preserve">      资产支持证券投资收益</w:t>
            </w:r>
          </w:p>
        </w:tc>
        <w:tc>
          <w:tcPr>
            <w:tcW w:w="1262" w:type="dxa"/>
            <w:vAlign w:val="center"/>
          </w:tcPr>
          <w:p w14:paraId="6B771199">
            <w:r>
              <w:rPr>
                <w:rFonts w:hint="eastAsia"/>
              </w:rPr>
              <w:t>7.4.7.13</w:t>
            </w:r>
          </w:p>
        </w:tc>
        <w:tc>
          <w:tcPr>
            <w:tcW w:w="2289" w:type="dxa"/>
            <w:vAlign w:val="center"/>
          </w:tcPr>
          <w:p w14:paraId="46C72CF8">
            <w:pPr>
              <w:jc w:val="right"/>
            </w:pPr>
            <w:r>
              <w:rPr>
                <w:rFonts w:hint="eastAsia"/>
              </w:rPr>
              <w:t>-</w:t>
            </w:r>
          </w:p>
        </w:tc>
        <w:tc>
          <w:tcPr>
            <w:tcW w:w="2295" w:type="dxa"/>
            <w:vAlign w:val="center"/>
          </w:tcPr>
          <w:p w14:paraId="38AD1F79">
            <w:pPr>
              <w:jc w:val="right"/>
            </w:pPr>
            <w:r>
              <w:rPr>
                <w:rFonts w:hint="eastAsia"/>
              </w:rPr>
              <w:t>-</w:t>
            </w:r>
          </w:p>
        </w:tc>
      </w:tr>
      <w:tr w14:paraId="0B1AF8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C37EA9D">
            <w:r>
              <w:rPr>
                <w:rFonts w:hint="eastAsia"/>
              </w:rPr>
              <w:t xml:space="preserve">      贵金属投资收益</w:t>
            </w:r>
          </w:p>
        </w:tc>
        <w:tc>
          <w:tcPr>
            <w:tcW w:w="1262" w:type="dxa"/>
            <w:vAlign w:val="center"/>
          </w:tcPr>
          <w:p w14:paraId="531B2F2F"/>
        </w:tc>
        <w:tc>
          <w:tcPr>
            <w:tcW w:w="2289" w:type="dxa"/>
            <w:vAlign w:val="center"/>
          </w:tcPr>
          <w:p w14:paraId="72F06D70">
            <w:pPr>
              <w:jc w:val="right"/>
            </w:pPr>
            <w:r>
              <w:rPr>
                <w:rFonts w:hint="eastAsia"/>
              </w:rPr>
              <w:t>-</w:t>
            </w:r>
          </w:p>
        </w:tc>
        <w:tc>
          <w:tcPr>
            <w:tcW w:w="2295" w:type="dxa"/>
            <w:vAlign w:val="center"/>
          </w:tcPr>
          <w:p w14:paraId="3B508C34">
            <w:pPr>
              <w:jc w:val="right"/>
            </w:pPr>
            <w:r>
              <w:rPr>
                <w:rFonts w:hint="eastAsia"/>
              </w:rPr>
              <w:t>-</w:t>
            </w:r>
          </w:p>
        </w:tc>
      </w:tr>
      <w:tr w14:paraId="4AC76E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C004006">
            <w:r>
              <w:rPr>
                <w:rFonts w:hint="eastAsia"/>
              </w:rPr>
              <w:t xml:space="preserve">      衍生工具收益</w:t>
            </w:r>
          </w:p>
        </w:tc>
        <w:tc>
          <w:tcPr>
            <w:tcW w:w="1262" w:type="dxa"/>
            <w:vAlign w:val="center"/>
          </w:tcPr>
          <w:p w14:paraId="5269A4D9">
            <w:r>
              <w:rPr>
                <w:rFonts w:hint="eastAsia"/>
              </w:rPr>
              <w:t>7.4.7.14</w:t>
            </w:r>
          </w:p>
        </w:tc>
        <w:tc>
          <w:tcPr>
            <w:tcW w:w="2289" w:type="dxa"/>
            <w:vAlign w:val="center"/>
          </w:tcPr>
          <w:p w14:paraId="44C38F86">
            <w:pPr>
              <w:jc w:val="right"/>
            </w:pPr>
            <w:r>
              <w:rPr>
                <w:rFonts w:hint="eastAsia"/>
              </w:rPr>
              <w:t>-</w:t>
            </w:r>
          </w:p>
        </w:tc>
        <w:tc>
          <w:tcPr>
            <w:tcW w:w="2295" w:type="dxa"/>
            <w:vAlign w:val="center"/>
          </w:tcPr>
          <w:p w14:paraId="0F2D1668">
            <w:pPr>
              <w:jc w:val="right"/>
            </w:pPr>
            <w:r>
              <w:rPr>
                <w:rFonts w:hint="eastAsia"/>
              </w:rPr>
              <w:t>-</w:t>
            </w:r>
          </w:p>
        </w:tc>
      </w:tr>
      <w:tr w14:paraId="60E50A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8BE2F86">
            <w:r>
              <w:rPr>
                <w:rFonts w:hint="eastAsia"/>
              </w:rPr>
              <w:t xml:space="preserve">      股利收益</w:t>
            </w:r>
          </w:p>
        </w:tc>
        <w:tc>
          <w:tcPr>
            <w:tcW w:w="1262" w:type="dxa"/>
            <w:vAlign w:val="center"/>
          </w:tcPr>
          <w:p w14:paraId="3823015F">
            <w:r>
              <w:rPr>
                <w:rFonts w:hint="eastAsia"/>
              </w:rPr>
              <w:t>7.4.7.15</w:t>
            </w:r>
          </w:p>
        </w:tc>
        <w:tc>
          <w:tcPr>
            <w:tcW w:w="2289" w:type="dxa"/>
            <w:vAlign w:val="center"/>
          </w:tcPr>
          <w:p w14:paraId="4B9D7470">
            <w:pPr>
              <w:jc w:val="right"/>
            </w:pPr>
            <w:r>
              <w:rPr>
                <w:rFonts w:hint="eastAsia"/>
              </w:rPr>
              <w:t>-</w:t>
            </w:r>
          </w:p>
        </w:tc>
        <w:tc>
          <w:tcPr>
            <w:tcW w:w="2295" w:type="dxa"/>
            <w:vAlign w:val="center"/>
          </w:tcPr>
          <w:p w14:paraId="35DBBF01">
            <w:pPr>
              <w:jc w:val="right"/>
            </w:pPr>
            <w:r>
              <w:rPr>
                <w:rFonts w:hint="eastAsia"/>
              </w:rPr>
              <w:t>-</w:t>
            </w:r>
          </w:p>
        </w:tc>
      </w:tr>
      <w:tr w14:paraId="5DDBBD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2918C77">
            <w:r>
              <w:rPr>
                <w:rFonts w:hint="eastAsia"/>
              </w:rPr>
              <w:t xml:space="preserve">      以摊余成本计量的金融资产终止确认产生的收益</w:t>
            </w:r>
          </w:p>
        </w:tc>
        <w:tc>
          <w:tcPr>
            <w:tcW w:w="1262" w:type="dxa"/>
            <w:vAlign w:val="center"/>
          </w:tcPr>
          <w:p w14:paraId="441B83B1"/>
        </w:tc>
        <w:tc>
          <w:tcPr>
            <w:tcW w:w="2289" w:type="dxa"/>
            <w:vAlign w:val="center"/>
          </w:tcPr>
          <w:p w14:paraId="13584B26">
            <w:pPr>
              <w:jc w:val="right"/>
            </w:pPr>
            <w:r>
              <w:rPr>
                <w:rFonts w:hint="eastAsia"/>
              </w:rPr>
              <w:t>-</w:t>
            </w:r>
          </w:p>
        </w:tc>
        <w:tc>
          <w:tcPr>
            <w:tcW w:w="2295" w:type="dxa"/>
            <w:vAlign w:val="center"/>
          </w:tcPr>
          <w:p w14:paraId="5083B0E3">
            <w:pPr>
              <w:jc w:val="right"/>
            </w:pPr>
            <w:r>
              <w:rPr>
                <w:rFonts w:hint="eastAsia"/>
              </w:rPr>
              <w:t>-</w:t>
            </w:r>
          </w:p>
        </w:tc>
      </w:tr>
      <w:tr w14:paraId="44E906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FB54B52">
            <w:r>
              <w:rPr>
                <w:rFonts w:hint="eastAsia"/>
              </w:rPr>
              <w:t xml:space="preserve">      其他投资收益</w:t>
            </w:r>
          </w:p>
        </w:tc>
        <w:tc>
          <w:tcPr>
            <w:tcW w:w="1262" w:type="dxa"/>
            <w:vAlign w:val="center"/>
          </w:tcPr>
          <w:p w14:paraId="1911A2C1"/>
        </w:tc>
        <w:tc>
          <w:tcPr>
            <w:tcW w:w="2289" w:type="dxa"/>
            <w:vAlign w:val="center"/>
          </w:tcPr>
          <w:p w14:paraId="426C3221">
            <w:pPr>
              <w:jc w:val="right"/>
            </w:pPr>
            <w:r>
              <w:rPr>
                <w:rFonts w:hint="eastAsia"/>
              </w:rPr>
              <w:t>-</w:t>
            </w:r>
          </w:p>
        </w:tc>
        <w:tc>
          <w:tcPr>
            <w:tcW w:w="2295" w:type="dxa"/>
            <w:vAlign w:val="center"/>
          </w:tcPr>
          <w:p w14:paraId="7021847E">
            <w:pPr>
              <w:jc w:val="right"/>
            </w:pPr>
            <w:r>
              <w:rPr>
                <w:rFonts w:hint="eastAsia"/>
              </w:rPr>
              <w:t>-</w:t>
            </w:r>
          </w:p>
        </w:tc>
      </w:tr>
      <w:tr w14:paraId="37DFDD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3AA3BE8">
            <w:r>
              <w:rPr>
                <w:rFonts w:hint="eastAsia"/>
              </w:rPr>
              <w:t>3.公允价值变动收益（损失以“-”号填列）</w:t>
            </w:r>
          </w:p>
        </w:tc>
        <w:tc>
          <w:tcPr>
            <w:tcW w:w="1262" w:type="dxa"/>
            <w:vAlign w:val="center"/>
          </w:tcPr>
          <w:p w14:paraId="4EDC0FC8">
            <w:r>
              <w:rPr>
                <w:rFonts w:hint="eastAsia"/>
              </w:rPr>
              <w:t>7.4.7.16</w:t>
            </w:r>
          </w:p>
        </w:tc>
        <w:tc>
          <w:tcPr>
            <w:tcW w:w="2289" w:type="dxa"/>
            <w:vAlign w:val="center"/>
          </w:tcPr>
          <w:p w14:paraId="51A493E8">
            <w:pPr>
              <w:jc w:val="right"/>
            </w:pPr>
            <w:r>
              <w:rPr>
                <w:rFonts w:hint="eastAsia"/>
              </w:rPr>
              <w:t>-3,439,703.43</w:t>
            </w:r>
          </w:p>
        </w:tc>
        <w:tc>
          <w:tcPr>
            <w:tcW w:w="2295" w:type="dxa"/>
            <w:vAlign w:val="center"/>
          </w:tcPr>
          <w:p w14:paraId="0CE3A863">
            <w:pPr>
              <w:jc w:val="right"/>
            </w:pPr>
            <w:r>
              <w:rPr>
                <w:rFonts w:hint="eastAsia"/>
              </w:rPr>
              <w:t>-2,700,572.14</w:t>
            </w:r>
          </w:p>
        </w:tc>
      </w:tr>
      <w:tr w14:paraId="00BB26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F66847D">
            <w:r>
              <w:rPr>
                <w:rFonts w:hint="eastAsia"/>
              </w:rPr>
              <w:t>4.汇兑收益（损失以“－”号填列）</w:t>
            </w:r>
          </w:p>
        </w:tc>
        <w:tc>
          <w:tcPr>
            <w:tcW w:w="1262" w:type="dxa"/>
            <w:vAlign w:val="center"/>
          </w:tcPr>
          <w:p w14:paraId="34A885A4"/>
        </w:tc>
        <w:tc>
          <w:tcPr>
            <w:tcW w:w="2289" w:type="dxa"/>
            <w:vAlign w:val="center"/>
          </w:tcPr>
          <w:p w14:paraId="3A44076A">
            <w:pPr>
              <w:jc w:val="right"/>
            </w:pPr>
            <w:r>
              <w:rPr>
                <w:rFonts w:hint="eastAsia"/>
              </w:rPr>
              <w:t>-</w:t>
            </w:r>
          </w:p>
        </w:tc>
        <w:tc>
          <w:tcPr>
            <w:tcW w:w="2295" w:type="dxa"/>
            <w:vAlign w:val="center"/>
          </w:tcPr>
          <w:p w14:paraId="0D8BC000">
            <w:pPr>
              <w:jc w:val="right"/>
            </w:pPr>
            <w:r>
              <w:rPr>
                <w:rFonts w:hint="eastAsia"/>
              </w:rPr>
              <w:t>-</w:t>
            </w:r>
          </w:p>
        </w:tc>
      </w:tr>
      <w:tr w14:paraId="78E9FB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B11F1BD">
            <w:r>
              <w:rPr>
                <w:rFonts w:hint="eastAsia"/>
              </w:rPr>
              <w:t>5.其他收入（损失以“-”号填列）</w:t>
            </w:r>
          </w:p>
        </w:tc>
        <w:tc>
          <w:tcPr>
            <w:tcW w:w="1262" w:type="dxa"/>
            <w:vAlign w:val="center"/>
          </w:tcPr>
          <w:p w14:paraId="77F05AB0">
            <w:r>
              <w:rPr>
                <w:rFonts w:hint="eastAsia"/>
              </w:rPr>
              <w:t>7.4.7.17</w:t>
            </w:r>
          </w:p>
        </w:tc>
        <w:tc>
          <w:tcPr>
            <w:tcW w:w="2289" w:type="dxa"/>
            <w:vAlign w:val="center"/>
          </w:tcPr>
          <w:p w14:paraId="78856BBD">
            <w:pPr>
              <w:jc w:val="right"/>
            </w:pPr>
            <w:r>
              <w:rPr>
                <w:rFonts w:hint="eastAsia"/>
              </w:rPr>
              <w:t>-</w:t>
            </w:r>
          </w:p>
        </w:tc>
        <w:tc>
          <w:tcPr>
            <w:tcW w:w="2295" w:type="dxa"/>
            <w:vAlign w:val="center"/>
          </w:tcPr>
          <w:p w14:paraId="65711560">
            <w:pPr>
              <w:jc w:val="right"/>
            </w:pPr>
            <w:r>
              <w:rPr>
                <w:rFonts w:hint="eastAsia"/>
              </w:rPr>
              <w:t>-</w:t>
            </w:r>
          </w:p>
        </w:tc>
      </w:tr>
      <w:tr w14:paraId="19D5FE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BBC9173">
            <w:r>
              <w:rPr>
                <w:rFonts w:hint="eastAsia"/>
              </w:rPr>
              <w:t>减：二、营业总支出</w:t>
            </w:r>
          </w:p>
        </w:tc>
        <w:tc>
          <w:tcPr>
            <w:tcW w:w="1262" w:type="dxa"/>
            <w:vAlign w:val="center"/>
          </w:tcPr>
          <w:p w14:paraId="54FB89A3"/>
        </w:tc>
        <w:tc>
          <w:tcPr>
            <w:tcW w:w="2289" w:type="dxa"/>
            <w:vAlign w:val="center"/>
          </w:tcPr>
          <w:p w14:paraId="4D48946E">
            <w:pPr>
              <w:jc w:val="right"/>
            </w:pPr>
            <w:r>
              <w:rPr>
                <w:rFonts w:hint="eastAsia"/>
              </w:rPr>
              <w:t>34,078,381.04</w:t>
            </w:r>
          </w:p>
        </w:tc>
        <w:tc>
          <w:tcPr>
            <w:tcW w:w="2295" w:type="dxa"/>
            <w:vAlign w:val="center"/>
          </w:tcPr>
          <w:p w14:paraId="45DA472C">
            <w:pPr>
              <w:jc w:val="right"/>
            </w:pPr>
            <w:r>
              <w:rPr>
                <w:rFonts w:hint="eastAsia"/>
              </w:rPr>
              <w:t>20,815,209.03</w:t>
            </w:r>
          </w:p>
        </w:tc>
      </w:tr>
      <w:tr w14:paraId="1C0EC6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8D3E1EE">
            <w:r>
              <w:rPr>
                <w:rFonts w:hint="eastAsia"/>
              </w:rPr>
              <w:t>1.管理人报酬</w:t>
            </w:r>
          </w:p>
        </w:tc>
        <w:tc>
          <w:tcPr>
            <w:tcW w:w="1262" w:type="dxa"/>
            <w:vAlign w:val="center"/>
          </w:tcPr>
          <w:p w14:paraId="1B908F06">
            <w:r>
              <w:rPr>
                <w:rFonts w:hint="eastAsia"/>
              </w:rPr>
              <w:t>7.4.10.2.1</w:t>
            </w:r>
          </w:p>
        </w:tc>
        <w:tc>
          <w:tcPr>
            <w:tcW w:w="2289" w:type="dxa"/>
            <w:vAlign w:val="center"/>
          </w:tcPr>
          <w:p w14:paraId="1875492B">
            <w:pPr>
              <w:jc w:val="right"/>
            </w:pPr>
            <w:r>
              <w:rPr>
                <w:rFonts w:hint="eastAsia"/>
              </w:rPr>
              <w:t>10,304,735.97</w:t>
            </w:r>
          </w:p>
        </w:tc>
        <w:tc>
          <w:tcPr>
            <w:tcW w:w="2295" w:type="dxa"/>
            <w:vAlign w:val="center"/>
          </w:tcPr>
          <w:p w14:paraId="340D9F08">
            <w:pPr>
              <w:jc w:val="right"/>
            </w:pPr>
            <w:r>
              <w:rPr>
                <w:rFonts w:hint="eastAsia"/>
              </w:rPr>
              <w:t>6,843,546.24</w:t>
            </w:r>
          </w:p>
        </w:tc>
      </w:tr>
      <w:tr w14:paraId="44D8EA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CFE5451">
            <w:r>
              <w:rPr>
                <w:rFonts w:hint="eastAsia"/>
              </w:rPr>
              <w:t>其中：暂估管理人报酬</w:t>
            </w:r>
          </w:p>
        </w:tc>
        <w:tc>
          <w:tcPr>
            <w:tcW w:w="1262" w:type="dxa"/>
            <w:vAlign w:val="center"/>
          </w:tcPr>
          <w:p w14:paraId="1FB2BC2F"/>
        </w:tc>
        <w:tc>
          <w:tcPr>
            <w:tcW w:w="2289" w:type="dxa"/>
            <w:vAlign w:val="center"/>
          </w:tcPr>
          <w:p w14:paraId="345B71AF">
            <w:pPr>
              <w:jc w:val="right"/>
            </w:pPr>
            <w:r>
              <w:rPr>
                <w:rFonts w:hint="eastAsia"/>
              </w:rPr>
              <w:t>-</w:t>
            </w:r>
          </w:p>
        </w:tc>
        <w:tc>
          <w:tcPr>
            <w:tcW w:w="2295" w:type="dxa"/>
            <w:vAlign w:val="center"/>
          </w:tcPr>
          <w:p w14:paraId="679711F9">
            <w:pPr>
              <w:jc w:val="right"/>
            </w:pPr>
            <w:r>
              <w:rPr>
                <w:rFonts w:hint="eastAsia"/>
              </w:rPr>
              <w:t>-</w:t>
            </w:r>
          </w:p>
        </w:tc>
      </w:tr>
      <w:tr w14:paraId="4133D1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7F044B4">
            <w:r>
              <w:rPr>
                <w:rFonts w:hint="eastAsia"/>
              </w:rPr>
              <w:t>2.托管费</w:t>
            </w:r>
          </w:p>
        </w:tc>
        <w:tc>
          <w:tcPr>
            <w:tcW w:w="1262" w:type="dxa"/>
            <w:vAlign w:val="center"/>
          </w:tcPr>
          <w:p w14:paraId="5998CAF1">
            <w:r>
              <w:rPr>
                <w:rFonts w:hint="eastAsia"/>
              </w:rPr>
              <w:t>7.4.10.2.2</w:t>
            </w:r>
          </w:p>
        </w:tc>
        <w:tc>
          <w:tcPr>
            <w:tcW w:w="2289" w:type="dxa"/>
            <w:vAlign w:val="center"/>
          </w:tcPr>
          <w:p w14:paraId="1EC3E3EA">
            <w:pPr>
              <w:jc w:val="right"/>
            </w:pPr>
            <w:r>
              <w:rPr>
                <w:rFonts w:hint="eastAsia"/>
              </w:rPr>
              <w:t>2,576,184.02</w:t>
            </w:r>
          </w:p>
        </w:tc>
        <w:tc>
          <w:tcPr>
            <w:tcW w:w="2295" w:type="dxa"/>
            <w:vAlign w:val="center"/>
          </w:tcPr>
          <w:p w14:paraId="4F578CCF">
            <w:pPr>
              <w:jc w:val="right"/>
            </w:pPr>
            <w:r>
              <w:rPr>
                <w:rFonts w:hint="eastAsia"/>
              </w:rPr>
              <w:t>1,710,886.65</w:t>
            </w:r>
          </w:p>
        </w:tc>
      </w:tr>
      <w:tr w14:paraId="48429A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4AF3CF3">
            <w:r>
              <w:rPr>
                <w:rFonts w:hint="eastAsia"/>
              </w:rPr>
              <w:t>3.销售服务费</w:t>
            </w:r>
          </w:p>
        </w:tc>
        <w:tc>
          <w:tcPr>
            <w:tcW w:w="1262" w:type="dxa"/>
            <w:vAlign w:val="center"/>
          </w:tcPr>
          <w:p w14:paraId="18DE05D4">
            <w:r>
              <w:rPr>
                <w:rFonts w:hint="eastAsia"/>
              </w:rPr>
              <w:t>7.4.10.2.3</w:t>
            </w:r>
          </w:p>
        </w:tc>
        <w:tc>
          <w:tcPr>
            <w:tcW w:w="2289" w:type="dxa"/>
            <w:vAlign w:val="center"/>
          </w:tcPr>
          <w:p w14:paraId="02AA6169">
            <w:pPr>
              <w:jc w:val="right"/>
            </w:pPr>
            <w:r>
              <w:rPr>
                <w:rFonts w:hint="eastAsia"/>
              </w:rPr>
              <w:t>10,304,735.97</w:t>
            </w:r>
          </w:p>
        </w:tc>
        <w:tc>
          <w:tcPr>
            <w:tcW w:w="2295" w:type="dxa"/>
            <w:vAlign w:val="center"/>
          </w:tcPr>
          <w:p w14:paraId="15142A04">
            <w:pPr>
              <w:jc w:val="right"/>
            </w:pPr>
            <w:r>
              <w:rPr>
                <w:rFonts w:hint="eastAsia"/>
              </w:rPr>
              <w:t>6,843,546.24</w:t>
            </w:r>
          </w:p>
        </w:tc>
      </w:tr>
      <w:tr w14:paraId="4613A1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D99BCA6">
            <w:r>
              <w:rPr>
                <w:rFonts w:hint="eastAsia"/>
              </w:rPr>
              <w:t>4.投资顾问费</w:t>
            </w:r>
          </w:p>
        </w:tc>
        <w:tc>
          <w:tcPr>
            <w:tcW w:w="1262" w:type="dxa"/>
            <w:vAlign w:val="center"/>
          </w:tcPr>
          <w:p w14:paraId="6DDDA690"/>
        </w:tc>
        <w:tc>
          <w:tcPr>
            <w:tcW w:w="2289" w:type="dxa"/>
            <w:vAlign w:val="center"/>
          </w:tcPr>
          <w:p w14:paraId="0B153E3B">
            <w:pPr>
              <w:jc w:val="right"/>
            </w:pPr>
            <w:r>
              <w:rPr>
                <w:rFonts w:hint="eastAsia"/>
              </w:rPr>
              <w:t>-</w:t>
            </w:r>
          </w:p>
        </w:tc>
        <w:tc>
          <w:tcPr>
            <w:tcW w:w="2295" w:type="dxa"/>
            <w:vAlign w:val="center"/>
          </w:tcPr>
          <w:p w14:paraId="51A7F0EB">
            <w:pPr>
              <w:jc w:val="right"/>
            </w:pPr>
            <w:r>
              <w:rPr>
                <w:rFonts w:hint="eastAsia"/>
              </w:rPr>
              <w:t>-</w:t>
            </w:r>
          </w:p>
        </w:tc>
      </w:tr>
      <w:tr w14:paraId="32F43D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48D6CD7">
            <w:r>
              <w:rPr>
                <w:rFonts w:hint="eastAsia"/>
              </w:rPr>
              <w:t>5.利息支出</w:t>
            </w:r>
          </w:p>
        </w:tc>
        <w:tc>
          <w:tcPr>
            <w:tcW w:w="1262" w:type="dxa"/>
            <w:vAlign w:val="center"/>
          </w:tcPr>
          <w:p w14:paraId="31A3411F"/>
        </w:tc>
        <w:tc>
          <w:tcPr>
            <w:tcW w:w="2289" w:type="dxa"/>
            <w:vAlign w:val="center"/>
          </w:tcPr>
          <w:p w14:paraId="4273898D">
            <w:pPr>
              <w:jc w:val="right"/>
            </w:pPr>
            <w:r>
              <w:rPr>
                <w:rFonts w:hint="eastAsia"/>
              </w:rPr>
              <w:t>10,631,390.41</w:t>
            </w:r>
          </w:p>
        </w:tc>
        <w:tc>
          <w:tcPr>
            <w:tcW w:w="2295" w:type="dxa"/>
            <w:vAlign w:val="center"/>
          </w:tcPr>
          <w:p w14:paraId="33D5C5E4">
            <w:pPr>
              <w:jc w:val="right"/>
            </w:pPr>
            <w:r>
              <w:rPr>
                <w:rFonts w:hint="eastAsia"/>
              </w:rPr>
              <w:t>5,167,807.36</w:t>
            </w:r>
          </w:p>
        </w:tc>
      </w:tr>
      <w:tr w14:paraId="6644C3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A53730B">
            <w:r>
              <w:rPr>
                <w:rFonts w:hint="eastAsia"/>
              </w:rPr>
              <w:t>其中：卖出回购金融资产支出</w:t>
            </w:r>
          </w:p>
        </w:tc>
        <w:tc>
          <w:tcPr>
            <w:tcW w:w="1262" w:type="dxa"/>
            <w:vAlign w:val="center"/>
          </w:tcPr>
          <w:p w14:paraId="74AF5175"/>
        </w:tc>
        <w:tc>
          <w:tcPr>
            <w:tcW w:w="2289" w:type="dxa"/>
            <w:vAlign w:val="center"/>
          </w:tcPr>
          <w:p w14:paraId="29FA3D0D">
            <w:pPr>
              <w:jc w:val="right"/>
            </w:pPr>
            <w:r>
              <w:rPr>
                <w:rFonts w:hint="eastAsia"/>
              </w:rPr>
              <w:t>10,631,390.41</w:t>
            </w:r>
          </w:p>
        </w:tc>
        <w:tc>
          <w:tcPr>
            <w:tcW w:w="2295" w:type="dxa"/>
            <w:vAlign w:val="center"/>
          </w:tcPr>
          <w:p w14:paraId="6CDD41DF">
            <w:pPr>
              <w:jc w:val="right"/>
            </w:pPr>
            <w:r>
              <w:rPr>
                <w:rFonts w:hint="eastAsia"/>
              </w:rPr>
              <w:t>5,167,807.36</w:t>
            </w:r>
          </w:p>
        </w:tc>
      </w:tr>
      <w:tr w14:paraId="518868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9738DA9">
            <w:r>
              <w:rPr>
                <w:rFonts w:hint="eastAsia"/>
              </w:rPr>
              <w:t>6.信用减值损失</w:t>
            </w:r>
          </w:p>
        </w:tc>
        <w:tc>
          <w:tcPr>
            <w:tcW w:w="1262" w:type="dxa"/>
            <w:vAlign w:val="center"/>
          </w:tcPr>
          <w:p w14:paraId="1AE9E518"/>
        </w:tc>
        <w:tc>
          <w:tcPr>
            <w:tcW w:w="2289" w:type="dxa"/>
            <w:vAlign w:val="center"/>
          </w:tcPr>
          <w:p w14:paraId="486561C0">
            <w:pPr>
              <w:jc w:val="right"/>
            </w:pPr>
            <w:r>
              <w:rPr>
                <w:rFonts w:hint="eastAsia"/>
              </w:rPr>
              <w:t>-</w:t>
            </w:r>
          </w:p>
        </w:tc>
        <w:tc>
          <w:tcPr>
            <w:tcW w:w="2295" w:type="dxa"/>
            <w:vAlign w:val="center"/>
          </w:tcPr>
          <w:p w14:paraId="3265D47C">
            <w:pPr>
              <w:jc w:val="right"/>
            </w:pPr>
            <w:r>
              <w:rPr>
                <w:rFonts w:hint="eastAsia"/>
              </w:rPr>
              <w:t>-</w:t>
            </w:r>
          </w:p>
        </w:tc>
      </w:tr>
      <w:tr w14:paraId="02867C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E0BC8B7">
            <w:r>
              <w:rPr>
                <w:rFonts w:hint="eastAsia"/>
              </w:rPr>
              <w:t>7.税金及附加</w:t>
            </w:r>
          </w:p>
        </w:tc>
        <w:tc>
          <w:tcPr>
            <w:tcW w:w="1262" w:type="dxa"/>
            <w:vAlign w:val="center"/>
          </w:tcPr>
          <w:p w14:paraId="764B485F"/>
        </w:tc>
        <w:tc>
          <w:tcPr>
            <w:tcW w:w="2289" w:type="dxa"/>
            <w:vAlign w:val="center"/>
          </w:tcPr>
          <w:p w14:paraId="5A38501B">
            <w:pPr>
              <w:jc w:val="right"/>
            </w:pPr>
            <w:r>
              <w:rPr>
                <w:rFonts w:hint="eastAsia"/>
              </w:rPr>
              <w:t>14,834.67</w:t>
            </w:r>
          </w:p>
        </w:tc>
        <w:tc>
          <w:tcPr>
            <w:tcW w:w="2295" w:type="dxa"/>
            <w:vAlign w:val="center"/>
          </w:tcPr>
          <w:p w14:paraId="3645CF60">
            <w:pPr>
              <w:jc w:val="right"/>
            </w:pPr>
            <w:r>
              <w:rPr>
                <w:rFonts w:hint="eastAsia"/>
              </w:rPr>
              <w:t>12,222.54</w:t>
            </w:r>
          </w:p>
        </w:tc>
      </w:tr>
      <w:tr w14:paraId="5EE9AB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A9115DF">
            <w:r>
              <w:rPr>
                <w:rFonts w:hint="eastAsia"/>
              </w:rPr>
              <w:t>8.其他费用</w:t>
            </w:r>
          </w:p>
        </w:tc>
        <w:tc>
          <w:tcPr>
            <w:tcW w:w="1262" w:type="dxa"/>
            <w:vAlign w:val="center"/>
          </w:tcPr>
          <w:p w14:paraId="4B1162EB">
            <w:r>
              <w:rPr>
                <w:rFonts w:hint="eastAsia"/>
              </w:rPr>
              <w:t>7.4.7.18</w:t>
            </w:r>
          </w:p>
        </w:tc>
        <w:tc>
          <w:tcPr>
            <w:tcW w:w="2289" w:type="dxa"/>
            <w:vAlign w:val="center"/>
          </w:tcPr>
          <w:p w14:paraId="4087526C">
            <w:pPr>
              <w:jc w:val="right"/>
            </w:pPr>
            <w:r>
              <w:rPr>
                <w:rFonts w:hint="eastAsia"/>
              </w:rPr>
              <w:t>246,500.00</w:t>
            </w:r>
          </w:p>
        </w:tc>
        <w:tc>
          <w:tcPr>
            <w:tcW w:w="2295" w:type="dxa"/>
            <w:vAlign w:val="center"/>
          </w:tcPr>
          <w:p w14:paraId="4940D32C">
            <w:pPr>
              <w:jc w:val="right"/>
            </w:pPr>
            <w:r>
              <w:rPr>
                <w:rFonts w:hint="eastAsia"/>
              </w:rPr>
              <w:t>237,200.00</w:t>
            </w:r>
          </w:p>
        </w:tc>
      </w:tr>
      <w:tr w14:paraId="6A2530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904E2E6">
            <w:r>
              <w:rPr>
                <w:rFonts w:hint="eastAsia"/>
              </w:rPr>
              <w:t>三、利润总额（亏损总额以“-”号填列）</w:t>
            </w:r>
          </w:p>
        </w:tc>
        <w:tc>
          <w:tcPr>
            <w:tcW w:w="1262" w:type="dxa"/>
            <w:vAlign w:val="center"/>
          </w:tcPr>
          <w:p w14:paraId="04A230DC"/>
        </w:tc>
        <w:tc>
          <w:tcPr>
            <w:tcW w:w="2289" w:type="dxa"/>
            <w:vAlign w:val="center"/>
          </w:tcPr>
          <w:p w14:paraId="632559A5">
            <w:pPr>
              <w:jc w:val="right"/>
            </w:pPr>
            <w:r>
              <w:rPr>
                <w:rFonts w:hint="eastAsia"/>
              </w:rPr>
              <w:t>68,038,868.01</w:t>
            </w:r>
          </w:p>
        </w:tc>
        <w:tc>
          <w:tcPr>
            <w:tcW w:w="2295" w:type="dxa"/>
            <w:vAlign w:val="center"/>
          </w:tcPr>
          <w:p w14:paraId="29760BCB">
            <w:pPr>
              <w:jc w:val="right"/>
            </w:pPr>
            <w:r>
              <w:rPr>
                <w:rFonts w:hint="eastAsia"/>
              </w:rPr>
              <w:t>77,560,415.55</w:t>
            </w:r>
          </w:p>
        </w:tc>
      </w:tr>
      <w:tr w14:paraId="64C4EF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AD0E732">
            <w:r>
              <w:rPr>
                <w:rFonts w:hint="eastAsia"/>
              </w:rPr>
              <w:t>减：所得税费用</w:t>
            </w:r>
          </w:p>
        </w:tc>
        <w:tc>
          <w:tcPr>
            <w:tcW w:w="1262" w:type="dxa"/>
            <w:vAlign w:val="center"/>
          </w:tcPr>
          <w:p w14:paraId="49BF4C54"/>
        </w:tc>
        <w:tc>
          <w:tcPr>
            <w:tcW w:w="2289" w:type="dxa"/>
            <w:vAlign w:val="center"/>
          </w:tcPr>
          <w:p w14:paraId="30C9333E">
            <w:pPr>
              <w:jc w:val="right"/>
            </w:pPr>
            <w:r>
              <w:rPr>
                <w:rFonts w:hint="eastAsia"/>
              </w:rPr>
              <w:t>-</w:t>
            </w:r>
          </w:p>
        </w:tc>
        <w:tc>
          <w:tcPr>
            <w:tcW w:w="2295" w:type="dxa"/>
            <w:vAlign w:val="center"/>
          </w:tcPr>
          <w:p w14:paraId="6AB42645">
            <w:pPr>
              <w:jc w:val="right"/>
            </w:pPr>
            <w:r>
              <w:rPr>
                <w:rFonts w:hint="eastAsia"/>
              </w:rPr>
              <w:t>-</w:t>
            </w:r>
          </w:p>
        </w:tc>
      </w:tr>
      <w:tr w14:paraId="49AE9B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533D13A">
            <w:r>
              <w:rPr>
                <w:rFonts w:hint="eastAsia"/>
              </w:rPr>
              <w:t>四、净利润（净亏损以“-”号填列）</w:t>
            </w:r>
          </w:p>
        </w:tc>
        <w:tc>
          <w:tcPr>
            <w:tcW w:w="1262" w:type="dxa"/>
            <w:vAlign w:val="center"/>
          </w:tcPr>
          <w:p w14:paraId="3FB81E0B"/>
        </w:tc>
        <w:tc>
          <w:tcPr>
            <w:tcW w:w="2289" w:type="dxa"/>
            <w:vAlign w:val="center"/>
          </w:tcPr>
          <w:p w14:paraId="79B48003">
            <w:pPr>
              <w:jc w:val="right"/>
            </w:pPr>
            <w:r>
              <w:rPr>
                <w:rFonts w:hint="eastAsia"/>
              </w:rPr>
              <w:t>68,038,868.01</w:t>
            </w:r>
          </w:p>
        </w:tc>
        <w:tc>
          <w:tcPr>
            <w:tcW w:w="2295" w:type="dxa"/>
            <w:vAlign w:val="center"/>
          </w:tcPr>
          <w:p w14:paraId="42377E4F">
            <w:pPr>
              <w:jc w:val="right"/>
            </w:pPr>
            <w:r>
              <w:rPr>
                <w:rFonts w:hint="eastAsia"/>
              </w:rPr>
              <w:t>77,560,415.55</w:t>
            </w:r>
          </w:p>
        </w:tc>
      </w:tr>
      <w:tr w14:paraId="07CCDB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C30D927">
            <w:r>
              <w:rPr>
                <w:rFonts w:hint="eastAsia"/>
              </w:rPr>
              <w:t>五、其他综合收益的税后净额</w:t>
            </w:r>
          </w:p>
        </w:tc>
        <w:tc>
          <w:tcPr>
            <w:tcW w:w="1262" w:type="dxa"/>
            <w:vAlign w:val="center"/>
          </w:tcPr>
          <w:p w14:paraId="5A7AD1A2"/>
        </w:tc>
        <w:tc>
          <w:tcPr>
            <w:tcW w:w="2289" w:type="dxa"/>
            <w:vAlign w:val="center"/>
          </w:tcPr>
          <w:p w14:paraId="0675CBBF">
            <w:pPr>
              <w:jc w:val="right"/>
            </w:pPr>
            <w:r>
              <w:rPr>
                <w:rFonts w:hint="eastAsia"/>
              </w:rPr>
              <w:t>-</w:t>
            </w:r>
          </w:p>
        </w:tc>
        <w:tc>
          <w:tcPr>
            <w:tcW w:w="2295" w:type="dxa"/>
            <w:vAlign w:val="center"/>
          </w:tcPr>
          <w:p w14:paraId="1BE88F68">
            <w:pPr>
              <w:jc w:val="right"/>
            </w:pPr>
            <w:r>
              <w:rPr>
                <w:rFonts w:hint="eastAsia"/>
              </w:rPr>
              <w:t>-</w:t>
            </w:r>
          </w:p>
        </w:tc>
      </w:tr>
      <w:tr w14:paraId="3D5397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D9B782D">
            <w:r>
              <w:rPr>
                <w:rFonts w:hint="eastAsia"/>
              </w:rPr>
              <w:t>六、综合收益总额</w:t>
            </w:r>
          </w:p>
        </w:tc>
        <w:tc>
          <w:tcPr>
            <w:tcW w:w="1262" w:type="dxa"/>
            <w:vAlign w:val="center"/>
          </w:tcPr>
          <w:p w14:paraId="48A36151"/>
        </w:tc>
        <w:tc>
          <w:tcPr>
            <w:tcW w:w="2289" w:type="dxa"/>
            <w:vAlign w:val="center"/>
          </w:tcPr>
          <w:p w14:paraId="726FEB61">
            <w:pPr>
              <w:jc w:val="right"/>
            </w:pPr>
            <w:r>
              <w:rPr>
                <w:rFonts w:hint="eastAsia"/>
              </w:rPr>
              <w:t>68,038,868.01</w:t>
            </w:r>
          </w:p>
        </w:tc>
        <w:tc>
          <w:tcPr>
            <w:tcW w:w="2295" w:type="dxa"/>
            <w:vAlign w:val="center"/>
          </w:tcPr>
          <w:p w14:paraId="6811473E">
            <w:pPr>
              <w:jc w:val="right"/>
            </w:pPr>
            <w:r>
              <w:rPr>
                <w:rFonts w:hint="eastAsia"/>
              </w:rPr>
              <w:t>77,560,415.55</w:t>
            </w:r>
          </w:p>
        </w:tc>
      </w:tr>
    </w:tbl>
    <w:p w14:paraId="257E9A89">
      <w:pPr>
        <w:pStyle w:val="23"/>
      </w:pPr>
      <w:bookmarkStart w:id="47" w:name="_Toc12903"/>
      <w:r>
        <w:t>净资产变动表</w:t>
      </w:r>
      <w:bookmarkEnd w:id="47"/>
    </w:p>
    <w:p w14:paraId="332D6691">
      <w:pPr>
        <w:pStyle w:val="18"/>
        <w:rPr>
          <w:rFonts w:hint="eastAsia"/>
        </w:rPr>
      </w:pPr>
      <w:r>
        <w:rPr>
          <w:rFonts w:hint="eastAsia"/>
        </w:rPr>
        <w:t>会计主体：南方中证同业存单AAA指数7天持有期证券投资基金</w:t>
      </w:r>
    </w:p>
    <w:p w14:paraId="4E7A8ACF">
      <w:pPr>
        <w:pStyle w:val="18"/>
        <w:rPr>
          <w:rFonts w:hint="eastAsia"/>
        </w:rPr>
      </w:pPr>
      <w:r>
        <w:rPr>
          <w:rFonts w:hint="eastAsia"/>
        </w:rPr>
        <w:t>本报告期：2025年1月1日至2025年12月31日</w:t>
      </w:r>
    </w:p>
    <w:p w14:paraId="2F476002">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7C7D40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1FA98534">
            <w:r>
              <w:rPr>
                <w:rFonts w:hint="eastAsia"/>
              </w:rPr>
              <w:t>项目</w:t>
            </w:r>
          </w:p>
        </w:tc>
        <w:tc>
          <w:tcPr>
            <w:tcW w:w="1661" w:type="dxa"/>
            <w:gridSpan w:val="4"/>
            <w:vAlign w:val="center"/>
          </w:tcPr>
          <w:p w14:paraId="75411317">
            <w:r>
              <w:rPr>
                <w:rFonts w:hint="eastAsia"/>
              </w:rPr>
              <w:t>本期2025年1月1日至2025年12月31日</w:t>
            </w:r>
          </w:p>
        </w:tc>
      </w:tr>
      <w:tr w14:paraId="1967EC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6422F866"/>
        </w:tc>
        <w:tc>
          <w:tcPr>
            <w:tcW w:w="1661" w:type="dxa"/>
            <w:vAlign w:val="center"/>
          </w:tcPr>
          <w:p w14:paraId="77084247">
            <w:r>
              <w:rPr>
                <w:rFonts w:hint="eastAsia"/>
              </w:rPr>
              <w:t>实收基金</w:t>
            </w:r>
          </w:p>
        </w:tc>
        <w:tc>
          <w:tcPr>
            <w:tcW w:w="1661" w:type="dxa"/>
            <w:vAlign w:val="center"/>
          </w:tcPr>
          <w:p w14:paraId="05CDE91C">
            <w:r>
              <w:rPr>
                <w:rFonts w:hint="eastAsia"/>
              </w:rPr>
              <w:t>其他综合收益</w:t>
            </w:r>
          </w:p>
        </w:tc>
        <w:tc>
          <w:tcPr>
            <w:tcW w:w="1661" w:type="dxa"/>
            <w:vAlign w:val="center"/>
          </w:tcPr>
          <w:p w14:paraId="33B107E7">
            <w:r>
              <w:rPr>
                <w:rFonts w:hint="eastAsia"/>
              </w:rPr>
              <w:t>未分配利润</w:t>
            </w:r>
          </w:p>
        </w:tc>
        <w:tc>
          <w:tcPr>
            <w:tcW w:w="1661" w:type="dxa"/>
            <w:vAlign w:val="center"/>
          </w:tcPr>
          <w:p w14:paraId="27836CBB">
            <w:r>
              <w:rPr>
                <w:rFonts w:hint="eastAsia"/>
              </w:rPr>
              <w:t>净资产合计</w:t>
            </w:r>
          </w:p>
        </w:tc>
      </w:tr>
      <w:tr w14:paraId="2E153E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12C7AC8">
            <w:r>
              <w:rPr>
                <w:rFonts w:hint="eastAsia"/>
              </w:rPr>
              <w:t>一、上期期末净资产</w:t>
            </w:r>
          </w:p>
        </w:tc>
        <w:tc>
          <w:tcPr>
            <w:tcW w:w="1661" w:type="dxa"/>
            <w:vAlign w:val="center"/>
          </w:tcPr>
          <w:p w14:paraId="2A69436F">
            <w:pPr>
              <w:jc w:val="right"/>
            </w:pPr>
            <w:r>
              <w:rPr>
                <w:rFonts w:hint="eastAsia"/>
              </w:rPr>
              <w:t>3,436,465,719.57</w:t>
            </w:r>
          </w:p>
        </w:tc>
        <w:tc>
          <w:tcPr>
            <w:tcW w:w="1661" w:type="dxa"/>
            <w:vAlign w:val="center"/>
          </w:tcPr>
          <w:p w14:paraId="6830C9C2">
            <w:pPr>
              <w:jc w:val="right"/>
            </w:pPr>
            <w:r>
              <w:rPr>
                <w:rFonts w:hint="eastAsia"/>
              </w:rPr>
              <w:t>-</w:t>
            </w:r>
          </w:p>
        </w:tc>
        <w:tc>
          <w:tcPr>
            <w:tcW w:w="1661" w:type="dxa"/>
            <w:vAlign w:val="center"/>
          </w:tcPr>
          <w:p w14:paraId="44604610">
            <w:pPr>
              <w:jc w:val="right"/>
            </w:pPr>
            <w:r>
              <w:rPr>
                <w:rFonts w:hint="eastAsia"/>
              </w:rPr>
              <w:t>246,338,495.40</w:t>
            </w:r>
          </w:p>
        </w:tc>
        <w:tc>
          <w:tcPr>
            <w:tcW w:w="1661" w:type="dxa"/>
            <w:vAlign w:val="center"/>
          </w:tcPr>
          <w:p w14:paraId="04F86432">
            <w:pPr>
              <w:jc w:val="right"/>
            </w:pPr>
            <w:r>
              <w:rPr>
                <w:rFonts w:hint="eastAsia"/>
              </w:rPr>
              <w:t>3,682,804,214.97</w:t>
            </w:r>
          </w:p>
        </w:tc>
      </w:tr>
      <w:tr w14:paraId="038ACC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69A51D4">
            <w:r>
              <w:rPr>
                <w:rFonts w:hint="eastAsia"/>
              </w:rPr>
              <w:t>加：会计政策变更</w:t>
            </w:r>
          </w:p>
        </w:tc>
        <w:tc>
          <w:tcPr>
            <w:tcW w:w="1661" w:type="dxa"/>
            <w:vAlign w:val="center"/>
          </w:tcPr>
          <w:p w14:paraId="0EA8156F">
            <w:pPr>
              <w:jc w:val="right"/>
            </w:pPr>
            <w:r>
              <w:rPr>
                <w:rFonts w:hint="eastAsia"/>
              </w:rPr>
              <w:t>-</w:t>
            </w:r>
          </w:p>
        </w:tc>
        <w:tc>
          <w:tcPr>
            <w:tcW w:w="1661" w:type="dxa"/>
            <w:vAlign w:val="center"/>
          </w:tcPr>
          <w:p w14:paraId="14A274F3">
            <w:pPr>
              <w:jc w:val="right"/>
            </w:pPr>
            <w:r>
              <w:rPr>
                <w:rFonts w:hint="eastAsia"/>
              </w:rPr>
              <w:t>-</w:t>
            </w:r>
          </w:p>
        </w:tc>
        <w:tc>
          <w:tcPr>
            <w:tcW w:w="1661" w:type="dxa"/>
            <w:vAlign w:val="center"/>
          </w:tcPr>
          <w:p w14:paraId="1117EEC9">
            <w:pPr>
              <w:jc w:val="right"/>
            </w:pPr>
            <w:r>
              <w:rPr>
                <w:rFonts w:hint="eastAsia"/>
              </w:rPr>
              <w:t>-</w:t>
            </w:r>
          </w:p>
        </w:tc>
        <w:tc>
          <w:tcPr>
            <w:tcW w:w="1661" w:type="dxa"/>
            <w:vAlign w:val="center"/>
          </w:tcPr>
          <w:p w14:paraId="6198177D">
            <w:pPr>
              <w:jc w:val="right"/>
            </w:pPr>
            <w:r>
              <w:rPr>
                <w:rFonts w:hint="eastAsia"/>
              </w:rPr>
              <w:t>-</w:t>
            </w:r>
          </w:p>
        </w:tc>
      </w:tr>
      <w:tr w14:paraId="67A34C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CB3A8D7">
            <w:r>
              <w:rPr>
                <w:rFonts w:hint="eastAsia"/>
              </w:rPr>
              <w:t xml:space="preserve">    前期差错更正</w:t>
            </w:r>
          </w:p>
        </w:tc>
        <w:tc>
          <w:tcPr>
            <w:tcW w:w="1661" w:type="dxa"/>
            <w:vAlign w:val="center"/>
          </w:tcPr>
          <w:p w14:paraId="339D5565">
            <w:pPr>
              <w:jc w:val="right"/>
            </w:pPr>
            <w:r>
              <w:rPr>
                <w:rFonts w:hint="eastAsia"/>
              </w:rPr>
              <w:t>-</w:t>
            </w:r>
          </w:p>
        </w:tc>
        <w:tc>
          <w:tcPr>
            <w:tcW w:w="1661" w:type="dxa"/>
            <w:vAlign w:val="center"/>
          </w:tcPr>
          <w:p w14:paraId="76A48916">
            <w:pPr>
              <w:jc w:val="right"/>
            </w:pPr>
            <w:r>
              <w:rPr>
                <w:rFonts w:hint="eastAsia"/>
              </w:rPr>
              <w:t>-</w:t>
            </w:r>
          </w:p>
        </w:tc>
        <w:tc>
          <w:tcPr>
            <w:tcW w:w="1661" w:type="dxa"/>
            <w:vAlign w:val="center"/>
          </w:tcPr>
          <w:p w14:paraId="2F2DD697">
            <w:pPr>
              <w:jc w:val="right"/>
            </w:pPr>
            <w:r>
              <w:rPr>
                <w:rFonts w:hint="eastAsia"/>
              </w:rPr>
              <w:t>-</w:t>
            </w:r>
          </w:p>
        </w:tc>
        <w:tc>
          <w:tcPr>
            <w:tcW w:w="1661" w:type="dxa"/>
            <w:vAlign w:val="center"/>
          </w:tcPr>
          <w:p w14:paraId="41C71C20">
            <w:pPr>
              <w:jc w:val="right"/>
            </w:pPr>
            <w:r>
              <w:rPr>
                <w:rFonts w:hint="eastAsia"/>
              </w:rPr>
              <w:t>-</w:t>
            </w:r>
          </w:p>
        </w:tc>
      </w:tr>
      <w:tr w14:paraId="2FD807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7D8C3DE">
            <w:r>
              <w:rPr>
                <w:rFonts w:hint="eastAsia"/>
              </w:rPr>
              <w:t xml:space="preserve">    其他</w:t>
            </w:r>
          </w:p>
        </w:tc>
        <w:tc>
          <w:tcPr>
            <w:tcW w:w="1661" w:type="dxa"/>
            <w:vAlign w:val="center"/>
          </w:tcPr>
          <w:p w14:paraId="089A2E82">
            <w:pPr>
              <w:jc w:val="right"/>
            </w:pPr>
            <w:r>
              <w:rPr>
                <w:rFonts w:hint="eastAsia"/>
              </w:rPr>
              <w:t>-</w:t>
            </w:r>
          </w:p>
        </w:tc>
        <w:tc>
          <w:tcPr>
            <w:tcW w:w="1661" w:type="dxa"/>
            <w:vAlign w:val="center"/>
          </w:tcPr>
          <w:p w14:paraId="0ED155A6">
            <w:pPr>
              <w:jc w:val="right"/>
            </w:pPr>
            <w:r>
              <w:rPr>
                <w:rFonts w:hint="eastAsia"/>
              </w:rPr>
              <w:t>-</w:t>
            </w:r>
          </w:p>
        </w:tc>
        <w:tc>
          <w:tcPr>
            <w:tcW w:w="1661" w:type="dxa"/>
            <w:vAlign w:val="center"/>
          </w:tcPr>
          <w:p w14:paraId="6FFA3FF7">
            <w:pPr>
              <w:jc w:val="right"/>
            </w:pPr>
            <w:r>
              <w:rPr>
                <w:rFonts w:hint="eastAsia"/>
              </w:rPr>
              <w:t>-</w:t>
            </w:r>
          </w:p>
        </w:tc>
        <w:tc>
          <w:tcPr>
            <w:tcW w:w="1661" w:type="dxa"/>
            <w:vAlign w:val="center"/>
          </w:tcPr>
          <w:p w14:paraId="463808A5">
            <w:pPr>
              <w:jc w:val="right"/>
            </w:pPr>
            <w:r>
              <w:rPr>
                <w:rFonts w:hint="eastAsia"/>
              </w:rPr>
              <w:t>-</w:t>
            </w:r>
          </w:p>
        </w:tc>
      </w:tr>
      <w:tr w14:paraId="0D4E34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D36B374">
            <w:r>
              <w:rPr>
                <w:rFonts w:hint="eastAsia"/>
              </w:rPr>
              <w:t>二、本期期初净资产</w:t>
            </w:r>
          </w:p>
        </w:tc>
        <w:tc>
          <w:tcPr>
            <w:tcW w:w="1661" w:type="dxa"/>
            <w:vAlign w:val="center"/>
          </w:tcPr>
          <w:p w14:paraId="6C3203B0">
            <w:pPr>
              <w:jc w:val="right"/>
            </w:pPr>
            <w:r>
              <w:rPr>
                <w:rFonts w:hint="eastAsia"/>
              </w:rPr>
              <w:t>3,436,465,719.57</w:t>
            </w:r>
          </w:p>
        </w:tc>
        <w:tc>
          <w:tcPr>
            <w:tcW w:w="1661" w:type="dxa"/>
            <w:vAlign w:val="center"/>
          </w:tcPr>
          <w:p w14:paraId="6B1F5AC8">
            <w:pPr>
              <w:jc w:val="right"/>
            </w:pPr>
            <w:r>
              <w:rPr>
                <w:rFonts w:hint="eastAsia"/>
              </w:rPr>
              <w:t>-</w:t>
            </w:r>
          </w:p>
        </w:tc>
        <w:tc>
          <w:tcPr>
            <w:tcW w:w="1661" w:type="dxa"/>
            <w:vAlign w:val="center"/>
          </w:tcPr>
          <w:p w14:paraId="0ABBCC90">
            <w:pPr>
              <w:jc w:val="right"/>
            </w:pPr>
            <w:r>
              <w:rPr>
                <w:rFonts w:hint="eastAsia"/>
              </w:rPr>
              <w:t>246,338,495.40</w:t>
            </w:r>
          </w:p>
        </w:tc>
        <w:tc>
          <w:tcPr>
            <w:tcW w:w="1661" w:type="dxa"/>
            <w:vAlign w:val="center"/>
          </w:tcPr>
          <w:p w14:paraId="2112A637">
            <w:pPr>
              <w:jc w:val="right"/>
            </w:pPr>
            <w:r>
              <w:rPr>
                <w:rFonts w:hint="eastAsia"/>
              </w:rPr>
              <w:t>3,682,804,214.97</w:t>
            </w:r>
          </w:p>
        </w:tc>
      </w:tr>
      <w:tr w14:paraId="791192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A158EEF">
            <w:r>
              <w:rPr>
                <w:rFonts w:hint="eastAsia"/>
              </w:rPr>
              <w:t>三、本期增减变动额（减少以“-”号填列）</w:t>
            </w:r>
          </w:p>
        </w:tc>
        <w:tc>
          <w:tcPr>
            <w:tcW w:w="1661" w:type="dxa"/>
            <w:vAlign w:val="center"/>
          </w:tcPr>
          <w:p w14:paraId="6A289C85">
            <w:pPr>
              <w:jc w:val="right"/>
            </w:pPr>
            <w:r>
              <w:rPr>
                <w:rFonts w:hint="eastAsia"/>
              </w:rPr>
              <w:t>3,724,212,508.94</w:t>
            </w:r>
          </w:p>
        </w:tc>
        <w:tc>
          <w:tcPr>
            <w:tcW w:w="1661" w:type="dxa"/>
            <w:vAlign w:val="center"/>
          </w:tcPr>
          <w:p w14:paraId="78C3B6C6">
            <w:pPr>
              <w:jc w:val="right"/>
            </w:pPr>
            <w:r>
              <w:rPr>
                <w:rFonts w:hint="eastAsia"/>
              </w:rPr>
              <w:t>-</w:t>
            </w:r>
          </w:p>
        </w:tc>
        <w:tc>
          <w:tcPr>
            <w:tcW w:w="1661" w:type="dxa"/>
            <w:vAlign w:val="center"/>
          </w:tcPr>
          <w:p w14:paraId="0A61E950">
            <w:pPr>
              <w:jc w:val="right"/>
            </w:pPr>
            <w:r>
              <w:rPr>
                <w:rFonts w:hint="eastAsia"/>
              </w:rPr>
              <w:t>373,256,725.75</w:t>
            </w:r>
          </w:p>
        </w:tc>
        <w:tc>
          <w:tcPr>
            <w:tcW w:w="1661" w:type="dxa"/>
            <w:vAlign w:val="center"/>
          </w:tcPr>
          <w:p w14:paraId="6F36FBCB">
            <w:pPr>
              <w:jc w:val="right"/>
            </w:pPr>
            <w:r>
              <w:rPr>
                <w:rFonts w:hint="eastAsia"/>
              </w:rPr>
              <w:t>4,097,469,234.69</w:t>
            </w:r>
          </w:p>
        </w:tc>
      </w:tr>
      <w:tr w14:paraId="397AFE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F5979B8">
            <w:r>
              <w:rPr>
                <w:rFonts w:hint="eastAsia"/>
              </w:rPr>
              <w:t>（一）、综合收益总额</w:t>
            </w:r>
          </w:p>
        </w:tc>
        <w:tc>
          <w:tcPr>
            <w:tcW w:w="1661" w:type="dxa"/>
            <w:vAlign w:val="center"/>
          </w:tcPr>
          <w:p w14:paraId="3E56538B">
            <w:pPr>
              <w:jc w:val="right"/>
            </w:pPr>
            <w:r>
              <w:rPr>
                <w:rFonts w:hint="eastAsia"/>
              </w:rPr>
              <w:t>-</w:t>
            </w:r>
          </w:p>
        </w:tc>
        <w:tc>
          <w:tcPr>
            <w:tcW w:w="1661" w:type="dxa"/>
            <w:vAlign w:val="center"/>
          </w:tcPr>
          <w:p w14:paraId="3D563CF8">
            <w:pPr>
              <w:jc w:val="right"/>
            </w:pPr>
            <w:r>
              <w:rPr>
                <w:rFonts w:hint="eastAsia"/>
              </w:rPr>
              <w:t>-</w:t>
            </w:r>
          </w:p>
        </w:tc>
        <w:tc>
          <w:tcPr>
            <w:tcW w:w="1661" w:type="dxa"/>
            <w:vAlign w:val="center"/>
          </w:tcPr>
          <w:p w14:paraId="42E41A97">
            <w:pPr>
              <w:jc w:val="right"/>
            </w:pPr>
            <w:r>
              <w:rPr>
                <w:rFonts w:hint="eastAsia"/>
              </w:rPr>
              <w:t>68,038,868.01</w:t>
            </w:r>
          </w:p>
        </w:tc>
        <w:tc>
          <w:tcPr>
            <w:tcW w:w="1661" w:type="dxa"/>
            <w:vAlign w:val="center"/>
          </w:tcPr>
          <w:p w14:paraId="0A16882C">
            <w:pPr>
              <w:jc w:val="right"/>
            </w:pPr>
            <w:r>
              <w:rPr>
                <w:rFonts w:hint="eastAsia"/>
              </w:rPr>
              <w:t>68,038,868.01</w:t>
            </w:r>
          </w:p>
        </w:tc>
      </w:tr>
      <w:tr w14:paraId="18D68F61">
        <w:tblPrEx>
          <w:tblCellMar>
            <w:top w:w="0" w:type="dxa"/>
            <w:left w:w="108" w:type="dxa"/>
            <w:bottom w:w="0" w:type="dxa"/>
            <w:right w:w="108" w:type="dxa"/>
          </w:tblCellMar>
        </w:tblPrEx>
        <w:trPr>
          <w:jc w:val="center"/>
        </w:trPr>
        <w:tc>
          <w:tcPr>
            <w:tcW w:w="1661" w:type="dxa"/>
            <w:vAlign w:val="center"/>
          </w:tcPr>
          <w:p w14:paraId="65F45C8F">
            <w:r>
              <w:rPr>
                <w:rFonts w:hint="eastAsia"/>
              </w:rPr>
              <w:t>（二）、本期基金份额交易产生的净资产变动数（净资产减少以“-”号填列）</w:t>
            </w:r>
          </w:p>
        </w:tc>
        <w:tc>
          <w:tcPr>
            <w:tcW w:w="1661" w:type="dxa"/>
            <w:vAlign w:val="center"/>
          </w:tcPr>
          <w:p w14:paraId="35827EE0">
            <w:pPr>
              <w:jc w:val="right"/>
            </w:pPr>
            <w:r>
              <w:rPr>
                <w:rFonts w:hint="eastAsia"/>
              </w:rPr>
              <w:t>3,724,212,508.94</w:t>
            </w:r>
          </w:p>
        </w:tc>
        <w:tc>
          <w:tcPr>
            <w:tcW w:w="1661" w:type="dxa"/>
            <w:vAlign w:val="center"/>
          </w:tcPr>
          <w:p w14:paraId="72C749C2">
            <w:pPr>
              <w:jc w:val="right"/>
            </w:pPr>
            <w:r>
              <w:rPr>
                <w:rFonts w:hint="eastAsia"/>
              </w:rPr>
              <w:t>-</w:t>
            </w:r>
          </w:p>
        </w:tc>
        <w:tc>
          <w:tcPr>
            <w:tcW w:w="1661" w:type="dxa"/>
            <w:vAlign w:val="center"/>
          </w:tcPr>
          <w:p w14:paraId="710B6413">
            <w:pPr>
              <w:jc w:val="right"/>
            </w:pPr>
            <w:r>
              <w:rPr>
                <w:rFonts w:hint="eastAsia"/>
              </w:rPr>
              <w:t>305,217,857.74</w:t>
            </w:r>
          </w:p>
        </w:tc>
        <w:tc>
          <w:tcPr>
            <w:tcW w:w="1661" w:type="dxa"/>
            <w:vAlign w:val="center"/>
          </w:tcPr>
          <w:p w14:paraId="3A2FC13D">
            <w:pPr>
              <w:jc w:val="right"/>
            </w:pPr>
            <w:r>
              <w:rPr>
                <w:rFonts w:hint="eastAsia"/>
              </w:rPr>
              <w:t>4,029,430,366.68</w:t>
            </w:r>
          </w:p>
        </w:tc>
      </w:tr>
      <w:tr w14:paraId="617A12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1B2C044">
            <w:r>
              <w:rPr>
                <w:rFonts w:hint="eastAsia"/>
              </w:rPr>
              <w:t>其中：1.基金申购款</w:t>
            </w:r>
          </w:p>
        </w:tc>
        <w:tc>
          <w:tcPr>
            <w:tcW w:w="1661" w:type="dxa"/>
            <w:vAlign w:val="center"/>
          </w:tcPr>
          <w:p w14:paraId="043E6A45">
            <w:pPr>
              <w:jc w:val="right"/>
            </w:pPr>
            <w:r>
              <w:rPr>
                <w:rFonts w:hint="eastAsia"/>
              </w:rPr>
              <w:t>18,961,181,959.81</w:t>
            </w:r>
          </w:p>
        </w:tc>
        <w:tc>
          <w:tcPr>
            <w:tcW w:w="1661" w:type="dxa"/>
            <w:vAlign w:val="center"/>
          </w:tcPr>
          <w:p w14:paraId="5497A162">
            <w:pPr>
              <w:jc w:val="right"/>
            </w:pPr>
            <w:r>
              <w:rPr>
                <w:rFonts w:hint="eastAsia"/>
              </w:rPr>
              <w:t>-</w:t>
            </w:r>
          </w:p>
        </w:tc>
        <w:tc>
          <w:tcPr>
            <w:tcW w:w="1661" w:type="dxa"/>
            <w:vAlign w:val="center"/>
          </w:tcPr>
          <w:p w14:paraId="5F6A0722">
            <w:pPr>
              <w:jc w:val="right"/>
            </w:pPr>
            <w:r>
              <w:rPr>
                <w:rFonts w:hint="eastAsia"/>
              </w:rPr>
              <w:t>1,525,657,051.34</w:t>
            </w:r>
          </w:p>
        </w:tc>
        <w:tc>
          <w:tcPr>
            <w:tcW w:w="1661" w:type="dxa"/>
            <w:vAlign w:val="center"/>
          </w:tcPr>
          <w:p w14:paraId="70FC68F0">
            <w:pPr>
              <w:jc w:val="right"/>
            </w:pPr>
            <w:r>
              <w:rPr>
                <w:rFonts w:hint="eastAsia"/>
              </w:rPr>
              <w:t>20,486,839,011.15</w:t>
            </w:r>
          </w:p>
        </w:tc>
      </w:tr>
      <w:tr w14:paraId="340AD3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28E4DEB">
            <w:r>
              <w:rPr>
                <w:rFonts w:hint="eastAsia"/>
              </w:rPr>
              <w:t xml:space="preserve">      2.基金赎回款</w:t>
            </w:r>
          </w:p>
        </w:tc>
        <w:tc>
          <w:tcPr>
            <w:tcW w:w="1661" w:type="dxa"/>
            <w:vAlign w:val="center"/>
          </w:tcPr>
          <w:p w14:paraId="07524D0E">
            <w:pPr>
              <w:jc w:val="right"/>
            </w:pPr>
            <w:r>
              <w:rPr>
                <w:rFonts w:hint="eastAsia"/>
              </w:rPr>
              <w:t>-15,236,969,450.87</w:t>
            </w:r>
          </w:p>
        </w:tc>
        <w:tc>
          <w:tcPr>
            <w:tcW w:w="1661" w:type="dxa"/>
            <w:vAlign w:val="center"/>
          </w:tcPr>
          <w:p w14:paraId="41D833B4">
            <w:pPr>
              <w:jc w:val="right"/>
            </w:pPr>
            <w:r>
              <w:rPr>
                <w:rFonts w:hint="eastAsia"/>
              </w:rPr>
              <w:t>-</w:t>
            </w:r>
          </w:p>
        </w:tc>
        <w:tc>
          <w:tcPr>
            <w:tcW w:w="1661" w:type="dxa"/>
            <w:vAlign w:val="center"/>
          </w:tcPr>
          <w:p w14:paraId="6408F6A5">
            <w:pPr>
              <w:jc w:val="right"/>
            </w:pPr>
            <w:r>
              <w:rPr>
                <w:rFonts w:hint="eastAsia"/>
              </w:rPr>
              <w:t>-1,220,439,193.60</w:t>
            </w:r>
          </w:p>
        </w:tc>
        <w:tc>
          <w:tcPr>
            <w:tcW w:w="1661" w:type="dxa"/>
            <w:vAlign w:val="center"/>
          </w:tcPr>
          <w:p w14:paraId="55C4FF26">
            <w:pPr>
              <w:jc w:val="right"/>
            </w:pPr>
            <w:r>
              <w:rPr>
                <w:rFonts w:hint="eastAsia"/>
              </w:rPr>
              <w:t>-16,457,408,644.47</w:t>
            </w:r>
          </w:p>
        </w:tc>
      </w:tr>
      <w:tr w14:paraId="6F2C64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4E362CF">
            <w:r>
              <w:rPr>
                <w:rFonts w:hint="eastAsia"/>
              </w:rPr>
              <w:t>（三）、本期向基金份额持有人分配利润产生的净资产变动（净资产减少以“-”号填列）</w:t>
            </w:r>
          </w:p>
        </w:tc>
        <w:tc>
          <w:tcPr>
            <w:tcW w:w="1661" w:type="dxa"/>
            <w:vAlign w:val="center"/>
          </w:tcPr>
          <w:p w14:paraId="77ECC78F">
            <w:pPr>
              <w:jc w:val="right"/>
            </w:pPr>
            <w:r>
              <w:rPr>
                <w:rFonts w:hint="eastAsia"/>
              </w:rPr>
              <w:t>-</w:t>
            </w:r>
          </w:p>
        </w:tc>
        <w:tc>
          <w:tcPr>
            <w:tcW w:w="1661" w:type="dxa"/>
            <w:vAlign w:val="center"/>
          </w:tcPr>
          <w:p w14:paraId="0B7EB05B">
            <w:pPr>
              <w:jc w:val="right"/>
            </w:pPr>
            <w:r>
              <w:rPr>
                <w:rFonts w:hint="eastAsia"/>
              </w:rPr>
              <w:t>-</w:t>
            </w:r>
          </w:p>
        </w:tc>
        <w:tc>
          <w:tcPr>
            <w:tcW w:w="1661" w:type="dxa"/>
            <w:vAlign w:val="center"/>
          </w:tcPr>
          <w:p w14:paraId="435154B0">
            <w:pPr>
              <w:jc w:val="right"/>
            </w:pPr>
            <w:r>
              <w:rPr>
                <w:rFonts w:hint="eastAsia"/>
              </w:rPr>
              <w:t>-</w:t>
            </w:r>
          </w:p>
        </w:tc>
        <w:tc>
          <w:tcPr>
            <w:tcW w:w="1661" w:type="dxa"/>
            <w:vAlign w:val="center"/>
          </w:tcPr>
          <w:p w14:paraId="6A209EED">
            <w:pPr>
              <w:jc w:val="right"/>
            </w:pPr>
            <w:r>
              <w:rPr>
                <w:rFonts w:hint="eastAsia"/>
              </w:rPr>
              <w:t>-</w:t>
            </w:r>
          </w:p>
        </w:tc>
      </w:tr>
      <w:tr w14:paraId="025C3E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362EB83">
            <w:r>
              <w:rPr>
                <w:rFonts w:hint="eastAsia"/>
              </w:rPr>
              <w:t>（四）、其他综合收益结转留存收益</w:t>
            </w:r>
          </w:p>
        </w:tc>
        <w:tc>
          <w:tcPr>
            <w:tcW w:w="1661" w:type="dxa"/>
            <w:vAlign w:val="center"/>
          </w:tcPr>
          <w:p w14:paraId="1B4708D7">
            <w:pPr>
              <w:jc w:val="right"/>
            </w:pPr>
            <w:r>
              <w:rPr>
                <w:rFonts w:hint="eastAsia"/>
              </w:rPr>
              <w:t>-</w:t>
            </w:r>
          </w:p>
        </w:tc>
        <w:tc>
          <w:tcPr>
            <w:tcW w:w="1661" w:type="dxa"/>
            <w:vAlign w:val="center"/>
          </w:tcPr>
          <w:p w14:paraId="74DBFB1C">
            <w:pPr>
              <w:jc w:val="right"/>
            </w:pPr>
            <w:r>
              <w:rPr>
                <w:rFonts w:hint="eastAsia"/>
              </w:rPr>
              <w:t>-</w:t>
            </w:r>
          </w:p>
        </w:tc>
        <w:tc>
          <w:tcPr>
            <w:tcW w:w="1661" w:type="dxa"/>
            <w:vAlign w:val="center"/>
          </w:tcPr>
          <w:p w14:paraId="4E4A6443">
            <w:pPr>
              <w:jc w:val="right"/>
            </w:pPr>
            <w:r>
              <w:rPr>
                <w:rFonts w:hint="eastAsia"/>
              </w:rPr>
              <w:t>-</w:t>
            </w:r>
          </w:p>
        </w:tc>
        <w:tc>
          <w:tcPr>
            <w:tcW w:w="1661" w:type="dxa"/>
            <w:vAlign w:val="center"/>
          </w:tcPr>
          <w:p w14:paraId="349EBD5B">
            <w:pPr>
              <w:jc w:val="right"/>
            </w:pPr>
            <w:r>
              <w:rPr>
                <w:rFonts w:hint="eastAsia"/>
              </w:rPr>
              <w:t>-</w:t>
            </w:r>
          </w:p>
        </w:tc>
      </w:tr>
      <w:tr w14:paraId="58495E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EFB0C55">
            <w:r>
              <w:rPr>
                <w:rFonts w:hint="eastAsia"/>
              </w:rPr>
              <w:t>四、本期期末净资产</w:t>
            </w:r>
          </w:p>
        </w:tc>
        <w:tc>
          <w:tcPr>
            <w:tcW w:w="1661" w:type="dxa"/>
            <w:vAlign w:val="center"/>
          </w:tcPr>
          <w:p w14:paraId="37093CCA">
            <w:pPr>
              <w:jc w:val="right"/>
            </w:pPr>
            <w:r>
              <w:rPr>
                <w:rFonts w:hint="eastAsia"/>
              </w:rPr>
              <w:t>7,160,678,228.51</w:t>
            </w:r>
          </w:p>
        </w:tc>
        <w:tc>
          <w:tcPr>
            <w:tcW w:w="1661" w:type="dxa"/>
            <w:vAlign w:val="center"/>
          </w:tcPr>
          <w:p w14:paraId="4F4524B6">
            <w:pPr>
              <w:jc w:val="right"/>
            </w:pPr>
            <w:r>
              <w:rPr>
                <w:rFonts w:hint="eastAsia"/>
              </w:rPr>
              <w:t>-</w:t>
            </w:r>
          </w:p>
        </w:tc>
        <w:tc>
          <w:tcPr>
            <w:tcW w:w="1661" w:type="dxa"/>
            <w:vAlign w:val="center"/>
          </w:tcPr>
          <w:p w14:paraId="1BDB3C8A">
            <w:pPr>
              <w:jc w:val="right"/>
            </w:pPr>
            <w:r>
              <w:rPr>
                <w:rFonts w:hint="eastAsia"/>
              </w:rPr>
              <w:t>619,595,221.15</w:t>
            </w:r>
          </w:p>
        </w:tc>
        <w:tc>
          <w:tcPr>
            <w:tcW w:w="1661" w:type="dxa"/>
            <w:vAlign w:val="center"/>
          </w:tcPr>
          <w:p w14:paraId="6C72667F">
            <w:pPr>
              <w:jc w:val="right"/>
            </w:pPr>
            <w:r>
              <w:rPr>
                <w:rFonts w:hint="eastAsia"/>
              </w:rPr>
              <w:t>7,780,273,449.66</w:t>
            </w:r>
          </w:p>
        </w:tc>
      </w:tr>
      <w:tr w14:paraId="3D408B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0F7E4DDD">
            <w:r>
              <w:rPr>
                <w:rFonts w:hint="eastAsia"/>
              </w:rPr>
              <w:t>项目</w:t>
            </w:r>
          </w:p>
        </w:tc>
        <w:tc>
          <w:tcPr>
            <w:tcW w:w="1661" w:type="dxa"/>
            <w:gridSpan w:val="4"/>
            <w:vAlign w:val="center"/>
          </w:tcPr>
          <w:p w14:paraId="162DF0CC">
            <w:r>
              <w:rPr>
                <w:rFonts w:hint="eastAsia"/>
              </w:rPr>
              <w:t>上年度可比期间2024年1月1日至2024年12月31日</w:t>
            </w:r>
          </w:p>
        </w:tc>
      </w:tr>
      <w:tr w14:paraId="50A57DE4">
        <w:tblPrEx>
          <w:tblCellMar>
            <w:top w:w="0" w:type="dxa"/>
            <w:left w:w="108" w:type="dxa"/>
            <w:bottom w:w="0" w:type="dxa"/>
            <w:right w:w="108" w:type="dxa"/>
          </w:tblCellMar>
        </w:tblPrEx>
        <w:trPr>
          <w:jc w:val="center"/>
        </w:trPr>
        <w:tc>
          <w:tcPr>
            <w:tcW w:w="1661" w:type="dxa"/>
            <w:vMerge w:val="continue"/>
            <w:vAlign w:val="center"/>
          </w:tcPr>
          <w:p w14:paraId="380D559A"/>
        </w:tc>
        <w:tc>
          <w:tcPr>
            <w:tcW w:w="1661" w:type="dxa"/>
            <w:vAlign w:val="center"/>
          </w:tcPr>
          <w:p w14:paraId="4FD28D74">
            <w:r>
              <w:rPr>
                <w:rFonts w:hint="eastAsia"/>
              </w:rPr>
              <w:t>实收基金</w:t>
            </w:r>
          </w:p>
        </w:tc>
        <w:tc>
          <w:tcPr>
            <w:tcW w:w="1661" w:type="dxa"/>
            <w:vAlign w:val="center"/>
          </w:tcPr>
          <w:p w14:paraId="7D5014BA">
            <w:r>
              <w:rPr>
                <w:rFonts w:hint="eastAsia"/>
              </w:rPr>
              <w:t>其他综合收益</w:t>
            </w:r>
          </w:p>
        </w:tc>
        <w:tc>
          <w:tcPr>
            <w:tcW w:w="1661" w:type="dxa"/>
            <w:vAlign w:val="center"/>
          </w:tcPr>
          <w:p w14:paraId="60D4D052">
            <w:r>
              <w:rPr>
                <w:rFonts w:hint="eastAsia"/>
              </w:rPr>
              <w:t>未分配利润</w:t>
            </w:r>
          </w:p>
        </w:tc>
        <w:tc>
          <w:tcPr>
            <w:tcW w:w="1661" w:type="dxa"/>
            <w:vAlign w:val="center"/>
          </w:tcPr>
          <w:p w14:paraId="0CD8F79A">
            <w:r>
              <w:rPr>
                <w:rFonts w:hint="eastAsia"/>
              </w:rPr>
              <w:t>净资产合计</w:t>
            </w:r>
          </w:p>
        </w:tc>
      </w:tr>
      <w:tr w14:paraId="3BEFF821">
        <w:tblPrEx>
          <w:tblCellMar>
            <w:top w:w="0" w:type="dxa"/>
            <w:left w:w="108" w:type="dxa"/>
            <w:bottom w:w="0" w:type="dxa"/>
            <w:right w:w="108" w:type="dxa"/>
          </w:tblCellMar>
        </w:tblPrEx>
        <w:trPr>
          <w:jc w:val="center"/>
        </w:trPr>
        <w:tc>
          <w:tcPr>
            <w:tcW w:w="1661" w:type="dxa"/>
            <w:vAlign w:val="center"/>
          </w:tcPr>
          <w:p w14:paraId="725DE405">
            <w:r>
              <w:rPr>
                <w:rFonts w:hint="eastAsia"/>
              </w:rPr>
              <w:t>一、上期期末净资产</w:t>
            </w:r>
          </w:p>
        </w:tc>
        <w:tc>
          <w:tcPr>
            <w:tcW w:w="1661" w:type="dxa"/>
            <w:vAlign w:val="center"/>
          </w:tcPr>
          <w:p w14:paraId="3F29D62A">
            <w:pPr>
              <w:jc w:val="right"/>
            </w:pPr>
            <w:r>
              <w:rPr>
                <w:rFonts w:hint="eastAsia"/>
              </w:rPr>
              <w:t>4,428,107,240.40</w:t>
            </w:r>
          </w:p>
        </w:tc>
        <w:tc>
          <w:tcPr>
            <w:tcW w:w="1661" w:type="dxa"/>
            <w:vAlign w:val="center"/>
          </w:tcPr>
          <w:p w14:paraId="6CD7A026">
            <w:pPr>
              <w:jc w:val="right"/>
            </w:pPr>
            <w:r>
              <w:rPr>
                <w:rFonts w:hint="eastAsia"/>
              </w:rPr>
              <w:t>-</w:t>
            </w:r>
          </w:p>
        </w:tc>
        <w:tc>
          <w:tcPr>
            <w:tcW w:w="1661" w:type="dxa"/>
            <w:vAlign w:val="center"/>
          </w:tcPr>
          <w:p w14:paraId="74431C7E">
            <w:pPr>
              <w:jc w:val="right"/>
            </w:pPr>
            <w:r>
              <w:rPr>
                <w:rFonts w:hint="eastAsia"/>
              </w:rPr>
              <w:t>209,593,487.54</w:t>
            </w:r>
          </w:p>
        </w:tc>
        <w:tc>
          <w:tcPr>
            <w:tcW w:w="1661" w:type="dxa"/>
            <w:vAlign w:val="center"/>
          </w:tcPr>
          <w:p w14:paraId="0D93CE1F">
            <w:pPr>
              <w:jc w:val="right"/>
            </w:pPr>
            <w:r>
              <w:rPr>
                <w:rFonts w:hint="eastAsia"/>
              </w:rPr>
              <w:t>4,637,700,727.94</w:t>
            </w:r>
          </w:p>
        </w:tc>
      </w:tr>
      <w:tr w14:paraId="0B11A800">
        <w:tblPrEx>
          <w:tblCellMar>
            <w:top w:w="0" w:type="dxa"/>
            <w:left w:w="108" w:type="dxa"/>
            <w:bottom w:w="0" w:type="dxa"/>
            <w:right w:w="108" w:type="dxa"/>
          </w:tblCellMar>
        </w:tblPrEx>
        <w:trPr>
          <w:jc w:val="center"/>
        </w:trPr>
        <w:tc>
          <w:tcPr>
            <w:tcW w:w="1661" w:type="dxa"/>
            <w:vAlign w:val="center"/>
          </w:tcPr>
          <w:p w14:paraId="10656595">
            <w:r>
              <w:rPr>
                <w:rFonts w:hint="eastAsia"/>
              </w:rPr>
              <w:t>加：会计政策变更</w:t>
            </w:r>
          </w:p>
        </w:tc>
        <w:tc>
          <w:tcPr>
            <w:tcW w:w="1661" w:type="dxa"/>
            <w:vAlign w:val="center"/>
          </w:tcPr>
          <w:p w14:paraId="1386F4F6">
            <w:pPr>
              <w:jc w:val="right"/>
            </w:pPr>
            <w:r>
              <w:rPr>
                <w:rFonts w:hint="eastAsia"/>
              </w:rPr>
              <w:t>-</w:t>
            </w:r>
          </w:p>
        </w:tc>
        <w:tc>
          <w:tcPr>
            <w:tcW w:w="1661" w:type="dxa"/>
            <w:vAlign w:val="center"/>
          </w:tcPr>
          <w:p w14:paraId="24989560">
            <w:pPr>
              <w:jc w:val="right"/>
            </w:pPr>
            <w:r>
              <w:rPr>
                <w:rFonts w:hint="eastAsia"/>
              </w:rPr>
              <w:t>-</w:t>
            </w:r>
          </w:p>
        </w:tc>
        <w:tc>
          <w:tcPr>
            <w:tcW w:w="1661" w:type="dxa"/>
            <w:vAlign w:val="center"/>
          </w:tcPr>
          <w:p w14:paraId="0014C462">
            <w:pPr>
              <w:jc w:val="right"/>
            </w:pPr>
            <w:r>
              <w:rPr>
                <w:rFonts w:hint="eastAsia"/>
              </w:rPr>
              <w:t>-</w:t>
            </w:r>
          </w:p>
        </w:tc>
        <w:tc>
          <w:tcPr>
            <w:tcW w:w="1661" w:type="dxa"/>
            <w:vAlign w:val="center"/>
          </w:tcPr>
          <w:p w14:paraId="5EF806EB">
            <w:pPr>
              <w:jc w:val="right"/>
            </w:pPr>
            <w:r>
              <w:rPr>
                <w:rFonts w:hint="eastAsia"/>
              </w:rPr>
              <w:t>-</w:t>
            </w:r>
          </w:p>
        </w:tc>
      </w:tr>
      <w:tr w14:paraId="382108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7A58D16">
            <w:r>
              <w:rPr>
                <w:rFonts w:hint="eastAsia"/>
              </w:rPr>
              <w:t xml:space="preserve">    前期差错更正</w:t>
            </w:r>
          </w:p>
        </w:tc>
        <w:tc>
          <w:tcPr>
            <w:tcW w:w="1661" w:type="dxa"/>
            <w:vAlign w:val="center"/>
          </w:tcPr>
          <w:p w14:paraId="79ED909B">
            <w:pPr>
              <w:jc w:val="right"/>
            </w:pPr>
            <w:r>
              <w:rPr>
                <w:rFonts w:hint="eastAsia"/>
              </w:rPr>
              <w:t>-</w:t>
            </w:r>
          </w:p>
        </w:tc>
        <w:tc>
          <w:tcPr>
            <w:tcW w:w="1661" w:type="dxa"/>
            <w:vAlign w:val="center"/>
          </w:tcPr>
          <w:p w14:paraId="5B31E35A">
            <w:pPr>
              <w:jc w:val="right"/>
            </w:pPr>
            <w:r>
              <w:rPr>
                <w:rFonts w:hint="eastAsia"/>
              </w:rPr>
              <w:t>-</w:t>
            </w:r>
          </w:p>
        </w:tc>
        <w:tc>
          <w:tcPr>
            <w:tcW w:w="1661" w:type="dxa"/>
            <w:vAlign w:val="center"/>
          </w:tcPr>
          <w:p w14:paraId="2A250B65">
            <w:pPr>
              <w:jc w:val="right"/>
            </w:pPr>
            <w:r>
              <w:rPr>
                <w:rFonts w:hint="eastAsia"/>
              </w:rPr>
              <w:t>-</w:t>
            </w:r>
          </w:p>
        </w:tc>
        <w:tc>
          <w:tcPr>
            <w:tcW w:w="1661" w:type="dxa"/>
            <w:vAlign w:val="center"/>
          </w:tcPr>
          <w:p w14:paraId="02D21256">
            <w:pPr>
              <w:jc w:val="right"/>
            </w:pPr>
            <w:r>
              <w:rPr>
                <w:rFonts w:hint="eastAsia"/>
              </w:rPr>
              <w:t>-</w:t>
            </w:r>
          </w:p>
        </w:tc>
      </w:tr>
      <w:tr w14:paraId="43C2FC7E">
        <w:tblPrEx>
          <w:tblCellMar>
            <w:top w:w="0" w:type="dxa"/>
            <w:left w:w="108" w:type="dxa"/>
            <w:bottom w:w="0" w:type="dxa"/>
            <w:right w:w="108" w:type="dxa"/>
          </w:tblCellMar>
        </w:tblPrEx>
        <w:trPr>
          <w:jc w:val="center"/>
        </w:trPr>
        <w:tc>
          <w:tcPr>
            <w:tcW w:w="1661" w:type="dxa"/>
            <w:vAlign w:val="center"/>
          </w:tcPr>
          <w:p w14:paraId="3DBE2439">
            <w:r>
              <w:rPr>
                <w:rFonts w:hint="eastAsia"/>
              </w:rPr>
              <w:t xml:space="preserve">    其他</w:t>
            </w:r>
          </w:p>
        </w:tc>
        <w:tc>
          <w:tcPr>
            <w:tcW w:w="1661" w:type="dxa"/>
            <w:vAlign w:val="center"/>
          </w:tcPr>
          <w:p w14:paraId="0D4C01E8">
            <w:pPr>
              <w:jc w:val="right"/>
            </w:pPr>
            <w:r>
              <w:rPr>
                <w:rFonts w:hint="eastAsia"/>
              </w:rPr>
              <w:t>-</w:t>
            </w:r>
          </w:p>
        </w:tc>
        <w:tc>
          <w:tcPr>
            <w:tcW w:w="1661" w:type="dxa"/>
            <w:vAlign w:val="center"/>
          </w:tcPr>
          <w:p w14:paraId="262E839C">
            <w:pPr>
              <w:jc w:val="right"/>
            </w:pPr>
            <w:r>
              <w:rPr>
                <w:rFonts w:hint="eastAsia"/>
              </w:rPr>
              <w:t>-</w:t>
            </w:r>
          </w:p>
        </w:tc>
        <w:tc>
          <w:tcPr>
            <w:tcW w:w="1661" w:type="dxa"/>
            <w:vAlign w:val="center"/>
          </w:tcPr>
          <w:p w14:paraId="183E7EC0">
            <w:pPr>
              <w:jc w:val="right"/>
            </w:pPr>
            <w:r>
              <w:rPr>
                <w:rFonts w:hint="eastAsia"/>
              </w:rPr>
              <w:t>-</w:t>
            </w:r>
          </w:p>
        </w:tc>
        <w:tc>
          <w:tcPr>
            <w:tcW w:w="1661" w:type="dxa"/>
            <w:vAlign w:val="center"/>
          </w:tcPr>
          <w:p w14:paraId="56D6EF82">
            <w:pPr>
              <w:jc w:val="right"/>
            </w:pPr>
            <w:r>
              <w:rPr>
                <w:rFonts w:hint="eastAsia"/>
              </w:rPr>
              <w:t>-</w:t>
            </w:r>
          </w:p>
        </w:tc>
      </w:tr>
      <w:tr w14:paraId="1FD0C9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F8301BE">
            <w:r>
              <w:rPr>
                <w:rFonts w:hint="eastAsia"/>
              </w:rPr>
              <w:t>二、本期期初净资产</w:t>
            </w:r>
          </w:p>
        </w:tc>
        <w:tc>
          <w:tcPr>
            <w:tcW w:w="1661" w:type="dxa"/>
            <w:vAlign w:val="center"/>
          </w:tcPr>
          <w:p w14:paraId="2AF7F454">
            <w:pPr>
              <w:jc w:val="right"/>
            </w:pPr>
            <w:r>
              <w:rPr>
                <w:rFonts w:hint="eastAsia"/>
              </w:rPr>
              <w:t>4,428,107,240.40</w:t>
            </w:r>
          </w:p>
        </w:tc>
        <w:tc>
          <w:tcPr>
            <w:tcW w:w="1661" w:type="dxa"/>
            <w:vAlign w:val="center"/>
          </w:tcPr>
          <w:p w14:paraId="56103E7A">
            <w:pPr>
              <w:jc w:val="right"/>
            </w:pPr>
            <w:r>
              <w:rPr>
                <w:rFonts w:hint="eastAsia"/>
              </w:rPr>
              <w:t>-</w:t>
            </w:r>
          </w:p>
        </w:tc>
        <w:tc>
          <w:tcPr>
            <w:tcW w:w="1661" w:type="dxa"/>
            <w:vAlign w:val="center"/>
          </w:tcPr>
          <w:p w14:paraId="677E63D2">
            <w:pPr>
              <w:jc w:val="right"/>
            </w:pPr>
            <w:r>
              <w:rPr>
                <w:rFonts w:hint="eastAsia"/>
              </w:rPr>
              <w:t>209,593,487.54</w:t>
            </w:r>
          </w:p>
        </w:tc>
        <w:tc>
          <w:tcPr>
            <w:tcW w:w="1661" w:type="dxa"/>
            <w:vAlign w:val="center"/>
          </w:tcPr>
          <w:p w14:paraId="7CABAC96">
            <w:pPr>
              <w:jc w:val="right"/>
            </w:pPr>
            <w:r>
              <w:rPr>
                <w:rFonts w:hint="eastAsia"/>
              </w:rPr>
              <w:t>4,637,700,727.94</w:t>
            </w:r>
          </w:p>
        </w:tc>
      </w:tr>
      <w:tr w14:paraId="203A52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3C34E28">
            <w:r>
              <w:rPr>
                <w:rFonts w:hint="eastAsia"/>
              </w:rPr>
              <w:t>三、本期增减变动额（减少以“-”号填列）</w:t>
            </w:r>
          </w:p>
        </w:tc>
        <w:tc>
          <w:tcPr>
            <w:tcW w:w="1661" w:type="dxa"/>
            <w:vAlign w:val="center"/>
          </w:tcPr>
          <w:p w14:paraId="1BEFC4F1">
            <w:pPr>
              <w:jc w:val="right"/>
            </w:pPr>
            <w:r>
              <w:rPr>
                <w:rFonts w:hint="eastAsia"/>
              </w:rPr>
              <w:t>-991,641,520.83</w:t>
            </w:r>
          </w:p>
        </w:tc>
        <w:tc>
          <w:tcPr>
            <w:tcW w:w="1661" w:type="dxa"/>
            <w:vAlign w:val="center"/>
          </w:tcPr>
          <w:p w14:paraId="693B7E7B">
            <w:pPr>
              <w:jc w:val="right"/>
            </w:pPr>
            <w:r>
              <w:rPr>
                <w:rFonts w:hint="eastAsia"/>
              </w:rPr>
              <w:t>-</w:t>
            </w:r>
          </w:p>
        </w:tc>
        <w:tc>
          <w:tcPr>
            <w:tcW w:w="1661" w:type="dxa"/>
            <w:vAlign w:val="center"/>
          </w:tcPr>
          <w:p w14:paraId="4924899C">
            <w:pPr>
              <w:jc w:val="right"/>
            </w:pPr>
            <w:r>
              <w:rPr>
                <w:rFonts w:hint="eastAsia"/>
              </w:rPr>
              <w:t>36,745,007.86</w:t>
            </w:r>
          </w:p>
        </w:tc>
        <w:tc>
          <w:tcPr>
            <w:tcW w:w="1661" w:type="dxa"/>
            <w:vAlign w:val="center"/>
          </w:tcPr>
          <w:p w14:paraId="161A353F">
            <w:pPr>
              <w:jc w:val="right"/>
            </w:pPr>
            <w:r>
              <w:rPr>
                <w:rFonts w:hint="eastAsia"/>
              </w:rPr>
              <w:t>-954,896,512.97</w:t>
            </w:r>
          </w:p>
        </w:tc>
      </w:tr>
      <w:tr w14:paraId="59AC1CCF">
        <w:tblPrEx>
          <w:tblCellMar>
            <w:top w:w="0" w:type="dxa"/>
            <w:left w:w="108" w:type="dxa"/>
            <w:bottom w:w="0" w:type="dxa"/>
            <w:right w:w="108" w:type="dxa"/>
          </w:tblCellMar>
        </w:tblPrEx>
        <w:trPr>
          <w:jc w:val="center"/>
        </w:trPr>
        <w:tc>
          <w:tcPr>
            <w:tcW w:w="1661" w:type="dxa"/>
            <w:vAlign w:val="center"/>
          </w:tcPr>
          <w:p w14:paraId="649D0A3C">
            <w:r>
              <w:rPr>
                <w:rFonts w:hint="eastAsia"/>
              </w:rPr>
              <w:t>（一）、综合收益总额</w:t>
            </w:r>
          </w:p>
        </w:tc>
        <w:tc>
          <w:tcPr>
            <w:tcW w:w="1661" w:type="dxa"/>
            <w:vAlign w:val="center"/>
          </w:tcPr>
          <w:p w14:paraId="3CF77989">
            <w:pPr>
              <w:jc w:val="right"/>
            </w:pPr>
            <w:r>
              <w:rPr>
                <w:rFonts w:hint="eastAsia"/>
              </w:rPr>
              <w:t>-</w:t>
            </w:r>
          </w:p>
        </w:tc>
        <w:tc>
          <w:tcPr>
            <w:tcW w:w="1661" w:type="dxa"/>
            <w:vAlign w:val="center"/>
          </w:tcPr>
          <w:p w14:paraId="583A773A">
            <w:pPr>
              <w:jc w:val="right"/>
            </w:pPr>
            <w:r>
              <w:rPr>
                <w:rFonts w:hint="eastAsia"/>
              </w:rPr>
              <w:t>-</w:t>
            </w:r>
          </w:p>
        </w:tc>
        <w:tc>
          <w:tcPr>
            <w:tcW w:w="1661" w:type="dxa"/>
            <w:vAlign w:val="center"/>
          </w:tcPr>
          <w:p w14:paraId="52FA2AF2">
            <w:pPr>
              <w:jc w:val="right"/>
            </w:pPr>
            <w:r>
              <w:rPr>
                <w:rFonts w:hint="eastAsia"/>
              </w:rPr>
              <w:t>77,560,415.55</w:t>
            </w:r>
          </w:p>
        </w:tc>
        <w:tc>
          <w:tcPr>
            <w:tcW w:w="1661" w:type="dxa"/>
            <w:vAlign w:val="center"/>
          </w:tcPr>
          <w:p w14:paraId="01554157">
            <w:pPr>
              <w:jc w:val="right"/>
            </w:pPr>
            <w:r>
              <w:rPr>
                <w:rFonts w:hint="eastAsia"/>
              </w:rPr>
              <w:t>77,560,415.55</w:t>
            </w:r>
          </w:p>
        </w:tc>
      </w:tr>
      <w:tr w14:paraId="6611BC63">
        <w:tblPrEx>
          <w:tblCellMar>
            <w:top w:w="0" w:type="dxa"/>
            <w:left w:w="108" w:type="dxa"/>
            <w:bottom w:w="0" w:type="dxa"/>
            <w:right w:w="108" w:type="dxa"/>
          </w:tblCellMar>
        </w:tblPrEx>
        <w:trPr>
          <w:jc w:val="center"/>
        </w:trPr>
        <w:tc>
          <w:tcPr>
            <w:tcW w:w="1661" w:type="dxa"/>
            <w:vAlign w:val="center"/>
          </w:tcPr>
          <w:p w14:paraId="2E87A8E9">
            <w:r>
              <w:rPr>
                <w:rFonts w:hint="eastAsia"/>
              </w:rPr>
              <w:t>（二）、本期基金份额交易产生的净资产变动数（净资产减少以“-”号填列）</w:t>
            </w:r>
          </w:p>
        </w:tc>
        <w:tc>
          <w:tcPr>
            <w:tcW w:w="1661" w:type="dxa"/>
            <w:vAlign w:val="center"/>
          </w:tcPr>
          <w:p w14:paraId="01748956">
            <w:pPr>
              <w:jc w:val="right"/>
            </w:pPr>
            <w:r>
              <w:rPr>
                <w:rFonts w:hint="eastAsia"/>
              </w:rPr>
              <w:t>-991,641,520.83</w:t>
            </w:r>
          </w:p>
        </w:tc>
        <w:tc>
          <w:tcPr>
            <w:tcW w:w="1661" w:type="dxa"/>
            <w:vAlign w:val="center"/>
          </w:tcPr>
          <w:p w14:paraId="4103C91E">
            <w:pPr>
              <w:jc w:val="right"/>
            </w:pPr>
            <w:r>
              <w:rPr>
                <w:rFonts w:hint="eastAsia"/>
              </w:rPr>
              <w:t>-</w:t>
            </w:r>
          </w:p>
        </w:tc>
        <w:tc>
          <w:tcPr>
            <w:tcW w:w="1661" w:type="dxa"/>
            <w:vAlign w:val="center"/>
          </w:tcPr>
          <w:p w14:paraId="36BB4B0C">
            <w:pPr>
              <w:jc w:val="right"/>
            </w:pPr>
            <w:r>
              <w:rPr>
                <w:rFonts w:hint="eastAsia"/>
              </w:rPr>
              <w:t>-40,815,407.69</w:t>
            </w:r>
          </w:p>
        </w:tc>
        <w:tc>
          <w:tcPr>
            <w:tcW w:w="1661" w:type="dxa"/>
            <w:vAlign w:val="center"/>
          </w:tcPr>
          <w:p w14:paraId="55D59CFF">
            <w:pPr>
              <w:jc w:val="right"/>
            </w:pPr>
            <w:r>
              <w:rPr>
                <w:rFonts w:hint="eastAsia"/>
              </w:rPr>
              <w:t>-1,032,456,928.52</w:t>
            </w:r>
          </w:p>
        </w:tc>
      </w:tr>
      <w:tr w14:paraId="1D9772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8AAF0E1">
            <w:r>
              <w:rPr>
                <w:rFonts w:hint="eastAsia"/>
              </w:rPr>
              <w:t>其中：1.基金申购款</w:t>
            </w:r>
          </w:p>
        </w:tc>
        <w:tc>
          <w:tcPr>
            <w:tcW w:w="1661" w:type="dxa"/>
            <w:vAlign w:val="center"/>
          </w:tcPr>
          <w:p w14:paraId="14E3147D">
            <w:pPr>
              <w:jc w:val="right"/>
            </w:pPr>
            <w:r>
              <w:rPr>
                <w:rFonts w:hint="eastAsia"/>
              </w:rPr>
              <w:t>10,120,667,979.41</w:t>
            </w:r>
          </w:p>
        </w:tc>
        <w:tc>
          <w:tcPr>
            <w:tcW w:w="1661" w:type="dxa"/>
            <w:vAlign w:val="center"/>
          </w:tcPr>
          <w:p w14:paraId="22C868E9">
            <w:pPr>
              <w:jc w:val="right"/>
            </w:pPr>
            <w:r>
              <w:rPr>
                <w:rFonts w:hint="eastAsia"/>
              </w:rPr>
              <w:t>-</w:t>
            </w:r>
          </w:p>
        </w:tc>
        <w:tc>
          <w:tcPr>
            <w:tcW w:w="1661" w:type="dxa"/>
            <w:vAlign w:val="center"/>
          </w:tcPr>
          <w:p w14:paraId="7D860A01">
            <w:pPr>
              <w:jc w:val="right"/>
            </w:pPr>
            <w:r>
              <w:rPr>
                <w:rFonts w:hint="eastAsia"/>
              </w:rPr>
              <w:t>607,514,068.80</w:t>
            </w:r>
          </w:p>
        </w:tc>
        <w:tc>
          <w:tcPr>
            <w:tcW w:w="1661" w:type="dxa"/>
            <w:vAlign w:val="center"/>
          </w:tcPr>
          <w:p w14:paraId="3E267FCB">
            <w:pPr>
              <w:jc w:val="right"/>
            </w:pPr>
            <w:r>
              <w:rPr>
                <w:rFonts w:hint="eastAsia"/>
              </w:rPr>
              <w:t>10,728,182,048.21</w:t>
            </w:r>
          </w:p>
        </w:tc>
      </w:tr>
      <w:tr w14:paraId="47F370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090945B">
            <w:r>
              <w:rPr>
                <w:rFonts w:hint="eastAsia"/>
              </w:rPr>
              <w:t xml:space="preserve">      2.基金赎回款</w:t>
            </w:r>
          </w:p>
        </w:tc>
        <w:tc>
          <w:tcPr>
            <w:tcW w:w="1661" w:type="dxa"/>
            <w:vAlign w:val="center"/>
          </w:tcPr>
          <w:p w14:paraId="78B98922">
            <w:pPr>
              <w:jc w:val="right"/>
            </w:pPr>
            <w:r>
              <w:rPr>
                <w:rFonts w:hint="eastAsia"/>
              </w:rPr>
              <w:t>-11,112,309,500.24</w:t>
            </w:r>
          </w:p>
        </w:tc>
        <w:tc>
          <w:tcPr>
            <w:tcW w:w="1661" w:type="dxa"/>
            <w:vAlign w:val="center"/>
          </w:tcPr>
          <w:p w14:paraId="39856939">
            <w:pPr>
              <w:jc w:val="right"/>
            </w:pPr>
            <w:r>
              <w:rPr>
                <w:rFonts w:hint="eastAsia"/>
              </w:rPr>
              <w:t>-</w:t>
            </w:r>
          </w:p>
        </w:tc>
        <w:tc>
          <w:tcPr>
            <w:tcW w:w="1661" w:type="dxa"/>
            <w:vAlign w:val="center"/>
          </w:tcPr>
          <w:p w14:paraId="03499E52">
            <w:pPr>
              <w:jc w:val="right"/>
            </w:pPr>
            <w:r>
              <w:rPr>
                <w:rFonts w:hint="eastAsia"/>
              </w:rPr>
              <w:t>-648,329,476.49</w:t>
            </w:r>
          </w:p>
        </w:tc>
        <w:tc>
          <w:tcPr>
            <w:tcW w:w="1661" w:type="dxa"/>
            <w:vAlign w:val="center"/>
          </w:tcPr>
          <w:p w14:paraId="4B530CEE">
            <w:pPr>
              <w:jc w:val="right"/>
            </w:pPr>
            <w:r>
              <w:rPr>
                <w:rFonts w:hint="eastAsia"/>
              </w:rPr>
              <w:t>-11,760,638,976.73</w:t>
            </w:r>
          </w:p>
        </w:tc>
      </w:tr>
      <w:tr w14:paraId="29145E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E2449CE">
            <w:r>
              <w:rPr>
                <w:rFonts w:hint="eastAsia"/>
              </w:rPr>
              <w:t>（三）、本期向基金份额持有人分配利润产生的净资产变动（净资产减少以“-”号填列）</w:t>
            </w:r>
          </w:p>
        </w:tc>
        <w:tc>
          <w:tcPr>
            <w:tcW w:w="1661" w:type="dxa"/>
            <w:vAlign w:val="center"/>
          </w:tcPr>
          <w:p w14:paraId="7FD5C3A5">
            <w:pPr>
              <w:jc w:val="right"/>
            </w:pPr>
            <w:r>
              <w:rPr>
                <w:rFonts w:hint="eastAsia"/>
              </w:rPr>
              <w:t>-</w:t>
            </w:r>
          </w:p>
        </w:tc>
        <w:tc>
          <w:tcPr>
            <w:tcW w:w="1661" w:type="dxa"/>
            <w:vAlign w:val="center"/>
          </w:tcPr>
          <w:p w14:paraId="394227FB">
            <w:pPr>
              <w:jc w:val="right"/>
            </w:pPr>
            <w:r>
              <w:rPr>
                <w:rFonts w:hint="eastAsia"/>
              </w:rPr>
              <w:t>-</w:t>
            </w:r>
          </w:p>
        </w:tc>
        <w:tc>
          <w:tcPr>
            <w:tcW w:w="1661" w:type="dxa"/>
            <w:vAlign w:val="center"/>
          </w:tcPr>
          <w:p w14:paraId="65601DEC">
            <w:pPr>
              <w:jc w:val="right"/>
            </w:pPr>
            <w:r>
              <w:rPr>
                <w:rFonts w:hint="eastAsia"/>
              </w:rPr>
              <w:t>-</w:t>
            </w:r>
          </w:p>
        </w:tc>
        <w:tc>
          <w:tcPr>
            <w:tcW w:w="1661" w:type="dxa"/>
            <w:vAlign w:val="center"/>
          </w:tcPr>
          <w:p w14:paraId="2E55292C">
            <w:pPr>
              <w:jc w:val="right"/>
            </w:pPr>
            <w:r>
              <w:rPr>
                <w:rFonts w:hint="eastAsia"/>
              </w:rPr>
              <w:t>-</w:t>
            </w:r>
          </w:p>
        </w:tc>
      </w:tr>
      <w:tr w14:paraId="50F94C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4A3AAC3">
            <w:r>
              <w:rPr>
                <w:rFonts w:hint="eastAsia"/>
              </w:rPr>
              <w:t>（四）、其他综合收益结转留存收益</w:t>
            </w:r>
          </w:p>
        </w:tc>
        <w:tc>
          <w:tcPr>
            <w:tcW w:w="1661" w:type="dxa"/>
            <w:vAlign w:val="center"/>
          </w:tcPr>
          <w:p w14:paraId="2DF702F4">
            <w:pPr>
              <w:jc w:val="right"/>
            </w:pPr>
            <w:r>
              <w:rPr>
                <w:rFonts w:hint="eastAsia"/>
              </w:rPr>
              <w:t>-</w:t>
            </w:r>
          </w:p>
        </w:tc>
        <w:tc>
          <w:tcPr>
            <w:tcW w:w="1661" w:type="dxa"/>
            <w:vAlign w:val="center"/>
          </w:tcPr>
          <w:p w14:paraId="214220E9">
            <w:pPr>
              <w:jc w:val="right"/>
            </w:pPr>
            <w:r>
              <w:rPr>
                <w:rFonts w:hint="eastAsia"/>
              </w:rPr>
              <w:t>-</w:t>
            </w:r>
          </w:p>
        </w:tc>
        <w:tc>
          <w:tcPr>
            <w:tcW w:w="1661" w:type="dxa"/>
            <w:vAlign w:val="center"/>
          </w:tcPr>
          <w:p w14:paraId="196D92D1">
            <w:pPr>
              <w:jc w:val="right"/>
            </w:pPr>
            <w:r>
              <w:rPr>
                <w:rFonts w:hint="eastAsia"/>
              </w:rPr>
              <w:t>-</w:t>
            </w:r>
          </w:p>
        </w:tc>
        <w:tc>
          <w:tcPr>
            <w:tcW w:w="1661" w:type="dxa"/>
            <w:vAlign w:val="center"/>
          </w:tcPr>
          <w:p w14:paraId="639BD811">
            <w:pPr>
              <w:jc w:val="right"/>
            </w:pPr>
            <w:r>
              <w:rPr>
                <w:rFonts w:hint="eastAsia"/>
              </w:rPr>
              <w:t>-</w:t>
            </w:r>
          </w:p>
        </w:tc>
      </w:tr>
      <w:tr w14:paraId="71E574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23CD68B">
            <w:r>
              <w:rPr>
                <w:rFonts w:hint="eastAsia"/>
              </w:rPr>
              <w:t>四、本期期末净资产</w:t>
            </w:r>
          </w:p>
        </w:tc>
        <w:tc>
          <w:tcPr>
            <w:tcW w:w="1661" w:type="dxa"/>
            <w:vAlign w:val="center"/>
          </w:tcPr>
          <w:p w14:paraId="3D9B26DB">
            <w:pPr>
              <w:jc w:val="right"/>
            </w:pPr>
            <w:r>
              <w:rPr>
                <w:rFonts w:hint="eastAsia"/>
              </w:rPr>
              <w:t>3,436,465,719.57</w:t>
            </w:r>
          </w:p>
        </w:tc>
        <w:tc>
          <w:tcPr>
            <w:tcW w:w="1661" w:type="dxa"/>
            <w:vAlign w:val="center"/>
          </w:tcPr>
          <w:p w14:paraId="45996613">
            <w:pPr>
              <w:jc w:val="right"/>
            </w:pPr>
            <w:r>
              <w:rPr>
                <w:rFonts w:hint="eastAsia"/>
              </w:rPr>
              <w:t>-</w:t>
            </w:r>
          </w:p>
        </w:tc>
        <w:tc>
          <w:tcPr>
            <w:tcW w:w="1661" w:type="dxa"/>
            <w:vAlign w:val="center"/>
          </w:tcPr>
          <w:p w14:paraId="5223CDD0">
            <w:pPr>
              <w:jc w:val="right"/>
            </w:pPr>
            <w:r>
              <w:rPr>
                <w:rFonts w:hint="eastAsia"/>
              </w:rPr>
              <w:t>246,338,495.40</w:t>
            </w:r>
          </w:p>
        </w:tc>
        <w:tc>
          <w:tcPr>
            <w:tcW w:w="1661" w:type="dxa"/>
            <w:vAlign w:val="center"/>
          </w:tcPr>
          <w:p w14:paraId="7A54B12F">
            <w:pPr>
              <w:jc w:val="right"/>
            </w:pPr>
            <w:r>
              <w:rPr>
                <w:rFonts w:hint="eastAsia"/>
              </w:rPr>
              <w:t>3,682,804,214.97</w:t>
            </w:r>
          </w:p>
        </w:tc>
      </w:tr>
    </w:tbl>
    <w:p w14:paraId="1F59C688">
      <w:pPr>
        <w:pStyle w:val="18"/>
        <w:rPr>
          <w:rFonts w:hint="eastAsia"/>
        </w:rPr>
      </w:pPr>
      <w:r>
        <w:rPr>
          <w:rFonts w:hint="eastAsia"/>
        </w:rPr>
        <w:t>报表附注为财务报表的组成部分。</w:t>
      </w:r>
    </w:p>
    <w:p w14:paraId="355553C9">
      <w:pPr>
        <w:pStyle w:val="18"/>
        <w:rPr>
          <w:rFonts w:hint="eastAsia"/>
        </w:rPr>
      </w:pPr>
      <w:r>
        <w:rPr>
          <w:rFonts w:hint="eastAsia"/>
        </w:rPr>
        <w:t>本报告 7.1 至 7.4 财务报表由下列负责人签署：</w:t>
      </w:r>
    </w:p>
    <w:p w14:paraId="1DA19C97">
      <w:pPr>
        <w:pStyle w:val="18"/>
        <w:rPr>
          <w:rFonts w:hint="eastAsia"/>
        </w:rPr>
      </w:pPr>
      <w:r>
        <w:rPr>
          <w:rFonts w:hint="eastAsia"/>
        </w:rPr>
        <w:t>____杨小松___           ____蔡忠评______          ____徐超____</w:t>
      </w:r>
    </w:p>
    <w:p w14:paraId="13A055F8">
      <w:pPr>
        <w:pStyle w:val="18"/>
        <w:rPr>
          <w:rFonts w:hint="eastAsia"/>
        </w:rPr>
      </w:pPr>
      <w:r>
        <w:rPr>
          <w:rFonts w:hint="eastAsia"/>
        </w:rPr>
        <w:t>基金管理人负责人     主管会计工作负责人         会计机构负责人</w:t>
      </w:r>
    </w:p>
    <w:p w14:paraId="2B3CC993">
      <w:pPr>
        <w:pStyle w:val="23"/>
      </w:pPr>
      <w:bookmarkStart w:id="48" w:name="_Toc7247"/>
      <w:r>
        <w:t>报表附注</w:t>
      </w:r>
      <w:bookmarkEnd w:id="48"/>
      <w:r>
        <w:t xml:space="preserve"> </w:t>
      </w:r>
    </w:p>
    <w:p w14:paraId="4252BDF0">
      <w:pPr>
        <w:pStyle w:val="28"/>
      </w:pPr>
      <w:bookmarkStart w:id="49" w:name="_Toc49"/>
      <w:r>
        <w:t>基金基本情况</w:t>
      </w:r>
      <w:bookmarkEnd w:id="49"/>
    </w:p>
    <w:p w14:paraId="11D4FE01">
      <w:pPr>
        <w:pStyle w:val="18"/>
        <w:rPr>
          <w:rFonts w:hint="eastAsia"/>
        </w:rPr>
      </w:pPr>
      <w:r>
        <w:rPr>
          <w:rFonts w:hint="eastAsia"/>
        </w:rPr>
        <w:t>南方中证同业存单AAA指数7天持有期证券投资基金(以下简称“本基金”)经中国证券监督管理委员会(以下简称“中国证监会”)证监许可[2021]3724号《关于准予南方中证同业存单AAA指数7天持有期证券投资基金注册的批复》注册，由南方基金管理股份有限公司依照《中华人民共和国证券投资基金法》和《南方中证同业存单AAA指数7天持有期证券投资基金基金合同》负责公开募集。本基金为契约型开放式，存续期限不定，首次设立募集不包括认购资金利息共募集人民币8,126,001,337.63元，业经普华永道中天会计师事务所(特殊普通合伙)普华永道中天验字(2021)第1204号验资报告予以验证。经向中国证监会备案，《南方中证同业存单AAA指数7天持有期证券投资基金基金合同》于2021年12月20日正式生效，基金合同生效日的基金份额总额为8,127,478,403.95份基金份额，其中认购资金利息折合1,477,066.32份基金份额。本基金的基金管理人为南方基金管理股份有限公司，基金托管人为交通银行股份有限公司。</w:t>
      </w:r>
    </w:p>
    <w:p w14:paraId="20438D68">
      <w:pPr>
        <w:pStyle w:val="18"/>
        <w:rPr>
          <w:rFonts w:hint="eastAsia"/>
        </w:rPr>
      </w:pPr>
      <w:r>
        <w:rPr>
          <w:rFonts w:hint="eastAsia"/>
        </w:rPr>
        <w:t>本基金每份基金份额的锁定期指从基金合同生效日起或基金份额申购确认日起，至基金合同生效日或基金份额申购确认日起的第6天(含当日)。在锁定期内，基金份额持有人不能提出赎回申请，锁定期届满后的下一个工作日起可以提出赎回申请。</w:t>
      </w:r>
    </w:p>
    <w:p w14:paraId="0B59E096">
      <w:pPr>
        <w:pStyle w:val="18"/>
        <w:rPr>
          <w:rFonts w:hint="eastAsia"/>
        </w:rPr>
      </w:pPr>
      <w:r>
        <w:rPr>
          <w:rFonts w:hint="eastAsia"/>
        </w:rPr>
        <w:t>根据《中华人民共和国证券投资基金法》和《南方中证同业存单AAA指数7天持有期证券投资基金基金合同》的有关规定，本基金主要投资于标的指数成份券及其备选成份券。此外，本基金还可以投资于标的指数成份券及其备选成份券以外的具有良好流动性的金融工具，包括国内依法发行的债券(包括国债、地方政府债券、政府机构债券、金融债券、企业债券、公司债券、次级债券等)、非金融企业债务融资工具(中期票据、短期融资券、超短期融资券等)、银行存款(包括定期存款、协议存款、通知存款等)、央行票据、资产支持证券、债券回购、同业存单、货币市场工具以及法律法规或中国证监会允许基金投资的其他金融工具。本基金不投资股票等权益资产，也不投资可转换债券、可交换债券。本基金的投资组合比例为：本基金投资于同业存单的比例不低于基金资产的80%，本基金投资于标的指数成份券及其备选成份券的比例不低于本基金非现金基金资产的80%；本基金应当保持不低于基金资产净值5%的现金或者到期日在一年以内的政府债券，其中现金不包括结算备付金、存出保证金、应收申购款等。本基金的业绩比较基准为：中证同业存单AAA指数收益率×95%+银行人民币一年定期存款利率(税后)×5%。</w:t>
      </w:r>
    </w:p>
    <w:p w14:paraId="47A6C605">
      <w:pPr>
        <w:pStyle w:val="18"/>
        <w:rPr>
          <w:rFonts w:hint="eastAsia"/>
        </w:rPr>
      </w:pPr>
      <w:r>
        <w:rPr>
          <w:rFonts w:hint="eastAsia"/>
        </w:rPr>
        <w:t>本财务报表由本基金的基金管理人南方基金管理股份有限公司于2026年3月27日批准报出。</w:t>
      </w:r>
    </w:p>
    <w:p w14:paraId="05BE570F">
      <w:pPr>
        <w:pStyle w:val="28"/>
      </w:pPr>
      <w:bookmarkStart w:id="50" w:name="_Toc50"/>
      <w:r>
        <w:t xml:space="preserve"> 会计报表的编制基础 </w:t>
      </w:r>
      <w:bookmarkEnd w:id="50"/>
    </w:p>
    <w:p w14:paraId="7F1F8B3B">
      <w:pPr>
        <w:pStyle w:val="18"/>
        <w:rPr>
          <w:rFonts w:hint="eastAsia"/>
        </w:rPr>
      </w:pPr>
      <w:r>
        <w:rPr>
          <w:rFonts w:hint="eastAsia"/>
        </w:rPr>
        <w:t>本基金的财务报表按照财政部于2006年2月15日及以后期间颁布的《企业会计准则－基本准则》、各项具体会计准则、《资产管理产品相关会计处理规定》及其他相关规定(以下合称“企业会计准则”)、中国证监会颁布的《证券投资基金信息披露XBRL模板第3号&lt;年度报告和中期报告&gt;》、中国证券投资基金业协会(以下简称“中国基金业协会”)颁布的《证券投资基金会计核算业务指引》、本基金基金合同和在财务报表附注7.4.4所列示的中国证监会、中国基金业协会发布的有关规定及允许的基金行业实务操作编制。</w:t>
      </w:r>
    </w:p>
    <w:p w14:paraId="01A8F79B">
      <w:pPr>
        <w:pStyle w:val="18"/>
        <w:rPr>
          <w:rFonts w:hint="eastAsia"/>
        </w:rPr>
      </w:pPr>
      <w:r>
        <w:rPr>
          <w:rFonts w:hint="eastAsia"/>
        </w:rPr>
        <w:t>本财务报表以持续经营为基础编制。</w:t>
      </w:r>
    </w:p>
    <w:p w14:paraId="37FB14C5">
      <w:pPr>
        <w:pStyle w:val="28"/>
      </w:pPr>
      <w:bookmarkStart w:id="51" w:name="_Toc51"/>
      <w:r>
        <w:t xml:space="preserve"> 遵循企业会计准则及其他有关规定的声明</w:t>
      </w:r>
      <w:bookmarkEnd w:id="51"/>
    </w:p>
    <w:p w14:paraId="1A8914D5">
      <w:pPr>
        <w:pStyle w:val="18"/>
        <w:rPr>
          <w:rFonts w:hint="eastAsia"/>
        </w:rPr>
      </w:pPr>
      <w:r>
        <w:rPr>
          <w:rFonts w:hint="eastAsia"/>
        </w:rPr>
        <w:t>本基金2025年度财务报表符合企业会计准则的要求，真实、完整地反映了本基金2025年12月31日的财务状况以及2025年度的经营成果和净资产变动情况等有关信息。</w:t>
      </w:r>
    </w:p>
    <w:p w14:paraId="0B234543">
      <w:pPr>
        <w:pStyle w:val="28"/>
      </w:pPr>
      <w:bookmarkStart w:id="52" w:name="_Toc52"/>
      <w:r>
        <w:t xml:space="preserve">重要会计政策和会计估计 </w:t>
      </w:r>
      <w:bookmarkEnd w:id="52"/>
    </w:p>
    <w:p w14:paraId="04741561">
      <w:pPr>
        <w:pStyle w:val="35"/>
      </w:pPr>
      <w:bookmarkStart w:id="53" w:name="_Toc53"/>
      <w:r>
        <w:t>会计年度</w:t>
      </w:r>
      <w:bookmarkEnd w:id="53"/>
    </w:p>
    <w:p w14:paraId="0C6930CC">
      <w:pPr>
        <w:pStyle w:val="18"/>
        <w:rPr>
          <w:rFonts w:hint="eastAsia"/>
        </w:rPr>
      </w:pPr>
      <w:r>
        <w:rPr>
          <w:rFonts w:hint="eastAsia"/>
        </w:rPr>
        <w:t>本基金会计年度为公历1月1日起至12月31日止。</w:t>
      </w:r>
    </w:p>
    <w:p w14:paraId="3B4DC357">
      <w:pPr>
        <w:pStyle w:val="35"/>
      </w:pPr>
      <w:bookmarkStart w:id="54" w:name="_Toc54"/>
      <w:r>
        <w:t>记账本位币</w:t>
      </w:r>
      <w:bookmarkEnd w:id="54"/>
    </w:p>
    <w:p w14:paraId="1C471F23">
      <w:pPr>
        <w:pStyle w:val="18"/>
        <w:rPr>
          <w:rFonts w:hint="eastAsia"/>
        </w:rPr>
      </w:pPr>
      <w:r>
        <w:rPr>
          <w:rFonts w:hint="eastAsia"/>
        </w:rPr>
        <w:t>本基金的记账本位币为人民币。</w:t>
      </w:r>
    </w:p>
    <w:p w14:paraId="331EDE56">
      <w:pPr>
        <w:pStyle w:val="35"/>
      </w:pPr>
      <w:bookmarkStart w:id="55" w:name="_Toc55"/>
      <w:r>
        <w:t>金融资产和金融负债的分类</w:t>
      </w:r>
      <w:bookmarkEnd w:id="55"/>
    </w:p>
    <w:p w14:paraId="7935E9D3">
      <w:pPr>
        <w:pStyle w:val="18"/>
        <w:rPr>
          <w:rFonts w:hint="eastAsia"/>
        </w:rPr>
      </w:pPr>
      <w:r>
        <w:rPr>
          <w:rFonts w:hint="eastAsia"/>
        </w:rPr>
        <w:t>金融工具，是指形成一方的金融资产并形成其他方的金融负债或权益工具的合同。当本基金成为金融工具合同的一方时，确认相关的金融资产、金融负债或权益工具。</w:t>
      </w:r>
    </w:p>
    <w:p w14:paraId="686A5C48">
      <w:pPr>
        <w:pStyle w:val="18"/>
        <w:rPr>
          <w:rFonts w:hint="eastAsia"/>
        </w:rPr>
      </w:pPr>
      <w:r>
        <w:rPr>
          <w:rFonts w:hint="eastAsia"/>
        </w:rPr>
        <w:t>(1)金融资产</w:t>
      </w:r>
    </w:p>
    <w:p w14:paraId="4568E899">
      <w:pPr>
        <w:pStyle w:val="18"/>
        <w:rPr>
          <w:rFonts w:hint="eastAsia"/>
        </w:rPr>
      </w:pPr>
      <w:r>
        <w:rPr>
          <w:rFonts w:hint="eastAsia"/>
        </w:rPr>
        <w:t>金融资产于初始确认时分类为：以摊余成本计量的金融资产、以公允价值计量且其变动计入其他综合收益的金融资产及以公允价值计量且其变动计入当期损益的金融资产。金融资产的分类取决于本基金管理金融资产的业务模式和金融资产的合同现金流量特征。本基金现无金融资产分类为以公允价值计量且其变动计入其他综合收益的金融资产。</w:t>
      </w:r>
    </w:p>
    <w:p w14:paraId="1DA4770B">
      <w:pPr>
        <w:pStyle w:val="18"/>
        <w:rPr>
          <w:rFonts w:hint="eastAsia"/>
        </w:rPr>
      </w:pPr>
      <w:r>
        <w:rPr>
          <w:rFonts w:hint="eastAsia"/>
        </w:rPr>
        <w:t>债务工具</w:t>
      </w:r>
    </w:p>
    <w:p w14:paraId="1CE805C8">
      <w:pPr>
        <w:pStyle w:val="18"/>
        <w:rPr>
          <w:rFonts w:hint="eastAsia"/>
        </w:rPr>
      </w:pPr>
      <w:r>
        <w:rPr>
          <w:rFonts w:hint="eastAsia"/>
        </w:rPr>
        <w:t>本基金持有的债务工具是指从发行方角度分析符合金融负债定义的工具，分别采用以下两种方式进行计量：</w:t>
      </w:r>
    </w:p>
    <w:p w14:paraId="779C418B">
      <w:pPr>
        <w:pStyle w:val="18"/>
        <w:rPr>
          <w:rFonts w:hint="eastAsia"/>
        </w:rPr>
      </w:pPr>
      <w:r>
        <w:rPr>
          <w:rFonts w:hint="eastAsia"/>
        </w:rPr>
        <w:t>以摊余成本计量：</w:t>
      </w:r>
    </w:p>
    <w:p w14:paraId="2B2E7CDE">
      <w:pPr>
        <w:pStyle w:val="18"/>
        <w:rPr>
          <w:rFonts w:hint="eastAsia"/>
        </w:rPr>
      </w:pPr>
      <w:r>
        <w:rPr>
          <w:rFonts w:hint="eastAsia"/>
        </w:rPr>
        <w:t>本基金管理以摊余成本计量的金融资产的业务模式为以收取合同现金流量为目标，且以摊余成本计量的金融资产的合同现金流量特征与基本借贷安排相一致，即在特定日期产生的现金流量，仅为对本金和以未偿付本金金额为基础的利息的支付。本基金持有的以摊余成本计量的金融资产主要为货币资金、买入返售金融资产和其他各类应收款项等。</w:t>
      </w:r>
    </w:p>
    <w:p w14:paraId="59BE05AB">
      <w:pPr>
        <w:pStyle w:val="18"/>
        <w:rPr>
          <w:rFonts w:hint="eastAsia"/>
        </w:rPr>
      </w:pPr>
      <w:r>
        <w:rPr>
          <w:rFonts w:hint="eastAsia"/>
        </w:rPr>
        <w:t>以公允价值计量且其变动计入当期损益：</w:t>
      </w:r>
    </w:p>
    <w:p w14:paraId="59E30285">
      <w:pPr>
        <w:pStyle w:val="18"/>
        <w:rPr>
          <w:rFonts w:hint="eastAsia"/>
        </w:rPr>
      </w:pPr>
      <w:r>
        <w:rPr>
          <w:rFonts w:hint="eastAsia"/>
        </w:rPr>
        <w:t>本基金将持有的未划分为以摊余成本计量的债务工具，以公允价值计量且其变动计入当期损益。本基金持有的以公允价值计量且其变动计入当期损益的金融资产在资产负债表中以交易性金融资产列示。</w:t>
      </w:r>
    </w:p>
    <w:p w14:paraId="0A2DDE1D">
      <w:pPr>
        <w:pStyle w:val="18"/>
        <w:rPr>
          <w:rFonts w:hint="eastAsia"/>
        </w:rPr>
      </w:pPr>
      <w:r>
        <w:rPr>
          <w:rFonts w:hint="eastAsia"/>
        </w:rPr>
        <w:t>(2)金融负债</w:t>
      </w:r>
    </w:p>
    <w:p w14:paraId="72B99451">
      <w:pPr>
        <w:pStyle w:val="18"/>
        <w:rPr>
          <w:rFonts w:hint="eastAsia"/>
        </w:rPr>
      </w:pPr>
      <w:r>
        <w:rPr>
          <w:rFonts w:hint="eastAsia"/>
        </w:rPr>
        <w:t>金融负债于初始确认时分类为以摊余成本计量的金融负债和以公允价值计量且其变动计入当期损益的金融负债。本基金目前暂无金融负债分类为以公允价值计量且其变动计入当期损益的金融负债。本基金持有的以摊余成本计量的金融负债包括卖出回购金融资产款和其他各类应付款项等。</w:t>
      </w:r>
    </w:p>
    <w:p w14:paraId="2401DEC2">
      <w:pPr>
        <w:pStyle w:val="35"/>
      </w:pPr>
      <w:bookmarkStart w:id="56" w:name="_Toc56"/>
      <w:r>
        <w:t xml:space="preserve">金融资产和金融负债的初始确认、后续计量和终止确认 </w:t>
      </w:r>
      <w:bookmarkEnd w:id="56"/>
    </w:p>
    <w:p w14:paraId="3B8C7E85">
      <w:pPr>
        <w:pStyle w:val="18"/>
        <w:rPr>
          <w:rFonts w:hint="eastAsia"/>
        </w:rPr>
      </w:pPr>
      <w:r>
        <w:rPr>
          <w:rFonts w:hint="eastAsia"/>
        </w:rPr>
        <w:t>金融资产或金融负债在初始确认时以公允价值计量。对于以公允价值计量且其变动计入当期损益的金融资产和金融负债，相关交易费用计入当期损益；对于支付的价款中包含的债券或资产支持证券起息日或上次除息日至购买日止的利息，确认为应计利息，包含在交易性金融资产的账面价值中。对于其他类别的金融资产和金融负债，相关交易费用计入初始确认金额。</w:t>
      </w:r>
    </w:p>
    <w:p w14:paraId="6C456227">
      <w:pPr>
        <w:pStyle w:val="18"/>
        <w:rPr>
          <w:rFonts w:hint="eastAsia"/>
        </w:rPr>
      </w:pPr>
      <w:r>
        <w:rPr>
          <w:rFonts w:hint="eastAsia"/>
        </w:rPr>
        <w:t>对于以公允价值计量且其变动计入当期损益的金融资产，按照公允价值进行后续计量；对于应收款项和其他金融负债采用实际利率法，以摊余成本进行后续计量。</w:t>
      </w:r>
    </w:p>
    <w:p w14:paraId="7013D0BC">
      <w:pPr>
        <w:pStyle w:val="18"/>
        <w:rPr>
          <w:rFonts w:hint="eastAsia"/>
        </w:rPr>
      </w:pPr>
      <w:r>
        <w:rPr>
          <w:rFonts w:hint="eastAsia"/>
        </w:rPr>
        <w:t>本基金对于以摊余成本计量的金融资产，以预期信用损失为基础确认损失准备。</w:t>
      </w:r>
    </w:p>
    <w:p w14:paraId="7C87DDB1">
      <w:pPr>
        <w:pStyle w:val="18"/>
        <w:rPr>
          <w:rFonts w:hint="eastAsia"/>
        </w:rPr>
      </w:pPr>
      <w:r>
        <w:rPr>
          <w:rFonts w:hint="eastAsia"/>
        </w:rPr>
        <w:t>本基金考虑在资产负债表日无须付出不必要的额外成本和努力即可获得的有关过去事项、当前状况以及对未来经济状况的预测等合理且有依据的信息，以发生违约的风险为权重，计算合同应收的现金流量与预期能收到的现金流量之间差额的现值的概率加权金额，确认预期信用损失。</w:t>
      </w:r>
    </w:p>
    <w:p w14:paraId="73B18284">
      <w:pPr>
        <w:pStyle w:val="18"/>
        <w:rPr>
          <w:rFonts w:hint="eastAsia"/>
        </w:rPr>
      </w:pPr>
      <w:r>
        <w:rPr>
          <w:rFonts w:hint="eastAsia"/>
        </w:rPr>
        <w:t>于每个资产负债表日，本基金对处于不同阶段的金融工具的预期信用损失分别进行计量。金融工具自初始确认后信用风险未显著增加的，处于第一阶段，本基金按照未来12个月内的预期信用损失计量损失准备；金融工具自初始确认后信用风险已显著增加但尚未发生信用减值的，处于第二阶段，本基金按照该工具整个存续期的预期信用损失计量损失准备；金融工具自初始确认后已经发生信用减值的，处于第三阶段，本基金按照该工具整个存续期的预期信用损失计量损失准备。</w:t>
      </w:r>
    </w:p>
    <w:p w14:paraId="02C338DA">
      <w:pPr>
        <w:pStyle w:val="18"/>
        <w:rPr>
          <w:rFonts w:hint="eastAsia"/>
        </w:rPr>
      </w:pPr>
      <w:r>
        <w:rPr>
          <w:rFonts w:hint="eastAsia"/>
        </w:rPr>
        <w:t>对于在资产负债表日具有较低信用风险的金融工具，本基金假设其信用风险自初始确认后并未显著增加，认定为处于第一阶段的金融工具，按照未来12个月内的预期信用损失计量损失准备。</w:t>
      </w:r>
    </w:p>
    <w:p w14:paraId="2B85AC53">
      <w:pPr>
        <w:pStyle w:val="18"/>
        <w:rPr>
          <w:rFonts w:hint="eastAsia"/>
        </w:rPr>
      </w:pPr>
      <w:r>
        <w:rPr>
          <w:rFonts w:hint="eastAsia"/>
        </w:rPr>
        <w:t>本基金对于处于第一阶段和第二阶段的金融工具，按照其未扣除减值准备的账面余额和实际利率计算利息收入。对于处于第三阶段的金融工具，按照其账面余额减已计提减值准备后的摊余成本和实际利率计算利息收入。</w:t>
      </w:r>
    </w:p>
    <w:p w14:paraId="51C7857E">
      <w:pPr>
        <w:pStyle w:val="18"/>
        <w:rPr>
          <w:rFonts w:hint="eastAsia"/>
        </w:rPr>
      </w:pPr>
      <w:r>
        <w:rPr>
          <w:rFonts w:hint="eastAsia"/>
        </w:rPr>
        <w:t>本基金将计提或转回的损失准备计入当期损益。</w:t>
      </w:r>
    </w:p>
    <w:p w14:paraId="2372B549">
      <w:pPr>
        <w:pStyle w:val="18"/>
        <w:rPr>
          <w:rFonts w:hint="eastAsia"/>
        </w:rPr>
      </w:pPr>
      <w:r>
        <w:rPr>
          <w:rFonts w:hint="eastAsia"/>
        </w:rPr>
        <w:t>金融资产满足下列条件之一的，予以终止确认：(1)收取该金融资产现金流量的合同权利终止；(2)该金融资产已转移，且本基金将金融资产所有权上几乎所有的风险和报酬转移给转入方；或者(3)该金融资产已转移，虽然本基金既没有转移也没有保留金融资产所有权上几乎所有的风险和报酬，但是放弃了对该金融资产控制。</w:t>
      </w:r>
    </w:p>
    <w:p w14:paraId="399651CB">
      <w:pPr>
        <w:pStyle w:val="18"/>
        <w:rPr>
          <w:rFonts w:hint="eastAsia"/>
        </w:rPr>
      </w:pPr>
      <w:r>
        <w:rPr>
          <w:rFonts w:hint="eastAsia"/>
        </w:rPr>
        <w:t>金融资产终止确认时，其账面价值与收到的对价的差额，计入当期损益。</w:t>
      </w:r>
    </w:p>
    <w:p w14:paraId="0EDF44B8">
      <w:pPr>
        <w:pStyle w:val="18"/>
        <w:rPr>
          <w:rFonts w:hint="eastAsia"/>
        </w:rPr>
      </w:pPr>
      <w:r>
        <w:rPr>
          <w:rFonts w:hint="eastAsia"/>
        </w:rPr>
        <w:t>当金融负债的现时义务全部或部分已经解除时，终止确认该金融负债或义务已解除的部分。终止确认部分的账面价值与支付的对价之间的差额，计入当期损益。</w:t>
      </w:r>
    </w:p>
    <w:p w14:paraId="232EB71D">
      <w:pPr>
        <w:pStyle w:val="35"/>
      </w:pPr>
      <w:bookmarkStart w:id="57" w:name="_Toc57"/>
      <w:r>
        <w:t>金融资产和金融负债的估值原则</w:t>
      </w:r>
      <w:bookmarkEnd w:id="57"/>
    </w:p>
    <w:p w14:paraId="0BDB09C2">
      <w:pPr>
        <w:pStyle w:val="18"/>
        <w:rPr>
          <w:rFonts w:hint="eastAsia"/>
        </w:rPr>
      </w:pPr>
      <w:r>
        <w:rPr>
          <w:rFonts w:hint="eastAsia"/>
        </w:rPr>
        <w:t>本基金持有的以公允价值计量且其变动计入当期损益的金融资产按如下原则确定公允价值并进行估值：</w:t>
      </w:r>
    </w:p>
    <w:p w14:paraId="18D40306">
      <w:pPr>
        <w:pStyle w:val="18"/>
        <w:rPr>
          <w:rFonts w:hint="eastAsia"/>
        </w:rPr>
      </w:pPr>
      <w:r>
        <w:rPr>
          <w:rFonts w:hint="eastAsia"/>
        </w:rPr>
        <w:t>(1)存在活跃市场的金融工具按其估值日的市场交易价格确定公允价值；估值日无交易且最近交易日后未发生影响公允价值计量的重大事件的，按最近交易日的市场交易价格确定公允价值。有充足证据表明估值日或最近交易日的市场交易价格不能真实反映公允价值的，应对市场交易价格进行调整，确定公允价值。与上述投资品种相同，但具有不同特征的，应以相同资产或负债的公允价值为基础，并在估值技术中考虑不同特征因素的影响。特征是指对资产出售或使用的限制等，如果该限制是针对资产持有者的，那么在估值技术中不应将该限制作为特征考虑。此外，基金管理人不应考虑因大量持有相关资产或负债所产生的溢价或折价。</w:t>
      </w:r>
    </w:p>
    <w:p w14:paraId="3B8C8229">
      <w:pPr>
        <w:pStyle w:val="18"/>
        <w:rPr>
          <w:rFonts w:hint="eastAsia"/>
        </w:rPr>
      </w:pPr>
      <w:r>
        <w:rPr>
          <w:rFonts w:hint="eastAsia"/>
        </w:rPr>
        <w:t>(2)当金融工具不存在活跃市场，采用在当前情况下适用并且有足够可利用数据和其他信息支持的估值技术确定公允价值。采用估值技术时，优先使用可观察输入值，只有在无法取得相关资产或负债可观察输入值或取得不切实可行的情况下，才可以使用不可观察输入值。</w:t>
      </w:r>
    </w:p>
    <w:p w14:paraId="2320F012">
      <w:pPr>
        <w:pStyle w:val="18"/>
        <w:rPr>
          <w:rFonts w:hint="eastAsia"/>
        </w:rPr>
      </w:pPr>
      <w:r>
        <w:rPr>
          <w:rFonts w:hint="eastAsia"/>
        </w:rPr>
        <w:t>(3)如经济环境发生重大变化或证券发行人发生影响金融工具价格的重大事件，应对估值进行调整并确定公允价值。</w:t>
      </w:r>
    </w:p>
    <w:p w14:paraId="20642EF5">
      <w:pPr>
        <w:pStyle w:val="35"/>
      </w:pPr>
      <w:bookmarkStart w:id="58" w:name="_Toc58"/>
      <w:r>
        <w:t>金融资产和金融负债的抵销</w:t>
      </w:r>
      <w:bookmarkEnd w:id="58"/>
    </w:p>
    <w:p w14:paraId="672788A0">
      <w:pPr>
        <w:pStyle w:val="18"/>
        <w:rPr>
          <w:rFonts w:hint="eastAsia"/>
        </w:rPr>
      </w:pPr>
      <w:r>
        <w:rPr>
          <w:rFonts w:hint="eastAsia"/>
        </w:rPr>
        <w:t>本基金持有的资产和承担的负债基本为金融资产和金融负债。当本基金1)具有抵销已确认金额的法定权利且该种法定权利现在是可执行的；且2)交易双方准备按净额结算时，金融资产与金融负债按抵销后的净额在资产负债表中列示。</w:t>
      </w:r>
    </w:p>
    <w:p w14:paraId="1B09F2F3">
      <w:pPr>
        <w:pStyle w:val="35"/>
      </w:pPr>
      <w:bookmarkStart w:id="59" w:name="_Toc59"/>
      <w:r>
        <w:t>实收基金</w:t>
      </w:r>
      <w:bookmarkEnd w:id="59"/>
    </w:p>
    <w:p w14:paraId="1BB50FCF">
      <w:pPr>
        <w:pStyle w:val="18"/>
        <w:rPr>
          <w:rFonts w:hint="eastAsia"/>
        </w:rPr>
      </w:pPr>
      <w:r>
        <w:rPr>
          <w:rFonts w:hint="eastAsia"/>
        </w:rPr>
        <w:t>实收基金为对外发行基金份额所募集的总金额在扣除损益平准金分摊部分后的余额。由于申购和赎回引起的实收基金变动分别于基金申购确认日及基金赎回确认日认列。上述申购和赎回分别包括基金转换所引起的转入基金的实收基金增加和转出基金的实收基金减少。</w:t>
      </w:r>
    </w:p>
    <w:p w14:paraId="34DB35EF">
      <w:pPr>
        <w:pStyle w:val="18"/>
        <w:rPr>
          <w:rFonts w:hint="eastAsia"/>
        </w:rPr>
      </w:pPr>
      <w:r>
        <w:rPr>
          <w:rFonts w:hint="eastAsia"/>
        </w:rPr>
        <w:t>本基金发行的份额作为可回售工具具备以下特征：(1)赋予基金份额持有人在基金清算时按比例份额获得该基金净资产的权利，这里所指基金净资产是扣除所有优先于该基金份额对基金资产要求权之后的剩余资产；这里所指按比例份额是清算时将基金的净资产分拆为金额相等的单位，并且将单位金额乘以基金份额持有人所持有的单位数量；(2)该工具所属的类别次于其他所有工具类别，即本基金份额在归属于该类别前无须转换为另一种工具，且在清算时对基金资产没有优先于其他工具的要求权；(3)该工具所属的类别中(该类别次于其他所有工具类别)，所有工具具有相同的特征(例如它们必须都具有可回售特征，并且用于计算回购或赎回价格的公式或其他方法都相同)；(4)除了发行方应当以现金或其他金融资产回购或赎回该基金份额的合同义务外，该工具不满足金融负债定义中的任何其他特征；(5)该工具在存续期内的预计现金流量总额，应当实质上基于该基金存续期内基金的损益、已确认净资产的变动、已确认和未确认净资产的公允价值变动(不包括本基金的任何影响)。</w:t>
      </w:r>
    </w:p>
    <w:p w14:paraId="061A8930">
      <w:pPr>
        <w:pStyle w:val="18"/>
        <w:rPr>
          <w:rFonts w:hint="eastAsia"/>
        </w:rPr>
      </w:pPr>
      <w:r>
        <w:rPr>
          <w:rFonts w:hint="eastAsia"/>
        </w:rPr>
        <w:t>可回售工具，是指根据合同约定，持有方有权将该工具回售给发行方以获取现金或其他金融资产的权利，或者在未来某一不确定事项发生或者持有方死亡或退休时，自动回售给发行方的金融工具。</w:t>
      </w:r>
    </w:p>
    <w:p w14:paraId="4AFF644A">
      <w:pPr>
        <w:pStyle w:val="18"/>
        <w:rPr>
          <w:rFonts w:hint="eastAsia"/>
        </w:rPr>
      </w:pPr>
      <w:r>
        <w:rPr>
          <w:rFonts w:hint="eastAsia"/>
        </w:rPr>
        <w:t>本基金没有同时具备下列特征的其他金融工具或合同：(1)现金流量总额实质上基于基金的损益、已确认净资产的变动、已确认和未确认净资产的公允价值变动(不包括该基金或合同的任何影响)；(2)实质上限制或固定了上述工具持有方所获得的剩余回报。</w:t>
      </w:r>
    </w:p>
    <w:p w14:paraId="44FA5B3D">
      <w:pPr>
        <w:pStyle w:val="18"/>
        <w:rPr>
          <w:rFonts w:hint="eastAsia"/>
        </w:rPr>
      </w:pPr>
      <w:r>
        <w:rPr>
          <w:rFonts w:hint="eastAsia"/>
        </w:rPr>
        <w:t>本基金将实收基金分类为权益工具，列报于净资产。</w:t>
      </w:r>
    </w:p>
    <w:p w14:paraId="297581AF">
      <w:pPr>
        <w:pStyle w:val="35"/>
      </w:pPr>
      <w:bookmarkStart w:id="60" w:name="_Toc60"/>
      <w:r>
        <w:t>损益平准金</w:t>
      </w:r>
      <w:bookmarkEnd w:id="60"/>
    </w:p>
    <w:p w14:paraId="4CB6E164">
      <w:pPr>
        <w:pStyle w:val="18"/>
        <w:rPr>
          <w:rFonts w:hint="eastAsia"/>
        </w:rPr>
      </w:pPr>
      <w:r>
        <w:rPr>
          <w:rFonts w:hint="eastAsia"/>
        </w:rPr>
        <w:t>损益平准金包括已实现平准金和未实现平准金。已实现平准金指在申购或赎回基金份额时，申购或赎回款项中包含的按累计未分配的已实现损益占净资产比例计算的金额。未实现平准金指在申购或赎回基金份额时，申购或赎回款项中包含的按累计未实现损益占净资产比例计算的金额。损益平准金于基金申购确认日或基金赎回确认日认列，并于期末全额转入未分配利润/(累计亏损)。</w:t>
      </w:r>
    </w:p>
    <w:p w14:paraId="094D43E9">
      <w:pPr>
        <w:pStyle w:val="35"/>
      </w:pPr>
      <w:bookmarkStart w:id="61" w:name="_Toc61"/>
      <w:r>
        <w:t>收入/（损失）的确认和计量</w:t>
      </w:r>
      <w:bookmarkEnd w:id="61"/>
    </w:p>
    <w:p w14:paraId="62554031">
      <w:pPr>
        <w:pStyle w:val="18"/>
        <w:rPr>
          <w:rFonts w:hint="eastAsia"/>
        </w:rPr>
      </w:pPr>
      <w:r>
        <w:rPr>
          <w:rFonts w:hint="eastAsia"/>
        </w:rPr>
        <w:t>债券投资和资产支持证券投资在持有期间应取得的按票面利率(对于贴现债为按发行价计算的利率)或合同利率计算的利息扣除在适用情况下由债券和资产支持证券发行企业代扣代缴的个人所得税及由基金管理人缴纳的增值税后的净额确认为投资收益。</w:t>
      </w:r>
    </w:p>
    <w:p w14:paraId="0675A2A8">
      <w:pPr>
        <w:pStyle w:val="18"/>
        <w:rPr>
          <w:rFonts w:hint="eastAsia"/>
        </w:rPr>
      </w:pPr>
      <w:r>
        <w:rPr>
          <w:rFonts w:hint="eastAsia"/>
        </w:rPr>
        <w:t>以公允价值计量且其变动计入当期损益的金融资产在持有期间的公允价值变动扣除按票面利率(对于贴现债为按发行价计算的利率)或合同利率计算的利息确认为公允价值变动损益；于处置时，其处置价格与初始确认金额之间的差额扣除相关交易费用及在适用情况下由基金管理人缴纳的增值税后的净额确认为投资收益，其中包括从公允价值变动损益结转的公允价值累计变动额。</w:t>
      </w:r>
    </w:p>
    <w:p w14:paraId="18BAC0F5">
      <w:pPr>
        <w:pStyle w:val="18"/>
        <w:rPr>
          <w:rFonts w:hint="eastAsia"/>
        </w:rPr>
      </w:pPr>
      <w:r>
        <w:rPr>
          <w:rFonts w:hint="eastAsia"/>
        </w:rPr>
        <w:t>应收款项在持有期间确认的利息收入按实际利率法计算，实际利率法与直线法差异较小的则按直线法计算。</w:t>
      </w:r>
    </w:p>
    <w:p w14:paraId="64F73EEA">
      <w:pPr>
        <w:pStyle w:val="35"/>
      </w:pPr>
      <w:bookmarkStart w:id="62" w:name="_Toc62"/>
      <w:r>
        <w:t>费用的确认和计量</w:t>
      </w:r>
      <w:bookmarkEnd w:id="62"/>
    </w:p>
    <w:p w14:paraId="52F3897A">
      <w:pPr>
        <w:pStyle w:val="18"/>
        <w:rPr>
          <w:rFonts w:hint="eastAsia"/>
        </w:rPr>
      </w:pPr>
      <w:r>
        <w:rPr>
          <w:rFonts w:hint="eastAsia"/>
        </w:rPr>
        <w:t>本基金的管理人报酬、托管费和销售服务费在费用涵盖期间按基金合同约定的费率和计算方法逐日确认。</w:t>
      </w:r>
    </w:p>
    <w:p w14:paraId="31A90825">
      <w:pPr>
        <w:pStyle w:val="18"/>
        <w:rPr>
          <w:rFonts w:hint="eastAsia"/>
        </w:rPr>
      </w:pPr>
      <w:r>
        <w:rPr>
          <w:rFonts w:hint="eastAsia"/>
        </w:rPr>
        <w:t>以摊余成本计量的金融负债在持有期间确认的利息支出按实际利率法计算，实际利率法与直线法差异较小的则按直线法计算。</w:t>
      </w:r>
    </w:p>
    <w:p w14:paraId="1A2F0410">
      <w:pPr>
        <w:pStyle w:val="35"/>
      </w:pPr>
      <w:bookmarkStart w:id="63" w:name="_Toc63"/>
      <w:r>
        <w:t>基金的收益分配政策</w:t>
      </w:r>
      <w:bookmarkEnd w:id="63"/>
    </w:p>
    <w:p w14:paraId="2BE51C89">
      <w:pPr>
        <w:pStyle w:val="18"/>
        <w:rPr>
          <w:rFonts w:hint="eastAsia"/>
        </w:rPr>
      </w:pPr>
      <w:r>
        <w:rPr>
          <w:rFonts w:hint="eastAsia"/>
        </w:rPr>
        <w:t>每一基金份额享有同等分配权。本基金收益以现金形式分配，但基金份额持有人可选择现金红利或将现金红利按分红除权日的基金份额净值自动转为基金份额进行再投资。若期末未分配利润中的未实现部分为正数，包括基金经营活动产生的未实现损益以及基金份额交易产生的未实现平准金等，则期末可供分配利润的金额为期末未分配利润中的已实现部分；若期末未分配利润的未实现部分为负数，则期末可供分配利润的金额为期末未分配利润，即已实现部分相抵未实现部分后的余额。</w:t>
      </w:r>
    </w:p>
    <w:p w14:paraId="7DD8D292">
      <w:pPr>
        <w:pStyle w:val="18"/>
        <w:rPr>
          <w:rFonts w:hint="eastAsia"/>
        </w:rPr>
      </w:pPr>
      <w:r>
        <w:rPr>
          <w:rFonts w:hint="eastAsia"/>
        </w:rPr>
        <w:t>经宣告的拟分配基金收益于分红除权日从净资产转出。</w:t>
      </w:r>
    </w:p>
    <w:p w14:paraId="07EB4128">
      <w:pPr>
        <w:pStyle w:val="35"/>
      </w:pPr>
      <w:bookmarkStart w:id="64" w:name="_Toc64"/>
      <w:r>
        <w:t xml:space="preserve"> 分部报告</w:t>
      </w:r>
      <w:bookmarkEnd w:id="64"/>
    </w:p>
    <w:p w14:paraId="6543DBC4">
      <w:pPr>
        <w:pStyle w:val="18"/>
        <w:rPr>
          <w:rFonts w:hint="eastAsia"/>
        </w:rPr>
      </w:pPr>
      <w:r>
        <w:rPr>
          <w:rFonts w:hint="eastAsia"/>
        </w:rPr>
        <w:t>本基金以内部组织结构、管理要求、内部报告制度为依据确定经营分部，以经营分部为基础确定报告分部并披露分部信息。经营分部是指本基金内同时满足下列条件的组成部分：(1)该组成部分能够在日常活动中产生收入、发生费用；(2)本基金的基金管理人能够定期评价该组成部分的经营成果，以决定向其配置资源、评价其业绩；(3)本基金能够取得该组成部分的财务状况、经营成果和现金流量等有关会计信息。如果两个或多个经营分部具有相似的经济特征，并且满足一定条件的，则合并为一个经营分部。</w:t>
      </w:r>
    </w:p>
    <w:p w14:paraId="5A44D9A1">
      <w:pPr>
        <w:pStyle w:val="18"/>
        <w:rPr>
          <w:rFonts w:hint="eastAsia"/>
        </w:rPr>
      </w:pPr>
      <w:r>
        <w:rPr>
          <w:rFonts w:hint="eastAsia"/>
        </w:rPr>
        <w:t>本基金目前以一个单一的经营分部运作，不需要披露分部信息。</w:t>
      </w:r>
    </w:p>
    <w:p w14:paraId="5A062861">
      <w:pPr>
        <w:pStyle w:val="35"/>
      </w:pPr>
      <w:bookmarkStart w:id="65" w:name="_Toc65"/>
      <w:r>
        <w:t>其他重要的会计政策和会计估计</w:t>
      </w:r>
      <w:bookmarkEnd w:id="65"/>
    </w:p>
    <w:p w14:paraId="0A6F6004">
      <w:pPr>
        <w:pStyle w:val="18"/>
        <w:rPr>
          <w:rFonts w:hint="eastAsia"/>
        </w:rPr>
      </w:pPr>
      <w:r>
        <w:rPr>
          <w:rFonts w:hint="eastAsia"/>
        </w:rPr>
        <w:t>根据本基金的估值原则和中国证监会允许的基金行业估值实务操作，本基金确定以下以公允价值计量且其变动计入当期损益的金融资产的公允价值时采用的估值方法及其关键假设如下：</w:t>
      </w:r>
    </w:p>
    <w:p w14:paraId="0607FAD2">
      <w:pPr>
        <w:pStyle w:val="18"/>
        <w:rPr>
          <w:rFonts w:hint="eastAsia"/>
        </w:rPr>
      </w:pPr>
      <w:r>
        <w:rPr>
          <w:rFonts w:hint="eastAsia"/>
        </w:rPr>
        <w:t>对于在证券交易所上市或挂牌转让的固定收益品种及在银行间同业市场交易的固定收益品种，根据中国证监会公告[2017]13号《中国证监会关于证券投资基金估值业务的指导意见》及中国基金业协会中基协字[2022]566号《关于发布&lt;关于固定收益品种的估值处理标准&gt;的通知》之附件《关于固定收益品种的估值处理标准》采用估值技术确定公允价值。本基金持有的证券交易所上市或挂牌转让的固定收益品种，按照中证指数有限公司所独立提供的估值结果确定公允价值。本基金持有的银行间同业市场固定收益品种按照中债金融估值中心有限公司所独立提供的估值结果确定公允价值。</w:t>
      </w:r>
    </w:p>
    <w:p w14:paraId="18927D44">
      <w:pPr>
        <w:pStyle w:val="28"/>
      </w:pPr>
      <w:bookmarkStart w:id="66" w:name="_Toc66"/>
      <w:r>
        <w:t xml:space="preserve">会计政策和会计估计变更以及差错更正的说明 </w:t>
      </w:r>
      <w:bookmarkEnd w:id="66"/>
    </w:p>
    <w:p w14:paraId="5F28F786">
      <w:pPr>
        <w:pStyle w:val="35"/>
      </w:pPr>
      <w:bookmarkStart w:id="67" w:name="_Toc67"/>
      <w:r>
        <w:t xml:space="preserve">会计政策变更的说明 </w:t>
      </w:r>
      <w:bookmarkEnd w:id="67"/>
    </w:p>
    <w:p w14:paraId="21552B59">
      <w:pPr>
        <w:pStyle w:val="18"/>
        <w:rPr>
          <w:rFonts w:hint="eastAsia"/>
        </w:rPr>
      </w:pPr>
      <w:r>
        <w:rPr>
          <w:rFonts w:hint="eastAsia"/>
        </w:rPr>
        <w:t>本基金本报告期未发生会计政策变更。</w:t>
      </w:r>
    </w:p>
    <w:p w14:paraId="4D0CC1A4">
      <w:pPr>
        <w:pStyle w:val="35"/>
      </w:pPr>
      <w:bookmarkStart w:id="68" w:name="_Toc68"/>
      <w:r>
        <w:t>会计估计变更的说明</w:t>
      </w:r>
      <w:bookmarkEnd w:id="68"/>
    </w:p>
    <w:p w14:paraId="70A21909">
      <w:pPr>
        <w:pStyle w:val="18"/>
        <w:rPr>
          <w:rFonts w:hint="eastAsia"/>
        </w:rPr>
      </w:pPr>
      <w:r>
        <w:rPr>
          <w:rFonts w:hint="eastAsia"/>
        </w:rPr>
        <w:t>本基金本报告期未发生会计估计变更。</w:t>
      </w:r>
    </w:p>
    <w:p w14:paraId="6DC1DD38">
      <w:pPr>
        <w:pStyle w:val="35"/>
      </w:pPr>
      <w:bookmarkStart w:id="69" w:name="_Toc69"/>
      <w:r>
        <w:t>差错更正的说明</w:t>
      </w:r>
      <w:bookmarkEnd w:id="69"/>
    </w:p>
    <w:p w14:paraId="550EED40">
      <w:pPr>
        <w:pStyle w:val="18"/>
        <w:rPr>
          <w:rFonts w:hint="eastAsia"/>
        </w:rPr>
      </w:pPr>
      <w:r>
        <w:rPr>
          <w:rFonts w:hint="eastAsia"/>
        </w:rPr>
        <w:t>本基金在本报告期间无须说明的会计差错更正。</w:t>
      </w:r>
    </w:p>
    <w:p w14:paraId="4CC31DCE">
      <w:pPr>
        <w:pStyle w:val="28"/>
      </w:pPr>
      <w:bookmarkStart w:id="70" w:name="_Toc70"/>
      <w:r>
        <w:t>税项</w:t>
      </w:r>
      <w:bookmarkEnd w:id="70"/>
    </w:p>
    <w:p w14:paraId="06BC994B">
      <w:pPr>
        <w:pStyle w:val="18"/>
        <w:rPr>
          <w:rFonts w:hint="eastAsia"/>
        </w:rPr>
      </w:pPr>
      <w:r>
        <w:rPr>
          <w:rFonts w:hint="eastAsia"/>
        </w:rPr>
        <w:t>根据财政部、国家税务总局财税[2002]128号《关于开放式证券投资基金有关税收问题的通知》、财税[2008]1号《关于企业所得税若干优惠政策的通知》、财税[2016]36号《关于全面推开营业税改征增值税试点的通知》、财税[2016]46号《关于进一步明确全面推开营改增试点金融业有关政策的通知》、财税[2016]70号《关于金融机构同业往来等增值税政策的补充通知》、财税[2016]140号《关于明确金融房地产开发教育辅助服务等增值税政策的通知》、财税[2017]2号《关于资管产品增值税政策有关问题的补充通知》、财税[2017]56号《关于资管产品增值税有关问题的通知》、财税[2017]90号《关于租入固定资产进项税额抵扣等增值税政策的通知》、财政部、国家税务总局公告2025年第4号《关于国债等债券利息收入增值税政策的公告》及其他相关财税法规和实务操作，主要税项列示如下：</w:t>
      </w:r>
    </w:p>
    <w:p w14:paraId="142864D9">
      <w:pPr>
        <w:pStyle w:val="18"/>
        <w:rPr>
          <w:rFonts w:hint="eastAsia"/>
        </w:rPr>
      </w:pPr>
      <w:r>
        <w:rPr>
          <w:rFonts w:hint="eastAsia"/>
        </w:rPr>
        <w:t>(1)资管产品运营过程中发生的增值税应税行为，以资管产品管理人为增值税纳税人。资管产品管理人运营资管产品过程中发生的增值税应税行为，暂适用简易计税方法，按照3%的征收率缴纳增值税。</w:t>
      </w:r>
    </w:p>
    <w:p w14:paraId="77854393">
      <w:pPr>
        <w:pStyle w:val="18"/>
        <w:rPr>
          <w:rFonts w:hint="eastAsia"/>
        </w:rPr>
      </w:pPr>
      <w:r>
        <w:rPr>
          <w:rFonts w:hint="eastAsia"/>
        </w:rPr>
        <w:t>对证券投资基金管理人运用基金买卖债券的转让收入免征增值税，对除持有金融债券外的金融同业往来利息收入亦免征增值税。自2025年8月8日起，对在该日期之后(含当日)新发行的国债、地方政府债券、金融债券的利息收入，恢复征收增值税。对在该日期之前已发行的国债、地方政府债券、金融债券(包含在2025年8月8日之后续发行的部分)的利息收入，免征增值税直至债券到期。</w:t>
      </w:r>
    </w:p>
    <w:p w14:paraId="472F6B53">
      <w:pPr>
        <w:pStyle w:val="18"/>
        <w:rPr>
          <w:rFonts w:hint="eastAsia"/>
        </w:rPr>
      </w:pPr>
      <w:r>
        <w:rPr>
          <w:rFonts w:hint="eastAsia"/>
        </w:rPr>
        <w:t>(2)对基金从证券市场中取得的收入，包括买卖债券的差价收入，债券的利息收入及其他收入，暂不征收企业所得税。</w:t>
      </w:r>
    </w:p>
    <w:p w14:paraId="4C3F3DBE">
      <w:pPr>
        <w:pStyle w:val="18"/>
        <w:rPr>
          <w:rFonts w:hint="eastAsia"/>
        </w:rPr>
      </w:pPr>
      <w:r>
        <w:rPr>
          <w:rFonts w:hint="eastAsia"/>
        </w:rPr>
        <w:t>(3)对基金取得的企业债券利息收入，应由发行债券的企业在向基金支付利息时代扣代缴20%的个人所得税。</w:t>
      </w:r>
    </w:p>
    <w:p w14:paraId="19AA80E4">
      <w:pPr>
        <w:pStyle w:val="18"/>
        <w:rPr>
          <w:rFonts w:hint="eastAsia"/>
        </w:rPr>
      </w:pPr>
      <w:r>
        <w:rPr>
          <w:rFonts w:hint="eastAsia"/>
        </w:rPr>
        <w:t>(4)本基金的城市维护建设税、教育费附加和地方教育附加等税费按照实际缴纳增值税额的适用比例计算缴纳。</w:t>
      </w:r>
    </w:p>
    <w:p w14:paraId="6DF7ACD6">
      <w:pPr>
        <w:pStyle w:val="28"/>
      </w:pPr>
      <w:bookmarkStart w:id="71" w:name="_Toc71"/>
      <w:r>
        <w:t xml:space="preserve">重要财务报表项目的说明 </w:t>
      </w:r>
      <w:bookmarkEnd w:id="71"/>
    </w:p>
    <w:p w14:paraId="664E82DA">
      <w:pPr>
        <w:pStyle w:val="35"/>
      </w:pPr>
      <w:bookmarkStart w:id="72" w:name="_Toc72"/>
      <w:r>
        <w:t>货币资金</w:t>
      </w:r>
      <w:bookmarkEnd w:id="72"/>
    </w:p>
    <w:p w14:paraId="5D247701">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708AD0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7E70F0A7">
            <w:pPr>
              <w:jc w:val="center"/>
            </w:pPr>
            <w:r>
              <w:rPr>
                <w:rFonts w:hint="eastAsia"/>
                <w:b/>
              </w:rPr>
              <w:t>项目</w:t>
            </w:r>
          </w:p>
        </w:tc>
        <w:tc>
          <w:tcPr>
            <w:tcW w:w="2768" w:type="dxa"/>
            <w:shd w:val="clear" w:color="auto" w:fill="BFBFBF"/>
            <w:vAlign w:val="center"/>
          </w:tcPr>
          <w:p w14:paraId="0DD33144">
            <w:pPr>
              <w:jc w:val="center"/>
            </w:pPr>
            <w:r>
              <w:rPr>
                <w:rFonts w:hint="eastAsia"/>
                <w:b/>
              </w:rPr>
              <w:t>本期末2025年12月31日</w:t>
            </w:r>
          </w:p>
        </w:tc>
        <w:tc>
          <w:tcPr>
            <w:tcW w:w="2768" w:type="dxa"/>
            <w:shd w:val="clear" w:color="auto" w:fill="BFBFBF"/>
            <w:vAlign w:val="center"/>
          </w:tcPr>
          <w:p w14:paraId="64E497BE">
            <w:pPr>
              <w:jc w:val="center"/>
            </w:pPr>
            <w:r>
              <w:rPr>
                <w:rFonts w:hint="eastAsia"/>
                <w:b/>
              </w:rPr>
              <w:t>上年度末2024年12月31日</w:t>
            </w:r>
          </w:p>
        </w:tc>
      </w:tr>
      <w:tr w14:paraId="70A925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C51C3E3">
            <w:r>
              <w:rPr>
                <w:rFonts w:hint="eastAsia"/>
              </w:rPr>
              <w:t>活期存款</w:t>
            </w:r>
          </w:p>
        </w:tc>
        <w:tc>
          <w:tcPr>
            <w:tcW w:w="2768" w:type="dxa"/>
            <w:vAlign w:val="center"/>
          </w:tcPr>
          <w:p w14:paraId="25962A18">
            <w:pPr>
              <w:jc w:val="right"/>
            </w:pPr>
            <w:r>
              <w:rPr>
                <w:rFonts w:hint="eastAsia"/>
              </w:rPr>
              <w:t>488,786.88</w:t>
            </w:r>
          </w:p>
        </w:tc>
        <w:tc>
          <w:tcPr>
            <w:tcW w:w="2768" w:type="dxa"/>
            <w:vAlign w:val="center"/>
          </w:tcPr>
          <w:p w14:paraId="0546E5C0">
            <w:pPr>
              <w:jc w:val="right"/>
            </w:pPr>
            <w:r>
              <w:rPr>
                <w:rFonts w:hint="eastAsia"/>
              </w:rPr>
              <w:t>437,941.36</w:t>
            </w:r>
          </w:p>
        </w:tc>
      </w:tr>
      <w:tr w14:paraId="02F914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3D2B325">
            <w:r>
              <w:rPr>
                <w:rFonts w:hint="eastAsia"/>
              </w:rPr>
              <w:t>等于：本金</w:t>
            </w:r>
          </w:p>
        </w:tc>
        <w:tc>
          <w:tcPr>
            <w:tcW w:w="2768" w:type="dxa"/>
            <w:vAlign w:val="center"/>
          </w:tcPr>
          <w:p w14:paraId="557CE118">
            <w:pPr>
              <w:jc w:val="right"/>
            </w:pPr>
            <w:r>
              <w:rPr>
                <w:rFonts w:hint="eastAsia"/>
              </w:rPr>
              <w:t>487,656.49</w:t>
            </w:r>
          </w:p>
        </w:tc>
        <w:tc>
          <w:tcPr>
            <w:tcW w:w="2768" w:type="dxa"/>
            <w:vAlign w:val="center"/>
          </w:tcPr>
          <w:p w14:paraId="6F39930B">
            <w:pPr>
              <w:jc w:val="right"/>
            </w:pPr>
            <w:r>
              <w:rPr>
                <w:rFonts w:hint="eastAsia"/>
              </w:rPr>
              <w:t>436,396.99</w:t>
            </w:r>
          </w:p>
        </w:tc>
      </w:tr>
      <w:tr w14:paraId="405585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8000E6D">
            <w:r>
              <w:rPr>
                <w:rFonts w:hint="eastAsia"/>
              </w:rPr>
              <w:t xml:space="preserve">      加：应计利息</w:t>
            </w:r>
          </w:p>
        </w:tc>
        <w:tc>
          <w:tcPr>
            <w:tcW w:w="2768" w:type="dxa"/>
            <w:vAlign w:val="center"/>
          </w:tcPr>
          <w:p w14:paraId="375758A9">
            <w:pPr>
              <w:jc w:val="right"/>
            </w:pPr>
            <w:r>
              <w:rPr>
                <w:rFonts w:hint="eastAsia"/>
              </w:rPr>
              <w:t>1,130.39</w:t>
            </w:r>
          </w:p>
        </w:tc>
        <w:tc>
          <w:tcPr>
            <w:tcW w:w="2768" w:type="dxa"/>
            <w:vAlign w:val="center"/>
          </w:tcPr>
          <w:p w14:paraId="04682488">
            <w:pPr>
              <w:jc w:val="right"/>
            </w:pPr>
            <w:r>
              <w:rPr>
                <w:rFonts w:hint="eastAsia"/>
              </w:rPr>
              <w:t>1,544.37</w:t>
            </w:r>
          </w:p>
        </w:tc>
      </w:tr>
      <w:tr w14:paraId="654226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4A02B7E">
            <w:r>
              <w:rPr>
                <w:rFonts w:hint="eastAsia"/>
              </w:rPr>
              <w:t xml:space="preserve">      减：坏账准备</w:t>
            </w:r>
          </w:p>
        </w:tc>
        <w:tc>
          <w:tcPr>
            <w:tcW w:w="2768" w:type="dxa"/>
            <w:vAlign w:val="center"/>
          </w:tcPr>
          <w:p w14:paraId="72E498A7">
            <w:pPr>
              <w:jc w:val="right"/>
            </w:pPr>
            <w:r>
              <w:rPr>
                <w:rFonts w:hint="eastAsia"/>
              </w:rPr>
              <w:t>-</w:t>
            </w:r>
          </w:p>
        </w:tc>
        <w:tc>
          <w:tcPr>
            <w:tcW w:w="2768" w:type="dxa"/>
            <w:vAlign w:val="center"/>
          </w:tcPr>
          <w:p w14:paraId="7AB35732">
            <w:pPr>
              <w:jc w:val="right"/>
            </w:pPr>
            <w:r>
              <w:rPr>
                <w:rFonts w:hint="eastAsia"/>
              </w:rPr>
              <w:t>-</w:t>
            </w:r>
          </w:p>
        </w:tc>
      </w:tr>
      <w:tr w14:paraId="74C9B9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B6D8B5D">
            <w:r>
              <w:rPr>
                <w:rFonts w:hint="eastAsia"/>
              </w:rPr>
              <w:t>定期存款</w:t>
            </w:r>
          </w:p>
        </w:tc>
        <w:tc>
          <w:tcPr>
            <w:tcW w:w="2768" w:type="dxa"/>
            <w:vAlign w:val="center"/>
          </w:tcPr>
          <w:p w14:paraId="79928391">
            <w:pPr>
              <w:jc w:val="right"/>
            </w:pPr>
            <w:r>
              <w:rPr>
                <w:rFonts w:hint="eastAsia"/>
              </w:rPr>
              <w:t>-</w:t>
            </w:r>
          </w:p>
        </w:tc>
        <w:tc>
          <w:tcPr>
            <w:tcW w:w="2768" w:type="dxa"/>
            <w:vAlign w:val="center"/>
          </w:tcPr>
          <w:p w14:paraId="63B2BAC4">
            <w:pPr>
              <w:jc w:val="right"/>
            </w:pPr>
            <w:r>
              <w:rPr>
                <w:rFonts w:hint="eastAsia"/>
              </w:rPr>
              <w:t>-</w:t>
            </w:r>
          </w:p>
        </w:tc>
      </w:tr>
      <w:tr w14:paraId="777BD1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2ADE780">
            <w:r>
              <w:rPr>
                <w:rFonts w:hint="eastAsia"/>
              </w:rPr>
              <w:t>等于：本金</w:t>
            </w:r>
          </w:p>
        </w:tc>
        <w:tc>
          <w:tcPr>
            <w:tcW w:w="2768" w:type="dxa"/>
            <w:vAlign w:val="center"/>
          </w:tcPr>
          <w:p w14:paraId="16088146">
            <w:pPr>
              <w:jc w:val="right"/>
            </w:pPr>
            <w:r>
              <w:rPr>
                <w:rFonts w:hint="eastAsia"/>
              </w:rPr>
              <w:t>-</w:t>
            </w:r>
          </w:p>
        </w:tc>
        <w:tc>
          <w:tcPr>
            <w:tcW w:w="2768" w:type="dxa"/>
            <w:vAlign w:val="center"/>
          </w:tcPr>
          <w:p w14:paraId="21F27C6B">
            <w:pPr>
              <w:jc w:val="right"/>
            </w:pPr>
            <w:r>
              <w:rPr>
                <w:rFonts w:hint="eastAsia"/>
              </w:rPr>
              <w:t>-</w:t>
            </w:r>
          </w:p>
        </w:tc>
      </w:tr>
      <w:tr w14:paraId="6AA495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69CAF88">
            <w:r>
              <w:rPr>
                <w:rFonts w:hint="eastAsia"/>
              </w:rPr>
              <w:t xml:space="preserve">      加：应计利息</w:t>
            </w:r>
          </w:p>
        </w:tc>
        <w:tc>
          <w:tcPr>
            <w:tcW w:w="2768" w:type="dxa"/>
            <w:vAlign w:val="center"/>
          </w:tcPr>
          <w:p w14:paraId="4F9099BB">
            <w:pPr>
              <w:jc w:val="right"/>
            </w:pPr>
            <w:r>
              <w:rPr>
                <w:rFonts w:hint="eastAsia"/>
              </w:rPr>
              <w:t>-</w:t>
            </w:r>
          </w:p>
        </w:tc>
        <w:tc>
          <w:tcPr>
            <w:tcW w:w="2768" w:type="dxa"/>
            <w:vAlign w:val="center"/>
          </w:tcPr>
          <w:p w14:paraId="34D024E9">
            <w:pPr>
              <w:jc w:val="right"/>
            </w:pPr>
            <w:r>
              <w:rPr>
                <w:rFonts w:hint="eastAsia"/>
              </w:rPr>
              <w:t>-</w:t>
            </w:r>
          </w:p>
        </w:tc>
      </w:tr>
      <w:tr w14:paraId="4A8799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60160F4">
            <w:r>
              <w:rPr>
                <w:rFonts w:hint="eastAsia"/>
              </w:rPr>
              <w:t xml:space="preserve">      减：坏账准备</w:t>
            </w:r>
          </w:p>
        </w:tc>
        <w:tc>
          <w:tcPr>
            <w:tcW w:w="2768" w:type="dxa"/>
            <w:vAlign w:val="center"/>
          </w:tcPr>
          <w:p w14:paraId="7BD90C5F">
            <w:pPr>
              <w:jc w:val="right"/>
            </w:pPr>
            <w:r>
              <w:rPr>
                <w:rFonts w:hint="eastAsia"/>
              </w:rPr>
              <w:t>-</w:t>
            </w:r>
          </w:p>
        </w:tc>
        <w:tc>
          <w:tcPr>
            <w:tcW w:w="2768" w:type="dxa"/>
            <w:vAlign w:val="center"/>
          </w:tcPr>
          <w:p w14:paraId="0F53CD17">
            <w:pPr>
              <w:jc w:val="right"/>
            </w:pPr>
            <w:r>
              <w:rPr>
                <w:rFonts w:hint="eastAsia"/>
              </w:rPr>
              <w:t>-</w:t>
            </w:r>
          </w:p>
        </w:tc>
      </w:tr>
      <w:tr w14:paraId="5125C0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69BC073">
            <w:r>
              <w:rPr>
                <w:rFonts w:hint="eastAsia"/>
              </w:rPr>
              <w:t>其中：存款期限1个月以内</w:t>
            </w:r>
          </w:p>
        </w:tc>
        <w:tc>
          <w:tcPr>
            <w:tcW w:w="2768" w:type="dxa"/>
            <w:vAlign w:val="center"/>
          </w:tcPr>
          <w:p w14:paraId="7E2EAAF9">
            <w:pPr>
              <w:jc w:val="right"/>
            </w:pPr>
            <w:r>
              <w:rPr>
                <w:rFonts w:hint="eastAsia"/>
              </w:rPr>
              <w:t>-</w:t>
            </w:r>
          </w:p>
        </w:tc>
        <w:tc>
          <w:tcPr>
            <w:tcW w:w="2768" w:type="dxa"/>
            <w:vAlign w:val="center"/>
          </w:tcPr>
          <w:p w14:paraId="4F7DBD23">
            <w:pPr>
              <w:jc w:val="right"/>
            </w:pPr>
            <w:r>
              <w:rPr>
                <w:rFonts w:hint="eastAsia"/>
              </w:rPr>
              <w:t>-</w:t>
            </w:r>
          </w:p>
        </w:tc>
      </w:tr>
      <w:tr w14:paraId="3ED162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45F4E43">
            <w:r>
              <w:rPr>
                <w:rFonts w:hint="eastAsia"/>
              </w:rPr>
              <w:t xml:space="preserve">      存款期限1-3个月</w:t>
            </w:r>
          </w:p>
        </w:tc>
        <w:tc>
          <w:tcPr>
            <w:tcW w:w="2768" w:type="dxa"/>
            <w:vAlign w:val="center"/>
          </w:tcPr>
          <w:p w14:paraId="46BDD136">
            <w:pPr>
              <w:jc w:val="right"/>
            </w:pPr>
            <w:r>
              <w:rPr>
                <w:rFonts w:hint="eastAsia"/>
              </w:rPr>
              <w:t>-</w:t>
            </w:r>
          </w:p>
        </w:tc>
        <w:tc>
          <w:tcPr>
            <w:tcW w:w="2768" w:type="dxa"/>
            <w:vAlign w:val="center"/>
          </w:tcPr>
          <w:p w14:paraId="40E52F26">
            <w:pPr>
              <w:jc w:val="right"/>
            </w:pPr>
            <w:r>
              <w:rPr>
                <w:rFonts w:hint="eastAsia"/>
              </w:rPr>
              <w:t>-</w:t>
            </w:r>
          </w:p>
        </w:tc>
      </w:tr>
      <w:tr w14:paraId="51D375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5A5EBE8">
            <w:r>
              <w:rPr>
                <w:rFonts w:hint="eastAsia"/>
              </w:rPr>
              <w:t xml:space="preserve">      存款期限3个月以上</w:t>
            </w:r>
          </w:p>
        </w:tc>
        <w:tc>
          <w:tcPr>
            <w:tcW w:w="2768" w:type="dxa"/>
            <w:vAlign w:val="center"/>
          </w:tcPr>
          <w:p w14:paraId="3A316EB9">
            <w:pPr>
              <w:jc w:val="right"/>
            </w:pPr>
            <w:r>
              <w:rPr>
                <w:rFonts w:hint="eastAsia"/>
              </w:rPr>
              <w:t>-</w:t>
            </w:r>
          </w:p>
        </w:tc>
        <w:tc>
          <w:tcPr>
            <w:tcW w:w="2768" w:type="dxa"/>
            <w:vAlign w:val="center"/>
          </w:tcPr>
          <w:p w14:paraId="729AB6A2">
            <w:pPr>
              <w:jc w:val="right"/>
            </w:pPr>
            <w:r>
              <w:rPr>
                <w:rFonts w:hint="eastAsia"/>
              </w:rPr>
              <w:t>-</w:t>
            </w:r>
          </w:p>
        </w:tc>
      </w:tr>
      <w:tr w14:paraId="391AAC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282B005">
            <w:r>
              <w:rPr>
                <w:rFonts w:hint="eastAsia"/>
              </w:rPr>
              <w:t>其他存款</w:t>
            </w:r>
          </w:p>
        </w:tc>
        <w:tc>
          <w:tcPr>
            <w:tcW w:w="2768" w:type="dxa"/>
            <w:vAlign w:val="center"/>
          </w:tcPr>
          <w:p w14:paraId="0E80AF41">
            <w:pPr>
              <w:jc w:val="right"/>
            </w:pPr>
            <w:r>
              <w:rPr>
                <w:rFonts w:hint="eastAsia"/>
              </w:rPr>
              <w:t>-</w:t>
            </w:r>
          </w:p>
        </w:tc>
        <w:tc>
          <w:tcPr>
            <w:tcW w:w="2768" w:type="dxa"/>
            <w:vAlign w:val="center"/>
          </w:tcPr>
          <w:p w14:paraId="0E03E49C">
            <w:pPr>
              <w:jc w:val="right"/>
            </w:pPr>
            <w:r>
              <w:rPr>
                <w:rFonts w:hint="eastAsia"/>
              </w:rPr>
              <w:t>-</w:t>
            </w:r>
          </w:p>
        </w:tc>
      </w:tr>
      <w:tr w14:paraId="15DA8D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FFE29E0">
            <w:r>
              <w:rPr>
                <w:rFonts w:hint="eastAsia"/>
              </w:rPr>
              <w:t>等于：本金</w:t>
            </w:r>
          </w:p>
        </w:tc>
        <w:tc>
          <w:tcPr>
            <w:tcW w:w="2768" w:type="dxa"/>
            <w:vAlign w:val="center"/>
          </w:tcPr>
          <w:p w14:paraId="4F482A1B">
            <w:pPr>
              <w:jc w:val="right"/>
            </w:pPr>
            <w:r>
              <w:rPr>
                <w:rFonts w:hint="eastAsia"/>
              </w:rPr>
              <w:t>-</w:t>
            </w:r>
          </w:p>
        </w:tc>
        <w:tc>
          <w:tcPr>
            <w:tcW w:w="2768" w:type="dxa"/>
            <w:vAlign w:val="center"/>
          </w:tcPr>
          <w:p w14:paraId="76FF35AD">
            <w:pPr>
              <w:jc w:val="right"/>
            </w:pPr>
            <w:r>
              <w:rPr>
                <w:rFonts w:hint="eastAsia"/>
              </w:rPr>
              <w:t>-</w:t>
            </w:r>
          </w:p>
        </w:tc>
      </w:tr>
      <w:tr w14:paraId="772B85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129E7A8">
            <w:r>
              <w:rPr>
                <w:rFonts w:hint="eastAsia"/>
              </w:rPr>
              <w:t xml:space="preserve">      加：应计利息</w:t>
            </w:r>
          </w:p>
        </w:tc>
        <w:tc>
          <w:tcPr>
            <w:tcW w:w="2768" w:type="dxa"/>
            <w:vAlign w:val="center"/>
          </w:tcPr>
          <w:p w14:paraId="7C0676A8">
            <w:pPr>
              <w:jc w:val="right"/>
            </w:pPr>
            <w:r>
              <w:rPr>
                <w:rFonts w:hint="eastAsia"/>
              </w:rPr>
              <w:t>-</w:t>
            </w:r>
          </w:p>
        </w:tc>
        <w:tc>
          <w:tcPr>
            <w:tcW w:w="2768" w:type="dxa"/>
            <w:vAlign w:val="center"/>
          </w:tcPr>
          <w:p w14:paraId="4988BBA3">
            <w:pPr>
              <w:jc w:val="right"/>
            </w:pPr>
            <w:r>
              <w:rPr>
                <w:rFonts w:hint="eastAsia"/>
              </w:rPr>
              <w:t>-</w:t>
            </w:r>
          </w:p>
        </w:tc>
      </w:tr>
      <w:tr w14:paraId="4C85F3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93D4FD2">
            <w:r>
              <w:rPr>
                <w:rFonts w:hint="eastAsia"/>
              </w:rPr>
              <w:t xml:space="preserve">      减：坏账准备</w:t>
            </w:r>
          </w:p>
        </w:tc>
        <w:tc>
          <w:tcPr>
            <w:tcW w:w="2768" w:type="dxa"/>
            <w:vAlign w:val="center"/>
          </w:tcPr>
          <w:p w14:paraId="379FD8EA">
            <w:pPr>
              <w:jc w:val="right"/>
            </w:pPr>
            <w:r>
              <w:rPr>
                <w:rFonts w:hint="eastAsia"/>
              </w:rPr>
              <w:t>-</w:t>
            </w:r>
          </w:p>
        </w:tc>
        <w:tc>
          <w:tcPr>
            <w:tcW w:w="2768" w:type="dxa"/>
            <w:vAlign w:val="center"/>
          </w:tcPr>
          <w:p w14:paraId="74543DFC">
            <w:pPr>
              <w:jc w:val="right"/>
            </w:pPr>
            <w:r>
              <w:rPr>
                <w:rFonts w:hint="eastAsia"/>
              </w:rPr>
              <w:t>-</w:t>
            </w:r>
          </w:p>
        </w:tc>
      </w:tr>
      <w:tr w14:paraId="406B97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54FD9C5">
            <w:r>
              <w:rPr>
                <w:rFonts w:hint="eastAsia"/>
              </w:rPr>
              <w:t>合计</w:t>
            </w:r>
          </w:p>
        </w:tc>
        <w:tc>
          <w:tcPr>
            <w:tcW w:w="2768" w:type="dxa"/>
            <w:vAlign w:val="center"/>
          </w:tcPr>
          <w:p w14:paraId="73757CEF">
            <w:pPr>
              <w:jc w:val="right"/>
            </w:pPr>
            <w:r>
              <w:rPr>
                <w:rFonts w:hint="eastAsia"/>
              </w:rPr>
              <w:t>488,786.88</w:t>
            </w:r>
          </w:p>
        </w:tc>
        <w:tc>
          <w:tcPr>
            <w:tcW w:w="2768" w:type="dxa"/>
            <w:vAlign w:val="center"/>
          </w:tcPr>
          <w:p w14:paraId="4B3C7F53">
            <w:pPr>
              <w:jc w:val="right"/>
            </w:pPr>
            <w:r>
              <w:rPr>
                <w:rFonts w:hint="eastAsia"/>
              </w:rPr>
              <w:t>437,941.36</w:t>
            </w:r>
          </w:p>
        </w:tc>
      </w:tr>
    </w:tbl>
    <w:p w14:paraId="6DC12BCA">
      <w:pPr>
        <w:pStyle w:val="35"/>
      </w:pPr>
      <w:bookmarkStart w:id="73" w:name="_Toc73"/>
      <w:r>
        <w:t>交易性金融资产</w:t>
      </w:r>
      <w:bookmarkEnd w:id="73"/>
    </w:p>
    <w:p w14:paraId="0DA3999A">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3"/>
        <w:gridCol w:w="897"/>
        <w:gridCol w:w="1860"/>
        <w:gridCol w:w="1517"/>
        <w:gridCol w:w="1860"/>
        <w:gridCol w:w="1517"/>
      </w:tblGrid>
      <w:tr w14:paraId="1AB351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vAlign w:val="center"/>
          </w:tcPr>
          <w:p w14:paraId="1E4386E0">
            <w:r>
              <w:rPr>
                <w:rFonts w:hint="eastAsia"/>
              </w:rPr>
              <w:t>项目</w:t>
            </w:r>
          </w:p>
        </w:tc>
        <w:tc>
          <w:tcPr>
            <w:tcW w:w="1860" w:type="dxa"/>
            <w:gridSpan w:val="4"/>
            <w:vAlign w:val="center"/>
          </w:tcPr>
          <w:p w14:paraId="135EBDF2">
            <w:r>
              <w:rPr>
                <w:rFonts w:hint="eastAsia"/>
              </w:rPr>
              <w:t>本期末2025年12月31日</w:t>
            </w:r>
          </w:p>
        </w:tc>
      </w:tr>
      <w:tr w14:paraId="733CD0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3D3A7359"/>
        </w:tc>
        <w:tc>
          <w:tcPr>
            <w:tcW w:w="1860" w:type="dxa"/>
            <w:vAlign w:val="center"/>
          </w:tcPr>
          <w:p w14:paraId="27C0FFC8">
            <w:r>
              <w:rPr>
                <w:rFonts w:hint="eastAsia"/>
              </w:rPr>
              <w:t>成本</w:t>
            </w:r>
          </w:p>
        </w:tc>
        <w:tc>
          <w:tcPr>
            <w:tcW w:w="1517" w:type="dxa"/>
            <w:vAlign w:val="center"/>
          </w:tcPr>
          <w:p w14:paraId="3D161633">
            <w:r>
              <w:rPr>
                <w:rFonts w:hint="eastAsia"/>
              </w:rPr>
              <w:t>应计利息</w:t>
            </w:r>
          </w:p>
        </w:tc>
        <w:tc>
          <w:tcPr>
            <w:tcW w:w="1860" w:type="dxa"/>
            <w:vAlign w:val="center"/>
          </w:tcPr>
          <w:p w14:paraId="54127A4D">
            <w:r>
              <w:rPr>
                <w:rFonts w:hint="eastAsia"/>
              </w:rPr>
              <w:t>公允价值</w:t>
            </w:r>
          </w:p>
        </w:tc>
        <w:tc>
          <w:tcPr>
            <w:tcW w:w="1517" w:type="dxa"/>
            <w:vAlign w:val="center"/>
          </w:tcPr>
          <w:p w14:paraId="0D4FB3EA">
            <w:r>
              <w:rPr>
                <w:rFonts w:hint="eastAsia"/>
              </w:rPr>
              <w:t>公允价值变动</w:t>
            </w:r>
          </w:p>
        </w:tc>
      </w:tr>
      <w:tr w14:paraId="1B6DC6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4474E020">
            <w:r>
              <w:rPr>
                <w:rFonts w:hint="eastAsia"/>
              </w:rPr>
              <w:t>股票</w:t>
            </w:r>
          </w:p>
        </w:tc>
        <w:tc>
          <w:tcPr>
            <w:tcW w:w="1860" w:type="dxa"/>
            <w:vAlign w:val="center"/>
          </w:tcPr>
          <w:p w14:paraId="428B035F">
            <w:pPr>
              <w:jc w:val="right"/>
            </w:pPr>
            <w:r>
              <w:rPr>
                <w:rFonts w:hint="eastAsia"/>
              </w:rPr>
              <w:t>-</w:t>
            </w:r>
          </w:p>
        </w:tc>
        <w:tc>
          <w:tcPr>
            <w:tcW w:w="1517" w:type="dxa"/>
            <w:vAlign w:val="center"/>
          </w:tcPr>
          <w:p w14:paraId="03F5D646">
            <w:pPr>
              <w:jc w:val="right"/>
            </w:pPr>
            <w:r>
              <w:rPr>
                <w:rFonts w:hint="eastAsia"/>
              </w:rPr>
              <w:t>-</w:t>
            </w:r>
          </w:p>
        </w:tc>
        <w:tc>
          <w:tcPr>
            <w:tcW w:w="1860" w:type="dxa"/>
            <w:vAlign w:val="center"/>
          </w:tcPr>
          <w:p w14:paraId="4BE0B1FE">
            <w:pPr>
              <w:jc w:val="right"/>
            </w:pPr>
            <w:r>
              <w:rPr>
                <w:rFonts w:hint="eastAsia"/>
              </w:rPr>
              <w:t>-</w:t>
            </w:r>
          </w:p>
        </w:tc>
        <w:tc>
          <w:tcPr>
            <w:tcW w:w="1517" w:type="dxa"/>
            <w:vAlign w:val="center"/>
          </w:tcPr>
          <w:p w14:paraId="5D53DC85">
            <w:pPr>
              <w:jc w:val="right"/>
            </w:pPr>
            <w:r>
              <w:rPr>
                <w:rFonts w:hint="eastAsia"/>
              </w:rPr>
              <w:t>-</w:t>
            </w:r>
          </w:p>
        </w:tc>
      </w:tr>
      <w:tr w14:paraId="03494B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58635640">
            <w:r>
              <w:rPr>
                <w:rFonts w:hint="eastAsia"/>
              </w:rPr>
              <w:t>贵金属投资-金交所黄金合约</w:t>
            </w:r>
          </w:p>
        </w:tc>
        <w:tc>
          <w:tcPr>
            <w:tcW w:w="1860" w:type="dxa"/>
            <w:vAlign w:val="center"/>
          </w:tcPr>
          <w:p w14:paraId="2467F26C">
            <w:pPr>
              <w:jc w:val="right"/>
            </w:pPr>
            <w:r>
              <w:rPr>
                <w:rFonts w:hint="eastAsia"/>
              </w:rPr>
              <w:t>-</w:t>
            </w:r>
          </w:p>
        </w:tc>
        <w:tc>
          <w:tcPr>
            <w:tcW w:w="1517" w:type="dxa"/>
            <w:vAlign w:val="center"/>
          </w:tcPr>
          <w:p w14:paraId="7E4AFE51">
            <w:pPr>
              <w:jc w:val="right"/>
            </w:pPr>
            <w:r>
              <w:rPr>
                <w:rFonts w:hint="eastAsia"/>
              </w:rPr>
              <w:t>-</w:t>
            </w:r>
          </w:p>
        </w:tc>
        <w:tc>
          <w:tcPr>
            <w:tcW w:w="1860" w:type="dxa"/>
            <w:vAlign w:val="center"/>
          </w:tcPr>
          <w:p w14:paraId="58987352">
            <w:pPr>
              <w:jc w:val="right"/>
            </w:pPr>
            <w:r>
              <w:rPr>
                <w:rFonts w:hint="eastAsia"/>
              </w:rPr>
              <w:t>-</w:t>
            </w:r>
          </w:p>
        </w:tc>
        <w:tc>
          <w:tcPr>
            <w:tcW w:w="1517" w:type="dxa"/>
            <w:vAlign w:val="center"/>
          </w:tcPr>
          <w:p w14:paraId="7270A6F2">
            <w:pPr>
              <w:jc w:val="right"/>
            </w:pPr>
            <w:r>
              <w:rPr>
                <w:rFonts w:hint="eastAsia"/>
              </w:rPr>
              <w:t>-</w:t>
            </w:r>
          </w:p>
        </w:tc>
      </w:tr>
      <w:tr w14:paraId="4B1255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2242C581">
            <w:r>
              <w:rPr>
                <w:rFonts w:hint="eastAsia"/>
              </w:rPr>
              <w:t>债券</w:t>
            </w:r>
          </w:p>
        </w:tc>
        <w:tc>
          <w:tcPr>
            <w:tcW w:w="897" w:type="dxa"/>
            <w:vAlign w:val="center"/>
          </w:tcPr>
          <w:p w14:paraId="3CD9A561">
            <w:r>
              <w:rPr>
                <w:rFonts w:hint="eastAsia"/>
              </w:rPr>
              <w:t>交易所市场</w:t>
            </w:r>
          </w:p>
        </w:tc>
        <w:tc>
          <w:tcPr>
            <w:tcW w:w="1860" w:type="dxa"/>
            <w:vAlign w:val="center"/>
          </w:tcPr>
          <w:p w14:paraId="28326DA6">
            <w:pPr>
              <w:jc w:val="right"/>
            </w:pPr>
            <w:r>
              <w:rPr>
                <w:rFonts w:hint="eastAsia"/>
              </w:rPr>
              <w:t>20,199,340.27</w:t>
            </w:r>
          </w:p>
        </w:tc>
        <w:tc>
          <w:tcPr>
            <w:tcW w:w="1517" w:type="dxa"/>
            <w:vAlign w:val="center"/>
          </w:tcPr>
          <w:p w14:paraId="08CDA279">
            <w:pPr>
              <w:jc w:val="right"/>
            </w:pPr>
            <w:r>
              <w:rPr>
                <w:rFonts w:hint="eastAsia"/>
              </w:rPr>
              <w:t>338,025.21</w:t>
            </w:r>
          </w:p>
        </w:tc>
        <w:tc>
          <w:tcPr>
            <w:tcW w:w="1860" w:type="dxa"/>
            <w:vAlign w:val="center"/>
          </w:tcPr>
          <w:p w14:paraId="45A6E8BF">
            <w:pPr>
              <w:jc w:val="right"/>
            </w:pPr>
            <w:r>
              <w:rPr>
                <w:rFonts w:hint="eastAsia"/>
              </w:rPr>
              <w:t>20,426,025.21</w:t>
            </w:r>
          </w:p>
        </w:tc>
        <w:tc>
          <w:tcPr>
            <w:tcW w:w="1517" w:type="dxa"/>
            <w:vAlign w:val="center"/>
          </w:tcPr>
          <w:p w14:paraId="40EDAF12">
            <w:pPr>
              <w:jc w:val="right"/>
            </w:pPr>
            <w:r>
              <w:rPr>
                <w:rFonts w:hint="eastAsia"/>
              </w:rPr>
              <w:t>-111,340.27</w:t>
            </w:r>
          </w:p>
        </w:tc>
      </w:tr>
      <w:tr w14:paraId="3029F4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5F13E937"/>
        </w:tc>
        <w:tc>
          <w:tcPr>
            <w:tcW w:w="897" w:type="dxa"/>
            <w:vAlign w:val="center"/>
          </w:tcPr>
          <w:p w14:paraId="7E1B2027">
            <w:r>
              <w:rPr>
                <w:rFonts w:hint="eastAsia"/>
              </w:rPr>
              <w:t>银行间市场</w:t>
            </w:r>
          </w:p>
        </w:tc>
        <w:tc>
          <w:tcPr>
            <w:tcW w:w="1860" w:type="dxa"/>
            <w:vAlign w:val="center"/>
          </w:tcPr>
          <w:p w14:paraId="32C3E75A">
            <w:pPr>
              <w:jc w:val="right"/>
            </w:pPr>
            <w:r>
              <w:rPr>
                <w:rFonts w:hint="eastAsia"/>
              </w:rPr>
              <w:t>9,070,309,899.40</w:t>
            </w:r>
          </w:p>
        </w:tc>
        <w:tc>
          <w:tcPr>
            <w:tcW w:w="1517" w:type="dxa"/>
            <w:vAlign w:val="center"/>
          </w:tcPr>
          <w:p w14:paraId="403E6ACC">
            <w:pPr>
              <w:jc w:val="right"/>
            </w:pPr>
            <w:r>
              <w:rPr>
                <w:rFonts w:hint="eastAsia"/>
              </w:rPr>
              <w:t>45,099,975.06</w:t>
            </w:r>
          </w:p>
        </w:tc>
        <w:tc>
          <w:tcPr>
            <w:tcW w:w="1860" w:type="dxa"/>
            <w:vAlign w:val="center"/>
          </w:tcPr>
          <w:p w14:paraId="7EF094D1">
            <w:pPr>
              <w:jc w:val="right"/>
            </w:pPr>
            <w:r>
              <w:rPr>
                <w:rFonts w:hint="eastAsia"/>
              </w:rPr>
              <w:t>9,117,414,975.06</w:t>
            </w:r>
          </w:p>
        </w:tc>
        <w:tc>
          <w:tcPr>
            <w:tcW w:w="1517" w:type="dxa"/>
            <w:vAlign w:val="center"/>
          </w:tcPr>
          <w:p w14:paraId="74B3DAD3">
            <w:pPr>
              <w:jc w:val="right"/>
            </w:pPr>
            <w:r>
              <w:rPr>
                <w:rFonts w:hint="eastAsia"/>
              </w:rPr>
              <w:t>2,005,100.60</w:t>
            </w:r>
          </w:p>
        </w:tc>
      </w:tr>
      <w:tr w14:paraId="7DB8DA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74EC3F14"/>
        </w:tc>
        <w:tc>
          <w:tcPr>
            <w:tcW w:w="897" w:type="dxa"/>
            <w:vAlign w:val="center"/>
          </w:tcPr>
          <w:p w14:paraId="7F06DD23">
            <w:r>
              <w:rPr>
                <w:rFonts w:hint="eastAsia"/>
              </w:rPr>
              <w:t>合计</w:t>
            </w:r>
          </w:p>
        </w:tc>
        <w:tc>
          <w:tcPr>
            <w:tcW w:w="1860" w:type="dxa"/>
            <w:vAlign w:val="center"/>
          </w:tcPr>
          <w:p w14:paraId="4D8A40BD">
            <w:pPr>
              <w:jc w:val="right"/>
            </w:pPr>
            <w:r>
              <w:rPr>
                <w:rFonts w:hint="eastAsia"/>
              </w:rPr>
              <w:t>9,090,509,239.67</w:t>
            </w:r>
          </w:p>
        </w:tc>
        <w:tc>
          <w:tcPr>
            <w:tcW w:w="1517" w:type="dxa"/>
            <w:vAlign w:val="center"/>
          </w:tcPr>
          <w:p w14:paraId="2A981CCF">
            <w:pPr>
              <w:jc w:val="right"/>
            </w:pPr>
            <w:r>
              <w:rPr>
                <w:rFonts w:hint="eastAsia"/>
              </w:rPr>
              <w:t>45,438,000.27</w:t>
            </w:r>
          </w:p>
        </w:tc>
        <w:tc>
          <w:tcPr>
            <w:tcW w:w="1860" w:type="dxa"/>
            <w:vAlign w:val="center"/>
          </w:tcPr>
          <w:p w14:paraId="34664BD4">
            <w:pPr>
              <w:jc w:val="right"/>
            </w:pPr>
            <w:r>
              <w:rPr>
                <w:rFonts w:hint="eastAsia"/>
              </w:rPr>
              <w:t>9,137,841,000.27</w:t>
            </w:r>
          </w:p>
        </w:tc>
        <w:tc>
          <w:tcPr>
            <w:tcW w:w="1517" w:type="dxa"/>
            <w:vAlign w:val="center"/>
          </w:tcPr>
          <w:p w14:paraId="663A0FDE">
            <w:pPr>
              <w:jc w:val="right"/>
            </w:pPr>
            <w:r>
              <w:rPr>
                <w:rFonts w:hint="eastAsia"/>
              </w:rPr>
              <w:t>1,893,760.33</w:t>
            </w:r>
          </w:p>
        </w:tc>
      </w:tr>
      <w:tr w14:paraId="6F16C1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2A15DA38">
            <w:r>
              <w:rPr>
                <w:rFonts w:hint="eastAsia"/>
              </w:rPr>
              <w:t>资产支持证券</w:t>
            </w:r>
          </w:p>
        </w:tc>
        <w:tc>
          <w:tcPr>
            <w:tcW w:w="1860" w:type="dxa"/>
            <w:vAlign w:val="center"/>
          </w:tcPr>
          <w:p w14:paraId="4804BE33">
            <w:pPr>
              <w:jc w:val="right"/>
            </w:pPr>
            <w:r>
              <w:rPr>
                <w:rFonts w:hint="eastAsia"/>
              </w:rPr>
              <w:t>-</w:t>
            </w:r>
          </w:p>
        </w:tc>
        <w:tc>
          <w:tcPr>
            <w:tcW w:w="1517" w:type="dxa"/>
            <w:vAlign w:val="center"/>
          </w:tcPr>
          <w:p w14:paraId="4B859EBF">
            <w:pPr>
              <w:jc w:val="right"/>
            </w:pPr>
            <w:r>
              <w:rPr>
                <w:rFonts w:hint="eastAsia"/>
              </w:rPr>
              <w:t>-</w:t>
            </w:r>
          </w:p>
        </w:tc>
        <w:tc>
          <w:tcPr>
            <w:tcW w:w="1860" w:type="dxa"/>
            <w:vAlign w:val="center"/>
          </w:tcPr>
          <w:p w14:paraId="0AAC39A1">
            <w:pPr>
              <w:jc w:val="right"/>
            </w:pPr>
            <w:r>
              <w:rPr>
                <w:rFonts w:hint="eastAsia"/>
              </w:rPr>
              <w:t>-</w:t>
            </w:r>
          </w:p>
        </w:tc>
        <w:tc>
          <w:tcPr>
            <w:tcW w:w="1517" w:type="dxa"/>
            <w:vAlign w:val="center"/>
          </w:tcPr>
          <w:p w14:paraId="56063D97">
            <w:pPr>
              <w:jc w:val="right"/>
            </w:pPr>
            <w:r>
              <w:rPr>
                <w:rFonts w:hint="eastAsia"/>
              </w:rPr>
              <w:t>-</w:t>
            </w:r>
          </w:p>
        </w:tc>
      </w:tr>
      <w:tr w14:paraId="0F9B22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2B553558">
            <w:r>
              <w:rPr>
                <w:rFonts w:hint="eastAsia"/>
              </w:rPr>
              <w:t>基金</w:t>
            </w:r>
          </w:p>
        </w:tc>
        <w:tc>
          <w:tcPr>
            <w:tcW w:w="1860" w:type="dxa"/>
            <w:vAlign w:val="center"/>
          </w:tcPr>
          <w:p w14:paraId="2536268B">
            <w:pPr>
              <w:jc w:val="right"/>
            </w:pPr>
            <w:r>
              <w:rPr>
                <w:rFonts w:hint="eastAsia"/>
              </w:rPr>
              <w:t>-</w:t>
            </w:r>
          </w:p>
        </w:tc>
        <w:tc>
          <w:tcPr>
            <w:tcW w:w="1517" w:type="dxa"/>
            <w:vAlign w:val="center"/>
          </w:tcPr>
          <w:p w14:paraId="26306C6E">
            <w:pPr>
              <w:jc w:val="right"/>
            </w:pPr>
            <w:r>
              <w:rPr>
                <w:rFonts w:hint="eastAsia"/>
              </w:rPr>
              <w:t>-</w:t>
            </w:r>
          </w:p>
        </w:tc>
        <w:tc>
          <w:tcPr>
            <w:tcW w:w="1860" w:type="dxa"/>
            <w:vAlign w:val="center"/>
          </w:tcPr>
          <w:p w14:paraId="0BD67CB7">
            <w:pPr>
              <w:jc w:val="right"/>
            </w:pPr>
            <w:r>
              <w:rPr>
                <w:rFonts w:hint="eastAsia"/>
              </w:rPr>
              <w:t>-</w:t>
            </w:r>
          </w:p>
        </w:tc>
        <w:tc>
          <w:tcPr>
            <w:tcW w:w="1517" w:type="dxa"/>
            <w:vAlign w:val="center"/>
          </w:tcPr>
          <w:p w14:paraId="11D90C93">
            <w:pPr>
              <w:jc w:val="right"/>
            </w:pPr>
            <w:r>
              <w:rPr>
                <w:rFonts w:hint="eastAsia"/>
              </w:rPr>
              <w:t>-</w:t>
            </w:r>
          </w:p>
        </w:tc>
      </w:tr>
      <w:tr w14:paraId="0249AD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1266B860">
            <w:r>
              <w:rPr>
                <w:rFonts w:hint="eastAsia"/>
              </w:rPr>
              <w:t>其他</w:t>
            </w:r>
          </w:p>
        </w:tc>
        <w:tc>
          <w:tcPr>
            <w:tcW w:w="1860" w:type="dxa"/>
            <w:vAlign w:val="center"/>
          </w:tcPr>
          <w:p w14:paraId="42E1674E">
            <w:pPr>
              <w:jc w:val="right"/>
            </w:pPr>
            <w:r>
              <w:rPr>
                <w:rFonts w:hint="eastAsia"/>
              </w:rPr>
              <w:t>-</w:t>
            </w:r>
          </w:p>
        </w:tc>
        <w:tc>
          <w:tcPr>
            <w:tcW w:w="1517" w:type="dxa"/>
            <w:vAlign w:val="center"/>
          </w:tcPr>
          <w:p w14:paraId="5BD797ED">
            <w:pPr>
              <w:jc w:val="right"/>
            </w:pPr>
            <w:r>
              <w:rPr>
                <w:rFonts w:hint="eastAsia"/>
              </w:rPr>
              <w:t>-</w:t>
            </w:r>
          </w:p>
        </w:tc>
        <w:tc>
          <w:tcPr>
            <w:tcW w:w="1860" w:type="dxa"/>
            <w:vAlign w:val="center"/>
          </w:tcPr>
          <w:p w14:paraId="0D407C29">
            <w:pPr>
              <w:jc w:val="right"/>
            </w:pPr>
            <w:r>
              <w:rPr>
                <w:rFonts w:hint="eastAsia"/>
              </w:rPr>
              <w:t>-</w:t>
            </w:r>
          </w:p>
        </w:tc>
        <w:tc>
          <w:tcPr>
            <w:tcW w:w="1517" w:type="dxa"/>
            <w:vAlign w:val="center"/>
          </w:tcPr>
          <w:p w14:paraId="05640612">
            <w:pPr>
              <w:jc w:val="right"/>
            </w:pPr>
            <w:r>
              <w:rPr>
                <w:rFonts w:hint="eastAsia"/>
              </w:rPr>
              <w:t>-</w:t>
            </w:r>
          </w:p>
        </w:tc>
      </w:tr>
      <w:tr w14:paraId="0D7316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35F4BA8B">
            <w:r>
              <w:rPr>
                <w:rFonts w:hint="eastAsia"/>
              </w:rPr>
              <w:t>合计</w:t>
            </w:r>
          </w:p>
        </w:tc>
        <w:tc>
          <w:tcPr>
            <w:tcW w:w="1860" w:type="dxa"/>
            <w:vAlign w:val="center"/>
          </w:tcPr>
          <w:p w14:paraId="6FE16E24">
            <w:pPr>
              <w:jc w:val="right"/>
            </w:pPr>
            <w:r>
              <w:rPr>
                <w:rFonts w:hint="eastAsia"/>
              </w:rPr>
              <w:t>9,090,509,239.67</w:t>
            </w:r>
          </w:p>
        </w:tc>
        <w:tc>
          <w:tcPr>
            <w:tcW w:w="1517" w:type="dxa"/>
            <w:vAlign w:val="center"/>
          </w:tcPr>
          <w:p w14:paraId="6ED48310">
            <w:pPr>
              <w:jc w:val="right"/>
            </w:pPr>
            <w:r>
              <w:rPr>
                <w:rFonts w:hint="eastAsia"/>
              </w:rPr>
              <w:t>45,438,000.27</w:t>
            </w:r>
          </w:p>
        </w:tc>
        <w:tc>
          <w:tcPr>
            <w:tcW w:w="1860" w:type="dxa"/>
            <w:vAlign w:val="center"/>
          </w:tcPr>
          <w:p w14:paraId="79AF46F9">
            <w:pPr>
              <w:jc w:val="right"/>
            </w:pPr>
            <w:r>
              <w:rPr>
                <w:rFonts w:hint="eastAsia"/>
              </w:rPr>
              <w:t>9,137,841,000.27</w:t>
            </w:r>
          </w:p>
        </w:tc>
        <w:tc>
          <w:tcPr>
            <w:tcW w:w="1517" w:type="dxa"/>
            <w:vAlign w:val="center"/>
          </w:tcPr>
          <w:p w14:paraId="2F0DF714">
            <w:pPr>
              <w:jc w:val="right"/>
            </w:pPr>
            <w:r>
              <w:rPr>
                <w:rFonts w:hint="eastAsia"/>
              </w:rPr>
              <w:t>1,893,760.33</w:t>
            </w:r>
          </w:p>
        </w:tc>
      </w:tr>
      <w:tr w14:paraId="49987B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vAlign w:val="center"/>
          </w:tcPr>
          <w:p w14:paraId="21BB8F20">
            <w:r>
              <w:rPr>
                <w:rFonts w:hint="eastAsia"/>
              </w:rPr>
              <w:t>项目</w:t>
            </w:r>
          </w:p>
        </w:tc>
        <w:tc>
          <w:tcPr>
            <w:tcW w:w="1860" w:type="dxa"/>
            <w:gridSpan w:val="4"/>
            <w:vAlign w:val="center"/>
          </w:tcPr>
          <w:p w14:paraId="40999AE1">
            <w:r>
              <w:rPr>
                <w:rFonts w:hint="eastAsia"/>
              </w:rPr>
              <w:t>上年度末2024年12月31日</w:t>
            </w:r>
          </w:p>
        </w:tc>
      </w:tr>
      <w:tr w14:paraId="465557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40EECFDD"/>
        </w:tc>
        <w:tc>
          <w:tcPr>
            <w:tcW w:w="1860" w:type="dxa"/>
            <w:vAlign w:val="center"/>
          </w:tcPr>
          <w:p w14:paraId="057603C0">
            <w:r>
              <w:rPr>
                <w:rFonts w:hint="eastAsia"/>
              </w:rPr>
              <w:t>成本</w:t>
            </w:r>
          </w:p>
        </w:tc>
        <w:tc>
          <w:tcPr>
            <w:tcW w:w="1517" w:type="dxa"/>
            <w:vAlign w:val="center"/>
          </w:tcPr>
          <w:p w14:paraId="4C8DBF95">
            <w:r>
              <w:rPr>
                <w:rFonts w:hint="eastAsia"/>
              </w:rPr>
              <w:t>应计利息</w:t>
            </w:r>
          </w:p>
        </w:tc>
        <w:tc>
          <w:tcPr>
            <w:tcW w:w="1860" w:type="dxa"/>
            <w:vAlign w:val="center"/>
          </w:tcPr>
          <w:p w14:paraId="193D62BA">
            <w:r>
              <w:rPr>
                <w:rFonts w:hint="eastAsia"/>
              </w:rPr>
              <w:t>公允价值</w:t>
            </w:r>
          </w:p>
        </w:tc>
        <w:tc>
          <w:tcPr>
            <w:tcW w:w="1517" w:type="dxa"/>
            <w:vAlign w:val="center"/>
          </w:tcPr>
          <w:p w14:paraId="45587DF1">
            <w:r>
              <w:rPr>
                <w:rFonts w:hint="eastAsia"/>
              </w:rPr>
              <w:t>公允价值变动</w:t>
            </w:r>
          </w:p>
        </w:tc>
      </w:tr>
      <w:tr w14:paraId="74E435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6EB1B3DC">
            <w:r>
              <w:rPr>
                <w:rFonts w:hint="eastAsia"/>
              </w:rPr>
              <w:t>股票</w:t>
            </w:r>
          </w:p>
        </w:tc>
        <w:tc>
          <w:tcPr>
            <w:tcW w:w="1860" w:type="dxa"/>
            <w:vAlign w:val="center"/>
          </w:tcPr>
          <w:p w14:paraId="23CF7CC4">
            <w:pPr>
              <w:jc w:val="right"/>
            </w:pPr>
            <w:r>
              <w:rPr>
                <w:rFonts w:hint="eastAsia"/>
              </w:rPr>
              <w:t>-</w:t>
            </w:r>
          </w:p>
        </w:tc>
        <w:tc>
          <w:tcPr>
            <w:tcW w:w="1517" w:type="dxa"/>
            <w:vAlign w:val="center"/>
          </w:tcPr>
          <w:p w14:paraId="3B4D0C2D">
            <w:pPr>
              <w:jc w:val="right"/>
            </w:pPr>
            <w:r>
              <w:rPr>
                <w:rFonts w:hint="eastAsia"/>
              </w:rPr>
              <w:t>-</w:t>
            </w:r>
          </w:p>
        </w:tc>
        <w:tc>
          <w:tcPr>
            <w:tcW w:w="1860" w:type="dxa"/>
            <w:vAlign w:val="center"/>
          </w:tcPr>
          <w:p w14:paraId="33FBA33D">
            <w:pPr>
              <w:jc w:val="right"/>
            </w:pPr>
            <w:r>
              <w:rPr>
                <w:rFonts w:hint="eastAsia"/>
              </w:rPr>
              <w:t>-</w:t>
            </w:r>
          </w:p>
        </w:tc>
        <w:tc>
          <w:tcPr>
            <w:tcW w:w="1517" w:type="dxa"/>
            <w:vAlign w:val="center"/>
          </w:tcPr>
          <w:p w14:paraId="26A27D5F">
            <w:pPr>
              <w:jc w:val="right"/>
            </w:pPr>
            <w:r>
              <w:rPr>
                <w:rFonts w:hint="eastAsia"/>
              </w:rPr>
              <w:t>-</w:t>
            </w:r>
          </w:p>
        </w:tc>
      </w:tr>
      <w:tr w14:paraId="3DD0CF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53357691">
            <w:r>
              <w:rPr>
                <w:rFonts w:hint="eastAsia"/>
              </w:rPr>
              <w:t>贵金属投资-金交所黄金合约</w:t>
            </w:r>
          </w:p>
        </w:tc>
        <w:tc>
          <w:tcPr>
            <w:tcW w:w="1860" w:type="dxa"/>
            <w:vAlign w:val="center"/>
          </w:tcPr>
          <w:p w14:paraId="1315A360">
            <w:pPr>
              <w:jc w:val="right"/>
            </w:pPr>
            <w:r>
              <w:rPr>
                <w:rFonts w:hint="eastAsia"/>
              </w:rPr>
              <w:t>-</w:t>
            </w:r>
          </w:p>
        </w:tc>
        <w:tc>
          <w:tcPr>
            <w:tcW w:w="1517" w:type="dxa"/>
            <w:vAlign w:val="center"/>
          </w:tcPr>
          <w:p w14:paraId="42206DAD">
            <w:pPr>
              <w:jc w:val="right"/>
            </w:pPr>
            <w:r>
              <w:rPr>
                <w:rFonts w:hint="eastAsia"/>
              </w:rPr>
              <w:t>-</w:t>
            </w:r>
          </w:p>
        </w:tc>
        <w:tc>
          <w:tcPr>
            <w:tcW w:w="1860" w:type="dxa"/>
            <w:vAlign w:val="center"/>
          </w:tcPr>
          <w:p w14:paraId="2796D368">
            <w:pPr>
              <w:jc w:val="right"/>
            </w:pPr>
            <w:r>
              <w:rPr>
                <w:rFonts w:hint="eastAsia"/>
              </w:rPr>
              <w:t>-</w:t>
            </w:r>
          </w:p>
        </w:tc>
        <w:tc>
          <w:tcPr>
            <w:tcW w:w="1517" w:type="dxa"/>
            <w:vAlign w:val="center"/>
          </w:tcPr>
          <w:p w14:paraId="0E4ABE0D">
            <w:pPr>
              <w:jc w:val="right"/>
            </w:pPr>
            <w:r>
              <w:rPr>
                <w:rFonts w:hint="eastAsia"/>
              </w:rPr>
              <w:t>-</w:t>
            </w:r>
          </w:p>
        </w:tc>
      </w:tr>
      <w:tr w14:paraId="58EDBC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7013AD2C">
            <w:r>
              <w:rPr>
                <w:rFonts w:hint="eastAsia"/>
              </w:rPr>
              <w:t>债券</w:t>
            </w:r>
          </w:p>
        </w:tc>
        <w:tc>
          <w:tcPr>
            <w:tcW w:w="897" w:type="dxa"/>
            <w:vAlign w:val="center"/>
          </w:tcPr>
          <w:p w14:paraId="0049BBCF">
            <w:r>
              <w:rPr>
                <w:rFonts w:hint="eastAsia"/>
              </w:rPr>
              <w:t>交易所市场</w:t>
            </w:r>
          </w:p>
        </w:tc>
        <w:tc>
          <w:tcPr>
            <w:tcW w:w="1860" w:type="dxa"/>
            <w:vAlign w:val="center"/>
          </w:tcPr>
          <w:p w14:paraId="06DAF7B7">
            <w:pPr>
              <w:jc w:val="right"/>
            </w:pPr>
            <w:r>
              <w:rPr>
                <w:rFonts w:hint="eastAsia"/>
              </w:rPr>
              <w:t>-</w:t>
            </w:r>
          </w:p>
        </w:tc>
        <w:tc>
          <w:tcPr>
            <w:tcW w:w="1517" w:type="dxa"/>
            <w:vAlign w:val="center"/>
          </w:tcPr>
          <w:p w14:paraId="3BDD1667">
            <w:pPr>
              <w:jc w:val="right"/>
            </w:pPr>
            <w:r>
              <w:rPr>
                <w:rFonts w:hint="eastAsia"/>
              </w:rPr>
              <w:t>-</w:t>
            </w:r>
          </w:p>
        </w:tc>
        <w:tc>
          <w:tcPr>
            <w:tcW w:w="1860" w:type="dxa"/>
            <w:vAlign w:val="center"/>
          </w:tcPr>
          <w:p w14:paraId="6EB5ECE2">
            <w:pPr>
              <w:jc w:val="right"/>
            </w:pPr>
            <w:r>
              <w:rPr>
                <w:rFonts w:hint="eastAsia"/>
              </w:rPr>
              <w:t>-</w:t>
            </w:r>
          </w:p>
        </w:tc>
        <w:tc>
          <w:tcPr>
            <w:tcW w:w="1517" w:type="dxa"/>
            <w:vAlign w:val="center"/>
          </w:tcPr>
          <w:p w14:paraId="7C141019">
            <w:pPr>
              <w:jc w:val="right"/>
            </w:pPr>
            <w:r>
              <w:rPr>
                <w:rFonts w:hint="eastAsia"/>
              </w:rPr>
              <w:t>-</w:t>
            </w:r>
          </w:p>
        </w:tc>
      </w:tr>
      <w:tr w14:paraId="7CD74D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3806AB5E"/>
        </w:tc>
        <w:tc>
          <w:tcPr>
            <w:tcW w:w="897" w:type="dxa"/>
            <w:vAlign w:val="center"/>
          </w:tcPr>
          <w:p w14:paraId="038A792E">
            <w:r>
              <w:rPr>
                <w:rFonts w:hint="eastAsia"/>
              </w:rPr>
              <w:t>银行间市场</w:t>
            </w:r>
          </w:p>
        </w:tc>
        <w:tc>
          <w:tcPr>
            <w:tcW w:w="1860" w:type="dxa"/>
            <w:vAlign w:val="center"/>
          </w:tcPr>
          <w:p w14:paraId="75707106">
            <w:pPr>
              <w:jc w:val="right"/>
            </w:pPr>
            <w:r>
              <w:rPr>
                <w:rFonts w:hint="eastAsia"/>
              </w:rPr>
              <w:t>3,960,561,136.24</w:t>
            </w:r>
          </w:p>
        </w:tc>
        <w:tc>
          <w:tcPr>
            <w:tcW w:w="1517" w:type="dxa"/>
            <w:vAlign w:val="center"/>
          </w:tcPr>
          <w:p w14:paraId="4BB337A4">
            <w:pPr>
              <w:jc w:val="right"/>
            </w:pPr>
            <w:r>
              <w:rPr>
                <w:rFonts w:hint="eastAsia"/>
              </w:rPr>
              <w:t>18,921,384.80</w:t>
            </w:r>
          </w:p>
        </w:tc>
        <w:tc>
          <w:tcPr>
            <w:tcW w:w="1860" w:type="dxa"/>
            <w:vAlign w:val="center"/>
          </w:tcPr>
          <w:p w14:paraId="286AD955">
            <w:pPr>
              <w:jc w:val="right"/>
            </w:pPr>
            <w:r>
              <w:rPr>
                <w:rFonts w:hint="eastAsia"/>
              </w:rPr>
              <w:t>3,984,815,984.80</w:t>
            </w:r>
          </w:p>
        </w:tc>
        <w:tc>
          <w:tcPr>
            <w:tcW w:w="1517" w:type="dxa"/>
            <w:vAlign w:val="center"/>
          </w:tcPr>
          <w:p w14:paraId="33996183">
            <w:pPr>
              <w:jc w:val="right"/>
            </w:pPr>
            <w:r>
              <w:rPr>
                <w:rFonts w:hint="eastAsia"/>
              </w:rPr>
              <w:t>5,333,463.76</w:t>
            </w:r>
          </w:p>
        </w:tc>
      </w:tr>
      <w:tr w14:paraId="74AF57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6BB05ACD"/>
        </w:tc>
        <w:tc>
          <w:tcPr>
            <w:tcW w:w="897" w:type="dxa"/>
            <w:vAlign w:val="center"/>
          </w:tcPr>
          <w:p w14:paraId="333CC4BF">
            <w:r>
              <w:rPr>
                <w:rFonts w:hint="eastAsia"/>
              </w:rPr>
              <w:t>合计</w:t>
            </w:r>
          </w:p>
        </w:tc>
        <w:tc>
          <w:tcPr>
            <w:tcW w:w="1860" w:type="dxa"/>
            <w:vAlign w:val="center"/>
          </w:tcPr>
          <w:p w14:paraId="145BBA4C">
            <w:pPr>
              <w:jc w:val="right"/>
            </w:pPr>
            <w:r>
              <w:rPr>
                <w:rFonts w:hint="eastAsia"/>
              </w:rPr>
              <w:t>3,960,561,136.24</w:t>
            </w:r>
          </w:p>
        </w:tc>
        <w:tc>
          <w:tcPr>
            <w:tcW w:w="1517" w:type="dxa"/>
            <w:vAlign w:val="center"/>
          </w:tcPr>
          <w:p w14:paraId="7842876F">
            <w:pPr>
              <w:jc w:val="right"/>
            </w:pPr>
            <w:r>
              <w:rPr>
                <w:rFonts w:hint="eastAsia"/>
              </w:rPr>
              <w:t>18,921,384.80</w:t>
            </w:r>
          </w:p>
        </w:tc>
        <w:tc>
          <w:tcPr>
            <w:tcW w:w="1860" w:type="dxa"/>
            <w:vAlign w:val="center"/>
          </w:tcPr>
          <w:p w14:paraId="33875C4B">
            <w:pPr>
              <w:jc w:val="right"/>
            </w:pPr>
            <w:r>
              <w:rPr>
                <w:rFonts w:hint="eastAsia"/>
              </w:rPr>
              <w:t>3,984,815,984.80</w:t>
            </w:r>
          </w:p>
        </w:tc>
        <w:tc>
          <w:tcPr>
            <w:tcW w:w="1517" w:type="dxa"/>
            <w:vAlign w:val="center"/>
          </w:tcPr>
          <w:p w14:paraId="3AC0BB64">
            <w:pPr>
              <w:jc w:val="right"/>
            </w:pPr>
            <w:r>
              <w:rPr>
                <w:rFonts w:hint="eastAsia"/>
              </w:rPr>
              <w:t>5,333,463.76</w:t>
            </w:r>
          </w:p>
        </w:tc>
      </w:tr>
      <w:tr w14:paraId="62AC56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7E426A33">
            <w:r>
              <w:rPr>
                <w:rFonts w:hint="eastAsia"/>
              </w:rPr>
              <w:t>资产支持证券</w:t>
            </w:r>
          </w:p>
        </w:tc>
        <w:tc>
          <w:tcPr>
            <w:tcW w:w="1860" w:type="dxa"/>
            <w:vAlign w:val="center"/>
          </w:tcPr>
          <w:p w14:paraId="704A0FF8">
            <w:pPr>
              <w:jc w:val="right"/>
            </w:pPr>
            <w:r>
              <w:rPr>
                <w:rFonts w:hint="eastAsia"/>
              </w:rPr>
              <w:t>-</w:t>
            </w:r>
          </w:p>
        </w:tc>
        <w:tc>
          <w:tcPr>
            <w:tcW w:w="1517" w:type="dxa"/>
            <w:vAlign w:val="center"/>
          </w:tcPr>
          <w:p w14:paraId="5255A278">
            <w:pPr>
              <w:jc w:val="right"/>
            </w:pPr>
            <w:r>
              <w:rPr>
                <w:rFonts w:hint="eastAsia"/>
              </w:rPr>
              <w:t>-</w:t>
            </w:r>
          </w:p>
        </w:tc>
        <w:tc>
          <w:tcPr>
            <w:tcW w:w="1860" w:type="dxa"/>
            <w:vAlign w:val="center"/>
          </w:tcPr>
          <w:p w14:paraId="5F4D442C">
            <w:pPr>
              <w:jc w:val="right"/>
            </w:pPr>
            <w:r>
              <w:rPr>
                <w:rFonts w:hint="eastAsia"/>
              </w:rPr>
              <w:t>-</w:t>
            </w:r>
          </w:p>
        </w:tc>
        <w:tc>
          <w:tcPr>
            <w:tcW w:w="1517" w:type="dxa"/>
            <w:vAlign w:val="center"/>
          </w:tcPr>
          <w:p w14:paraId="17512D5C">
            <w:pPr>
              <w:jc w:val="right"/>
            </w:pPr>
            <w:r>
              <w:rPr>
                <w:rFonts w:hint="eastAsia"/>
              </w:rPr>
              <w:t>-</w:t>
            </w:r>
          </w:p>
        </w:tc>
      </w:tr>
      <w:tr w14:paraId="48B39D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70E95FE1">
            <w:r>
              <w:rPr>
                <w:rFonts w:hint="eastAsia"/>
              </w:rPr>
              <w:t>基金</w:t>
            </w:r>
          </w:p>
        </w:tc>
        <w:tc>
          <w:tcPr>
            <w:tcW w:w="1860" w:type="dxa"/>
            <w:vAlign w:val="center"/>
          </w:tcPr>
          <w:p w14:paraId="134DE1EB">
            <w:pPr>
              <w:jc w:val="right"/>
            </w:pPr>
            <w:r>
              <w:rPr>
                <w:rFonts w:hint="eastAsia"/>
              </w:rPr>
              <w:t>-</w:t>
            </w:r>
          </w:p>
        </w:tc>
        <w:tc>
          <w:tcPr>
            <w:tcW w:w="1517" w:type="dxa"/>
            <w:vAlign w:val="center"/>
          </w:tcPr>
          <w:p w14:paraId="4ECE7AD2">
            <w:pPr>
              <w:jc w:val="right"/>
            </w:pPr>
            <w:r>
              <w:rPr>
                <w:rFonts w:hint="eastAsia"/>
              </w:rPr>
              <w:t>-</w:t>
            </w:r>
          </w:p>
        </w:tc>
        <w:tc>
          <w:tcPr>
            <w:tcW w:w="1860" w:type="dxa"/>
            <w:vAlign w:val="center"/>
          </w:tcPr>
          <w:p w14:paraId="2F924733">
            <w:pPr>
              <w:jc w:val="right"/>
            </w:pPr>
            <w:r>
              <w:rPr>
                <w:rFonts w:hint="eastAsia"/>
              </w:rPr>
              <w:t>-</w:t>
            </w:r>
          </w:p>
        </w:tc>
        <w:tc>
          <w:tcPr>
            <w:tcW w:w="1517" w:type="dxa"/>
            <w:vAlign w:val="center"/>
          </w:tcPr>
          <w:p w14:paraId="5786326B">
            <w:pPr>
              <w:jc w:val="right"/>
            </w:pPr>
            <w:r>
              <w:rPr>
                <w:rFonts w:hint="eastAsia"/>
              </w:rPr>
              <w:t>-</w:t>
            </w:r>
          </w:p>
        </w:tc>
      </w:tr>
      <w:tr w14:paraId="352E6F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4E8DB28E">
            <w:r>
              <w:rPr>
                <w:rFonts w:hint="eastAsia"/>
              </w:rPr>
              <w:t>其他</w:t>
            </w:r>
          </w:p>
        </w:tc>
        <w:tc>
          <w:tcPr>
            <w:tcW w:w="1860" w:type="dxa"/>
            <w:vAlign w:val="center"/>
          </w:tcPr>
          <w:p w14:paraId="4B68FD0E">
            <w:pPr>
              <w:jc w:val="right"/>
            </w:pPr>
            <w:r>
              <w:rPr>
                <w:rFonts w:hint="eastAsia"/>
              </w:rPr>
              <w:t>-</w:t>
            </w:r>
          </w:p>
        </w:tc>
        <w:tc>
          <w:tcPr>
            <w:tcW w:w="1517" w:type="dxa"/>
            <w:vAlign w:val="center"/>
          </w:tcPr>
          <w:p w14:paraId="04D5C028">
            <w:pPr>
              <w:jc w:val="right"/>
            </w:pPr>
            <w:r>
              <w:rPr>
                <w:rFonts w:hint="eastAsia"/>
              </w:rPr>
              <w:t>-</w:t>
            </w:r>
          </w:p>
        </w:tc>
        <w:tc>
          <w:tcPr>
            <w:tcW w:w="1860" w:type="dxa"/>
            <w:vAlign w:val="center"/>
          </w:tcPr>
          <w:p w14:paraId="244C460A">
            <w:pPr>
              <w:jc w:val="right"/>
            </w:pPr>
            <w:r>
              <w:rPr>
                <w:rFonts w:hint="eastAsia"/>
              </w:rPr>
              <w:t>-</w:t>
            </w:r>
          </w:p>
        </w:tc>
        <w:tc>
          <w:tcPr>
            <w:tcW w:w="1517" w:type="dxa"/>
            <w:vAlign w:val="center"/>
          </w:tcPr>
          <w:p w14:paraId="6BD628D3">
            <w:pPr>
              <w:jc w:val="right"/>
            </w:pPr>
            <w:r>
              <w:rPr>
                <w:rFonts w:hint="eastAsia"/>
              </w:rPr>
              <w:t>-</w:t>
            </w:r>
          </w:p>
        </w:tc>
      </w:tr>
      <w:tr w14:paraId="1E143E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13052245">
            <w:r>
              <w:rPr>
                <w:rFonts w:hint="eastAsia"/>
              </w:rPr>
              <w:t>合计</w:t>
            </w:r>
          </w:p>
        </w:tc>
        <w:tc>
          <w:tcPr>
            <w:tcW w:w="1860" w:type="dxa"/>
            <w:vAlign w:val="center"/>
          </w:tcPr>
          <w:p w14:paraId="377138A2">
            <w:pPr>
              <w:jc w:val="right"/>
            </w:pPr>
            <w:r>
              <w:rPr>
                <w:rFonts w:hint="eastAsia"/>
              </w:rPr>
              <w:t>3,960,561,136.24</w:t>
            </w:r>
          </w:p>
        </w:tc>
        <w:tc>
          <w:tcPr>
            <w:tcW w:w="1517" w:type="dxa"/>
            <w:vAlign w:val="center"/>
          </w:tcPr>
          <w:p w14:paraId="0EAF0F63">
            <w:pPr>
              <w:jc w:val="right"/>
            </w:pPr>
            <w:r>
              <w:rPr>
                <w:rFonts w:hint="eastAsia"/>
              </w:rPr>
              <w:t>18,921,384.80</w:t>
            </w:r>
          </w:p>
        </w:tc>
        <w:tc>
          <w:tcPr>
            <w:tcW w:w="1860" w:type="dxa"/>
            <w:vAlign w:val="center"/>
          </w:tcPr>
          <w:p w14:paraId="44CE2A9A">
            <w:pPr>
              <w:jc w:val="right"/>
            </w:pPr>
            <w:r>
              <w:rPr>
                <w:rFonts w:hint="eastAsia"/>
              </w:rPr>
              <w:t>3,984,815,984.80</w:t>
            </w:r>
          </w:p>
        </w:tc>
        <w:tc>
          <w:tcPr>
            <w:tcW w:w="1517" w:type="dxa"/>
            <w:vAlign w:val="center"/>
          </w:tcPr>
          <w:p w14:paraId="606B963A">
            <w:pPr>
              <w:jc w:val="right"/>
            </w:pPr>
            <w:r>
              <w:rPr>
                <w:rFonts w:hint="eastAsia"/>
              </w:rPr>
              <w:t>5,333,463.76</w:t>
            </w:r>
          </w:p>
        </w:tc>
      </w:tr>
    </w:tbl>
    <w:p w14:paraId="4A883190">
      <w:pPr>
        <w:pStyle w:val="35"/>
      </w:pPr>
      <w:bookmarkStart w:id="74" w:name="_Toc74"/>
      <w:r>
        <w:t>衍生金融资产/负债</w:t>
      </w:r>
      <w:bookmarkEnd w:id="74"/>
    </w:p>
    <w:p w14:paraId="09EF733E">
      <w:pPr>
        <w:pStyle w:val="36"/>
      </w:pPr>
      <w:bookmarkStart w:id="75" w:name="_Toc75"/>
      <w:r>
        <w:t>衍生金融资产/负债期末余额</w:t>
      </w:r>
      <w:bookmarkEnd w:id="75"/>
    </w:p>
    <w:p w14:paraId="19238380">
      <w:pPr>
        <w:pStyle w:val="18"/>
        <w:rPr>
          <w:rFonts w:hint="eastAsia"/>
        </w:rPr>
      </w:pPr>
      <w:r>
        <w:rPr>
          <w:rFonts w:hint="eastAsia"/>
        </w:rPr>
        <w:t>无。</w:t>
      </w:r>
    </w:p>
    <w:p w14:paraId="7FCF0379">
      <w:pPr>
        <w:pStyle w:val="35"/>
      </w:pPr>
      <w:bookmarkStart w:id="76" w:name="_Toc76"/>
      <w:r>
        <w:t xml:space="preserve"> 买入返售金融资产</w:t>
      </w:r>
      <w:bookmarkEnd w:id="76"/>
    </w:p>
    <w:p w14:paraId="2595484D">
      <w:pPr>
        <w:pStyle w:val="36"/>
      </w:pPr>
      <w:bookmarkStart w:id="77" w:name="_Toc77"/>
      <w:r>
        <w:t>各项买入返售金融资产期末余额</w:t>
      </w:r>
      <w:bookmarkEnd w:id="77"/>
    </w:p>
    <w:p w14:paraId="11808CB1">
      <w:pPr>
        <w:pStyle w:val="18"/>
        <w:rPr>
          <w:rFonts w:hint="eastAsia"/>
        </w:rPr>
      </w:pPr>
      <w:r>
        <w:rPr>
          <w:rFonts w:hint="eastAsia"/>
        </w:rPr>
        <w:t>无。</w:t>
      </w:r>
    </w:p>
    <w:p w14:paraId="652F2564">
      <w:pPr>
        <w:pStyle w:val="36"/>
      </w:pPr>
      <w:bookmarkStart w:id="78" w:name="_Toc78"/>
      <w:r>
        <w:t xml:space="preserve"> 期末买断式逆回购交易中取得的债券</w:t>
      </w:r>
      <w:bookmarkEnd w:id="78"/>
    </w:p>
    <w:p w14:paraId="7241852E">
      <w:pPr>
        <w:pStyle w:val="18"/>
        <w:rPr>
          <w:rFonts w:hint="eastAsia"/>
        </w:rPr>
      </w:pPr>
      <w:r>
        <w:rPr>
          <w:rFonts w:hint="eastAsia"/>
        </w:rPr>
        <w:t>无。</w:t>
      </w:r>
    </w:p>
    <w:p w14:paraId="357E313F">
      <w:pPr>
        <w:pStyle w:val="35"/>
      </w:pPr>
      <w:bookmarkStart w:id="79" w:name="_Toc79"/>
      <w:r>
        <w:t xml:space="preserve"> 其他资产</w:t>
      </w:r>
      <w:bookmarkEnd w:id="79"/>
    </w:p>
    <w:p w14:paraId="1603FBDA">
      <w:pPr>
        <w:pStyle w:val="18"/>
        <w:rPr>
          <w:rFonts w:hint="eastAsia"/>
        </w:rPr>
      </w:pPr>
      <w:r>
        <w:rPr>
          <w:rFonts w:hint="eastAsia"/>
        </w:rPr>
        <w:t>无。</w:t>
      </w:r>
    </w:p>
    <w:p w14:paraId="65830EC3">
      <w:pPr>
        <w:pStyle w:val="35"/>
      </w:pPr>
      <w:bookmarkStart w:id="80" w:name="_Toc80"/>
      <w:r>
        <w:t>其他负债</w:t>
      </w:r>
      <w:bookmarkEnd w:id="80"/>
    </w:p>
    <w:p w14:paraId="1783AA86">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34CF9A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3FBF5C56">
            <w:pPr>
              <w:jc w:val="center"/>
            </w:pPr>
            <w:r>
              <w:rPr>
                <w:rFonts w:hint="eastAsia"/>
                <w:b/>
              </w:rPr>
              <w:t>项目</w:t>
            </w:r>
          </w:p>
        </w:tc>
        <w:tc>
          <w:tcPr>
            <w:tcW w:w="2768" w:type="dxa"/>
            <w:shd w:val="clear" w:color="auto" w:fill="BFBFBF"/>
            <w:vAlign w:val="center"/>
          </w:tcPr>
          <w:p w14:paraId="1B705244">
            <w:pPr>
              <w:jc w:val="center"/>
            </w:pPr>
            <w:r>
              <w:rPr>
                <w:rFonts w:hint="eastAsia"/>
                <w:b/>
              </w:rPr>
              <w:t>本期末2025年12月31日</w:t>
            </w:r>
          </w:p>
        </w:tc>
        <w:tc>
          <w:tcPr>
            <w:tcW w:w="2768" w:type="dxa"/>
            <w:shd w:val="clear" w:color="auto" w:fill="BFBFBF"/>
            <w:vAlign w:val="center"/>
          </w:tcPr>
          <w:p w14:paraId="6470F46D">
            <w:pPr>
              <w:jc w:val="center"/>
            </w:pPr>
            <w:r>
              <w:rPr>
                <w:rFonts w:hint="eastAsia"/>
                <w:b/>
              </w:rPr>
              <w:t>上年度末2024年12月31日</w:t>
            </w:r>
          </w:p>
        </w:tc>
      </w:tr>
      <w:tr w14:paraId="6F9E15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49E41C6">
            <w:r>
              <w:rPr>
                <w:rFonts w:hint="eastAsia"/>
              </w:rPr>
              <w:t>应付券商交易单元保证金</w:t>
            </w:r>
          </w:p>
        </w:tc>
        <w:tc>
          <w:tcPr>
            <w:tcW w:w="2768" w:type="dxa"/>
            <w:vAlign w:val="center"/>
          </w:tcPr>
          <w:p w14:paraId="254A1AB8">
            <w:pPr>
              <w:jc w:val="right"/>
            </w:pPr>
            <w:r>
              <w:rPr>
                <w:rFonts w:hint="eastAsia"/>
              </w:rPr>
              <w:t>-</w:t>
            </w:r>
          </w:p>
        </w:tc>
        <w:tc>
          <w:tcPr>
            <w:tcW w:w="2768" w:type="dxa"/>
            <w:vAlign w:val="center"/>
          </w:tcPr>
          <w:p w14:paraId="59556D38">
            <w:pPr>
              <w:jc w:val="right"/>
            </w:pPr>
            <w:r>
              <w:rPr>
                <w:rFonts w:hint="eastAsia"/>
              </w:rPr>
              <w:t>-</w:t>
            </w:r>
          </w:p>
        </w:tc>
      </w:tr>
      <w:tr w14:paraId="357435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CBBF672">
            <w:r>
              <w:rPr>
                <w:rFonts w:hint="eastAsia"/>
              </w:rPr>
              <w:t>应付赎回费</w:t>
            </w:r>
          </w:p>
        </w:tc>
        <w:tc>
          <w:tcPr>
            <w:tcW w:w="2768" w:type="dxa"/>
            <w:vAlign w:val="center"/>
          </w:tcPr>
          <w:p w14:paraId="054A3B19">
            <w:pPr>
              <w:jc w:val="right"/>
            </w:pPr>
            <w:r>
              <w:rPr>
                <w:rFonts w:hint="eastAsia"/>
              </w:rPr>
              <w:t>1.30</w:t>
            </w:r>
          </w:p>
        </w:tc>
        <w:tc>
          <w:tcPr>
            <w:tcW w:w="2768" w:type="dxa"/>
            <w:vAlign w:val="center"/>
          </w:tcPr>
          <w:p w14:paraId="7A158801">
            <w:pPr>
              <w:jc w:val="right"/>
            </w:pPr>
            <w:r>
              <w:rPr>
                <w:rFonts w:hint="eastAsia"/>
              </w:rPr>
              <w:t>-</w:t>
            </w:r>
          </w:p>
        </w:tc>
      </w:tr>
      <w:tr w14:paraId="6568B8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B836DAE">
            <w:r>
              <w:rPr>
                <w:rFonts w:hint="eastAsia"/>
              </w:rPr>
              <w:t>应付证券出借违约金</w:t>
            </w:r>
          </w:p>
        </w:tc>
        <w:tc>
          <w:tcPr>
            <w:tcW w:w="2768" w:type="dxa"/>
            <w:vAlign w:val="center"/>
          </w:tcPr>
          <w:p w14:paraId="73E374C7">
            <w:pPr>
              <w:jc w:val="right"/>
            </w:pPr>
            <w:r>
              <w:rPr>
                <w:rFonts w:hint="eastAsia"/>
              </w:rPr>
              <w:t>-</w:t>
            </w:r>
          </w:p>
        </w:tc>
        <w:tc>
          <w:tcPr>
            <w:tcW w:w="2768" w:type="dxa"/>
            <w:vAlign w:val="center"/>
          </w:tcPr>
          <w:p w14:paraId="2A07547A">
            <w:pPr>
              <w:jc w:val="right"/>
            </w:pPr>
            <w:r>
              <w:rPr>
                <w:rFonts w:hint="eastAsia"/>
              </w:rPr>
              <w:t>-</w:t>
            </w:r>
          </w:p>
        </w:tc>
      </w:tr>
      <w:tr w14:paraId="0138D0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6773761">
            <w:r>
              <w:rPr>
                <w:rFonts w:hint="eastAsia"/>
              </w:rPr>
              <w:t>应付交易费用</w:t>
            </w:r>
          </w:p>
        </w:tc>
        <w:tc>
          <w:tcPr>
            <w:tcW w:w="2768" w:type="dxa"/>
            <w:vAlign w:val="center"/>
          </w:tcPr>
          <w:p w14:paraId="1E3F9DD1">
            <w:pPr>
              <w:jc w:val="right"/>
            </w:pPr>
            <w:r>
              <w:rPr>
                <w:rFonts w:hint="eastAsia"/>
              </w:rPr>
              <w:t>183,341.18</w:t>
            </w:r>
          </w:p>
        </w:tc>
        <w:tc>
          <w:tcPr>
            <w:tcW w:w="2768" w:type="dxa"/>
            <w:vAlign w:val="center"/>
          </w:tcPr>
          <w:p w14:paraId="74467881">
            <w:pPr>
              <w:jc w:val="right"/>
            </w:pPr>
            <w:r>
              <w:rPr>
                <w:rFonts w:hint="eastAsia"/>
              </w:rPr>
              <w:t>83,256.55</w:t>
            </w:r>
          </w:p>
        </w:tc>
      </w:tr>
      <w:tr w14:paraId="3C3CCC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CCF3997">
            <w:r>
              <w:rPr>
                <w:rFonts w:hint="eastAsia"/>
              </w:rPr>
              <w:t>其中：交易所市场</w:t>
            </w:r>
          </w:p>
        </w:tc>
        <w:tc>
          <w:tcPr>
            <w:tcW w:w="2768" w:type="dxa"/>
            <w:vAlign w:val="center"/>
          </w:tcPr>
          <w:p w14:paraId="2B522262">
            <w:pPr>
              <w:jc w:val="right"/>
            </w:pPr>
            <w:r>
              <w:rPr>
                <w:rFonts w:hint="eastAsia"/>
              </w:rPr>
              <w:t>-</w:t>
            </w:r>
          </w:p>
        </w:tc>
        <w:tc>
          <w:tcPr>
            <w:tcW w:w="2768" w:type="dxa"/>
            <w:vAlign w:val="center"/>
          </w:tcPr>
          <w:p w14:paraId="45F0815C">
            <w:pPr>
              <w:jc w:val="right"/>
            </w:pPr>
            <w:r>
              <w:rPr>
                <w:rFonts w:hint="eastAsia"/>
              </w:rPr>
              <w:t>-</w:t>
            </w:r>
          </w:p>
        </w:tc>
      </w:tr>
      <w:tr w14:paraId="75B738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BFBB7F9">
            <w:r>
              <w:rPr>
                <w:rFonts w:hint="eastAsia"/>
              </w:rPr>
              <w:t xml:space="preserve">      银行间市场</w:t>
            </w:r>
          </w:p>
        </w:tc>
        <w:tc>
          <w:tcPr>
            <w:tcW w:w="2768" w:type="dxa"/>
            <w:vAlign w:val="center"/>
          </w:tcPr>
          <w:p w14:paraId="27135057">
            <w:pPr>
              <w:jc w:val="right"/>
            </w:pPr>
            <w:r>
              <w:rPr>
                <w:rFonts w:hint="eastAsia"/>
              </w:rPr>
              <w:t>183,341.18</w:t>
            </w:r>
          </w:p>
        </w:tc>
        <w:tc>
          <w:tcPr>
            <w:tcW w:w="2768" w:type="dxa"/>
            <w:vAlign w:val="center"/>
          </w:tcPr>
          <w:p w14:paraId="2D8AF504">
            <w:pPr>
              <w:jc w:val="right"/>
            </w:pPr>
            <w:r>
              <w:rPr>
                <w:rFonts w:hint="eastAsia"/>
              </w:rPr>
              <w:t>83,256.55</w:t>
            </w:r>
          </w:p>
        </w:tc>
      </w:tr>
      <w:tr w14:paraId="3FBDFE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C3A6519">
            <w:r>
              <w:rPr>
                <w:rFonts w:hint="eastAsia"/>
              </w:rPr>
              <w:t>应付利息</w:t>
            </w:r>
          </w:p>
        </w:tc>
        <w:tc>
          <w:tcPr>
            <w:tcW w:w="2768" w:type="dxa"/>
            <w:vAlign w:val="center"/>
          </w:tcPr>
          <w:p w14:paraId="56747938">
            <w:pPr>
              <w:jc w:val="right"/>
            </w:pPr>
            <w:r>
              <w:rPr>
                <w:rFonts w:hint="eastAsia"/>
              </w:rPr>
              <w:t>-</w:t>
            </w:r>
          </w:p>
        </w:tc>
        <w:tc>
          <w:tcPr>
            <w:tcW w:w="2768" w:type="dxa"/>
            <w:vAlign w:val="center"/>
          </w:tcPr>
          <w:p w14:paraId="0A1EFE3B">
            <w:pPr>
              <w:jc w:val="right"/>
            </w:pPr>
            <w:r>
              <w:rPr>
                <w:rFonts w:hint="eastAsia"/>
              </w:rPr>
              <w:t>-</w:t>
            </w:r>
          </w:p>
        </w:tc>
      </w:tr>
      <w:tr w14:paraId="6FF2CE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E115E56">
            <w:r>
              <w:rPr>
                <w:rFonts w:hint="eastAsia"/>
              </w:rPr>
              <w:t>预提费用</w:t>
            </w:r>
          </w:p>
        </w:tc>
        <w:tc>
          <w:tcPr>
            <w:tcW w:w="2768" w:type="dxa"/>
            <w:vAlign w:val="center"/>
          </w:tcPr>
          <w:p w14:paraId="06150BFF">
            <w:pPr>
              <w:jc w:val="right"/>
            </w:pPr>
            <w:r>
              <w:rPr>
                <w:rFonts w:hint="eastAsia"/>
              </w:rPr>
              <w:t>89,300.00</w:t>
            </w:r>
          </w:p>
        </w:tc>
        <w:tc>
          <w:tcPr>
            <w:tcW w:w="2768" w:type="dxa"/>
            <w:vAlign w:val="center"/>
          </w:tcPr>
          <w:p w14:paraId="6691C4F7">
            <w:pPr>
              <w:jc w:val="right"/>
            </w:pPr>
            <w:r>
              <w:rPr>
                <w:rFonts w:hint="eastAsia"/>
              </w:rPr>
              <w:t>80,000.00</w:t>
            </w:r>
          </w:p>
        </w:tc>
      </w:tr>
      <w:tr w14:paraId="0445E0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E276DE5">
            <w:r>
              <w:rPr>
                <w:rFonts w:hint="eastAsia"/>
              </w:rPr>
              <w:t>合计</w:t>
            </w:r>
          </w:p>
        </w:tc>
        <w:tc>
          <w:tcPr>
            <w:tcW w:w="2768" w:type="dxa"/>
            <w:vAlign w:val="center"/>
          </w:tcPr>
          <w:p w14:paraId="671BD623">
            <w:pPr>
              <w:jc w:val="right"/>
            </w:pPr>
            <w:r>
              <w:rPr>
                <w:rFonts w:hint="eastAsia"/>
              </w:rPr>
              <w:t>272,642.48</w:t>
            </w:r>
          </w:p>
        </w:tc>
        <w:tc>
          <w:tcPr>
            <w:tcW w:w="2768" w:type="dxa"/>
            <w:vAlign w:val="center"/>
          </w:tcPr>
          <w:p w14:paraId="0C6BE0B8">
            <w:pPr>
              <w:jc w:val="right"/>
            </w:pPr>
            <w:r>
              <w:rPr>
                <w:rFonts w:hint="eastAsia"/>
              </w:rPr>
              <w:t>163,256.55</w:t>
            </w:r>
          </w:p>
        </w:tc>
      </w:tr>
    </w:tbl>
    <w:p w14:paraId="57CD8445">
      <w:pPr>
        <w:pStyle w:val="35"/>
      </w:pPr>
      <w:bookmarkStart w:id="81" w:name="_Toc81"/>
      <w:r>
        <w:t xml:space="preserve">实收基金 </w:t>
      </w:r>
      <w:bookmarkEnd w:id="81"/>
    </w:p>
    <w:p w14:paraId="108A450B">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769D33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7FBE6EF9">
            <w:pPr>
              <w:jc w:val="center"/>
            </w:pPr>
            <w:r>
              <w:rPr>
                <w:rFonts w:hint="eastAsia"/>
                <w:b/>
              </w:rPr>
              <w:t>项目</w:t>
            </w:r>
          </w:p>
        </w:tc>
        <w:tc>
          <w:tcPr>
            <w:tcW w:w="2491" w:type="dxa"/>
            <w:gridSpan w:val="2"/>
            <w:shd w:val="clear" w:color="auto" w:fill="BFBFBF"/>
            <w:vAlign w:val="center"/>
          </w:tcPr>
          <w:p w14:paraId="4F64E5BE">
            <w:pPr>
              <w:jc w:val="center"/>
            </w:pPr>
            <w:r>
              <w:rPr>
                <w:rFonts w:hint="eastAsia"/>
                <w:b/>
              </w:rPr>
              <w:t>本期2025年1月1日至2025年12月31日</w:t>
            </w:r>
          </w:p>
        </w:tc>
      </w:tr>
      <w:tr w14:paraId="715F4A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23F597D4"/>
        </w:tc>
        <w:tc>
          <w:tcPr>
            <w:tcW w:w="2491" w:type="dxa"/>
            <w:shd w:val="clear" w:color="auto" w:fill="BFBFBF"/>
            <w:vAlign w:val="center"/>
          </w:tcPr>
          <w:p w14:paraId="58D30E3A">
            <w:pPr>
              <w:jc w:val="center"/>
            </w:pPr>
            <w:r>
              <w:rPr>
                <w:rFonts w:hint="eastAsia"/>
                <w:b/>
              </w:rPr>
              <w:t>基金份额（份）</w:t>
            </w:r>
          </w:p>
        </w:tc>
        <w:tc>
          <w:tcPr>
            <w:tcW w:w="2907" w:type="dxa"/>
            <w:shd w:val="clear" w:color="auto" w:fill="BFBFBF"/>
            <w:vAlign w:val="center"/>
          </w:tcPr>
          <w:p w14:paraId="371B18C3">
            <w:pPr>
              <w:jc w:val="center"/>
            </w:pPr>
            <w:r>
              <w:rPr>
                <w:rFonts w:hint="eastAsia"/>
                <w:b/>
              </w:rPr>
              <w:t>账面金额</w:t>
            </w:r>
          </w:p>
        </w:tc>
      </w:tr>
      <w:tr w14:paraId="655832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51C1BA9">
            <w:r>
              <w:rPr>
                <w:rFonts w:hint="eastAsia"/>
              </w:rPr>
              <w:t>上年度末</w:t>
            </w:r>
          </w:p>
        </w:tc>
        <w:tc>
          <w:tcPr>
            <w:tcW w:w="2491" w:type="dxa"/>
            <w:vAlign w:val="center"/>
          </w:tcPr>
          <w:p w14:paraId="3E192F58">
            <w:pPr>
              <w:jc w:val="right"/>
            </w:pPr>
            <w:r>
              <w:rPr>
                <w:rFonts w:hint="eastAsia"/>
              </w:rPr>
              <w:t>3,436,465,719.57</w:t>
            </w:r>
          </w:p>
        </w:tc>
        <w:tc>
          <w:tcPr>
            <w:tcW w:w="2907" w:type="dxa"/>
            <w:vAlign w:val="center"/>
          </w:tcPr>
          <w:p w14:paraId="6A84C07A">
            <w:pPr>
              <w:jc w:val="right"/>
            </w:pPr>
            <w:r>
              <w:rPr>
                <w:rFonts w:hint="eastAsia"/>
              </w:rPr>
              <w:t>3,436,465,719.57</w:t>
            </w:r>
          </w:p>
        </w:tc>
      </w:tr>
      <w:tr w14:paraId="021747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9007DD0">
            <w:r>
              <w:rPr>
                <w:rFonts w:hint="eastAsia"/>
              </w:rPr>
              <w:t>本期申购</w:t>
            </w:r>
          </w:p>
        </w:tc>
        <w:tc>
          <w:tcPr>
            <w:tcW w:w="2491" w:type="dxa"/>
            <w:vAlign w:val="center"/>
          </w:tcPr>
          <w:p w14:paraId="619107FE">
            <w:pPr>
              <w:jc w:val="right"/>
            </w:pPr>
            <w:r>
              <w:rPr>
                <w:rFonts w:hint="eastAsia"/>
              </w:rPr>
              <w:t>18,961,181,959.81</w:t>
            </w:r>
          </w:p>
        </w:tc>
        <w:tc>
          <w:tcPr>
            <w:tcW w:w="2907" w:type="dxa"/>
            <w:vAlign w:val="center"/>
          </w:tcPr>
          <w:p w14:paraId="379BBF85">
            <w:pPr>
              <w:jc w:val="right"/>
            </w:pPr>
            <w:r>
              <w:rPr>
                <w:rFonts w:hint="eastAsia"/>
              </w:rPr>
              <w:t>18,961,181,959.81</w:t>
            </w:r>
          </w:p>
        </w:tc>
      </w:tr>
      <w:tr w14:paraId="0F1704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DB3A991">
            <w:r>
              <w:rPr>
                <w:rFonts w:hint="eastAsia"/>
              </w:rPr>
              <w:t>本期赎回（以“-”号填列）</w:t>
            </w:r>
          </w:p>
        </w:tc>
        <w:tc>
          <w:tcPr>
            <w:tcW w:w="2491" w:type="dxa"/>
            <w:vAlign w:val="center"/>
          </w:tcPr>
          <w:p w14:paraId="46EBF05A">
            <w:pPr>
              <w:jc w:val="right"/>
            </w:pPr>
            <w:r>
              <w:rPr>
                <w:rFonts w:hint="eastAsia"/>
              </w:rPr>
              <w:t>-15,236,969,450.87</w:t>
            </w:r>
          </w:p>
        </w:tc>
        <w:tc>
          <w:tcPr>
            <w:tcW w:w="2907" w:type="dxa"/>
            <w:vAlign w:val="center"/>
          </w:tcPr>
          <w:p w14:paraId="4BA98B8F">
            <w:pPr>
              <w:jc w:val="right"/>
            </w:pPr>
            <w:r>
              <w:rPr>
                <w:rFonts w:hint="eastAsia"/>
              </w:rPr>
              <w:t>-15,236,969,450.87</w:t>
            </w:r>
          </w:p>
        </w:tc>
      </w:tr>
      <w:tr w14:paraId="479DEB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5A723BC">
            <w:r>
              <w:rPr>
                <w:rFonts w:hint="eastAsia"/>
              </w:rPr>
              <w:t>基金拆分/份额折算前</w:t>
            </w:r>
          </w:p>
        </w:tc>
        <w:tc>
          <w:tcPr>
            <w:tcW w:w="2491" w:type="dxa"/>
            <w:vAlign w:val="center"/>
          </w:tcPr>
          <w:p w14:paraId="06D7A5A0">
            <w:pPr>
              <w:jc w:val="right"/>
            </w:pPr>
            <w:r>
              <w:rPr>
                <w:rFonts w:hint="eastAsia"/>
              </w:rPr>
              <w:t>-</w:t>
            </w:r>
          </w:p>
        </w:tc>
        <w:tc>
          <w:tcPr>
            <w:tcW w:w="2907" w:type="dxa"/>
            <w:vAlign w:val="center"/>
          </w:tcPr>
          <w:p w14:paraId="3A97C032">
            <w:pPr>
              <w:jc w:val="right"/>
            </w:pPr>
            <w:r>
              <w:rPr>
                <w:rFonts w:hint="eastAsia"/>
              </w:rPr>
              <w:t>-</w:t>
            </w:r>
          </w:p>
        </w:tc>
      </w:tr>
      <w:tr w14:paraId="262B5B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4A5F5D0">
            <w:r>
              <w:rPr>
                <w:rFonts w:hint="eastAsia"/>
              </w:rPr>
              <w:t>基金拆分/份额折算调整</w:t>
            </w:r>
          </w:p>
        </w:tc>
        <w:tc>
          <w:tcPr>
            <w:tcW w:w="2491" w:type="dxa"/>
            <w:vAlign w:val="center"/>
          </w:tcPr>
          <w:p w14:paraId="619D1CBE">
            <w:pPr>
              <w:jc w:val="right"/>
            </w:pPr>
            <w:r>
              <w:rPr>
                <w:rFonts w:hint="eastAsia"/>
              </w:rPr>
              <w:t>-</w:t>
            </w:r>
          </w:p>
        </w:tc>
        <w:tc>
          <w:tcPr>
            <w:tcW w:w="2907" w:type="dxa"/>
            <w:vAlign w:val="center"/>
          </w:tcPr>
          <w:p w14:paraId="3B405867">
            <w:pPr>
              <w:jc w:val="right"/>
            </w:pPr>
            <w:r>
              <w:rPr>
                <w:rFonts w:hint="eastAsia"/>
              </w:rPr>
              <w:t>-</w:t>
            </w:r>
          </w:p>
        </w:tc>
      </w:tr>
      <w:tr w14:paraId="0DACAB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E39C472">
            <w:r>
              <w:rPr>
                <w:rFonts w:hint="eastAsia"/>
              </w:rPr>
              <w:t>本期申购</w:t>
            </w:r>
          </w:p>
        </w:tc>
        <w:tc>
          <w:tcPr>
            <w:tcW w:w="2491" w:type="dxa"/>
            <w:vAlign w:val="center"/>
          </w:tcPr>
          <w:p w14:paraId="565659FA">
            <w:pPr>
              <w:jc w:val="right"/>
            </w:pPr>
            <w:r>
              <w:rPr>
                <w:rFonts w:hint="eastAsia"/>
              </w:rPr>
              <w:t>-</w:t>
            </w:r>
          </w:p>
        </w:tc>
        <w:tc>
          <w:tcPr>
            <w:tcW w:w="2907" w:type="dxa"/>
            <w:vAlign w:val="center"/>
          </w:tcPr>
          <w:p w14:paraId="27692D2E">
            <w:pPr>
              <w:jc w:val="right"/>
            </w:pPr>
            <w:r>
              <w:rPr>
                <w:rFonts w:hint="eastAsia"/>
              </w:rPr>
              <w:t>-</w:t>
            </w:r>
          </w:p>
        </w:tc>
      </w:tr>
      <w:tr w14:paraId="536865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AA72C64">
            <w:r>
              <w:rPr>
                <w:rFonts w:hint="eastAsia"/>
              </w:rPr>
              <w:t>本期赎回（以“-”号填列）</w:t>
            </w:r>
          </w:p>
        </w:tc>
        <w:tc>
          <w:tcPr>
            <w:tcW w:w="2491" w:type="dxa"/>
            <w:vAlign w:val="center"/>
          </w:tcPr>
          <w:p w14:paraId="6F13C6CD">
            <w:pPr>
              <w:jc w:val="right"/>
            </w:pPr>
            <w:r>
              <w:rPr>
                <w:rFonts w:hint="eastAsia"/>
              </w:rPr>
              <w:t>-</w:t>
            </w:r>
          </w:p>
        </w:tc>
        <w:tc>
          <w:tcPr>
            <w:tcW w:w="2907" w:type="dxa"/>
            <w:vAlign w:val="center"/>
          </w:tcPr>
          <w:p w14:paraId="08E1C9E7">
            <w:pPr>
              <w:jc w:val="right"/>
            </w:pPr>
            <w:r>
              <w:rPr>
                <w:rFonts w:hint="eastAsia"/>
              </w:rPr>
              <w:t>-</w:t>
            </w:r>
          </w:p>
        </w:tc>
      </w:tr>
      <w:tr w14:paraId="13BD0F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4D462C9">
            <w:r>
              <w:rPr>
                <w:rFonts w:hint="eastAsia"/>
              </w:rPr>
              <w:t>本期末</w:t>
            </w:r>
          </w:p>
        </w:tc>
        <w:tc>
          <w:tcPr>
            <w:tcW w:w="2491" w:type="dxa"/>
            <w:vAlign w:val="center"/>
          </w:tcPr>
          <w:p w14:paraId="44829E08">
            <w:pPr>
              <w:jc w:val="right"/>
            </w:pPr>
            <w:r>
              <w:rPr>
                <w:rFonts w:hint="eastAsia"/>
              </w:rPr>
              <w:t>7,160,678,228.51</w:t>
            </w:r>
          </w:p>
        </w:tc>
        <w:tc>
          <w:tcPr>
            <w:tcW w:w="2907" w:type="dxa"/>
            <w:vAlign w:val="center"/>
          </w:tcPr>
          <w:p w14:paraId="6C12A7FC">
            <w:pPr>
              <w:jc w:val="right"/>
            </w:pPr>
            <w:r>
              <w:rPr>
                <w:rFonts w:hint="eastAsia"/>
              </w:rPr>
              <w:t>7,160,678,228.51</w:t>
            </w:r>
          </w:p>
        </w:tc>
      </w:tr>
    </w:tbl>
    <w:p w14:paraId="779DA58E">
      <w:pPr>
        <w:pStyle w:val="47"/>
        <w:rPr>
          <w:rFonts w:hint="eastAsia"/>
        </w:rPr>
      </w:pPr>
      <w:r>
        <w:rPr>
          <w:rFonts w:hint="eastAsia"/>
        </w:rPr>
        <w:t>注：本基金申购含红利再投份额（如有）、转换入份额（如有）；赎回含转出份额（如有）。</w:t>
      </w:r>
    </w:p>
    <w:p w14:paraId="5AE271F0">
      <w:pPr>
        <w:pStyle w:val="35"/>
      </w:pPr>
      <w:bookmarkStart w:id="82" w:name="_Toc82"/>
      <w:r>
        <w:t xml:space="preserve"> 未分配利润 </w:t>
      </w:r>
      <w:bookmarkEnd w:id="82"/>
    </w:p>
    <w:p w14:paraId="2BA6B7E6">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6D9566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164330AA">
            <w:pPr>
              <w:jc w:val="center"/>
            </w:pPr>
            <w:r>
              <w:rPr>
                <w:rFonts w:hint="eastAsia"/>
                <w:b/>
              </w:rPr>
              <w:t>项目</w:t>
            </w:r>
          </w:p>
        </w:tc>
        <w:tc>
          <w:tcPr>
            <w:tcW w:w="2076" w:type="dxa"/>
            <w:shd w:val="clear" w:color="auto" w:fill="BFBFBF"/>
            <w:vAlign w:val="center"/>
          </w:tcPr>
          <w:p w14:paraId="14EFAE13">
            <w:pPr>
              <w:jc w:val="center"/>
            </w:pPr>
            <w:r>
              <w:rPr>
                <w:rFonts w:hint="eastAsia"/>
                <w:b/>
              </w:rPr>
              <w:t>已实现部分</w:t>
            </w:r>
          </w:p>
        </w:tc>
        <w:tc>
          <w:tcPr>
            <w:tcW w:w="2076" w:type="dxa"/>
            <w:shd w:val="clear" w:color="auto" w:fill="BFBFBF"/>
            <w:vAlign w:val="center"/>
          </w:tcPr>
          <w:p w14:paraId="20A5628A">
            <w:pPr>
              <w:jc w:val="center"/>
            </w:pPr>
            <w:r>
              <w:rPr>
                <w:rFonts w:hint="eastAsia"/>
                <w:b/>
              </w:rPr>
              <w:t>未实现部分</w:t>
            </w:r>
          </w:p>
        </w:tc>
        <w:tc>
          <w:tcPr>
            <w:tcW w:w="2076" w:type="dxa"/>
            <w:shd w:val="clear" w:color="auto" w:fill="BFBFBF"/>
            <w:vAlign w:val="center"/>
          </w:tcPr>
          <w:p w14:paraId="4A4D0F0A">
            <w:pPr>
              <w:jc w:val="center"/>
            </w:pPr>
            <w:r>
              <w:rPr>
                <w:rFonts w:hint="eastAsia"/>
                <w:b/>
              </w:rPr>
              <w:t>未分配利润合计</w:t>
            </w:r>
          </w:p>
        </w:tc>
      </w:tr>
      <w:tr w14:paraId="1FE4F6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79C317E">
            <w:r>
              <w:rPr>
                <w:rFonts w:hint="eastAsia"/>
              </w:rPr>
              <w:t>上年度末</w:t>
            </w:r>
          </w:p>
        </w:tc>
        <w:tc>
          <w:tcPr>
            <w:tcW w:w="2076" w:type="dxa"/>
            <w:vAlign w:val="center"/>
          </w:tcPr>
          <w:p w14:paraId="67873DDC">
            <w:pPr>
              <w:jc w:val="right"/>
            </w:pPr>
            <w:r>
              <w:rPr>
                <w:rFonts w:hint="eastAsia"/>
              </w:rPr>
              <w:t>232,114,025.21</w:t>
            </w:r>
          </w:p>
        </w:tc>
        <w:tc>
          <w:tcPr>
            <w:tcW w:w="2076" w:type="dxa"/>
            <w:vAlign w:val="center"/>
          </w:tcPr>
          <w:p w14:paraId="4D78FF0A">
            <w:pPr>
              <w:jc w:val="right"/>
            </w:pPr>
            <w:r>
              <w:rPr>
                <w:rFonts w:hint="eastAsia"/>
              </w:rPr>
              <w:t>14,224,470.19</w:t>
            </w:r>
          </w:p>
        </w:tc>
        <w:tc>
          <w:tcPr>
            <w:tcW w:w="2076" w:type="dxa"/>
            <w:vAlign w:val="center"/>
          </w:tcPr>
          <w:p w14:paraId="5ABF622A">
            <w:pPr>
              <w:jc w:val="right"/>
            </w:pPr>
            <w:r>
              <w:rPr>
                <w:rFonts w:hint="eastAsia"/>
              </w:rPr>
              <w:t>246,338,495.40</w:t>
            </w:r>
          </w:p>
        </w:tc>
      </w:tr>
      <w:tr w14:paraId="043153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F909206">
            <w:r>
              <w:rPr>
                <w:rFonts w:hint="eastAsia"/>
              </w:rPr>
              <w:t>加：会计政策变更</w:t>
            </w:r>
          </w:p>
        </w:tc>
        <w:tc>
          <w:tcPr>
            <w:tcW w:w="2076" w:type="dxa"/>
            <w:vAlign w:val="center"/>
          </w:tcPr>
          <w:p w14:paraId="5CD3A5EB">
            <w:pPr>
              <w:jc w:val="right"/>
            </w:pPr>
            <w:r>
              <w:rPr>
                <w:rFonts w:hint="eastAsia"/>
              </w:rPr>
              <w:t>-</w:t>
            </w:r>
          </w:p>
        </w:tc>
        <w:tc>
          <w:tcPr>
            <w:tcW w:w="2076" w:type="dxa"/>
            <w:vAlign w:val="center"/>
          </w:tcPr>
          <w:p w14:paraId="463FDA2D">
            <w:pPr>
              <w:jc w:val="right"/>
            </w:pPr>
            <w:r>
              <w:rPr>
                <w:rFonts w:hint="eastAsia"/>
              </w:rPr>
              <w:t>-</w:t>
            </w:r>
          </w:p>
        </w:tc>
        <w:tc>
          <w:tcPr>
            <w:tcW w:w="2076" w:type="dxa"/>
            <w:vAlign w:val="center"/>
          </w:tcPr>
          <w:p w14:paraId="50DF9977">
            <w:pPr>
              <w:jc w:val="right"/>
            </w:pPr>
            <w:r>
              <w:rPr>
                <w:rFonts w:hint="eastAsia"/>
              </w:rPr>
              <w:t>-</w:t>
            </w:r>
          </w:p>
        </w:tc>
      </w:tr>
      <w:tr w14:paraId="11333F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1D5AA98">
            <w:r>
              <w:rPr>
                <w:rFonts w:hint="eastAsia"/>
              </w:rPr>
              <w:t xml:space="preserve">      前期差错更正</w:t>
            </w:r>
          </w:p>
        </w:tc>
        <w:tc>
          <w:tcPr>
            <w:tcW w:w="2076" w:type="dxa"/>
            <w:vAlign w:val="center"/>
          </w:tcPr>
          <w:p w14:paraId="20760AEA">
            <w:pPr>
              <w:jc w:val="right"/>
            </w:pPr>
            <w:r>
              <w:rPr>
                <w:rFonts w:hint="eastAsia"/>
              </w:rPr>
              <w:t>-</w:t>
            </w:r>
          </w:p>
        </w:tc>
        <w:tc>
          <w:tcPr>
            <w:tcW w:w="2076" w:type="dxa"/>
            <w:vAlign w:val="center"/>
          </w:tcPr>
          <w:p w14:paraId="0A300550">
            <w:pPr>
              <w:jc w:val="right"/>
            </w:pPr>
            <w:r>
              <w:rPr>
                <w:rFonts w:hint="eastAsia"/>
              </w:rPr>
              <w:t>-</w:t>
            </w:r>
          </w:p>
        </w:tc>
        <w:tc>
          <w:tcPr>
            <w:tcW w:w="2076" w:type="dxa"/>
            <w:vAlign w:val="center"/>
          </w:tcPr>
          <w:p w14:paraId="340ADC6E">
            <w:pPr>
              <w:jc w:val="right"/>
            </w:pPr>
            <w:r>
              <w:rPr>
                <w:rFonts w:hint="eastAsia"/>
              </w:rPr>
              <w:t>-</w:t>
            </w:r>
          </w:p>
        </w:tc>
      </w:tr>
      <w:tr w14:paraId="5F641E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25DACF8">
            <w:r>
              <w:rPr>
                <w:rFonts w:hint="eastAsia"/>
              </w:rPr>
              <w:t xml:space="preserve">      其他</w:t>
            </w:r>
          </w:p>
        </w:tc>
        <w:tc>
          <w:tcPr>
            <w:tcW w:w="2076" w:type="dxa"/>
            <w:vAlign w:val="center"/>
          </w:tcPr>
          <w:p w14:paraId="5A4D8EB7">
            <w:pPr>
              <w:jc w:val="right"/>
            </w:pPr>
            <w:r>
              <w:rPr>
                <w:rFonts w:hint="eastAsia"/>
              </w:rPr>
              <w:t>-</w:t>
            </w:r>
          </w:p>
        </w:tc>
        <w:tc>
          <w:tcPr>
            <w:tcW w:w="2076" w:type="dxa"/>
            <w:vAlign w:val="center"/>
          </w:tcPr>
          <w:p w14:paraId="640CBC73">
            <w:pPr>
              <w:jc w:val="right"/>
            </w:pPr>
            <w:r>
              <w:rPr>
                <w:rFonts w:hint="eastAsia"/>
              </w:rPr>
              <w:t>-</w:t>
            </w:r>
          </w:p>
        </w:tc>
        <w:tc>
          <w:tcPr>
            <w:tcW w:w="2076" w:type="dxa"/>
            <w:vAlign w:val="center"/>
          </w:tcPr>
          <w:p w14:paraId="32C380EA">
            <w:pPr>
              <w:jc w:val="right"/>
            </w:pPr>
            <w:r>
              <w:rPr>
                <w:rFonts w:hint="eastAsia"/>
              </w:rPr>
              <w:t>-</w:t>
            </w:r>
          </w:p>
        </w:tc>
      </w:tr>
      <w:tr w14:paraId="3908A3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CE8B9E4">
            <w:r>
              <w:rPr>
                <w:rFonts w:hint="eastAsia"/>
              </w:rPr>
              <w:t>本期期初</w:t>
            </w:r>
          </w:p>
        </w:tc>
        <w:tc>
          <w:tcPr>
            <w:tcW w:w="2076" w:type="dxa"/>
            <w:vAlign w:val="center"/>
          </w:tcPr>
          <w:p w14:paraId="2713CA47">
            <w:pPr>
              <w:jc w:val="right"/>
            </w:pPr>
            <w:r>
              <w:rPr>
                <w:rFonts w:hint="eastAsia"/>
              </w:rPr>
              <w:t>232,114,025.21</w:t>
            </w:r>
          </w:p>
        </w:tc>
        <w:tc>
          <w:tcPr>
            <w:tcW w:w="2076" w:type="dxa"/>
            <w:vAlign w:val="center"/>
          </w:tcPr>
          <w:p w14:paraId="3E404C3F">
            <w:pPr>
              <w:jc w:val="right"/>
            </w:pPr>
            <w:r>
              <w:rPr>
                <w:rFonts w:hint="eastAsia"/>
              </w:rPr>
              <w:t>14,224,470.19</w:t>
            </w:r>
          </w:p>
        </w:tc>
        <w:tc>
          <w:tcPr>
            <w:tcW w:w="2076" w:type="dxa"/>
            <w:vAlign w:val="center"/>
          </w:tcPr>
          <w:p w14:paraId="5E1B77BC">
            <w:pPr>
              <w:jc w:val="right"/>
            </w:pPr>
            <w:r>
              <w:rPr>
                <w:rFonts w:hint="eastAsia"/>
              </w:rPr>
              <w:t>246,338,495.40</w:t>
            </w:r>
          </w:p>
        </w:tc>
      </w:tr>
      <w:tr w14:paraId="6CF122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715853D">
            <w:r>
              <w:rPr>
                <w:rFonts w:hint="eastAsia"/>
              </w:rPr>
              <w:t>本期利润</w:t>
            </w:r>
          </w:p>
        </w:tc>
        <w:tc>
          <w:tcPr>
            <w:tcW w:w="2076" w:type="dxa"/>
            <w:vAlign w:val="center"/>
          </w:tcPr>
          <w:p w14:paraId="2B05659D">
            <w:pPr>
              <w:jc w:val="right"/>
            </w:pPr>
            <w:r>
              <w:rPr>
                <w:rFonts w:hint="eastAsia"/>
              </w:rPr>
              <w:t>71,478,571.44</w:t>
            </w:r>
          </w:p>
        </w:tc>
        <w:tc>
          <w:tcPr>
            <w:tcW w:w="2076" w:type="dxa"/>
            <w:vAlign w:val="center"/>
          </w:tcPr>
          <w:p w14:paraId="1A855719">
            <w:pPr>
              <w:jc w:val="right"/>
            </w:pPr>
            <w:r>
              <w:rPr>
                <w:rFonts w:hint="eastAsia"/>
              </w:rPr>
              <w:t>-3,439,703.43</w:t>
            </w:r>
          </w:p>
        </w:tc>
        <w:tc>
          <w:tcPr>
            <w:tcW w:w="2076" w:type="dxa"/>
            <w:vAlign w:val="center"/>
          </w:tcPr>
          <w:p w14:paraId="29EFFE5E">
            <w:pPr>
              <w:jc w:val="right"/>
            </w:pPr>
            <w:r>
              <w:rPr>
                <w:rFonts w:hint="eastAsia"/>
              </w:rPr>
              <w:t>68,038,868.01</w:t>
            </w:r>
          </w:p>
        </w:tc>
      </w:tr>
      <w:tr w14:paraId="193927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F1AD539">
            <w:r>
              <w:rPr>
                <w:rFonts w:hint="eastAsia"/>
              </w:rPr>
              <w:t>本期基金份额交易产生的变动数</w:t>
            </w:r>
          </w:p>
        </w:tc>
        <w:tc>
          <w:tcPr>
            <w:tcW w:w="2076" w:type="dxa"/>
            <w:vAlign w:val="center"/>
          </w:tcPr>
          <w:p w14:paraId="439CD154">
            <w:pPr>
              <w:jc w:val="right"/>
            </w:pPr>
            <w:r>
              <w:rPr>
                <w:rFonts w:hint="eastAsia"/>
              </w:rPr>
              <w:t>294,538,440.28</w:t>
            </w:r>
          </w:p>
        </w:tc>
        <w:tc>
          <w:tcPr>
            <w:tcW w:w="2076" w:type="dxa"/>
            <w:vAlign w:val="center"/>
          </w:tcPr>
          <w:p w14:paraId="45660C77">
            <w:pPr>
              <w:jc w:val="right"/>
            </w:pPr>
            <w:r>
              <w:rPr>
                <w:rFonts w:hint="eastAsia"/>
              </w:rPr>
              <w:t>10,679,417.46</w:t>
            </w:r>
          </w:p>
        </w:tc>
        <w:tc>
          <w:tcPr>
            <w:tcW w:w="2076" w:type="dxa"/>
            <w:vAlign w:val="center"/>
          </w:tcPr>
          <w:p w14:paraId="76FB6615">
            <w:pPr>
              <w:jc w:val="right"/>
            </w:pPr>
            <w:r>
              <w:rPr>
                <w:rFonts w:hint="eastAsia"/>
              </w:rPr>
              <w:t>305,217,857.74</w:t>
            </w:r>
          </w:p>
        </w:tc>
      </w:tr>
      <w:tr w14:paraId="325E57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40EBE21">
            <w:r>
              <w:rPr>
                <w:rFonts w:hint="eastAsia"/>
              </w:rPr>
              <w:t>其中：基金申购款</w:t>
            </w:r>
          </w:p>
        </w:tc>
        <w:tc>
          <w:tcPr>
            <w:tcW w:w="2076" w:type="dxa"/>
            <w:vAlign w:val="center"/>
          </w:tcPr>
          <w:p w14:paraId="301A3035">
            <w:pPr>
              <w:jc w:val="right"/>
            </w:pPr>
            <w:r>
              <w:rPr>
                <w:rFonts w:hint="eastAsia"/>
              </w:rPr>
              <w:t>1,472,640,030.45</w:t>
            </w:r>
          </w:p>
        </w:tc>
        <w:tc>
          <w:tcPr>
            <w:tcW w:w="2076" w:type="dxa"/>
            <w:vAlign w:val="center"/>
          </w:tcPr>
          <w:p w14:paraId="518DC6FD">
            <w:pPr>
              <w:jc w:val="right"/>
            </w:pPr>
            <w:r>
              <w:rPr>
                <w:rFonts w:hint="eastAsia"/>
              </w:rPr>
              <w:t>53,017,020.89</w:t>
            </w:r>
          </w:p>
        </w:tc>
        <w:tc>
          <w:tcPr>
            <w:tcW w:w="2076" w:type="dxa"/>
            <w:vAlign w:val="center"/>
          </w:tcPr>
          <w:p w14:paraId="5C9E9CE5">
            <w:pPr>
              <w:jc w:val="right"/>
            </w:pPr>
            <w:r>
              <w:rPr>
                <w:rFonts w:hint="eastAsia"/>
              </w:rPr>
              <w:t>1,525,657,051.34</w:t>
            </w:r>
          </w:p>
        </w:tc>
      </w:tr>
      <w:tr w14:paraId="54165D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2A2A555">
            <w:r>
              <w:rPr>
                <w:rFonts w:hint="eastAsia"/>
              </w:rPr>
              <w:t xml:space="preserve">      基金赎回款</w:t>
            </w:r>
          </w:p>
        </w:tc>
        <w:tc>
          <w:tcPr>
            <w:tcW w:w="2076" w:type="dxa"/>
            <w:vAlign w:val="center"/>
          </w:tcPr>
          <w:p w14:paraId="6461955C">
            <w:pPr>
              <w:jc w:val="right"/>
            </w:pPr>
            <w:r>
              <w:rPr>
                <w:rFonts w:hint="eastAsia"/>
              </w:rPr>
              <w:t>-1,178,101,590.17</w:t>
            </w:r>
          </w:p>
        </w:tc>
        <w:tc>
          <w:tcPr>
            <w:tcW w:w="2076" w:type="dxa"/>
            <w:vAlign w:val="center"/>
          </w:tcPr>
          <w:p w14:paraId="0614B779">
            <w:pPr>
              <w:jc w:val="right"/>
            </w:pPr>
            <w:r>
              <w:rPr>
                <w:rFonts w:hint="eastAsia"/>
              </w:rPr>
              <w:t>-42,337,603.43</w:t>
            </w:r>
          </w:p>
        </w:tc>
        <w:tc>
          <w:tcPr>
            <w:tcW w:w="2076" w:type="dxa"/>
            <w:vAlign w:val="center"/>
          </w:tcPr>
          <w:p w14:paraId="1695D879">
            <w:pPr>
              <w:jc w:val="right"/>
            </w:pPr>
            <w:r>
              <w:rPr>
                <w:rFonts w:hint="eastAsia"/>
              </w:rPr>
              <w:t>-1,220,439,193.60</w:t>
            </w:r>
          </w:p>
        </w:tc>
      </w:tr>
      <w:tr w14:paraId="2519B7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FDF7A80">
            <w:r>
              <w:rPr>
                <w:rFonts w:hint="eastAsia"/>
              </w:rPr>
              <w:t>本期已分配利润</w:t>
            </w:r>
          </w:p>
        </w:tc>
        <w:tc>
          <w:tcPr>
            <w:tcW w:w="2076" w:type="dxa"/>
            <w:vAlign w:val="center"/>
          </w:tcPr>
          <w:p w14:paraId="1C68E224">
            <w:pPr>
              <w:jc w:val="right"/>
            </w:pPr>
            <w:r>
              <w:rPr>
                <w:rFonts w:hint="eastAsia"/>
              </w:rPr>
              <w:t>-</w:t>
            </w:r>
          </w:p>
        </w:tc>
        <w:tc>
          <w:tcPr>
            <w:tcW w:w="2076" w:type="dxa"/>
            <w:vAlign w:val="center"/>
          </w:tcPr>
          <w:p w14:paraId="53AB2812">
            <w:pPr>
              <w:jc w:val="right"/>
            </w:pPr>
            <w:r>
              <w:rPr>
                <w:rFonts w:hint="eastAsia"/>
              </w:rPr>
              <w:t>-</w:t>
            </w:r>
          </w:p>
        </w:tc>
        <w:tc>
          <w:tcPr>
            <w:tcW w:w="2076" w:type="dxa"/>
            <w:vAlign w:val="center"/>
          </w:tcPr>
          <w:p w14:paraId="10D7D71A">
            <w:pPr>
              <w:jc w:val="right"/>
            </w:pPr>
            <w:r>
              <w:rPr>
                <w:rFonts w:hint="eastAsia"/>
              </w:rPr>
              <w:t>-</w:t>
            </w:r>
          </w:p>
        </w:tc>
      </w:tr>
      <w:tr w14:paraId="109705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332F6AB">
            <w:r>
              <w:rPr>
                <w:rFonts w:hint="eastAsia"/>
              </w:rPr>
              <w:t>本期末</w:t>
            </w:r>
          </w:p>
        </w:tc>
        <w:tc>
          <w:tcPr>
            <w:tcW w:w="2076" w:type="dxa"/>
            <w:vAlign w:val="center"/>
          </w:tcPr>
          <w:p w14:paraId="3AB4C30C">
            <w:pPr>
              <w:jc w:val="right"/>
            </w:pPr>
            <w:r>
              <w:rPr>
                <w:rFonts w:hint="eastAsia"/>
              </w:rPr>
              <w:t>598,131,036.93</w:t>
            </w:r>
          </w:p>
        </w:tc>
        <w:tc>
          <w:tcPr>
            <w:tcW w:w="2076" w:type="dxa"/>
            <w:vAlign w:val="center"/>
          </w:tcPr>
          <w:p w14:paraId="3A6AB197">
            <w:pPr>
              <w:jc w:val="right"/>
            </w:pPr>
            <w:r>
              <w:rPr>
                <w:rFonts w:hint="eastAsia"/>
              </w:rPr>
              <w:t>21,464,184.22</w:t>
            </w:r>
          </w:p>
        </w:tc>
        <w:tc>
          <w:tcPr>
            <w:tcW w:w="2076" w:type="dxa"/>
            <w:vAlign w:val="center"/>
          </w:tcPr>
          <w:p w14:paraId="2DA11261">
            <w:pPr>
              <w:jc w:val="right"/>
            </w:pPr>
            <w:r>
              <w:rPr>
                <w:rFonts w:hint="eastAsia"/>
              </w:rPr>
              <w:t>619,595,221.15</w:t>
            </w:r>
          </w:p>
        </w:tc>
      </w:tr>
    </w:tbl>
    <w:p w14:paraId="5893B766">
      <w:pPr>
        <w:pStyle w:val="35"/>
      </w:pPr>
      <w:bookmarkStart w:id="83" w:name="_Toc83"/>
      <w:r>
        <w:t xml:space="preserve"> 存款利息收入</w:t>
      </w:r>
      <w:bookmarkEnd w:id="83"/>
    </w:p>
    <w:p w14:paraId="6FE13839">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14288F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779329B1">
            <w:pPr>
              <w:jc w:val="center"/>
            </w:pPr>
            <w:r>
              <w:rPr>
                <w:rFonts w:hint="eastAsia"/>
                <w:b/>
              </w:rPr>
              <w:t>项目</w:t>
            </w:r>
          </w:p>
        </w:tc>
        <w:tc>
          <w:tcPr>
            <w:tcW w:w="2768" w:type="dxa"/>
            <w:shd w:val="clear" w:color="auto" w:fill="BFBFBF"/>
            <w:vAlign w:val="center"/>
          </w:tcPr>
          <w:p w14:paraId="6B43701B">
            <w:pPr>
              <w:jc w:val="center"/>
            </w:pPr>
            <w:r>
              <w:rPr>
                <w:rFonts w:hint="eastAsia"/>
                <w:b/>
              </w:rPr>
              <w:t>本期2025年1月1日至2025年12月31日</w:t>
            </w:r>
          </w:p>
        </w:tc>
        <w:tc>
          <w:tcPr>
            <w:tcW w:w="2768" w:type="dxa"/>
            <w:shd w:val="clear" w:color="auto" w:fill="BFBFBF"/>
            <w:vAlign w:val="center"/>
          </w:tcPr>
          <w:p w14:paraId="6831C0D7">
            <w:pPr>
              <w:jc w:val="center"/>
            </w:pPr>
            <w:r>
              <w:rPr>
                <w:rFonts w:hint="eastAsia"/>
                <w:b/>
              </w:rPr>
              <w:t>上年度可比期间2024年1月1日至2024年12月31日</w:t>
            </w:r>
          </w:p>
        </w:tc>
      </w:tr>
      <w:tr w14:paraId="0D4F4A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98BF4F6">
            <w:r>
              <w:rPr>
                <w:rFonts w:hint="eastAsia"/>
              </w:rPr>
              <w:t>活期存款利息收入</w:t>
            </w:r>
          </w:p>
        </w:tc>
        <w:tc>
          <w:tcPr>
            <w:tcW w:w="2768" w:type="dxa"/>
            <w:vAlign w:val="center"/>
          </w:tcPr>
          <w:p w14:paraId="7B91CA77">
            <w:pPr>
              <w:jc w:val="right"/>
            </w:pPr>
            <w:r>
              <w:rPr>
                <w:rFonts w:hint="eastAsia"/>
              </w:rPr>
              <w:t>40,834.83</w:t>
            </w:r>
          </w:p>
        </w:tc>
        <w:tc>
          <w:tcPr>
            <w:tcW w:w="2768" w:type="dxa"/>
            <w:vAlign w:val="center"/>
          </w:tcPr>
          <w:p w14:paraId="41878F71">
            <w:pPr>
              <w:jc w:val="right"/>
            </w:pPr>
            <w:r>
              <w:rPr>
                <w:rFonts w:hint="eastAsia"/>
              </w:rPr>
              <w:t>1,309,418.75</w:t>
            </w:r>
          </w:p>
        </w:tc>
      </w:tr>
      <w:tr w14:paraId="78C646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02E986A">
            <w:r>
              <w:rPr>
                <w:rFonts w:hint="eastAsia"/>
              </w:rPr>
              <w:t>定期存款利息收入</w:t>
            </w:r>
          </w:p>
        </w:tc>
        <w:tc>
          <w:tcPr>
            <w:tcW w:w="2768" w:type="dxa"/>
            <w:vAlign w:val="center"/>
          </w:tcPr>
          <w:p w14:paraId="2B4487EF">
            <w:pPr>
              <w:jc w:val="right"/>
            </w:pPr>
            <w:r>
              <w:rPr>
                <w:rFonts w:hint="eastAsia"/>
              </w:rPr>
              <w:t>-</w:t>
            </w:r>
          </w:p>
        </w:tc>
        <w:tc>
          <w:tcPr>
            <w:tcW w:w="2768" w:type="dxa"/>
            <w:vAlign w:val="center"/>
          </w:tcPr>
          <w:p w14:paraId="417ADF77">
            <w:pPr>
              <w:jc w:val="right"/>
            </w:pPr>
            <w:r>
              <w:rPr>
                <w:rFonts w:hint="eastAsia"/>
              </w:rPr>
              <w:t>-</w:t>
            </w:r>
          </w:p>
        </w:tc>
      </w:tr>
      <w:tr w14:paraId="791A0B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24E5225">
            <w:r>
              <w:rPr>
                <w:rFonts w:hint="eastAsia"/>
              </w:rPr>
              <w:t>其他存款利息收入</w:t>
            </w:r>
          </w:p>
        </w:tc>
        <w:tc>
          <w:tcPr>
            <w:tcW w:w="2768" w:type="dxa"/>
            <w:vAlign w:val="center"/>
          </w:tcPr>
          <w:p w14:paraId="5D561A62">
            <w:pPr>
              <w:jc w:val="right"/>
            </w:pPr>
            <w:r>
              <w:rPr>
                <w:rFonts w:hint="eastAsia"/>
              </w:rPr>
              <w:t>-</w:t>
            </w:r>
          </w:p>
        </w:tc>
        <w:tc>
          <w:tcPr>
            <w:tcW w:w="2768" w:type="dxa"/>
            <w:vAlign w:val="center"/>
          </w:tcPr>
          <w:p w14:paraId="56E98588">
            <w:pPr>
              <w:jc w:val="right"/>
            </w:pPr>
            <w:r>
              <w:rPr>
                <w:rFonts w:hint="eastAsia"/>
              </w:rPr>
              <w:t>-</w:t>
            </w:r>
          </w:p>
        </w:tc>
      </w:tr>
      <w:tr w14:paraId="35C5F6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EFEBB49">
            <w:r>
              <w:rPr>
                <w:rFonts w:hint="eastAsia"/>
              </w:rPr>
              <w:t>结算备付金利息收入</w:t>
            </w:r>
          </w:p>
        </w:tc>
        <w:tc>
          <w:tcPr>
            <w:tcW w:w="2768" w:type="dxa"/>
            <w:vAlign w:val="center"/>
          </w:tcPr>
          <w:p w14:paraId="4603E33B">
            <w:pPr>
              <w:jc w:val="right"/>
            </w:pPr>
            <w:r>
              <w:rPr>
                <w:rFonts w:hint="eastAsia"/>
              </w:rPr>
              <w:t>113.81</w:t>
            </w:r>
          </w:p>
        </w:tc>
        <w:tc>
          <w:tcPr>
            <w:tcW w:w="2768" w:type="dxa"/>
            <w:vAlign w:val="center"/>
          </w:tcPr>
          <w:p w14:paraId="6A700A9B">
            <w:pPr>
              <w:jc w:val="right"/>
            </w:pPr>
            <w:r>
              <w:rPr>
                <w:rFonts w:hint="eastAsia"/>
              </w:rPr>
              <w:t>117.23</w:t>
            </w:r>
          </w:p>
        </w:tc>
      </w:tr>
      <w:tr w14:paraId="0FCC0F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9E01BFF">
            <w:r>
              <w:rPr>
                <w:rFonts w:hint="eastAsia"/>
              </w:rPr>
              <w:t>其他</w:t>
            </w:r>
          </w:p>
        </w:tc>
        <w:tc>
          <w:tcPr>
            <w:tcW w:w="2768" w:type="dxa"/>
            <w:vAlign w:val="center"/>
          </w:tcPr>
          <w:p w14:paraId="2851F99C">
            <w:pPr>
              <w:jc w:val="right"/>
            </w:pPr>
            <w:r>
              <w:rPr>
                <w:rFonts w:hint="eastAsia"/>
              </w:rPr>
              <w:t>5,567.39</w:t>
            </w:r>
          </w:p>
        </w:tc>
        <w:tc>
          <w:tcPr>
            <w:tcW w:w="2768" w:type="dxa"/>
            <w:vAlign w:val="center"/>
          </w:tcPr>
          <w:p w14:paraId="6AA6E3AB">
            <w:pPr>
              <w:jc w:val="right"/>
            </w:pPr>
            <w:r>
              <w:rPr>
                <w:rFonts w:hint="eastAsia"/>
              </w:rPr>
              <w:t>4,139.81</w:t>
            </w:r>
          </w:p>
        </w:tc>
      </w:tr>
      <w:tr w14:paraId="73EE37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D037704">
            <w:r>
              <w:rPr>
                <w:rFonts w:hint="eastAsia"/>
              </w:rPr>
              <w:t>合计</w:t>
            </w:r>
          </w:p>
        </w:tc>
        <w:tc>
          <w:tcPr>
            <w:tcW w:w="2768" w:type="dxa"/>
            <w:vAlign w:val="center"/>
          </w:tcPr>
          <w:p w14:paraId="3783F219">
            <w:pPr>
              <w:jc w:val="right"/>
            </w:pPr>
            <w:r>
              <w:rPr>
                <w:rFonts w:hint="eastAsia"/>
              </w:rPr>
              <w:t>46,516.03</w:t>
            </w:r>
          </w:p>
        </w:tc>
        <w:tc>
          <w:tcPr>
            <w:tcW w:w="2768" w:type="dxa"/>
            <w:vAlign w:val="center"/>
          </w:tcPr>
          <w:p w14:paraId="2172F328">
            <w:pPr>
              <w:jc w:val="right"/>
            </w:pPr>
            <w:r>
              <w:rPr>
                <w:rFonts w:hint="eastAsia"/>
              </w:rPr>
              <w:t>1,313,675.79</w:t>
            </w:r>
          </w:p>
        </w:tc>
      </w:tr>
    </w:tbl>
    <w:p w14:paraId="2CA93D9A">
      <w:pPr>
        <w:pStyle w:val="35"/>
      </w:pPr>
      <w:bookmarkStart w:id="84" w:name="_Toc84"/>
      <w:r>
        <w:t>股票投资收益</w:t>
      </w:r>
      <w:bookmarkEnd w:id="84"/>
    </w:p>
    <w:p w14:paraId="216560C4">
      <w:pPr>
        <w:pStyle w:val="36"/>
      </w:pPr>
      <w:bookmarkStart w:id="85" w:name="_Toc85"/>
      <w:r>
        <w:t>股票投资收益——买卖股票差价收入</w:t>
      </w:r>
      <w:bookmarkEnd w:id="85"/>
    </w:p>
    <w:p w14:paraId="3FD204C7">
      <w:pPr>
        <w:pStyle w:val="18"/>
        <w:rPr>
          <w:rFonts w:hint="eastAsia"/>
        </w:rPr>
      </w:pPr>
      <w:r>
        <w:rPr>
          <w:rFonts w:hint="eastAsia"/>
        </w:rPr>
        <w:t>无。</w:t>
      </w:r>
    </w:p>
    <w:p w14:paraId="569CD5E5">
      <w:pPr>
        <w:pStyle w:val="35"/>
      </w:pPr>
      <w:bookmarkStart w:id="86" w:name="_Toc86"/>
      <w:r>
        <w:t>基金投资收益</w:t>
      </w:r>
      <w:bookmarkEnd w:id="86"/>
    </w:p>
    <w:p w14:paraId="04A20DEC">
      <w:pPr>
        <w:pStyle w:val="18"/>
        <w:rPr>
          <w:rFonts w:hint="eastAsia"/>
        </w:rPr>
      </w:pPr>
      <w:r>
        <w:rPr>
          <w:rFonts w:hint="eastAsia"/>
        </w:rPr>
        <w:t>无。</w:t>
      </w:r>
    </w:p>
    <w:p w14:paraId="7ABDCE8A">
      <w:pPr>
        <w:pStyle w:val="35"/>
      </w:pPr>
      <w:bookmarkStart w:id="87" w:name="_Toc87"/>
      <w:r>
        <w:t>债券投资收益</w:t>
      </w:r>
      <w:bookmarkEnd w:id="87"/>
    </w:p>
    <w:p w14:paraId="76A7642F">
      <w:pPr>
        <w:pStyle w:val="36"/>
      </w:pPr>
      <w:bookmarkStart w:id="88" w:name="_Toc88"/>
      <w:r>
        <w:t>债券投资收益项目构成</w:t>
      </w:r>
      <w:bookmarkEnd w:id="88"/>
    </w:p>
    <w:p w14:paraId="534A8AD0">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1CED51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4C84DA1D">
            <w:pPr>
              <w:jc w:val="center"/>
            </w:pPr>
            <w:r>
              <w:rPr>
                <w:rFonts w:hint="eastAsia"/>
                <w:b/>
              </w:rPr>
              <w:t>项目</w:t>
            </w:r>
          </w:p>
        </w:tc>
        <w:tc>
          <w:tcPr>
            <w:tcW w:w="2469" w:type="dxa"/>
            <w:shd w:val="clear" w:color="auto" w:fill="BFBFBF"/>
            <w:vAlign w:val="center"/>
          </w:tcPr>
          <w:p w14:paraId="13BDA677">
            <w:pPr>
              <w:jc w:val="center"/>
            </w:pPr>
            <w:r>
              <w:rPr>
                <w:rFonts w:hint="eastAsia"/>
                <w:b/>
              </w:rPr>
              <w:t>本期2025年1月1日至2025年12月31日</w:t>
            </w:r>
          </w:p>
        </w:tc>
        <w:tc>
          <w:tcPr>
            <w:tcW w:w="2801" w:type="dxa"/>
            <w:shd w:val="clear" w:color="auto" w:fill="BFBFBF"/>
            <w:vAlign w:val="center"/>
          </w:tcPr>
          <w:p w14:paraId="6081E438">
            <w:pPr>
              <w:jc w:val="center"/>
            </w:pPr>
            <w:r>
              <w:rPr>
                <w:rFonts w:hint="eastAsia"/>
                <w:b/>
              </w:rPr>
              <w:t>上年度可比期间2024年1月1日至2024年12月31日</w:t>
            </w:r>
          </w:p>
        </w:tc>
      </w:tr>
      <w:tr w14:paraId="54367E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6020409B">
            <w:r>
              <w:rPr>
                <w:rFonts w:hint="eastAsia"/>
              </w:rPr>
              <w:t>债券投资收益——利息收入</w:t>
            </w:r>
          </w:p>
        </w:tc>
        <w:tc>
          <w:tcPr>
            <w:tcW w:w="2469" w:type="dxa"/>
            <w:vAlign w:val="center"/>
          </w:tcPr>
          <w:p w14:paraId="7D248A8D">
            <w:pPr>
              <w:jc w:val="right"/>
            </w:pPr>
            <w:r>
              <w:rPr>
                <w:rFonts w:hint="eastAsia"/>
              </w:rPr>
              <w:t>101,020,932.69</w:t>
            </w:r>
          </w:p>
        </w:tc>
        <w:tc>
          <w:tcPr>
            <w:tcW w:w="2801" w:type="dxa"/>
            <w:vAlign w:val="center"/>
          </w:tcPr>
          <w:p w14:paraId="34AE3C74">
            <w:pPr>
              <w:jc w:val="right"/>
            </w:pPr>
            <w:r>
              <w:rPr>
                <w:rFonts w:hint="eastAsia"/>
              </w:rPr>
              <w:t>79,178,429.13</w:t>
            </w:r>
          </w:p>
        </w:tc>
      </w:tr>
      <w:tr w14:paraId="282D6D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5A0077CC">
            <w:r>
              <w:rPr>
                <w:rFonts w:hint="eastAsia"/>
              </w:rPr>
              <w:t>债券投资收益——买卖债券（债转股及债券到期兑付）差价收入</w:t>
            </w:r>
          </w:p>
        </w:tc>
        <w:tc>
          <w:tcPr>
            <w:tcW w:w="2469" w:type="dxa"/>
            <w:vAlign w:val="center"/>
          </w:tcPr>
          <w:p w14:paraId="292150C4">
            <w:pPr>
              <w:jc w:val="right"/>
            </w:pPr>
            <w:r>
              <w:rPr>
                <w:rFonts w:hint="eastAsia"/>
              </w:rPr>
              <w:t>4,180,693.47</w:t>
            </w:r>
          </w:p>
        </w:tc>
        <w:tc>
          <w:tcPr>
            <w:tcW w:w="2801" w:type="dxa"/>
            <w:vAlign w:val="center"/>
          </w:tcPr>
          <w:p w14:paraId="51BED1B9">
            <w:pPr>
              <w:jc w:val="right"/>
            </w:pPr>
            <w:r>
              <w:rPr>
                <w:rFonts w:hint="eastAsia"/>
              </w:rPr>
              <w:t>20,308,873.03</w:t>
            </w:r>
          </w:p>
        </w:tc>
      </w:tr>
      <w:tr w14:paraId="5D6530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4879FC06">
            <w:r>
              <w:rPr>
                <w:rFonts w:hint="eastAsia"/>
              </w:rPr>
              <w:t>债券投资收益——赎回差价收入</w:t>
            </w:r>
          </w:p>
        </w:tc>
        <w:tc>
          <w:tcPr>
            <w:tcW w:w="2469" w:type="dxa"/>
            <w:vAlign w:val="center"/>
          </w:tcPr>
          <w:p w14:paraId="0CC1F9C7">
            <w:pPr>
              <w:jc w:val="right"/>
            </w:pPr>
            <w:r>
              <w:rPr>
                <w:rFonts w:hint="eastAsia"/>
              </w:rPr>
              <w:t>-</w:t>
            </w:r>
          </w:p>
        </w:tc>
        <w:tc>
          <w:tcPr>
            <w:tcW w:w="2801" w:type="dxa"/>
            <w:vAlign w:val="center"/>
          </w:tcPr>
          <w:p w14:paraId="490B4544">
            <w:pPr>
              <w:jc w:val="right"/>
            </w:pPr>
            <w:r>
              <w:rPr>
                <w:rFonts w:hint="eastAsia"/>
              </w:rPr>
              <w:t>-</w:t>
            </w:r>
          </w:p>
        </w:tc>
      </w:tr>
      <w:tr w14:paraId="71C139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6D3F88F5">
            <w:r>
              <w:rPr>
                <w:rFonts w:hint="eastAsia"/>
              </w:rPr>
              <w:t>债券投资收益——申购差价收入</w:t>
            </w:r>
          </w:p>
        </w:tc>
        <w:tc>
          <w:tcPr>
            <w:tcW w:w="2469" w:type="dxa"/>
            <w:vAlign w:val="center"/>
          </w:tcPr>
          <w:p w14:paraId="3F5869A9">
            <w:pPr>
              <w:jc w:val="right"/>
            </w:pPr>
            <w:r>
              <w:rPr>
                <w:rFonts w:hint="eastAsia"/>
              </w:rPr>
              <w:t>-</w:t>
            </w:r>
          </w:p>
        </w:tc>
        <w:tc>
          <w:tcPr>
            <w:tcW w:w="2801" w:type="dxa"/>
            <w:vAlign w:val="center"/>
          </w:tcPr>
          <w:p w14:paraId="31FA1EBB">
            <w:pPr>
              <w:jc w:val="right"/>
            </w:pPr>
            <w:r>
              <w:rPr>
                <w:rFonts w:hint="eastAsia"/>
              </w:rPr>
              <w:t>-</w:t>
            </w:r>
          </w:p>
        </w:tc>
      </w:tr>
      <w:tr w14:paraId="382BDC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68E222D4">
            <w:r>
              <w:rPr>
                <w:rFonts w:hint="eastAsia"/>
              </w:rPr>
              <w:t>合计</w:t>
            </w:r>
          </w:p>
        </w:tc>
        <w:tc>
          <w:tcPr>
            <w:tcW w:w="2469" w:type="dxa"/>
            <w:vAlign w:val="center"/>
          </w:tcPr>
          <w:p w14:paraId="79C6215D">
            <w:pPr>
              <w:jc w:val="right"/>
            </w:pPr>
            <w:r>
              <w:rPr>
                <w:rFonts w:hint="eastAsia"/>
              </w:rPr>
              <w:t>105,201,626.16</w:t>
            </w:r>
          </w:p>
        </w:tc>
        <w:tc>
          <w:tcPr>
            <w:tcW w:w="2801" w:type="dxa"/>
            <w:vAlign w:val="center"/>
          </w:tcPr>
          <w:p w14:paraId="30B674E9">
            <w:pPr>
              <w:jc w:val="right"/>
            </w:pPr>
            <w:r>
              <w:rPr>
                <w:rFonts w:hint="eastAsia"/>
              </w:rPr>
              <w:t>99,487,302.16</w:t>
            </w:r>
          </w:p>
        </w:tc>
      </w:tr>
    </w:tbl>
    <w:p w14:paraId="5F28BC3F">
      <w:pPr>
        <w:pStyle w:val="36"/>
      </w:pPr>
      <w:bookmarkStart w:id="89" w:name="_Toc89"/>
      <w:r>
        <w:t>债券投资收益——买卖债券差价收入</w:t>
      </w:r>
      <w:bookmarkEnd w:id="89"/>
    </w:p>
    <w:p w14:paraId="7D04B53F">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03CBE6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5C555D47">
            <w:pPr>
              <w:jc w:val="center"/>
            </w:pPr>
            <w:r>
              <w:rPr>
                <w:rFonts w:hint="eastAsia"/>
                <w:b/>
              </w:rPr>
              <w:t>项目</w:t>
            </w:r>
          </w:p>
        </w:tc>
        <w:tc>
          <w:tcPr>
            <w:tcW w:w="2768" w:type="dxa"/>
            <w:shd w:val="clear" w:color="auto" w:fill="BFBFBF"/>
            <w:vAlign w:val="center"/>
          </w:tcPr>
          <w:p w14:paraId="07A9874E">
            <w:pPr>
              <w:jc w:val="center"/>
            </w:pPr>
            <w:r>
              <w:rPr>
                <w:rFonts w:hint="eastAsia"/>
                <w:b/>
              </w:rPr>
              <w:t>本期2025年1月1日至2025年12月31日</w:t>
            </w:r>
          </w:p>
        </w:tc>
        <w:tc>
          <w:tcPr>
            <w:tcW w:w="2768" w:type="dxa"/>
            <w:shd w:val="clear" w:color="auto" w:fill="BFBFBF"/>
            <w:vAlign w:val="center"/>
          </w:tcPr>
          <w:p w14:paraId="4551EE33">
            <w:pPr>
              <w:jc w:val="center"/>
            </w:pPr>
            <w:r>
              <w:rPr>
                <w:rFonts w:hint="eastAsia"/>
                <w:b/>
              </w:rPr>
              <w:t>上年度可比期间2024年1月1日至2024年12月31日</w:t>
            </w:r>
          </w:p>
        </w:tc>
      </w:tr>
      <w:tr w14:paraId="397D38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9BF8E43">
            <w:r>
              <w:rPr>
                <w:rFonts w:hint="eastAsia"/>
              </w:rPr>
              <w:t>卖出债券（债转股及债券到期兑付）成交总额</w:t>
            </w:r>
          </w:p>
        </w:tc>
        <w:tc>
          <w:tcPr>
            <w:tcW w:w="2768" w:type="dxa"/>
            <w:vAlign w:val="center"/>
          </w:tcPr>
          <w:p w14:paraId="490F3B69">
            <w:pPr>
              <w:jc w:val="right"/>
            </w:pPr>
            <w:r>
              <w:rPr>
                <w:rFonts w:hint="eastAsia"/>
              </w:rPr>
              <w:t>39,170,231,297.56</w:t>
            </w:r>
          </w:p>
        </w:tc>
        <w:tc>
          <w:tcPr>
            <w:tcW w:w="2768" w:type="dxa"/>
            <w:vAlign w:val="center"/>
          </w:tcPr>
          <w:p w14:paraId="382962F6">
            <w:pPr>
              <w:jc w:val="right"/>
            </w:pPr>
            <w:r>
              <w:rPr>
                <w:rFonts w:hint="eastAsia"/>
              </w:rPr>
              <w:t>30,416,681,449.59</w:t>
            </w:r>
          </w:p>
        </w:tc>
      </w:tr>
      <w:tr w14:paraId="3E7D4F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822A72C">
            <w:r>
              <w:rPr>
                <w:rFonts w:hint="eastAsia"/>
              </w:rPr>
              <w:t>减：卖出债券（债转股及债券到期兑付）成本总额</w:t>
            </w:r>
          </w:p>
        </w:tc>
        <w:tc>
          <w:tcPr>
            <w:tcW w:w="2768" w:type="dxa"/>
            <w:vAlign w:val="center"/>
          </w:tcPr>
          <w:p w14:paraId="7C573D26">
            <w:pPr>
              <w:jc w:val="right"/>
            </w:pPr>
            <w:r>
              <w:rPr>
                <w:rFonts w:hint="eastAsia"/>
              </w:rPr>
              <w:t>38,957,324,306.82</w:t>
            </w:r>
          </w:p>
        </w:tc>
        <w:tc>
          <w:tcPr>
            <w:tcW w:w="2768" w:type="dxa"/>
            <w:vAlign w:val="center"/>
          </w:tcPr>
          <w:p w14:paraId="40B847D0">
            <w:pPr>
              <w:jc w:val="right"/>
            </w:pPr>
            <w:r>
              <w:rPr>
                <w:rFonts w:hint="eastAsia"/>
              </w:rPr>
              <w:t>30,161,229,425.77</w:t>
            </w:r>
          </w:p>
        </w:tc>
      </w:tr>
      <w:tr w14:paraId="378488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B01554B">
            <w:r>
              <w:rPr>
                <w:rFonts w:hint="eastAsia"/>
              </w:rPr>
              <w:t>减：应计利息总额</w:t>
            </w:r>
          </w:p>
        </w:tc>
        <w:tc>
          <w:tcPr>
            <w:tcW w:w="2768" w:type="dxa"/>
            <w:vAlign w:val="center"/>
          </w:tcPr>
          <w:p w14:paraId="09694992">
            <w:pPr>
              <w:jc w:val="right"/>
            </w:pPr>
            <w:r>
              <w:rPr>
                <w:rFonts w:hint="eastAsia"/>
              </w:rPr>
              <w:t>208,396,459.77</w:t>
            </w:r>
          </w:p>
        </w:tc>
        <w:tc>
          <w:tcPr>
            <w:tcW w:w="2768" w:type="dxa"/>
            <w:vAlign w:val="center"/>
          </w:tcPr>
          <w:p w14:paraId="6ADB6438">
            <w:pPr>
              <w:jc w:val="right"/>
            </w:pPr>
            <w:r>
              <w:rPr>
                <w:rFonts w:hint="eastAsia"/>
              </w:rPr>
              <w:t>234,865,193.29</w:t>
            </w:r>
          </w:p>
        </w:tc>
      </w:tr>
      <w:tr w14:paraId="4A3E5F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65321C4">
            <w:r>
              <w:rPr>
                <w:rFonts w:hint="eastAsia"/>
              </w:rPr>
              <w:t>减：交易费用</w:t>
            </w:r>
          </w:p>
        </w:tc>
        <w:tc>
          <w:tcPr>
            <w:tcW w:w="2768" w:type="dxa"/>
            <w:vAlign w:val="center"/>
          </w:tcPr>
          <w:p w14:paraId="03A4FA61">
            <w:pPr>
              <w:jc w:val="right"/>
            </w:pPr>
            <w:r>
              <w:rPr>
                <w:rFonts w:hint="eastAsia"/>
              </w:rPr>
              <w:t>329,837.50</w:t>
            </w:r>
          </w:p>
        </w:tc>
        <w:tc>
          <w:tcPr>
            <w:tcW w:w="2768" w:type="dxa"/>
            <w:vAlign w:val="center"/>
          </w:tcPr>
          <w:p w14:paraId="57DA50FE">
            <w:pPr>
              <w:jc w:val="right"/>
            </w:pPr>
            <w:r>
              <w:rPr>
                <w:rFonts w:hint="eastAsia"/>
              </w:rPr>
              <w:t>277,957.50</w:t>
            </w:r>
          </w:p>
        </w:tc>
      </w:tr>
      <w:tr w14:paraId="2534FB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93D794F">
            <w:r>
              <w:rPr>
                <w:rFonts w:hint="eastAsia"/>
              </w:rPr>
              <w:t>买卖债券差价收入</w:t>
            </w:r>
          </w:p>
        </w:tc>
        <w:tc>
          <w:tcPr>
            <w:tcW w:w="2768" w:type="dxa"/>
            <w:vAlign w:val="center"/>
          </w:tcPr>
          <w:p w14:paraId="10C3A346">
            <w:pPr>
              <w:jc w:val="right"/>
            </w:pPr>
            <w:r>
              <w:rPr>
                <w:rFonts w:hint="eastAsia"/>
              </w:rPr>
              <w:t>4,180,693.47</w:t>
            </w:r>
          </w:p>
        </w:tc>
        <w:tc>
          <w:tcPr>
            <w:tcW w:w="2768" w:type="dxa"/>
            <w:vAlign w:val="center"/>
          </w:tcPr>
          <w:p w14:paraId="124AA977">
            <w:pPr>
              <w:jc w:val="right"/>
            </w:pPr>
            <w:r>
              <w:rPr>
                <w:rFonts w:hint="eastAsia"/>
              </w:rPr>
              <w:t>20,308,873.03</w:t>
            </w:r>
          </w:p>
        </w:tc>
      </w:tr>
    </w:tbl>
    <w:p w14:paraId="21BB8A03">
      <w:pPr>
        <w:pStyle w:val="47"/>
        <w:rPr>
          <w:rFonts w:hint="eastAsia"/>
        </w:rPr>
      </w:pPr>
      <w:r>
        <w:rPr>
          <w:rFonts w:hint="eastAsia"/>
        </w:rPr>
        <w:t>注：上述交易费用（如有）包含债券买卖产生的交易费用。</w:t>
      </w:r>
    </w:p>
    <w:p w14:paraId="3B17C359">
      <w:pPr>
        <w:pStyle w:val="35"/>
      </w:pPr>
      <w:bookmarkStart w:id="90" w:name="_Toc90"/>
      <w:r>
        <w:t>资产支持证券投资收益</w:t>
      </w:r>
      <w:bookmarkEnd w:id="90"/>
    </w:p>
    <w:p w14:paraId="4F6A6325">
      <w:pPr>
        <w:pStyle w:val="36"/>
      </w:pPr>
      <w:bookmarkStart w:id="91" w:name="_Toc91"/>
      <w:r>
        <w:t>资产支持证券投资收益——买卖资产支持证券差价收入</w:t>
      </w:r>
      <w:bookmarkEnd w:id="91"/>
    </w:p>
    <w:p w14:paraId="1D522279">
      <w:pPr>
        <w:pStyle w:val="18"/>
        <w:rPr>
          <w:rFonts w:hint="eastAsia"/>
        </w:rPr>
      </w:pPr>
      <w:r>
        <w:rPr>
          <w:rFonts w:hint="eastAsia"/>
        </w:rPr>
        <w:t>无。</w:t>
      </w:r>
    </w:p>
    <w:p w14:paraId="3FF952E5">
      <w:pPr>
        <w:pStyle w:val="35"/>
      </w:pPr>
      <w:bookmarkStart w:id="92" w:name="_Toc92"/>
      <w:r>
        <w:t>衍生工具收益</w:t>
      </w:r>
      <w:bookmarkEnd w:id="92"/>
    </w:p>
    <w:p w14:paraId="1FF2D58A">
      <w:pPr>
        <w:pStyle w:val="36"/>
      </w:pPr>
      <w:bookmarkStart w:id="93" w:name="_Toc93"/>
      <w:r>
        <w:t>衍生工具收益——买卖权证差价收入</w:t>
      </w:r>
      <w:bookmarkEnd w:id="93"/>
    </w:p>
    <w:p w14:paraId="2085ACCF">
      <w:pPr>
        <w:pStyle w:val="18"/>
        <w:rPr>
          <w:rFonts w:hint="eastAsia"/>
        </w:rPr>
      </w:pPr>
      <w:r>
        <w:rPr>
          <w:rFonts w:hint="eastAsia"/>
        </w:rPr>
        <w:t>无。</w:t>
      </w:r>
    </w:p>
    <w:p w14:paraId="703518BB">
      <w:pPr>
        <w:pStyle w:val="36"/>
      </w:pPr>
      <w:bookmarkStart w:id="94" w:name="_Toc94"/>
      <w:r>
        <w:t>衍生工具收益——其他投资收益</w:t>
      </w:r>
      <w:bookmarkEnd w:id="94"/>
    </w:p>
    <w:p w14:paraId="5141DE95">
      <w:pPr>
        <w:pStyle w:val="18"/>
        <w:rPr>
          <w:rFonts w:hint="eastAsia"/>
        </w:rPr>
      </w:pPr>
      <w:r>
        <w:rPr>
          <w:rFonts w:hint="eastAsia"/>
        </w:rPr>
        <w:t>无。</w:t>
      </w:r>
    </w:p>
    <w:p w14:paraId="63A4C7B6">
      <w:pPr>
        <w:pStyle w:val="35"/>
      </w:pPr>
      <w:bookmarkStart w:id="95" w:name="_Toc95"/>
      <w:r>
        <w:t>股利收益</w:t>
      </w:r>
      <w:bookmarkEnd w:id="95"/>
    </w:p>
    <w:p w14:paraId="1982D287">
      <w:pPr>
        <w:pStyle w:val="18"/>
        <w:rPr>
          <w:rFonts w:hint="eastAsia"/>
        </w:rPr>
      </w:pPr>
      <w:r>
        <w:rPr>
          <w:rFonts w:hint="eastAsia"/>
        </w:rPr>
        <w:t>无。</w:t>
      </w:r>
    </w:p>
    <w:p w14:paraId="60F92F99">
      <w:pPr>
        <w:pStyle w:val="35"/>
      </w:pPr>
      <w:bookmarkStart w:id="96" w:name="_Toc96"/>
      <w:r>
        <w:t>公允价值变动收益</w:t>
      </w:r>
      <w:bookmarkEnd w:id="96"/>
    </w:p>
    <w:p w14:paraId="4E67E15F">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66AAAE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5CE93B78">
            <w:pPr>
              <w:jc w:val="center"/>
            </w:pPr>
            <w:r>
              <w:rPr>
                <w:rFonts w:hint="eastAsia"/>
                <w:b/>
              </w:rPr>
              <w:t>项目名称</w:t>
            </w:r>
          </w:p>
        </w:tc>
        <w:tc>
          <w:tcPr>
            <w:tcW w:w="2768" w:type="dxa"/>
            <w:shd w:val="clear" w:color="auto" w:fill="BFBFBF"/>
            <w:vAlign w:val="center"/>
          </w:tcPr>
          <w:p w14:paraId="2336AFD1">
            <w:pPr>
              <w:jc w:val="center"/>
            </w:pPr>
            <w:r>
              <w:rPr>
                <w:rFonts w:hint="eastAsia"/>
                <w:b/>
              </w:rPr>
              <w:t>本期2025年1月1日至2025年12月31日</w:t>
            </w:r>
          </w:p>
        </w:tc>
        <w:tc>
          <w:tcPr>
            <w:tcW w:w="2768" w:type="dxa"/>
            <w:shd w:val="clear" w:color="auto" w:fill="BFBFBF"/>
            <w:vAlign w:val="center"/>
          </w:tcPr>
          <w:p w14:paraId="73AA0B14">
            <w:pPr>
              <w:jc w:val="center"/>
            </w:pPr>
            <w:r>
              <w:rPr>
                <w:rFonts w:hint="eastAsia"/>
                <w:b/>
              </w:rPr>
              <w:t>上年度可比期间2024年1月1日至2024年12月31日</w:t>
            </w:r>
          </w:p>
        </w:tc>
      </w:tr>
      <w:tr w14:paraId="75DDA3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5F69771">
            <w:r>
              <w:rPr>
                <w:rFonts w:hint="eastAsia"/>
              </w:rPr>
              <w:t>1.交易性金融资产</w:t>
            </w:r>
          </w:p>
        </w:tc>
        <w:tc>
          <w:tcPr>
            <w:tcW w:w="2768" w:type="dxa"/>
            <w:vAlign w:val="center"/>
          </w:tcPr>
          <w:p w14:paraId="5331AB04">
            <w:pPr>
              <w:jc w:val="right"/>
            </w:pPr>
            <w:r>
              <w:rPr>
                <w:rFonts w:hint="eastAsia"/>
              </w:rPr>
              <w:t>-3,439,703.43</w:t>
            </w:r>
          </w:p>
        </w:tc>
        <w:tc>
          <w:tcPr>
            <w:tcW w:w="2768" w:type="dxa"/>
            <w:vAlign w:val="center"/>
          </w:tcPr>
          <w:p w14:paraId="46544A77">
            <w:pPr>
              <w:jc w:val="right"/>
            </w:pPr>
            <w:r>
              <w:rPr>
                <w:rFonts w:hint="eastAsia"/>
              </w:rPr>
              <w:t>-2,700,572.14</w:t>
            </w:r>
          </w:p>
        </w:tc>
      </w:tr>
      <w:tr w14:paraId="626BCD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D275088">
            <w:r>
              <w:rPr>
                <w:rFonts w:hint="eastAsia"/>
              </w:rPr>
              <w:t>——股票投资</w:t>
            </w:r>
          </w:p>
        </w:tc>
        <w:tc>
          <w:tcPr>
            <w:tcW w:w="2768" w:type="dxa"/>
            <w:vAlign w:val="center"/>
          </w:tcPr>
          <w:p w14:paraId="05E6B875">
            <w:pPr>
              <w:jc w:val="right"/>
            </w:pPr>
            <w:r>
              <w:rPr>
                <w:rFonts w:hint="eastAsia"/>
              </w:rPr>
              <w:t>-</w:t>
            </w:r>
          </w:p>
        </w:tc>
        <w:tc>
          <w:tcPr>
            <w:tcW w:w="2768" w:type="dxa"/>
            <w:vAlign w:val="center"/>
          </w:tcPr>
          <w:p w14:paraId="29B027DE">
            <w:pPr>
              <w:jc w:val="right"/>
            </w:pPr>
            <w:r>
              <w:rPr>
                <w:rFonts w:hint="eastAsia"/>
              </w:rPr>
              <w:t>-</w:t>
            </w:r>
          </w:p>
        </w:tc>
      </w:tr>
      <w:tr w14:paraId="0D265B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1DBA38F">
            <w:r>
              <w:rPr>
                <w:rFonts w:hint="eastAsia"/>
              </w:rPr>
              <w:t>——债券投资</w:t>
            </w:r>
          </w:p>
        </w:tc>
        <w:tc>
          <w:tcPr>
            <w:tcW w:w="2768" w:type="dxa"/>
            <w:vAlign w:val="center"/>
          </w:tcPr>
          <w:p w14:paraId="4411A3B8">
            <w:pPr>
              <w:jc w:val="right"/>
            </w:pPr>
            <w:r>
              <w:rPr>
                <w:rFonts w:hint="eastAsia"/>
              </w:rPr>
              <w:t>-3,439,703.43</w:t>
            </w:r>
          </w:p>
        </w:tc>
        <w:tc>
          <w:tcPr>
            <w:tcW w:w="2768" w:type="dxa"/>
            <w:vAlign w:val="center"/>
          </w:tcPr>
          <w:p w14:paraId="3E4D769A">
            <w:pPr>
              <w:jc w:val="right"/>
            </w:pPr>
            <w:r>
              <w:rPr>
                <w:rFonts w:hint="eastAsia"/>
              </w:rPr>
              <w:t>-2,700,572.14</w:t>
            </w:r>
          </w:p>
        </w:tc>
      </w:tr>
      <w:tr w14:paraId="0E0F7E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BBA3A49">
            <w:r>
              <w:rPr>
                <w:rFonts w:hint="eastAsia"/>
              </w:rPr>
              <w:t>——资产支持证券投资</w:t>
            </w:r>
          </w:p>
        </w:tc>
        <w:tc>
          <w:tcPr>
            <w:tcW w:w="2768" w:type="dxa"/>
            <w:vAlign w:val="center"/>
          </w:tcPr>
          <w:p w14:paraId="16FEE11F">
            <w:pPr>
              <w:jc w:val="right"/>
            </w:pPr>
            <w:r>
              <w:rPr>
                <w:rFonts w:hint="eastAsia"/>
              </w:rPr>
              <w:t>-</w:t>
            </w:r>
          </w:p>
        </w:tc>
        <w:tc>
          <w:tcPr>
            <w:tcW w:w="2768" w:type="dxa"/>
            <w:vAlign w:val="center"/>
          </w:tcPr>
          <w:p w14:paraId="3982141B">
            <w:pPr>
              <w:jc w:val="right"/>
            </w:pPr>
            <w:r>
              <w:rPr>
                <w:rFonts w:hint="eastAsia"/>
              </w:rPr>
              <w:t>-</w:t>
            </w:r>
          </w:p>
        </w:tc>
      </w:tr>
      <w:tr w14:paraId="057196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A3CBDC4">
            <w:r>
              <w:rPr>
                <w:rFonts w:hint="eastAsia"/>
              </w:rPr>
              <w:t>——贵金属投资</w:t>
            </w:r>
          </w:p>
        </w:tc>
        <w:tc>
          <w:tcPr>
            <w:tcW w:w="2768" w:type="dxa"/>
            <w:vAlign w:val="center"/>
          </w:tcPr>
          <w:p w14:paraId="1ABDC6CE">
            <w:pPr>
              <w:jc w:val="right"/>
            </w:pPr>
            <w:r>
              <w:rPr>
                <w:rFonts w:hint="eastAsia"/>
              </w:rPr>
              <w:t>-</w:t>
            </w:r>
          </w:p>
        </w:tc>
        <w:tc>
          <w:tcPr>
            <w:tcW w:w="2768" w:type="dxa"/>
            <w:vAlign w:val="center"/>
          </w:tcPr>
          <w:p w14:paraId="2AA441AE">
            <w:pPr>
              <w:jc w:val="right"/>
            </w:pPr>
            <w:r>
              <w:rPr>
                <w:rFonts w:hint="eastAsia"/>
              </w:rPr>
              <w:t>-</w:t>
            </w:r>
          </w:p>
        </w:tc>
      </w:tr>
      <w:tr w14:paraId="293053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157B0F5">
            <w:r>
              <w:rPr>
                <w:rFonts w:hint="eastAsia"/>
              </w:rPr>
              <w:t>——其他</w:t>
            </w:r>
          </w:p>
        </w:tc>
        <w:tc>
          <w:tcPr>
            <w:tcW w:w="2768" w:type="dxa"/>
            <w:vAlign w:val="center"/>
          </w:tcPr>
          <w:p w14:paraId="18F3FDA6">
            <w:pPr>
              <w:jc w:val="right"/>
            </w:pPr>
            <w:r>
              <w:rPr>
                <w:rFonts w:hint="eastAsia"/>
              </w:rPr>
              <w:t>-</w:t>
            </w:r>
          </w:p>
        </w:tc>
        <w:tc>
          <w:tcPr>
            <w:tcW w:w="2768" w:type="dxa"/>
            <w:vAlign w:val="center"/>
          </w:tcPr>
          <w:p w14:paraId="5F29EB1D">
            <w:pPr>
              <w:jc w:val="right"/>
            </w:pPr>
            <w:r>
              <w:rPr>
                <w:rFonts w:hint="eastAsia"/>
              </w:rPr>
              <w:t>-</w:t>
            </w:r>
          </w:p>
        </w:tc>
      </w:tr>
      <w:tr w14:paraId="269349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2CD4761">
            <w:r>
              <w:rPr>
                <w:rFonts w:hint="eastAsia"/>
              </w:rPr>
              <w:t>2.衍生工具</w:t>
            </w:r>
          </w:p>
        </w:tc>
        <w:tc>
          <w:tcPr>
            <w:tcW w:w="2768" w:type="dxa"/>
            <w:vAlign w:val="center"/>
          </w:tcPr>
          <w:p w14:paraId="0B81C81C">
            <w:pPr>
              <w:jc w:val="right"/>
            </w:pPr>
            <w:r>
              <w:rPr>
                <w:rFonts w:hint="eastAsia"/>
              </w:rPr>
              <w:t>-</w:t>
            </w:r>
          </w:p>
        </w:tc>
        <w:tc>
          <w:tcPr>
            <w:tcW w:w="2768" w:type="dxa"/>
            <w:vAlign w:val="center"/>
          </w:tcPr>
          <w:p w14:paraId="790EF02A">
            <w:pPr>
              <w:jc w:val="right"/>
            </w:pPr>
            <w:r>
              <w:rPr>
                <w:rFonts w:hint="eastAsia"/>
              </w:rPr>
              <w:t>-</w:t>
            </w:r>
          </w:p>
        </w:tc>
      </w:tr>
      <w:tr w14:paraId="0A3832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554F993">
            <w:r>
              <w:rPr>
                <w:rFonts w:hint="eastAsia"/>
              </w:rPr>
              <w:t>——权证投资</w:t>
            </w:r>
          </w:p>
        </w:tc>
        <w:tc>
          <w:tcPr>
            <w:tcW w:w="2768" w:type="dxa"/>
            <w:vAlign w:val="center"/>
          </w:tcPr>
          <w:p w14:paraId="171B3E3A">
            <w:pPr>
              <w:jc w:val="right"/>
            </w:pPr>
            <w:r>
              <w:rPr>
                <w:rFonts w:hint="eastAsia"/>
              </w:rPr>
              <w:t>-</w:t>
            </w:r>
          </w:p>
        </w:tc>
        <w:tc>
          <w:tcPr>
            <w:tcW w:w="2768" w:type="dxa"/>
            <w:vAlign w:val="center"/>
          </w:tcPr>
          <w:p w14:paraId="279917CC">
            <w:pPr>
              <w:jc w:val="right"/>
            </w:pPr>
            <w:r>
              <w:rPr>
                <w:rFonts w:hint="eastAsia"/>
              </w:rPr>
              <w:t>-</w:t>
            </w:r>
          </w:p>
        </w:tc>
      </w:tr>
      <w:tr w14:paraId="192A12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9BD74F7">
            <w:r>
              <w:rPr>
                <w:rFonts w:hint="eastAsia"/>
              </w:rPr>
              <w:t>——期货投资</w:t>
            </w:r>
          </w:p>
        </w:tc>
        <w:tc>
          <w:tcPr>
            <w:tcW w:w="2768" w:type="dxa"/>
            <w:vAlign w:val="center"/>
          </w:tcPr>
          <w:p w14:paraId="31AB1488">
            <w:pPr>
              <w:jc w:val="right"/>
            </w:pPr>
            <w:r>
              <w:rPr>
                <w:rFonts w:hint="eastAsia"/>
              </w:rPr>
              <w:t>-</w:t>
            </w:r>
          </w:p>
        </w:tc>
        <w:tc>
          <w:tcPr>
            <w:tcW w:w="2768" w:type="dxa"/>
            <w:vAlign w:val="center"/>
          </w:tcPr>
          <w:p w14:paraId="12B35201">
            <w:pPr>
              <w:jc w:val="right"/>
            </w:pPr>
            <w:r>
              <w:rPr>
                <w:rFonts w:hint="eastAsia"/>
              </w:rPr>
              <w:t>-</w:t>
            </w:r>
          </w:p>
        </w:tc>
      </w:tr>
      <w:tr w14:paraId="74467A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FC532F5">
            <w:r>
              <w:rPr>
                <w:rFonts w:hint="eastAsia"/>
              </w:rPr>
              <w:t>3.其他</w:t>
            </w:r>
          </w:p>
        </w:tc>
        <w:tc>
          <w:tcPr>
            <w:tcW w:w="2768" w:type="dxa"/>
            <w:vAlign w:val="center"/>
          </w:tcPr>
          <w:p w14:paraId="0B3CBC0C">
            <w:pPr>
              <w:jc w:val="right"/>
            </w:pPr>
            <w:r>
              <w:rPr>
                <w:rFonts w:hint="eastAsia"/>
              </w:rPr>
              <w:t>-</w:t>
            </w:r>
          </w:p>
        </w:tc>
        <w:tc>
          <w:tcPr>
            <w:tcW w:w="2768" w:type="dxa"/>
            <w:vAlign w:val="center"/>
          </w:tcPr>
          <w:p w14:paraId="2399AAAE">
            <w:pPr>
              <w:jc w:val="right"/>
            </w:pPr>
            <w:r>
              <w:rPr>
                <w:rFonts w:hint="eastAsia"/>
              </w:rPr>
              <w:t>-</w:t>
            </w:r>
          </w:p>
        </w:tc>
      </w:tr>
      <w:tr w14:paraId="00FC52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EA3F11B">
            <w:r>
              <w:rPr>
                <w:rFonts w:hint="eastAsia"/>
              </w:rPr>
              <w:t>减：应税金融商品公允价值变动产生的预估增值税</w:t>
            </w:r>
          </w:p>
        </w:tc>
        <w:tc>
          <w:tcPr>
            <w:tcW w:w="2768" w:type="dxa"/>
            <w:vAlign w:val="center"/>
          </w:tcPr>
          <w:p w14:paraId="6220837D">
            <w:pPr>
              <w:jc w:val="right"/>
            </w:pPr>
            <w:r>
              <w:rPr>
                <w:rFonts w:hint="eastAsia"/>
              </w:rPr>
              <w:t>-</w:t>
            </w:r>
          </w:p>
        </w:tc>
        <w:tc>
          <w:tcPr>
            <w:tcW w:w="2768" w:type="dxa"/>
            <w:vAlign w:val="center"/>
          </w:tcPr>
          <w:p w14:paraId="28BCCA1E">
            <w:pPr>
              <w:jc w:val="right"/>
            </w:pPr>
            <w:r>
              <w:rPr>
                <w:rFonts w:hint="eastAsia"/>
              </w:rPr>
              <w:t>-</w:t>
            </w:r>
          </w:p>
        </w:tc>
      </w:tr>
      <w:tr w14:paraId="02DDE8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C2230E4">
            <w:r>
              <w:rPr>
                <w:rFonts w:hint="eastAsia"/>
              </w:rPr>
              <w:t>合计</w:t>
            </w:r>
          </w:p>
        </w:tc>
        <w:tc>
          <w:tcPr>
            <w:tcW w:w="2768" w:type="dxa"/>
            <w:vAlign w:val="center"/>
          </w:tcPr>
          <w:p w14:paraId="0EADBCC3">
            <w:pPr>
              <w:jc w:val="right"/>
            </w:pPr>
            <w:r>
              <w:rPr>
                <w:rFonts w:hint="eastAsia"/>
              </w:rPr>
              <w:t>-3,439,703.43</w:t>
            </w:r>
          </w:p>
        </w:tc>
        <w:tc>
          <w:tcPr>
            <w:tcW w:w="2768" w:type="dxa"/>
            <w:vAlign w:val="center"/>
          </w:tcPr>
          <w:p w14:paraId="61ED9F92">
            <w:pPr>
              <w:jc w:val="right"/>
            </w:pPr>
            <w:r>
              <w:rPr>
                <w:rFonts w:hint="eastAsia"/>
              </w:rPr>
              <w:t>-2,700,572.14</w:t>
            </w:r>
          </w:p>
        </w:tc>
      </w:tr>
    </w:tbl>
    <w:p w14:paraId="3221D47B">
      <w:pPr>
        <w:pStyle w:val="35"/>
      </w:pPr>
      <w:bookmarkStart w:id="97" w:name="_Toc97"/>
      <w:r>
        <w:t>其他收入</w:t>
      </w:r>
      <w:bookmarkEnd w:id="97"/>
    </w:p>
    <w:p w14:paraId="48446983">
      <w:pPr>
        <w:pStyle w:val="18"/>
        <w:rPr>
          <w:rFonts w:hint="eastAsia"/>
        </w:rPr>
      </w:pPr>
      <w:r>
        <w:rPr>
          <w:rFonts w:hint="eastAsia"/>
        </w:rPr>
        <w:t>无。</w:t>
      </w:r>
    </w:p>
    <w:p w14:paraId="391B659D">
      <w:pPr>
        <w:pStyle w:val="35"/>
      </w:pPr>
      <w:bookmarkStart w:id="98" w:name="_Toc98"/>
      <w:r>
        <w:t>其他费用</w:t>
      </w:r>
      <w:bookmarkEnd w:id="98"/>
    </w:p>
    <w:p w14:paraId="537F212C">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762DDD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0BEC69AD">
            <w:pPr>
              <w:jc w:val="center"/>
            </w:pPr>
            <w:r>
              <w:rPr>
                <w:rFonts w:hint="eastAsia"/>
                <w:b/>
              </w:rPr>
              <w:t>项目</w:t>
            </w:r>
          </w:p>
        </w:tc>
        <w:tc>
          <w:tcPr>
            <w:tcW w:w="2768" w:type="dxa"/>
            <w:shd w:val="clear" w:color="auto" w:fill="BFBFBF"/>
            <w:vAlign w:val="center"/>
          </w:tcPr>
          <w:p w14:paraId="2B29C64E">
            <w:pPr>
              <w:jc w:val="center"/>
            </w:pPr>
            <w:r>
              <w:rPr>
                <w:rFonts w:hint="eastAsia"/>
                <w:b/>
              </w:rPr>
              <w:t>本期2025年1月1日至2025年12月31日</w:t>
            </w:r>
          </w:p>
        </w:tc>
        <w:tc>
          <w:tcPr>
            <w:tcW w:w="2768" w:type="dxa"/>
            <w:shd w:val="clear" w:color="auto" w:fill="BFBFBF"/>
            <w:vAlign w:val="center"/>
          </w:tcPr>
          <w:p w14:paraId="64C13102">
            <w:pPr>
              <w:jc w:val="center"/>
            </w:pPr>
            <w:r>
              <w:rPr>
                <w:rFonts w:hint="eastAsia"/>
                <w:b/>
              </w:rPr>
              <w:t>上年度可比期间2024年1月1日至2024年12月31日</w:t>
            </w:r>
          </w:p>
        </w:tc>
      </w:tr>
      <w:tr w14:paraId="6E3C7B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E1F4ACD">
            <w:r>
              <w:rPr>
                <w:rFonts w:hint="eastAsia"/>
              </w:rPr>
              <w:t>审计费用</w:t>
            </w:r>
          </w:p>
        </w:tc>
        <w:tc>
          <w:tcPr>
            <w:tcW w:w="2768" w:type="dxa"/>
            <w:vAlign w:val="center"/>
          </w:tcPr>
          <w:p w14:paraId="1D09699E">
            <w:pPr>
              <w:jc w:val="right"/>
            </w:pPr>
            <w:r>
              <w:rPr>
                <w:rFonts w:hint="eastAsia"/>
              </w:rPr>
              <w:t>80,000.00</w:t>
            </w:r>
          </w:p>
        </w:tc>
        <w:tc>
          <w:tcPr>
            <w:tcW w:w="2768" w:type="dxa"/>
            <w:vAlign w:val="center"/>
          </w:tcPr>
          <w:p w14:paraId="07F8ED97">
            <w:pPr>
              <w:jc w:val="right"/>
            </w:pPr>
            <w:r>
              <w:rPr>
                <w:rFonts w:hint="eastAsia"/>
              </w:rPr>
              <w:t>80,000.00</w:t>
            </w:r>
          </w:p>
        </w:tc>
      </w:tr>
      <w:tr w14:paraId="1EDC00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B3582E0">
            <w:r>
              <w:rPr>
                <w:rFonts w:hint="eastAsia"/>
              </w:rPr>
              <w:t>信息披露费</w:t>
            </w:r>
          </w:p>
        </w:tc>
        <w:tc>
          <w:tcPr>
            <w:tcW w:w="2768" w:type="dxa"/>
            <w:vAlign w:val="center"/>
          </w:tcPr>
          <w:p w14:paraId="2F0F3D0C">
            <w:pPr>
              <w:jc w:val="right"/>
            </w:pPr>
            <w:r>
              <w:rPr>
                <w:rFonts w:hint="eastAsia"/>
              </w:rPr>
              <w:t>120,000.00</w:t>
            </w:r>
          </w:p>
        </w:tc>
        <w:tc>
          <w:tcPr>
            <w:tcW w:w="2768" w:type="dxa"/>
            <w:vAlign w:val="center"/>
          </w:tcPr>
          <w:p w14:paraId="488E6014">
            <w:pPr>
              <w:jc w:val="right"/>
            </w:pPr>
            <w:r>
              <w:rPr>
                <w:rFonts w:hint="eastAsia"/>
              </w:rPr>
              <w:t>120,000.00</w:t>
            </w:r>
          </w:p>
        </w:tc>
      </w:tr>
      <w:tr w14:paraId="70CC62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CFDD9F1">
            <w:r>
              <w:rPr>
                <w:rFonts w:hint="eastAsia"/>
              </w:rPr>
              <w:t>证券出借违约金</w:t>
            </w:r>
          </w:p>
        </w:tc>
        <w:tc>
          <w:tcPr>
            <w:tcW w:w="2768" w:type="dxa"/>
            <w:vAlign w:val="center"/>
          </w:tcPr>
          <w:p w14:paraId="2250B866">
            <w:pPr>
              <w:jc w:val="right"/>
            </w:pPr>
            <w:r>
              <w:rPr>
                <w:rFonts w:hint="eastAsia"/>
              </w:rPr>
              <w:t>-</w:t>
            </w:r>
          </w:p>
        </w:tc>
        <w:tc>
          <w:tcPr>
            <w:tcW w:w="2768" w:type="dxa"/>
            <w:vAlign w:val="center"/>
          </w:tcPr>
          <w:p w14:paraId="6C9E1FE8">
            <w:pPr>
              <w:jc w:val="right"/>
            </w:pPr>
            <w:r>
              <w:rPr>
                <w:rFonts w:hint="eastAsia"/>
              </w:rPr>
              <w:t>-</w:t>
            </w:r>
          </w:p>
        </w:tc>
      </w:tr>
      <w:tr w14:paraId="419908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82C3883">
            <w:r>
              <w:rPr>
                <w:rFonts w:hint="eastAsia"/>
              </w:rPr>
              <w:t>账户维护费</w:t>
            </w:r>
          </w:p>
        </w:tc>
        <w:tc>
          <w:tcPr>
            <w:tcW w:w="2768" w:type="dxa"/>
            <w:vAlign w:val="center"/>
          </w:tcPr>
          <w:p w14:paraId="03A344CB">
            <w:pPr>
              <w:jc w:val="right"/>
            </w:pPr>
            <w:r>
              <w:rPr>
                <w:rFonts w:hint="eastAsia"/>
              </w:rPr>
              <w:t>46,500.00</w:t>
            </w:r>
          </w:p>
        </w:tc>
        <w:tc>
          <w:tcPr>
            <w:tcW w:w="2768" w:type="dxa"/>
            <w:vAlign w:val="center"/>
          </w:tcPr>
          <w:p w14:paraId="3ECEE1AF">
            <w:pPr>
              <w:jc w:val="right"/>
            </w:pPr>
            <w:r>
              <w:rPr>
                <w:rFonts w:hint="eastAsia"/>
              </w:rPr>
              <w:t>37,200.00</w:t>
            </w:r>
          </w:p>
        </w:tc>
      </w:tr>
      <w:tr w14:paraId="4B6B3D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4DF3BCB">
            <w:r>
              <w:rPr>
                <w:rFonts w:hint="eastAsia"/>
              </w:rPr>
              <w:t>合计</w:t>
            </w:r>
          </w:p>
        </w:tc>
        <w:tc>
          <w:tcPr>
            <w:tcW w:w="2768" w:type="dxa"/>
            <w:vAlign w:val="center"/>
          </w:tcPr>
          <w:p w14:paraId="232B8DA9">
            <w:pPr>
              <w:jc w:val="right"/>
            </w:pPr>
            <w:r>
              <w:rPr>
                <w:rFonts w:hint="eastAsia"/>
              </w:rPr>
              <w:t>246,500.00</w:t>
            </w:r>
          </w:p>
        </w:tc>
        <w:tc>
          <w:tcPr>
            <w:tcW w:w="2768" w:type="dxa"/>
            <w:vAlign w:val="center"/>
          </w:tcPr>
          <w:p w14:paraId="3503E7C1">
            <w:pPr>
              <w:jc w:val="right"/>
            </w:pPr>
            <w:r>
              <w:rPr>
                <w:rFonts w:hint="eastAsia"/>
              </w:rPr>
              <w:t>237,200.00</w:t>
            </w:r>
          </w:p>
        </w:tc>
      </w:tr>
    </w:tbl>
    <w:p w14:paraId="55604548">
      <w:pPr>
        <w:pStyle w:val="28"/>
      </w:pPr>
      <w:bookmarkStart w:id="99" w:name="_Toc99"/>
      <w:r>
        <w:t>或有事项、资产负债表日后事项的说明</w:t>
      </w:r>
      <w:bookmarkEnd w:id="99"/>
    </w:p>
    <w:p w14:paraId="08D7E32A">
      <w:pPr>
        <w:pStyle w:val="35"/>
      </w:pPr>
      <w:bookmarkStart w:id="100" w:name="_Toc100"/>
      <w:r>
        <w:t>或有事项</w:t>
      </w:r>
      <w:bookmarkEnd w:id="100"/>
    </w:p>
    <w:p w14:paraId="4BCA5051">
      <w:pPr>
        <w:pStyle w:val="18"/>
        <w:rPr>
          <w:rFonts w:hint="eastAsia"/>
        </w:rPr>
      </w:pPr>
      <w:r>
        <w:rPr>
          <w:rFonts w:hint="eastAsia"/>
        </w:rPr>
        <w:t>无。</w:t>
      </w:r>
    </w:p>
    <w:p w14:paraId="3A7A9F6E">
      <w:pPr>
        <w:pStyle w:val="35"/>
      </w:pPr>
      <w:bookmarkStart w:id="101" w:name="_Toc101"/>
      <w:r>
        <w:t>资产负债表日后事项</w:t>
      </w:r>
      <w:bookmarkEnd w:id="101"/>
    </w:p>
    <w:p w14:paraId="038F8031">
      <w:pPr>
        <w:pStyle w:val="18"/>
        <w:rPr>
          <w:rFonts w:hint="eastAsia"/>
        </w:rPr>
      </w:pPr>
      <w:r>
        <w:rPr>
          <w:rFonts w:hint="eastAsia"/>
        </w:rPr>
        <w:t>截至财务报告批准报出日，本基金无需要披露的资产负债表日后事项。</w:t>
      </w:r>
    </w:p>
    <w:p w14:paraId="1289C830">
      <w:pPr>
        <w:pStyle w:val="28"/>
      </w:pPr>
      <w:bookmarkStart w:id="102" w:name="_Toc102"/>
      <w:r>
        <w:t>关联方关系</w:t>
      </w:r>
      <w:bookmarkEnd w:id="102"/>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60D6D6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shd w:val="clear" w:color="auto" w:fill="BFBFBF"/>
            <w:vAlign w:val="center"/>
          </w:tcPr>
          <w:p w14:paraId="6E772DB7">
            <w:pPr>
              <w:jc w:val="center"/>
            </w:pPr>
            <w:r>
              <w:rPr>
                <w:rFonts w:hint="eastAsia"/>
                <w:b/>
              </w:rPr>
              <w:t>关联方名称</w:t>
            </w:r>
          </w:p>
        </w:tc>
        <w:tc>
          <w:tcPr>
            <w:tcW w:w="3322" w:type="dxa"/>
            <w:shd w:val="clear" w:color="auto" w:fill="BFBFBF"/>
            <w:vAlign w:val="center"/>
          </w:tcPr>
          <w:p w14:paraId="091DE5C5">
            <w:pPr>
              <w:jc w:val="center"/>
            </w:pPr>
            <w:r>
              <w:rPr>
                <w:rFonts w:hint="eastAsia"/>
                <w:b/>
              </w:rPr>
              <w:t>与本基金的关系</w:t>
            </w:r>
          </w:p>
        </w:tc>
      </w:tr>
      <w:tr w14:paraId="18621C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5DC735F">
            <w:r>
              <w:rPr>
                <w:rFonts w:hint="eastAsia"/>
              </w:rPr>
              <w:t>南方基金管理股份有限公司（“南方基金”）</w:t>
            </w:r>
          </w:p>
        </w:tc>
        <w:tc>
          <w:tcPr>
            <w:tcW w:w="3322" w:type="dxa"/>
            <w:vAlign w:val="center"/>
          </w:tcPr>
          <w:p w14:paraId="7B7D33DE">
            <w:r>
              <w:rPr>
                <w:rFonts w:hint="eastAsia"/>
              </w:rPr>
              <w:t>基金管理人、登记机构、基金销售机构</w:t>
            </w:r>
          </w:p>
        </w:tc>
      </w:tr>
      <w:tr w14:paraId="690660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6E94DF2">
            <w:r>
              <w:rPr>
                <w:rFonts w:hint="eastAsia"/>
              </w:rPr>
              <w:t>交通银行股份有限公司（“交通银行”）</w:t>
            </w:r>
          </w:p>
        </w:tc>
        <w:tc>
          <w:tcPr>
            <w:tcW w:w="3322" w:type="dxa"/>
            <w:vAlign w:val="center"/>
          </w:tcPr>
          <w:p w14:paraId="47523C79">
            <w:r>
              <w:rPr>
                <w:rFonts w:hint="eastAsia"/>
              </w:rPr>
              <w:t>基金托管人、基金销售机构</w:t>
            </w:r>
          </w:p>
        </w:tc>
      </w:tr>
      <w:tr w14:paraId="15B887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DA021E6">
            <w:r>
              <w:rPr>
                <w:rFonts w:hint="eastAsia"/>
              </w:rPr>
              <w:t>华泰证券股份有限公司（“华泰证券”）</w:t>
            </w:r>
          </w:p>
        </w:tc>
        <w:tc>
          <w:tcPr>
            <w:tcW w:w="3322" w:type="dxa"/>
            <w:vAlign w:val="center"/>
          </w:tcPr>
          <w:p w14:paraId="5AD204FC">
            <w:r>
              <w:rPr>
                <w:rFonts w:hint="eastAsia"/>
              </w:rPr>
              <w:t>基金管理人的股东、基金销售机构</w:t>
            </w:r>
          </w:p>
        </w:tc>
      </w:tr>
      <w:tr w14:paraId="7148B3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9257CF4">
            <w:r>
              <w:rPr>
                <w:rFonts w:hint="eastAsia"/>
              </w:rPr>
              <w:t>兴业证券股份有限公司（“兴业证券”）</w:t>
            </w:r>
          </w:p>
        </w:tc>
        <w:tc>
          <w:tcPr>
            <w:tcW w:w="3322" w:type="dxa"/>
            <w:vAlign w:val="center"/>
          </w:tcPr>
          <w:p w14:paraId="33A3CF6D">
            <w:r>
              <w:rPr>
                <w:rFonts w:hint="eastAsia"/>
              </w:rPr>
              <w:t>基金管理人的股东、基金销售机构</w:t>
            </w:r>
          </w:p>
        </w:tc>
      </w:tr>
      <w:tr w14:paraId="7C57FE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39B6EE3">
            <w:r>
              <w:rPr>
                <w:rFonts w:hint="eastAsia"/>
              </w:rPr>
              <w:t>南方资本管理有限公司（“南方资本”）</w:t>
            </w:r>
          </w:p>
        </w:tc>
        <w:tc>
          <w:tcPr>
            <w:tcW w:w="3322" w:type="dxa"/>
            <w:vAlign w:val="center"/>
          </w:tcPr>
          <w:p w14:paraId="628F98F1">
            <w:r>
              <w:rPr>
                <w:rFonts w:hint="eastAsia"/>
              </w:rPr>
              <w:t>基金管理人的子公司</w:t>
            </w:r>
          </w:p>
        </w:tc>
      </w:tr>
      <w:tr w14:paraId="6818B5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A1E0897">
            <w:r>
              <w:rPr>
                <w:rFonts w:hint="eastAsia"/>
              </w:rPr>
              <w:t>南方东英资产管理有限公司（“南方东英”）</w:t>
            </w:r>
          </w:p>
        </w:tc>
        <w:tc>
          <w:tcPr>
            <w:tcW w:w="3322" w:type="dxa"/>
            <w:vAlign w:val="center"/>
          </w:tcPr>
          <w:p w14:paraId="376AFF07">
            <w:r>
              <w:rPr>
                <w:rFonts w:hint="eastAsia"/>
              </w:rPr>
              <w:t>基金管理人的子公司</w:t>
            </w:r>
          </w:p>
        </w:tc>
      </w:tr>
      <w:tr w14:paraId="203031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4E3354F">
            <w:r>
              <w:rPr>
                <w:rFonts w:hint="eastAsia"/>
              </w:rPr>
              <w:t>厦门国际信托有限公司（“厦门国际信托”）</w:t>
            </w:r>
          </w:p>
        </w:tc>
        <w:tc>
          <w:tcPr>
            <w:tcW w:w="3322" w:type="dxa"/>
            <w:vAlign w:val="center"/>
          </w:tcPr>
          <w:p w14:paraId="0FCF6F10">
            <w:r>
              <w:rPr>
                <w:rFonts w:hint="eastAsia"/>
              </w:rPr>
              <w:t>基金管理人的股东</w:t>
            </w:r>
          </w:p>
        </w:tc>
      </w:tr>
      <w:tr w14:paraId="19768C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CF62C9A">
            <w:r>
              <w:rPr>
                <w:rFonts w:hint="eastAsia"/>
              </w:rPr>
              <w:t>深圳市投资控股有限公司（“深圳投资控股”）</w:t>
            </w:r>
          </w:p>
        </w:tc>
        <w:tc>
          <w:tcPr>
            <w:tcW w:w="3322" w:type="dxa"/>
            <w:vAlign w:val="center"/>
          </w:tcPr>
          <w:p w14:paraId="47F6B910">
            <w:r>
              <w:rPr>
                <w:rFonts w:hint="eastAsia"/>
              </w:rPr>
              <w:t>基金管理人的股东</w:t>
            </w:r>
          </w:p>
        </w:tc>
      </w:tr>
      <w:tr w14:paraId="150146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D5BF016">
            <w:r>
              <w:rPr>
                <w:rFonts w:hint="eastAsia"/>
              </w:rPr>
              <w:t>厦门合泽吉企业管理合伙企业（有限合伙）</w:t>
            </w:r>
          </w:p>
        </w:tc>
        <w:tc>
          <w:tcPr>
            <w:tcW w:w="3322" w:type="dxa"/>
            <w:vAlign w:val="center"/>
          </w:tcPr>
          <w:p w14:paraId="25DCCD5B">
            <w:r>
              <w:rPr>
                <w:rFonts w:hint="eastAsia"/>
              </w:rPr>
              <w:t>基金管理人的股东</w:t>
            </w:r>
          </w:p>
        </w:tc>
      </w:tr>
      <w:tr w14:paraId="44B9E9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E3E351B">
            <w:r>
              <w:rPr>
                <w:rFonts w:hint="eastAsia"/>
              </w:rPr>
              <w:t>厦门合泽祥企业管理合伙企业（有限合伙）</w:t>
            </w:r>
          </w:p>
        </w:tc>
        <w:tc>
          <w:tcPr>
            <w:tcW w:w="3322" w:type="dxa"/>
            <w:vAlign w:val="center"/>
          </w:tcPr>
          <w:p w14:paraId="604ADF36">
            <w:r>
              <w:rPr>
                <w:rFonts w:hint="eastAsia"/>
              </w:rPr>
              <w:t>基金管理人的股东</w:t>
            </w:r>
          </w:p>
        </w:tc>
      </w:tr>
      <w:tr w14:paraId="2906B2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5A59D7A">
            <w:r>
              <w:rPr>
                <w:rFonts w:hint="eastAsia"/>
              </w:rPr>
              <w:t>厦门合泽益企业管理合伙企业（有限合伙）</w:t>
            </w:r>
          </w:p>
        </w:tc>
        <w:tc>
          <w:tcPr>
            <w:tcW w:w="3322" w:type="dxa"/>
            <w:vAlign w:val="center"/>
          </w:tcPr>
          <w:p w14:paraId="0D0FE8BE">
            <w:r>
              <w:rPr>
                <w:rFonts w:hint="eastAsia"/>
              </w:rPr>
              <w:t>基金管理人的股东</w:t>
            </w:r>
          </w:p>
        </w:tc>
      </w:tr>
      <w:tr w14:paraId="5ED019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5968A9A">
            <w:r>
              <w:rPr>
                <w:rFonts w:hint="eastAsia"/>
              </w:rPr>
              <w:t>厦门合泽盈企业管理合伙企业（有限合伙）</w:t>
            </w:r>
          </w:p>
        </w:tc>
        <w:tc>
          <w:tcPr>
            <w:tcW w:w="3322" w:type="dxa"/>
            <w:vAlign w:val="center"/>
          </w:tcPr>
          <w:p w14:paraId="26DBEE05">
            <w:r>
              <w:rPr>
                <w:rFonts w:hint="eastAsia"/>
              </w:rPr>
              <w:t>基金管理人的股东</w:t>
            </w:r>
          </w:p>
        </w:tc>
      </w:tr>
    </w:tbl>
    <w:p w14:paraId="1EA857F7">
      <w:pPr>
        <w:pStyle w:val="47"/>
        <w:rPr>
          <w:rFonts w:hint="eastAsia"/>
        </w:rPr>
      </w:pPr>
      <w:r>
        <w:rPr>
          <w:rFonts w:hint="eastAsia"/>
        </w:rPr>
        <w:t>注：下述关联交易均在正常业务范围内按一般商业条款订立。</w:t>
      </w:r>
    </w:p>
    <w:p w14:paraId="110CD662">
      <w:pPr>
        <w:pStyle w:val="28"/>
      </w:pPr>
      <w:bookmarkStart w:id="103" w:name="_Toc103"/>
      <w:r>
        <w:t>本报告期及上年度可比期间的关联方交易</w:t>
      </w:r>
      <w:bookmarkEnd w:id="103"/>
    </w:p>
    <w:p w14:paraId="33463E3A">
      <w:pPr>
        <w:pStyle w:val="35"/>
      </w:pPr>
      <w:bookmarkStart w:id="104" w:name="_Toc104"/>
      <w:r>
        <w:t>通过关联方交易单元进行的交易</w:t>
      </w:r>
      <w:bookmarkEnd w:id="104"/>
    </w:p>
    <w:p w14:paraId="735425ED">
      <w:pPr>
        <w:pStyle w:val="36"/>
      </w:pPr>
      <w:bookmarkStart w:id="105" w:name="_Toc105"/>
      <w:r>
        <w:t>股票交易</w:t>
      </w:r>
      <w:bookmarkEnd w:id="105"/>
    </w:p>
    <w:p w14:paraId="3B9069A4">
      <w:pPr>
        <w:pStyle w:val="18"/>
        <w:rPr>
          <w:rFonts w:hint="eastAsia"/>
        </w:rPr>
      </w:pPr>
      <w:r>
        <w:rPr>
          <w:rFonts w:hint="eastAsia"/>
        </w:rPr>
        <w:t>无。</w:t>
      </w:r>
    </w:p>
    <w:p w14:paraId="4A482402">
      <w:pPr>
        <w:pStyle w:val="36"/>
      </w:pPr>
      <w:bookmarkStart w:id="106" w:name="_Toc106"/>
      <w:r>
        <w:t>债券交易</w:t>
      </w:r>
      <w:bookmarkEnd w:id="106"/>
    </w:p>
    <w:p w14:paraId="42D001E6">
      <w:pPr>
        <w:pStyle w:val="18"/>
        <w:rPr>
          <w:rFonts w:hint="eastAsia"/>
        </w:rPr>
      </w:pPr>
      <w:r>
        <w:rPr>
          <w:rFonts w:hint="eastAsia"/>
        </w:rPr>
        <w:t>无。</w:t>
      </w:r>
    </w:p>
    <w:p w14:paraId="1364F9A5">
      <w:pPr>
        <w:pStyle w:val="36"/>
      </w:pPr>
      <w:bookmarkStart w:id="107" w:name="_Toc107"/>
      <w:r>
        <w:t>债券回购交易</w:t>
      </w:r>
      <w:bookmarkEnd w:id="107"/>
    </w:p>
    <w:p w14:paraId="6E32946A">
      <w:pPr>
        <w:pStyle w:val="18"/>
        <w:rPr>
          <w:rFonts w:hint="eastAsia"/>
        </w:rPr>
      </w:pPr>
      <w:r>
        <w:rPr>
          <w:rFonts w:hint="eastAsia"/>
        </w:rPr>
        <w:t>无。</w:t>
      </w:r>
    </w:p>
    <w:p w14:paraId="0884609E">
      <w:pPr>
        <w:pStyle w:val="36"/>
      </w:pPr>
      <w:bookmarkStart w:id="108" w:name="_Toc108"/>
      <w:r>
        <w:t>基金交易</w:t>
      </w:r>
      <w:bookmarkEnd w:id="108"/>
    </w:p>
    <w:p w14:paraId="2465048B">
      <w:pPr>
        <w:pStyle w:val="18"/>
        <w:rPr>
          <w:rFonts w:hint="eastAsia"/>
        </w:rPr>
      </w:pPr>
      <w:r>
        <w:rPr>
          <w:rFonts w:hint="eastAsia"/>
        </w:rPr>
        <w:t>无。</w:t>
      </w:r>
    </w:p>
    <w:p w14:paraId="2C24BD9E">
      <w:pPr>
        <w:pStyle w:val="36"/>
      </w:pPr>
      <w:bookmarkStart w:id="109" w:name="_Toc109"/>
      <w:r>
        <w:t>权证交易</w:t>
      </w:r>
      <w:bookmarkEnd w:id="109"/>
    </w:p>
    <w:p w14:paraId="708C66B5">
      <w:pPr>
        <w:pStyle w:val="18"/>
        <w:rPr>
          <w:rFonts w:hint="eastAsia"/>
        </w:rPr>
      </w:pPr>
      <w:r>
        <w:rPr>
          <w:rFonts w:hint="eastAsia"/>
        </w:rPr>
        <w:t>无。</w:t>
      </w:r>
    </w:p>
    <w:p w14:paraId="5180DBF4">
      <w:pPr>
        <w:pStyle w:val="36"/>
      </w:pPr>
      <w:bookmarkStart w:id="110" w:name="_Toc110"/>
      <w:r>
        <w:t>应支付关联方的佣金</w:t>
      </w:r>
      <w:bookmarkEnd w:id="110"/>
    </w:p>
    <w:p w14:paraId="354EB683">
      <w:pPr>
        <w:pStyle w:val="18"/>
        <w:rPr>
          <w:rFonts w:hint="eastAsia"/>
        </w:rPr>
      </w:pPr>
      <w:r>
        <w:rPr>
          <w:rFonts w:hint="eastAsia"/>
        </w:rPr>
        <w:t>无。</w:t>
      </w:r>
    </w:p>
    <w:p w14:paraId="18AAA318">
      <w:pPr>
        <w:pStyle w:val="35"/>
      </w:pPr>
      <w:bookmarkStart w:id="111" w:name="_Toc111"/>
      <w:r>
        <w:t>关联方报酬</w:t>
      </w:r>
      <w:bookmarkEnd w:id="111"/>
    </w:p>
    <w:p w14:paraId="71EA6E56">
      <w:pPr>
        <w:pStyle w:val="36"/>
      </w:pPr>
      <w:bookmarkStart w:id="112" w:name="_Toc112"/>
      <w:r>
        <w:t>基金管理费</w:t>
      </w:r>
      <w:bookmarkEnd w:id="112"/>
    </w:p>
    <w:p w14:paraId="687382C1">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011734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79C4D0C0">
            <w:pPr>
              <w:jc w:val="center"/>
            </w:pPr>
            <w:r>
              <w:rPr>
                <w:rFonts w:hint="eastAsia"/>
                <w:b/>
              </w:rPr>
              <w:t>项目</w:t>
            </w:r>
          </w:p>
        </w:tc>
        <w:tc>
          <w:tcPr>
            <w:tcW w:w="2768" w:type="dxa"/>
            <w:shd w:val="clear" w:color="auto" w:fill="BFBFBF"/>
            <w:vAlign w:val="center"/>
          </w:tcPr>
          <w:p w14:paraId="09C9145D">
            <w:pPr>
              <w:jc w:val="center"/>
            </w:pPr>
            <w:r>
              <w:rPr>
                <w:rFonts w:hint="eastAsia"/>
                <w:b/>
              </w:rPr>
              <w:t>本期2025年1月1日至2025年12月31日</w:t>
            </w:r>
          </w:p>
        </w:tc>
        <w:tc>
          <w:tcPr>
            <w:tcW w:w="2768" w:type="dxa"/>
            <w:shd w:val="clear" w:color="auto" w:fill="BFBFBF"/>
            <w:vAlign w:val="center"/>
          </w:tcPr>
          <w:p w14:paraId="345C14BB">
            <w:pPr>
              <w:jc w:val="center"/>
            </w:pPr>
            <w:r>
              <w:rPr>
                <w:rFonts w:hint="eastAsia"/>
                <w:b/>
              </w:rPr>
              <w:t>上年度可比期间2024年1月1日至2024年12月31日</w:t>
            </w:r>
          </w:p>
        </w:tc>
      </w:tr>
      <w:tr w14:paraId="324BBB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A3D99ED">
            <w:r>
              <w:rPr>
                <w:rFonts w:hint="eastAsia"/>
              </w:rPr>
              <w:t>当期发生的基金应支付的管理费</w:t>
            </w:r>
          </w:p>
        </w:tc>
        <w:tc>
          <w:tcPr>
            <w:tcW w:w="2768" w:type="dxa"/>
            <w:vAlign w:val="center"/>
          </w:tcPr>
          <w:p w14:paraId="3A529B37">
            <w:pPr>
              <w:jc w:val="right"/>
            </w:pPr>
            <w:r>
              <w:rPr>
                <w:rFonts w:hint="eastAsia"/>
              </w:rPr>
              <w:t>10,304,735.97</w:t>
            </w:r>
          </w:p>
        </w:tc>
        <w:tc>
          <w:tcPr>
            <w:tcW w:w="2768" w:type="dxa"/>
            <w:vAlign w:val="center"/>
          </w:tcPr>
          <w:p w14:paraId="6C4D3ED0">
            <w:pPr>
              <w:jc w:val="right"/>
            </w:pPr>
            <w:r>
              <w:rPr>
                <w:rFonts w:hint="eastAsia"/>
              </w:rPr>
              <w:t>6,843,546.24</w:t>
            </w:r>
          </w:p>
        </w:tc>
      </w:tr>
      <w:tr w14:paraId="50D3AF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A414DCE">
            <w:r>
              <w:rPr>
                <w:rFonts w:hint="eastAsia"/>
              </w:rPr>
              <w:t>其中：应支付销售机构的客户维护费</w:t>
            </w:r>
          </w:p>
        </w:tc>
        <w:tc>
          <w:tcPr>
            <w:tcW w:w="2768" w:type="dxa"/>
            <w:vAlign w:val="center"/>
          </w:tcPr>
          <w:p w14:paraId="1F871F59">
            <w:pPr>
              <w:jc w:val="right"/>
            </w:pPr>
            <w:r>
              <w:rPr>
                <w:rFonts w:hint="eastAsia"/>
              </w:rPr>
              <w:t>4,398,859.14</w:t>
            </w:r>
          </w:p>
        </w:tc>
        <w:tc>
          <w:tcPr>
            <w:tcW w:w="2768" w:type="dxa"/>
            <w:vAlign w:val="center"/>
          </w:tcPr>
          <w:p w14:paraId="7CBFCE6E">
            <w:pPr>
              <w:jc w:val="right"/>
            </w:pPr>
            <w:r>
              <w:rPr>
                <w:rFonts w:hint="eastAsia"/>
              </w:rPr>
              <w:t>2,577,759.05</w:t>
            </w:r>
          </w:p>
        </w:tc>
      </w:tr>
      <w:tr w14:paraId="3F4EC7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E2B2360">
            <w:r>
              <w:rPr>
                <w:rFonts w:hint="eastAsia"/>
              </w:rPr>
              <w:t xml:space="preserve">      应支付基金管理人的净管理费</w:t>
            </w:r>
          </w:p>
        </w:tc>
        <w:tc>
          <w:tcPr>
            <w:tcW w:w="2768" w:type="dxa"/>
            <w:vAlign w:val="center"/>
          </w:tcPr>
          <w:p w14:paraId="1DE96A1B">
            <w:pPr>
              <w:jc w:val="right"/>
            </w:pPr>
            <w:r>
              <w:rPr>
                <w:rFonts w:hint="eastAsia"/>
              </w:rPr>
              <w:t>5,905,876.83</w:t>
            </w:r>
          </w:p>
        </w:tc>
        <w:tc>
          <w:tcPr>
            <w:tcW w:w="2768" w:type="dxa"/>
            <w:vAlign w:val="center"/>
          </w:tcPr>
          <w:p w14:paraId="21537906">
            <w:pPr>
              <w:jc w:val="right"/>
            </w:pPr>
            <w:r>
              <w:rPr>
                <w:rFonts w:hint="eastAsia"/>
              </w:rPr>
              <w:t>4,265,787.19</w:t>
            </w:r>
          </w:p>
        </w:tc>
      </w:tr>
    </w:tbl>
    <w:p w14:paraId="532E788B">
      <w:pPr>
        <w:pStyle w:val="47"/>
        <w:rPr>
          <w:rFonts w:hint="eastAsia"/>
        </w:rPr>
      </w:pPr>
      <w:r>
        <w:rPr>
          <w:rFonts w:hint="eastAsia"/>
        </w:rPr>
        <w:t>注：支付基金管理人南方基金的管理人报酬按前一日基金资产净值0.20%的年费率计提，逐日累计至每月月底，按月支付。其计算公式为：</w:t>
      </w:r>
    </w:p>
    <w:p w14:paraId="0A23FC30">
      <w:pPr>
        <w:pStyle w:val="47"/>
        <w:rPr>
          <w:rFonts w:hint="eastAsia"/>
        </w:rPr>
      </w:pPr>
      <w:r>
        <w:tab/>
      </w:r>
      <w:r>
        <w:rPr>
          <w:rFonts w:hint="eastAsia"/>
        </w:rPr>
        <w:t>日管理人报酬＝前一日基金资产净值×0.20%÷当年天数。</w:t>
      </w:r>
    </w:p>
    <w:p w14:paraId="18EFB5A1">
      <w:pPr>
        <w:pStyle w:val="36"/>
      </w:pPr>
      <w:bookmarkStart w:id="113" w:name="_Toc113"/>
      <w:r>
        <w:t>基金托管费</w:t>
      </w:r>
      <w:bookmarkEnd w:id="113"/>
    </w:p>
    <w:p w14:paraId="61E02183">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667EA0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277EA9EB">
            <w:pPr>
              <w:jc w:val="center"/>
            </w:pPr>
            <w:r>
              <w:rPr>
                <w:rFonts w:hint="eastAsia"/>
                <w:b/>
              </w:rPr>
              <w:t>项目</w:t>
            </w:r>
          </w:p>
        </w:tc>
        <w:tc>
          <w:tcPr>
            <w:tcW w:w="2768" w:type="dxa"/>
            <w:shd w:val="clear" w:color="auto" w:fill="BFBFBF"/>
            <w:vAlign w:val="center"/>
          </w:tcPr>
          <w:p w14:paraId="16AD40B1">
            <w:pPr>
              <w:jc w:val="center"/>
            </w:pPr>
            <w:r>
              <w:rPr>
                <w:rFonts w:hint="eastAsia"/>
                <w:b/>
              </w:rPr>
              <w:t>本期2025年1月1日至2025年12月31日</w:t>
            </w:r>
          </w:p>
        </w:tc>
        <w:tc>
          <w:tcPr>
            <w:tcW w:w="2768" w:type="dxa"/>
            <w:shd w:val="clear" w:color="auto" w:fill="BFBFBF"/>
            <w:vAlign w:val="center"/>
          </w:tcPr>
          <w:p w14:paraId="3B283E64">
            <w:pPr>
              <w:jc w:val="center"/>
            </w:pPr>
            <w:r>
              <w:rPr>
                <w:rFonts w:hint="eastAsia"/>
                <w:b/>
              </w:rPr>
              <w:t>上年度可比期间2024年1月1日至2024年12月31日</w:t>
            </w:r>
          </w:p>
        </w:tc>
      </w:tr>
      <w:tr w14:paraId="7D9BB9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772F514">
            <w:r>
              <w:rPr>
                <w:rFonts w:hint="eastAsia"/>
              </w:rPr>
              <w:t>当期发生的基金应支付的托管费</w:t>
            </w:r>
          </w:p>
        </w:tc>
        <w:tc>
          <w:tcPr>
            <w:tcW w:w="2768" w:type="dxa"/>
            <w:vAlign w:val="center"/>
          </w:tcPr>
          <w:p w14:paraId="614E35E5">
            <w:pPr>
              <w:jc w:val="right"/>
            </w:pPr>
            <w:r>
              <w:rPr>
                <w:rFonts w:hint="eastAsia"/>
              </w:rPr>
              <w:t>2,576,184.02</w:t>
            </w:r>
          </w:p>
        </w:tc>
        <w:tc>
          <w:tcPr>
            <w:tcW w:w="2768" w:type="dxa"/>
            <w:vAlign w:val="center"/>
          </w:tcPr>
          <w:p w14:paraId="7FAA2D52">
            <w:pPr>
              <w:jc w:val="right"/>
            </w:pPr>
            <w:r>
              <w:rPr>
                <w:rFonts w:hint="eastAsia"/>
              </w:rPr>
              <w:t>1,710,886.65</w:t>
            </w:r>
          </w:p>
        </w:tc>
      </w:tr>
    </w:tbl>
    <w:p w14:paraId="36D5266F">
      <w:pPr>
        <w:pStyle w:val="47"/>
        <w:rPr>
          <w:rFonts w:hint="eastAsia"/>
        </w:rPr>
      </w:pPr>
      <w:r>
        <w:rPr>
          <w:rFonts w:hint="eastAsia"/>
        </w:rPr>
        <w:t>注：支付基金托管人的托管费按前一日基金资产净值0.05%的年费率计提，逐日累计至每月月底，按月支付。其计算公式为：</w:t>
      </w:r>
    </w:p>
    <w:p w14:paraId="4B5D1477">
      <w:pPr>
        <w:pStyle w:val="47"/>
        <w:rPr>
          <w:rFonts w:hint="eastAsia"/>
        </w:rPr>
      </w:pPr>
      <w:r>
        <w:tab/>
      </w:r>
      <w:r>
        <w:rPr>
          <w:rFonts w:hint="eastAsia"/>
        </w:rPr>
        <w:t>日托管费＝前一日基金资产净值×0.05%÷当年天数。</w:t>
      </w:r>
    </w:p>
    <w:p w14:paraId="515055E2">
      <w:pPr>
        <w:pStyle w:val="36"/>
      </w:pPr>
      <w:bookmarkStart w:id="114" w:name="_Toc114"/>
      <w:r>
        <w:t>销售服务费</w:t>
      </w:r>
      <w:bookmarkEnd w:id="114"/>
    </w:p>
    <w:p w14:paraId="59C017B0">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7A05AF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Merge w:val="restart"/>
            <w:vAlign w:val="center"/>
          </w:tcPr>
          <w:p w14:paraId="7E5B2E90">
            <w:r>
              <w:rPr>
                <w:rFonts w:hint="eastAsia"/>
              </w:rPr>
              <w:t>获得销售服务费的各关联方名称</w:t>
            </w:r>
          </w:p>
        </w:tc>
        <w:tc>
          <w:tcPr>
            <w:tcW w:w="4153" w:type="dxa"/>
            <w:vAlign w:val="center"/>
          </w:tcPr>
          <w:p w14:paraId="77BBAB04">
            <w:r>
              <w:rPr>
                <w:rFonts w:hint="eastAsia"/>
              </w:rPr>
              <w:t>本期2025年1月1日至2025年12月31日</w:t>
            </w:r>
          </w:p>
        </w:tc>
      </w:tr>
      <w:tr w14:paraId="64E67C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Merge w:val="continue"/>
            <w:vAlign w:val="center"/>
          </w:tcPr>
          <w:p w14:paraId="0F9B2AA1"/>
        </w:tc>
        <w:tc>
          <w:tcPr>
            <w:tcW w:w="4153" w:type="dxa"/>
            <w:vAlign w:val="center"/>
          </w:tcPr>
          <w:p w14:paraId="0D44E0F9">
            <w:r>
              <w:rPr>
                <w:rFonts w:hint="eastAsia"/>
              </w:rPr>
              <w:t>当期发生的基金应支付的销售服务费</w:t>
            </w:r>
          </w:p>
        </w:tc>
      </w:tr>
      <w:tr w14:paraId="019E22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67A93F0">
            <w:r>
              <w:rPr>
                <w:rFonts w:hint="eastAsia"/>
              </w:rPr>
              <w:t>华泰证券</w:t>
            </w:r>
          </w:p>
        </w:tc>
        <w:tc>
          <w:tcPr>
            <w:tcW w:w="4153" w:type="dxa"/>
            <w:vAlign w:val="center"/>
          </w:tcPr>
          <w:p w14:paraId="263329E6">
            <w:pPr>
              <w:jc w:val="right"/>
            </w:pPr>
            <w:r>
              <w:rPr>
                <w:rFonts w:hint="eastAsia"/>
              </w:rPr>
              <w:t>81,651.28</w:t>
            </w:r>
          </w:p>
        </w:tc>
      </w:tr>
      <w:tr w14:paraId="37B9AC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58B11CE">
            <w:r>
              <w:rPr>
                <w:rFonts w:hint="eastAsia"/>
              </w:rPr>
              <w:t>交通银行</w:t>
            </w:r>
          </w:p>
        </w:tc>
        <w:tc>
          <w:tcPr>
            <w:tcW w:w="4153" w:type="dxa"/>
            <w:vAlign w:val="center"/>
          </w:tcPr>
          <w:p w14:paraId="69691B27">
            <w:pPr>
              <w:jc w:val="right"/>
            </w:pPr>
            <w:r>
              <w:rPr>
                <w:rFonts w:hint="eastAsia"/>
              </w:rPr>
              <w:t>206,719.99</w:t>
            </w:r>
          </w:p>
        </w:tc>
      </w:tr>
      <w:tr w14:paraId="08769E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DD8A93A">
            <w:r>
              <w:rPr>
                <w:rFonts w:hint="eastAsia"/>
              </w:rPr>
              <w:t>南方基金</w:t>
            </w:r>
          </w:p>
        </w:tc>
        <w:tc>
          <w:tcPr>
            <w:tcW w:w="4153" w:type="dxa"/>
            <w:vAlign w:val="center"/>
          </w:tcPr>
          <w:p w14:paraId="3133554E">
            <w:pPr>
              <w:jc w:val="right"/>
            </w:pPr>
            <w:r>
              <w:rPr>
                <w:rFonts w:hint="eastAsia"/>
              </w:rPr>
              <w:t>440,879.30</w:t>
            </w:r>
          </w:p>
        </w:tc>
      </w:tr>
      <w:tr w14:paraId="1FD985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CE3DAF3">
            <w:r>
              <w:rPr>
                <w:rFonts w:hint="eastAsia"/>
              </w:rPr>
              <w:t>兴业证券</w:t>
            </w:r>
          </w:p>
        </w:tc>
        <w:tc>
          <w:tcPr>
            <w:tcW w:w="4153" w:type="dxa"/>
            <w:vAlign w:val="center"/>
          </w:tcPr>
          <w:p w14:paraId="0B8FAAEE">
            <w:pPr>
              <w:jc w:val="right"/>
            </w:pPr>
            <w:r>
              <w:rPr>
                <w:rFonts w:hint="eastAsia"/>
              </w:rPr>
              <w:t>107.83</w:t>
            </w:r>
          </w:p>
        </w:tc>
      </w:tr>
      <w:tr w14:paraId="4AF7DD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191DD24">
            <w:r>
              <w:rPr>
                <w:rFonts w:hint="eastAsia"/>
              </w:rPr>
              <w:t>合计</w:t>
            </w:r>
          </w:p>
        </w:tc>
        <w:tc>
          <w:tcPr>
            <w:tcW w:w="4153" w:type="dxa"/>
            <w:vAlign w:val="center"/>
          </w:tcPr>
          <w:p w14:paraId="26EF41EB">
            <w:pPr>
              <w:jc w:val="right"/>
            </w:pPr>
            <w:r>
              <w:rPr>
                <w:rFonts w:hint="eastAsia"/>
              </w:rPr>
              <w:t>729,358.40</w:t>
            </w:r>
          </w:p>
        </w:tc>
      </w:tr>
      <w:tr w14:paraId="535A93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Merge w:val="restart"/>
            <w:vAlign w:val="center"/>
          </w:tcPr>
          <w:p w14:paraId="6873C3B2">
            <w:r>
              <w:rPr>
                <w:rFonts w:hint="eastAsia"/>
              </w:rPr>
              <w:t>获得销售服务费的各关联方名称</w:t>
            </w:r>
          </w:p>
        </w:tc>
        <w:tc>
          <w:tcPr>
            <w:tcW w:w="4153" w:type="dxa"/>
            <w:vAlign w:val="center"/>
          </w:tcPr>
          <w:p w14:paraId="741F9425">
            <w:r>
              <w:rPr>
                <w:rFonts w:hint="eastAsia"/>
              </w:rPr>
              <w:t>上年度可比期间2024年1月1日至2024年12月31日</w:t>
            </w:r>
          </w:p>
        </w:tc>
      </w:tr>
      <w:tr w14:paraId="4023DC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Merge w:val="continue"/>
            <w:vAlign w:val="center"/>
          </w:tcPr>
          <w:p w14:paraId="2EEBE322"/>
        </w:tc>
        <w:tc>
          <w:tcPr>
            <w:tcW w:w="4153" w:type="dxa"/>
            <w:vAlign w:val="center"/>
          </w:tcPr>
          <w:p w14:paraId="4CBEACD6">
            <w:r>
              <w:rPr>
                <w:rFonts w:hint="eastAsia"/>
              </w:rPr>
              <w:t>当期发生的基金应支付的销售服务费</w:t>
            </w:r>
          </w:p>
        </w:tc>
      </w:tr>
      <w:tr w14:paraId="1D3906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538134A">
            <w:r>
              <w:rPr>
                <w:rFonts w:hint="eastAsia"/>
              </w:rPr>
              <w:t>华泰证券</w:t>
            </w:r>
          </w:p>
        </w:tc>
        <w:tc>
          <w:tcPr>
            <w:tcW w:w="4153" w:type="dxa"/>
            <w:vAlign w:val="center"/>
          </w:tcPr>
          <w:p w14:paraId="73677681">
            <w:pPr>
              <w:jc w:val="right"/>
            </w:pPr>
            <w:r>
              <w:rPr>
                <w:rFonts w:hint="eastAsia"/>
              </w:rPr>
              <w:t>136,280.79</w:t>
            </w:r>
          </w:p>
        </w:tc>
      </w:tr>
      <w:tr w14:paraId="7616AC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1F20C46">
            <w:r>
              <w:rPr>
                <w:rFonts w:hint="eastAsia"/>
              </w:rPr>
              <w:t>交通银行</w:t>
            </w:r>
          </w:p>
        </w:tc>
        <w:tc>
          <w:tcPr>
            <w:tcW w:w="4153" w:type="dxa"/>
            <w:vAlign w:val="center"/>
          </w:tcPr>
          <w:p w14:paraId="694C6083">
            <w:pPr>
              <w:jc w:val="right"/>
            </w:pPr>
            <w:r>
              <w:rPr>
                <w:rFonts w:hint="eastAsia"/>
              </w:rPr>
              <w:t>399,361.85</w:t>
            </w:r>
          </w:p>
        </w:tc>
      </w:tr>
      <w:tr w14:paraId="205361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245B5AF">
            <w:r>
              <w:rPr>
                <w:rFonts w:hint="eastAsia"/>
              </w:rPr>
              <w:t>南方基金</w:t>
            </w:r>
          </w:p>
        </w:tc>
        <w:tc>
          <w:tcPr>
            <w:tcW w:w="4153" w:type="dxa"/>
            <w:vAlign w:val="center"/>
          </w:tcPr>
          <w:p w14:paraId="6A1277DA">
            <w:pPr>
              <w:jc w:val="right"/>
            </w:pPr>
            <w:r>
              <w:rPr>
                <w:rFonts w:hint="eastAsia"/>
              </w:rPr>
              <w:t>421,315.42</w:t>
            </w:r>
          </w:p>
        </w:tc>
      </w:tr>
      <w:tr w14:paraId="26ACAA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65EEDAE">
            <w:r>
              <w:rPr>
                <w:rFonts w:hint="eastAsia"/>
              </w:rPr>
              <w:t>兴业证券</w:t>
            </w:r>
          </w:p>
        </w:tc>
        <w:tc>
          <w:tcPr>
            <w:tcW w:w="4153" w:type="dxa"/>
            <w:vAlign w:val="center"/>
          </w:tcPr>
          <w:p w14:paraId="3B404D9E">
            <w:pPr>
              <w:jc w:val="right"/>
            </w:pPr>
            <w:r>
              <w:rPr>
                <w:rFonts w:hint="eastAsia"/>
              </w:rPr>
              <w:t>443.24</w:t>
            </w:r>
          </w:p>
        </w:tc>
      </w:tr>
      <w:tr w14:paraId="543C65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9F6484B">
            <w:r>
              <w:rPr>
                <w:rFonts w:hint="eastAsia"/>
              </w:rPr>
              <w:t>合计</w:t>
            </w:r>
          </w:p>
        </w:tc>
        <w:tc>
          <w:tcPr>
            <w:tcW w:w="4153" w:type="dxa"/>
            <w:vAlign w:val="center"/>
          </w:tcPr>
          <w:p w14:paraId="4CC20677">
            <w:pPr>
              <w:jc w:val="right"/>
            </w:pPr>
            <w:r>
              <w:rPr>
                <w:rFonts w:hint="eastAsia"/>
              </w:rPr>
              <w:t>957,401.30</w:t>
            </w:r>
          </w:p>
        </w:tc>
      </w:tr>
    </w:tbl>
    <w:p w14:paraId="1D041EDB">
      <w:pPr>
        <w:pStyle w:val="47"/>
        <w:rPr>
          <w:rFonts w:hint="eastAsia"/>
        </w:rPr>
      </w:pPr>
      <w:r>
        <w:rPr>
          <w:rFonts w:hint="eastAsia"/>
        </w:rPr>
        <w:t>注：支付基金销售机构的销售服务费按前一日基金资产净值0.20%的年费率计提，逐日累计至每月月底，按月支付给南方基金，再由南方基金计算并支付给各基金销售机构。其计算公式为：</w:t>
      </w:r>
    </w:p>
    <w:p w14:paraId="2F115CCC">
      <w:pPr>
        <w:pStyle w:val="47"/>
        <w:rPr>
          <w:rFonts w:hint="eastAsia"/>
        </w:rPr>
      </w:pPr>
      <w:r>
        <w:tab/>
      </w:r>
      <w:r>
        <w:rPr>
          <w:rFonts w:hint="eastAsia"/>
        </w:rPr>
        <w:t>日销售服务费＝前一日基金资产净值×0.20%÷当年天数。</w:t>
      </w:r>
    </w:p>
    <w:p w14:paraId="77DE51E4">
      <w:pPr>
        <w:pStyle w:val="35"/>
      </w:pPr>
      <w:bookmarkStart w:id="115" w:name="_Toc115"/>
      <w:r>
        <w:t>与关联方进行银行间同业市场的债券（含回购）交易</w:t>
      </w:r>
      <w:bookmarkEnd w:id="115"/>
    </w:p>
    <w:p w14:paraId="1004EA7A">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0"/>
        <w:gridCol w:w="1502"/>
        <w:gridCol w:w="1502"/>
        <w:gridCol w:w="1502"/>
        <w:gridCol w:w="1502"/>
        <w:gridCol w:w="883"/>
        <w:gridCol w:w="883"/>
      </w:tblGrid>
      <w:tr w14:paraId="31B31D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gridSpan w:val="7"/>
            <w:shd w:val="clear" w:color="auto" w:fill="BFBFBF"/>
            <w:vAlign w:val="center"/>
          </w:tcPr>
          <w:p w14:paraId="6FEDEB88">
            <w:pPr>
              <w:jc w:val="center"/>
            </w:pPr>
            <w:r>
              <w:rPr>
                <w:rFonts w:hint="eastAsia"/>
                <w:b/>
              </w:rPr>
              <w:t>本期2025年1月1日至2025年12月31日</w:t>
            </w:r>
          </w:p>
        </w:tc>
      </w:tr>
      <w:tr w14:paraId="6C9CE0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vMerge w:val="restart"/>
            <w:shd w:val="clear" w:color="auto" w:fill="BFBFBF"/>
            <w:vAlign w:val="center"/>
          </w:tcPr>
          <w:p w14:paraId="6844048F">
            <w:pPr>
              <w:jc w:val="center"/>
            </w:pPr>
            <w:r>
              <w:rPr>
                <w:rFonts w:hint="eastAsia"/>
                <w:b/>
              </w:rPr>
              <w:t>银行间市场交易的各关联方名称</w:t>
            </w:r>
          </w:p>
        </w:tc>
        <w:tc>
          <w:tcPr>
            <w:tcW w:w="1502" w:type="dxa"/>
            <w:gridSpan w:val="2"/>
            <w:shd w:val="clear" w:color="auto" w:fill="BFBFBF"/>
            <w:vAlign w:val="center"/>
          </w:tcPr>
          <w:p w14:paraId="376B322D">
            <w:pPr>
              <w:jc w:val="center"/>
            </w:pPr>
            <w:r>
              <w:rPr>
                <w:rFonts w:hint="eastAsia"/>
                <w:b/>
              </w:rPr>
              <w:t>债券交易金额</w:t>
            </w:r>
          </w:p>
        </w:tc>
        <w:tc>
          <w:tcPr>
            <w:tcW w:w="1502" w:type="dxa"/>
            <w:gridSpan w:val="2"/>
            <w:shd w:val="clear" w:color="auto" w:fill="BFBFBF"/>
            <w:vAlign w:val="center"/>
          </w:tcPr>
          <w:p w14:paraId="6AB7E1B0">
            <w:pPr>
              <w:jc w:val="center"/>
            </w:pPr>
            <w:r>
              <w:rPr>
                <w:rFonts w:hint="eastAsia"/>
                <w:b/>
              </w:rPr>
              <w:t>基金逆回购</w:t>
            </w:r>
          </w:p>
        </w:tc>
        <w:tc>
          <w:tcPr>
            <w:tcW w:w="883" w:type="dxa"/>
            <w:gridSpan w:val="2"/>
            <w:shd w:val="clear" w:color="auto" w:fill="BFBFBF"/>
            <w:vAlign w:val="center"/>
          </w:tcPr>
          <w:p w14:paraId="6DF003DA">
            <w:pPr>
              <w:jc w:val="center"/>
            </w:pPr>
            <w:r>
              <w:rPr>
                <w:rFonts w:hint="eastAsia"/>
                <w:b/>
              </w:rPr>
              <w:t>基金正回购</w:t>
            </w:r>
          </w:p>
        </w:tc>
      </w:tr>
      <w:tr w14:paraId="2D4031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vMerge w:val="continue"/>
            <w:vAlign w:val="center"/>
          </w:tcPr>
          <w:p w14:paraId="161BE0F3"/>
        </w:tc>
        <w:tc>
          <w:tcPr>
            <w:tcW w:w="1502" w:type="dxa"/>
            <w:shd w:val="clear" w:color="auto" w:fill="BFBFBF"/>
            <w:vAlign w:val="center"/>
          </w:tcPr>
          <w:p w14:paraId="21B5D216">
            <w:pPr>
              <w:jc w:val="center"/>
            </w:pPr>
            <w:r>
              <w:rPr>
                <w:rFonts w:hint="eastAsia"/>
                <w:b/>
              </w:rPr>
              <w:t>基金买入</w:t>
            </w:r>
          </w:p>
        </w:tc>
        <w:tc>
          <w:tcPr>
            <w:tcW w:w="1502" w:type="dxa"/>
            <w:shd w:val="clear" w:color="auto" w:fill="BFBFBF"/>
            <w:vAlign w:val="center"/>
          </w:tcPr>
          <w:p w14:paraId="4D03CC05">
            <w:pPr>
              <w:jc w:val="center"/>
            </w:pPr>
            <w:r>
              <w:rPr>
                <w:rFonts w:hint="eastAsia"/>
                <w:b/>
              </w:rPr>
              <w:t>基金卖出</w:t>
            </w:r>
          </w:p>
        </w:tc>
        <w:tc>
          <w:tcPr>
            <w:tcW w:w="1502" w:type="dxa"/>
            <w:shd w:val="clear" w:color="auto" w:fill="BFBFBF"/>
            <w:vAlign w:val="center"/>
          </w:tcPr>
          <w:p w14:paraId="68B4FB12">
            <w:pPr>
              <w:jc w:val="center"/>
            </w:pPr>
            <w:r>
              <w:rPr>
                <w:rFonts w:hint="eastAsia"/>
                <w:b/>
              </w:rPr>
              <w:t>交易金额</w:t>
            </w:r>
          </w:p>
        </w:tc>
        <w:tc>
          <w:tcPr>
            <w:tcW w:w="1502" w:type="dxa"/>
            <w:shd w:val="clear" w:color="auto" w:fill="BFBFBF"/>
            <w:vAlign w:val="center"/>
          </w:tcPr>
          <w:p w14:paraId="0A1AD82B">
            <w:pPr>
              <w:jc w:val="center"/>
            </w:pPr>
            <w:r>
              <w:rPr>
                <w:rFonts w:hint="eastAsia"/>
                <w:b/>
              </w:rPr>
              <w:t>利息收入</w:t>
            </w:r>
          </w:p>
        </w:tc>
        <w:tc>
          <w:tcPr>
            <w:tcW w:w="883" w:type="dxa"/>
            <w:shd w:val="clear" w:color="auto" w:fill="BFBFBF"/>
            <w:vAlign w:val="center"/>
          </w:tcPr>
          <w:p w14:paraId="4433EA6A">
            <w:pPr>
              <w:jc w:val="center"/>
            </w:pPr>
            <w:r>
              <w:rPr>
                <w:rFonts w:hint="eastAsia"/>
                <w:b/>
              </w:rPr>
              <w:t>交易金额</w:t>
            </w:r>
          </w:p>
        </w:tc>
        <w:tc>
          <w:tcPr>
            <w:tcW w:w="883" w:type="dxa"/>
            <w:shd w:val="clear" w:color="auto" w:fill="BFBFBF"/>
            <w:vAlign w:val="center"/>
          </w:tcPr>
          <w:p w14:paraId="6DAF6532">
            <w:pPr>
              <w:jc w:val="center"/>
            </w:pPr>
            <w:r>
              <w:rPr>
                <w:rFonts w:hint="eastAsia"/>
                <w:b/>
              </w:rPr>
              <w:t>利息支出</w:t>
            </w:r>
          </w:p>
        </w:tc>
      </w:tr>
      <w:tr w14:paraId="645745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vAlign w:val="center"/>
          </w:tcPr>
          <w:p w14:paraId="602827FE">
            <w:r>
              <w:rPr>
                <w:rFonts w:hint="eastAsia"/>
              </w:rPr>
              <w:t>交通银行</w:t>
            </w:r>
          </w:p>
        </w:tc>
        <w:tc>
          <w:tcPr>
            <w:tcW w:w="1502" w:type="dxa"/>
            <w:vAlign w:val="center"/>
          </w:tcPr>
          <w:p w14:paraId="592F8405">
            <w:pPr>
              <w:jc w:val="right"/>
            </w:pPr>
            <w:r>
              <w:rPr>
                <w:rFonts w:hint="eastAsia"/>
              </w:rPr>
              <w:t>248,273,389.87</w:t>
            </w:r>
          </w:p>
        </w:tc>
        <w:tc>
          <w:tcPr>
            <w:tcW w:w="1502" w:type="dxa"/>
            <w:vAlign w:val="center"/>
          </w:tcPr>
          <w:p w14:paraId="1A04C011">
            <w:pPr>
              <w:jc w:val="right"/>
            </w:pPr>
            <w:r>
              <w:rPr>
                <w:rFonts w:hint="eastAsia"/>
              </w:rPr>
              <w:t>100,035,630.14</w:t>
            </w:r>
          </w:p>
        </w:tc>
        <w:tc>
          <w:tcPr>
            <w:tcW w:w="1502" w:type="dxa"/>
            <w:vAlign w:val="center"/>
          </w:tcPr>
          <w:p w14:paraId="761F86C0">
            <w:pPr>
              <w:jc w:val="right"/>
            </w:pPr>
            <w:r>
              <w:rPr>
                <w:rFonts w:hint="eastAsia"/>
              </w:rPr>
              <w:t>-</w:t>
            </w:r>
          </w:p>
        </w:tc>
        <w:tc>
          <w:tcPr>
            <w:tcW w:w="1502" w:type="dxa"/>
            <w:vAlign w:val="center"/>
          </w:tcPr>
          <w:p w14:paraId="12721B91">
            <w:pPr>
              <w:jc w:val="right"/>
            </w:pPr>
            <w:r>
              <w:rPr>
                <w:rFonts w:hint="eastAsia"/>
              </w:rPr>
              <w:t>-</w:t>
            </w:r>
          </w:p>
        </w:tc>
        <w:tc>
          <w:tcPr>
            <w:tcW w:w="883" w:type="dxa"/>
            <w:vAlign w:val="center"/>
          </w:tcPr>
          <w:p w14:paraId="34D110FB">
            <w:pPr>
              <w:jc w:val="right"/>
            </w:pPr>
            <w:r>
              <w:rPr>
                <w:rFonts w:hint="eastAsia"/>
              </w:rPr>
              <w:t>-</w:t>
            </w:r>
          </w:p>
        </w:tc>
        <w:tc>
          <w:tcPr>
            <w:tcW w:w="883" w:type="dxa"/>
            <w:vAlign w:val="center"/>
          </w:tcPr>
          <w:p w14:paraId="1E045C29">
            <w:pPr>
              <w:jc w:val="right"/>
            </w:pPr>
            <w:r>
              <w:rPr>
                <w:rFonts w:hint="eastAsia"/>
              </w:rPr>
              <w:t>-</w:t>
            </w:r>
          </w:p>
        </w:tc>
      </w:tr>
    </w:tbl>
    <w:p w14:paraId="5FC09CD6"/>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0"/>
        <w:gridCol w:w="1502"/>
        <w:gridCol w:w="1502"/>
        <w:gridCol w:w="1502"/>
        <w:gridCol w:w="1502"/>
        <w:gridCol w:w="883"/>
        <w:gridCol w:w="883"/>
      </w:tblGrid>
      <w:tr w14:paraId="4A947B2D">
        <w:tblPrEx>
          <w:tblCellMar>
            <w:top w:w="0" w:type="dxa"/>
            <w:left w:w="108" w:type="dxa"/>
            <w:bottom w:w="0" w:type="dxa"/>
            <w:right w:w="108" w:type="dxa"/>
          </w:tblCellMar>
        </w:tblPrEx>
        <w:trPr>
          <w:jc w:val="center"/>
        </w:trPr>
        <w:tc>
          <w:tcPr>
            <w:tcW w:w="530" w:type="dxa"/>
            <w:gridSpan w:val="7"/>
            <w:shd w:val="clear" w:color="auto" w:fill="BFBFBF"/>
            <w:vAlign w:val="center"/>
          </w:tcPr>
          <w:p w14:paraId="22F2B16A">
            <w:pPr>
              <w:jc w:val="center"/>
            </w:pPr>
            <w:r>
              <w:rPr>
                <w:rFonts w:hint="eastAsia"/>
                <w:b/>
              </w:rPr>
              <w:t>上年度可比期间2024年1月1日至2024年12月31日</w:t>
            </w:r>
          </w:p>
        </w:tc>
      </w:tr>
      <w:tr w14:paraId="2D9D63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vMerge w:val="restart"/>
            <w:shd w:val="clear" w:color="auto" w:fill="BFBFBF"/>
            <w:vAlign w:val="center"/>
          </w:tcPr>
          <w:p w14:paraId="64AC0230">
            <w:pPr>
              <w:jc w:val="center"/>
            </w:pPr>
            <w:r>
              <w:rPr>
                <w:rFonts w:hint="eastAsia"/>
                <w:b/>
              </w:rPr>
              <w:t>银行间市场交易的各关联方名称</w:t>
            </w:r>
          </w:p>
        </w:tc>
        <w:tc>
          <w:tcPr>
            <w:tcW w:w="1502" w:type="dxa"/>
            <w:gridSpan w:val="2"/>
            <w:shd w:val="clear" w:color="auto" w:fill="BFBFBF"/>
            <w:vAlign w:val="center"/>
          </w:tcPr>
          <w:p w14:paraId="07E0F4D9">
            <w:pPr>
              <w:jc w:val="center"/>
            </w:pPr>
            <w:r>
              <w:rPr>
                <w:rFonts w:hint="eastAsia"/>
                <w:b/>
              </w:rPr>
              <w:t>债券交易金额</w:t>
            </w:r>
          </w:p>
        </w:tc>
        <w:tc>
          <w:tcPr>
            <w:tcW w:w="1502" w:type="dxa"/>
            <w:gridSpan w:val="2"/>
            <w:shd w:val="clear" w:color="auto" w:fill="BFBFBF"/>
            <w:vAlign w:val="center"/>
          </w:tcPr>
          <w:p w14:paraId="59911766">
            <w:pPr>
              <w:jc w:val="center"/>
            </w:pPr>
            <w:r>
              <w:rPr>
                <w:rFonts w:hint="eastAsia"/>
                <w:b/>
              </w:rPr>
              <w:t>基金逆回购</w:t>
            </w:r>
          </w:p>
        </w:tc>
        <w:tc>
          <w:tcPr>
            <w:tcW w:w="883" w:type="dxa"/>
            <w:gridSpan w:val="2"/>
            <w:shd w:val="clear" w:color="auto" w:fill="BFBFBF"/>
            <w:vAlign w:val="center"/>
          </w:tcPr>
          <w:p w14:paraId="6DEF18A0">
            <w:pPr>
              <w:jc w:val="center"/>
            </w:pPr>
            <w:r>
              <w:rPr>
                <w:rFonts w:hint="eastAsia"/>
                <w:b/>
              </w:rPr>
              <w:t>基金正回购</w:t>
            </w:r>
          </w:p>
        </w:tc>
      </w:tr>
      <w:tr w14:paraId="174210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vMerge w:val="continue"/>
            <w:vAlign w:val="center"/>
          </w:tcPr>
          <w:p w14:paraId="3ECE44CF"/>
        </w:tc>
        <w:tc>
          <w:tcPr>
            <w:tcW w:w="1502" w:type="dxa"/>
            <w:shd w:val="clear" w:color="auto" w:fill="BFBFBF"/>
            <w:vAlign w:val="center"/>
          </w:tcPr>
          <w:p w14:paraId="0FE55CA1">
            <w:pPr>
              <w:jc w:val="center"/>
            </w:pPr>
            <w:r>
              <w:rPr>
                <w:rFonts w:hint="eastAsia"/>
                <w:b/>
              </w:rPr>
              <w:t>基金买入</w:t>
            </w:r>
          </w:p>
        </w:tc>
        <w:tc>
          <w:tcPr>
            <w:tcW w:w="1502" w:type="dxa"/>
            <w:shd w:val="clear" w:color="auto" w:fill="BFBFBF"/>
            <w:vAlign w:val="center"/>
          </w:tcPr>
          <w:p w14:paraId="6B946A1E">
            <w:pPr>
              <w:jc w:val="center"/>
            </w:pPr>
            <w:r>
              <w:rPr>
                <w:rFonts w:hint="eastAsia"/>
                <w:b/>
              </w:rPr>
              <w:t>基金卖出</w:t>
            </w:r>
          </w:p>
        </w:tc>
        <w:tc>
          <w:tcPr>
            <w:tcW w:w="1502" w:type="dxa"/>
            <w:shd w:val="clear" w:color="auto" w:fill="BFBFBF"/>
            <w:vAlign w:val="center"/>
          </w:tcPr>
          <w:p w14:paraId="1101EDD1">
            <w:pPr>
              <w:jc w:val="center"/>
            </w:pPr>
            <w:r>
              <w:rPr>
                <w:rFonts w:hint="eastAsia"/>
                <w:b/>
              </w:rPr>
              <w:t>交易金额</w:t>
            </w:r>
          </w:p>
        </w:tc>
        <w:tc>
          <w:tcPr>
            <w:tcW w:w="1502" w:type="dxa"/>
            <w:shd w:val="clear" w:color="auto" w:fill="BFBFBF"/>
            <w:vAlign w:val="center"/>
          </w:tcPr>
          <w:p w14:paraId="4F7F8919">
            <w:pPr>
              <w:jc w:val="center"/>
            </w:pPr>
            <w:r>
              <w:rPr>
                <w:rFonts w:hint="eastAsia"/>
                <w:b/>
              </w:rPr>
              <w:t>利息收入</w:t>
            </w:r>
          </w:p>
        </w:tc>
        <w:tc>
          <w:tcPr>
            <w:tcW w:w="883" w:type="dxa"/>
            <w:shd w:val="clear" w:color="auto" w:fill="BFBFBF"/>
            <w:vAlign w:val="center"/>
          </w:tcPr>
          <w:p w14:paraId="79A04620">
            <w:pPr>
              <w:jc w:val="center"/>
            </w:pPr>
            <w:r>
              <w:rPr>
                <w:rFonts w:hint="eastAsia"/>
                <w:b/>
              </w:rPr>
              <w:t>交易金额</w:t>
            </w:r>
          </w:p>
        </w:tc>
        <w:tc>
          <w:tcPr>
            <w:tcW w:w="883" w:type="dxa"/>
            <w:shd w:val="clear" w:color="auto" w:fill="BFBFBF"/>
            <w:vAlign w:val="center"/>
          </w:tcPr>
          <w:p w14:paraId="2AE1F856">
            <w:pPr>
              <w:jc w:val="center"/>
            </w:pPr>
            <w:r>
              <w:rPr>
                <w:rFonts w:hint="eastAsia"/>
                <w:b/>
              </w:rPr>
              <w:t>利息支出</w:t>
            </w:r>
          </w:p>
        </w:tc>
      </w:tr>
      <w:tr w14:paraId="582FD2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vAlign w:val="center"/>
          </w:tcPr>
          <w:p w14:paraId="0B7962B2">
            <w:r>
              <w:rPr>
                <w:rFonts w:hint="eastAsia"/>
              </w:rPr>
              <w:t>交通银行</w:t>
            </w:r>
          </w:p>
        </w:tc>
        <w:tc>
          <w:tcPr>
            <w:tcW w:w="1502" w:type="dxa"/>
            <w:vAlign w:val="center"/>
          </w:tcPr>
          <w:p w14:paraId="11B0D68E">
            <w:pPr>
              <w:jc w:val="right"/>
            </w:pPr>
            <w:r>
              <w:rPr>
                <w:rFonts w:hint="eastAsia"/>
              </w:rPr>
              <w:t>-</w:t>
            </w:r>
          </w:p>
        </w:tc>
        <w:tc>
          <w:tcPr>
            <w:tcW w:w="1502" w:type="dxa"/>
            <w:vAlign w:val="center"/>
          </w:tcPr>
          <w:p w14:paraId="74C1A7E6">
            <w:pPr>
              <w:jc w:val="right"/>
            </w:pPr>
            <w:r>
              <w:rPr>
                <w:rFonts w:hint="eastAsia"/>
              </w:rPr>
              <w:t>-</w:t>
            </w:r>
          </w:p>
        </w:tc>
        <w:tc>
          <w:tcPr>
            <w:tcW w:w="1502" w:type="dxa"/>
            <w:vAlign w:val="center"/>
          </w:tcPr>
          <w:p w14:paraId="2EDEC6FC">
            <w:pPr>
              <w:jc w:val="right"/>
            </w:pPr>
            <w:r>
              <w:rPr>
                <w:rFonts w:hint="eastAsia"/>
              </w:rPr>
              <w:t>-</w:t>
            </w:r>
          </w:p>
        </w:tc>
        <w:tc>
          <w:tcPr>
            <w:tcW w:w="1502" w:type="dxa"/>
            <w:vAlign w:val="center"/>
          </w:tcPr>
          <w:p w14:paraId="75413C0E">
            <w:pPr>
              <w:jc w:val="right"/>
            </w:pPr>
            <w:r>
              <w:rPr>
                <w:rFonts w:hint="eastAsia"/>
              </w:rPr>
              <w:t>-</w:t>
            </w:r>
          </w:p>
        </w:tc>
        <w:tc>
          <w:tcPr>
            <w:tcW w:w="883" w:type="dxa"/>
            <w:vAlign w:val="center"/>
          </w:tcPr>
          <w:p w14:paraId="065B2526">
            <w:pPr>
              <w:jc w:val="right"/>
            </w:pPr>
            <w:r>
              <w:rPr>
                <w:rFonts w:hint="eastAsia"/>
              </w:rPr>
              <w:t>-</w:t>
            </w:r>
          </w:p>
        </w:tc>
        <w:tc>
          <w:tcPr>
            <w:tcW w:w="883" w:type="dxa"/>
            <w:vAlign w:val="center"/>
          </w:tcPr>
          <w:p w14:paraId="4AB8373F">
            <w:pPr>
              <w:jc w:val="right"/>
            </w:pPr>
            <w:r>
              <w:rPr>
                <w:rFonts w:hint="eastAsia"/>
              </w:rPr>
              <w:t>-</w:t>
            </w:r>
          </w:p>
        </w:tc>
      </w:tr>
    </w:tbl>
    <w:p w14:paraId="5E83F11E">
      <w:pPr>
        <w:pStyle w:val="35"/>
      </w:pPr>
      <w:bookmarkStart w:id="116" w:name="_Toc116"/>
      <w:r>
        <w:t>报告期内转融通证券出借业务发生重大关联交易事项的说明</w:t>
      </w:r>
      <w:bookmarkEnd w:id="116"/>
    </w:p>
    <w:p w14:paraId="03A2E691">
      <w:pPr>
        <w:pStyle w:val="36"/>
      </w:pPr>
      <w:bookmarkStart w:id="117" w:name="_Toc117"/>
      <w:r>
        <w:t>与关联方通过约定申报方式进行的适用固定期限费率的证券出借业务的情况</w:t>
      </w:r>
      <w:bookmarkEnd w:id="117"/>
    </w:p>
    <w:p w14:paraId="69F19894">
      <w:pPr>
        <w:pStyle w:val="18"/>
        <w:rPr>
          <w:rFonts w:hint="eastAsia"/>
        </w:rPr>
      </w:pPr>
      <w:r>
        <w:rPr>
          <w:rFonts w:hint="eastAsia"/>
        </w:rPr>
        <w:t>无。</w:t>
      </w:r>
    </w:p>
    <w:p w14:paraId="2D43AEB6">
      <w:pPr>
        <w:pStyle w:val="36"/>
      </w:pPr>
      <w:bookmarkStart w:id="118" w:name="_Toc118"/>
      <w:r>
        <w:t>与关联方通过约定申报方式进行的适用市场化期限费率的证券出借业务的情况</w:t>
      </w:r>
      <w:bookmarkEnd w:id="118"/>
    </w:p>
    <w:p w14:paraId="5CCD7DC4">
      <w:pPr>
        <w:pStyle w:val="18"/>
        <w:rPr>
          <w:rFonts w:hint="eastAsia"/>
        </w:rPr>
      </w:pPr>
      <w:r>
        <w:rPr>
          <w:rFonts w:hint="eastAsia"/>
        </w:rPr>
        <w:t>无。</w:t>
      </w:r>
    </w:p>
    <w:p w14:paraId="2F613EE8">
      <w:pPr>
        <w:pStyle w:val="35"/>
      </w:pPr>
      <w:bookmarkStart w:id="119" w:name="_Toc119"/>
      <w:r>
        <w:t>各关联方投资本基金的情况</w:t>
      </w:r>
      <w:bookmarkEnd w:id="119"/>
    </w:p>
    <w:p w14:paraId="3251195F">
      <w:pPr>
        <w:pStyle w:val="36"/>
      </w:pPr>
      <w:bookmarkStart w:id="120" w:name="_Toc120"/>
      <w:r>
        <w:t>报告期内基金管理人运用固有资金投资本基金的情况</w:t>
      </w:r>
      <w:bookmarkEnd w:id="120"/>
    </w:p>
    <w:p w14:paraId="001B80A7">
      <w:pPr>
        <w:pStyle w:val="18"/>
        <w:rPr>
          <w:rFonts w:hint="eastAsia"/>
        </w:rPr>
      </w:pPr>
      <w:r>
        <w:rPr>
          <w:rFonts w:hint="eastAsia"/>
        </w:rPr>
        <w:t>无。</w:t>
      </w:r>
    </w:p>
    <w:p w14:paraId="11038441">
      <w:pPr>
        <w:pStyle w:val="36"/>
      </w:pPr>
      <w:bookmarkStart w:id="121" w:name="_Toc121"/>
      <w:r>
        <w:t>报告期末除基金管理人之外的其他关联方投资本基金的情况</w:t>
      </w:r>
      <w:bookmarkEnd w:id="121"/>
    </w:p>
    <w:p w14:paraId="460B6BAA">
      <w:pPr>
        <w:pStyle w:val="18"/>
        <w:rPr>
          <w:rFonts w:hint="eastAsia"/>
        </w:rPr>
      </w:pPr>
      <w:r>
        <w:rPr>
          <w:rFonts w:hint="eastAsia"/>
        </w:rPr>
        <w:t>无。</w:t>
      </w:r>
    </w:p>
    <w:p w14:paraId="0E70FD4A">
      <w:pPr>
        <w:pStyle w:val="35"/>
      </w:pPr>
      <w:bookmarkStart w:id="122" w:name="_Toc122"/>
      <w:r>
        <w:t>由关联方保管的银行存款余额及当期产生的利息收入</w:t>
      </w:r>
      <w:bookmarkEnd w:id="122"/>
    </w:p>
    <w:p w14:paraId="40DBC49E">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28465175">
        <w:tblPrEx>
          <w:tblCellMar>
            <w:top w:w="0" w:type="dxa"/>
            <w:left w:w="108" w:type="dxa"/>
            <w:bottom w:w="0" w:type="dxa"/>
            <w:right w:w="108" w:type="dxa"/>
          </w:tblCellMar>
        </w:tblPrEx>
        <w:trPr>
          <w:jc w:val="center"/>
        </w:trPr>
        <w:tc>
          <w:tcPr>
            <w:tcW w:w="1661" w:type="dxa"/>
            <w:vMerge w:val="restart"/>
            <w:shd w:val="clear" w:color="auto" w:fill="BFBFBF"/>
            <w:vAlign w:val="center"/>
          </w:tcPr>
          <w:p w14:paraId="6E43BB9D">
            <w:pPr>
              <w:jc w:val="center"/>
            </w:pPr>
            <w:r>
              <w:rPr>
                <w:rFonts w:hint="eastAsia"/>
                <w:b/>
              </w:rPr>
              <w:t>关联方名称</w:t>
            </w:r>
          </w:p>
        </w:tc>
        <w:tc>
          <w:tcPr>
            <w:tcW w:w="1661" w:type="dxa"/>
            <w:gridSpan w:val="2"/>
            <w:shd w:val="clear" w:color="auto" w:fill="BFBFBF"/>
            <w:vAlign w:val="center"/>
          </w:tcPr>
          <w:p w14:paraId="4C4F4A25">
            <w:pPr>
              <w:jc w:val="center"/>
            </w:pPr>
            <w:r>
              <w:rPr>
                <w:rFonts w:hint="eastAsia"/>
                <w:b/>
              </w:rPr>
              <w:t>本期2025年1月1日至2025年12月31日</w:t>
            </w:r>
          </w:p>
        </w:tc>
        <w:tc>
          <w:tcPr>
            <w:tcW w:w="1661" w:type="dxa"/>
            <w:gridSpan w:val="2"/>
            <w:shd w:val="clear" w:color="auto" w:fill="BFBFBF"/>
            <w:vAlign w:val="center"/>
          </w:tcPr>
          <w:p w14:paraId="4BDBE50E">
            <w:pPr>
              <w:jc w:val="center"/>
            </w:pPr>
            <w:r>
              <w:rPr>
                <w:rFonts w:hint="eastAsia"/>
                <w:b/>
              </w:rPr>
              <w:t>上年度可比期间2024年1月1日至2024年12月31日</w:t>
            </w:r>
          </w:p>
        </w:tc>
      </w:tr>
      <w:tr w14:paraId="014FF4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141E5890"/>
        </w:tc>
        <w:tc>
          <w:tcPr>
            <w:tcW w:w="1661" w:type="dxa"/>
            <w:shd w:val="clear" w:color="auto" w:fill="BFBFBF"/>
            <w:vAlign w:val="center"/>
          </w:tcPr>
          <w:p w14:paraId="760438FB">
            <w:pPr>
              <w:jc w:val="center"/>
            </w:pPr>
            <w:r>
              <w:rPr>
                <w:rFonts w:hint="eastAsia"/>
                <w:b/>
              </w:rPr>
              <w:t>期末余额</w:t>
            </w:r>
          </w:p>
        </w:tc>
        <w:tc>
          <w:tcPr>
            <w:tcW w:w="1661" w:type="dxa"/>
            <w:shd w:val="clear" w:color="auto" w:fill="BFBFBF"/>
            <w:vAlign w:val="center"/>
          </w:tcPr>
          <w:p w14:paraId="73297CD2">
            <w:pPr>
              <w:jc w:val="center"/>
            </w:pPr>
            <w:r>
              <w:rPr>
                <w:rFonts w:hint="eastAsia"/>
                <w:b/>
              </w:rPr>
              <w:t>当期利息收入</w:t>
            </w:r>
          </w:p>
        </w:tc>
        <w:tc>
          <w:tcPr>
            <w:tcW w:w="1661" w:type="dxa"/>
            <w:shd w:val="clear" w:color="auto" w:fill="BFBFBF"/>
            <w:vAlign w:val="center"/>
          </w:tcPr>
          <w:p w14:paraId="5DB8D853">
            <w:pPr>
              <w:jc w:val="center"/>
            </w:pPr>
            <w:r>
              <w:rPr>
                <w:rFonts w:hint="eastAsia"/>
                <w:b/>
              </w:rPr>
              <w:t>期末余额</w:t>
            </w:r>
          </w:p>
        </w:tc>
        <w:tc>
          <w:tcPr>
            <w:tcW w:w="1661" w:type="dxa"/>
            <w:shd w:val="clear" w:color="auto" w:fill="BFBFBF"/>
            <w:vAlign w:val="center"/>
          </w:tcPr>
          <w:p w14:paraId="7804784A">
            <w:pPr>
              <w:jc w:val="center"/>
            </w:pPr>
            <w:r>
              <w:rPr>
                <w:rFonts w:hint="eastAsia"/>
                <w:b/>
              </w:rPr>
              <w:t>当期利息收入</w:t>
            </w:r>
          </w:p>
        </w:tc>
      </w:tr>
      <w:tr w14:paraId="108FCF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8EF379A">
            <w:r>
              <w:rPr>
                <w:rFonts w:hint="eastAsia"/>
              </w:rPr>
              <w:t>交通银行</w:t>
            </w:r>
          </w:p>
        </w:tc>
        <w:tc>
          <w:tcPr>
            <w:tcW w:w="1661" w:type="dxa"/>
            <w:vAlign w:val="center"/>
          </w:tcPr>
          <w:p w14:paraId="49C8C7A8">
            <w:pPr>
              <w:jc w:val="right"/>
            </w:pPr>
            <w:r>
              <w:rPr>
                <w:rFonts w:hint="eastAsia"/>
              </w:rPr>
              <w:t>488,786.88</w:t>
            </w:r>
          </w:p>
        </w:tc>
        <w:tc>
          <w:tcPr>
            <w:tcW w:w="1661" w:type="dxa"/>
            <w:vAlign w:val="center"/>
          </w:tcPr>
          <w:p w14:paraId="522F3940">
            <w:pPr>
              <w:jc w:val="right"/>
            </w:pPr>
            <w:r>
              <w:rPr>
                <w:rFonts w:hint="eastAsia"/>
              </w:rPr>
              <w:t>40,834.83</w:t>
            </w:r>
          </w:p>
        </w:tc>
        <w:tc>
          <w:tcPr>
            <w:tcW w:w="1661" w:type="dxa"/>
            <w:vAlign w:val="center"/>
          </w:tcPr>
          <w:p w14:paraId="0493B8AD">
            <w:pPr>
              <w:jc w:val="right"/>
            </w:pPr>
            <w:r>
              <w:rPr>
                <w:rFonts w:hint="eastAsia"/>
              </w:rPr>
              <w:t>437,941.36</w:t>
            </w:r>
          </w:p>
        </w:tc>
        <w:tc>
          <w:tcPr>
            <w:tcW w:w="1661" w:type="dxa"/>
            <w:vAlign w:val="center"/>
          </w:tcPr>
          <w:p w14:paraId="126EE853">
            <w:pPr>
              <w:jc w:val="right"/>
            </w:pPr>
            <w:r>
              <w:rPr>
                <w:rFonts w:hint="eastAsia"/>
              </w:rPr>
              <w:t>1,309,418.75</w:t>
            </w:r>
          </w:p>
        </w:tc>
      </w:tr>
    </w:tbl>
    <w:p w14:paraId="7657B465">
      <w:pPr>
        <w:pStyle w:val="47"/>
        <w:rPr>
          <w:rFonts w:hint="eastAsia"/>
        </w:rPr>
      </w:pPr>
      <w:r>
        <w:rPr>
          <w:rFonts w:hint="eastAsia"/>
        </w:rPr>
        <w:t>注：本基金的银行存款由基金托管人保管，按银行约定利率计息。</w:t>
      </w:r>
    </w:p>
    <w:p w14:paraId="101FA701">
      <w:pPr>
        <w:pStyle w:val="35"/>
      </w:pPr>
      <w:bookmarkStart w:id="123" w:name="_Toc123"/>
      <w:r>
        <w:t>本基金在承销期内参与关联方承销证券的情况</w:t>
      </w:r>
      <w:bookmarkEnd w:id="123"/>
    </w:p>
    <w:p w14:paraId="7500743F">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7FD63F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gridSpan w:val="6"/>
            <w:shd w:val="clear" w:color="auto" w:fill="BFBFBF"/>
            <w:vAlign w:val="center"/>
          </w:tcPr>
          <w:p w14:paraId="70CFDDF7">
            <w:pPr>
              <w:jc w:val="center"/>
            </w:pPr>
            <w:r>
              <w:rPr>
                <w:rFonts w:hint="eastAsia"/>
                <w:b/>
              </w:rPr>
              <w:t>本期2025年1月1日至2025年12月31日</w:t>
            </w:r>
          </w:p>
        </w:tc>
      </w:tr>
      <w:tr w14:paraId="620F5F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restart"/>
            <w:shd w:val="clear" w:color="auto" w:fill="BFBFBF"/>
            <w:vAlign w:val="center"/>
          </w:tcPr>
          <w:p w14:paraId="1DA9755F">
            <w:pPr>
              <w:jc w:val="center"/>
            </w:pPr>
            <w:r>
              <w:rPr>
                <w:rFonts w:hint="eastAsia"/>
                <w:b/>
              </w:rPr>
              <w:t>关联方名称</w:t>
            </w:r>
          </w:p>
        </w:tc>
        <w:tc>
          <w:tcPr>
            <w:tcW w:w="1384" w:type="dxa"/>
            <w:vMerge w:val="restart"/>
            <w:shd w:val="clear" w:color="auto" w:fill="BFBFBF"/>
            <w:vAlign w:val="center"/>
          </w:tcPr>
          <w:p w14:paraId="6E33C82C">
            <w:pPr>
              <w:jc w:val="center"/>
            </w:pPr>
            <w:r>
              <w:rPr>
                <w:rFonts w:hint="eastAsia"/>
                <w:b/>
              </w:rPr>
              <w:t>证券代码</w:t>
            </w:r>
          </w:p>
        </w:tc>
        <w:tc>
          <w:tcPr>
            <w:tcW w:w="1384" w:type="dxa"/>
            <w:vMerge w:val="restart"/>
            <w:shd w:val="clear" w:color="auto" w:fill="BFBFBF"/>
            <w:vAlign w:val="center"/>
          </w:tcPr>
          <w:p w14:paraId="41E00989">
            <w:pPr>
              <w:jc w:val="center"/>
            </w:pPr>
            <w:r>
              <w:rPr>
                <w:rFonts w:hint="eastAsia"/>
                <w:b/>
              </w:rPr>
              <w:t>证券名称</w:t>
            </w:r>
          </w:p>
        </w:tc>
        <w:tc>
          <w:tcPr>
            <w:tcW w:w="1384" w:type="dxa"/>
            <w:vMerge w:val="restart"/>
            <w:shd w:val="clear" w:color="auto" w:fill="BFBFBF"/>
            <w:vAlign w:val="center"/>
          </w:tcPr>
          <w:p w14:paraId="2D9D60A7">
            <w:pPr>
              <w:jc w:val="center"/>
            </w:pPr>
            <w:r>
              <w:rPr>
                <w:rFonts w:hint="eastAsia"/>
                <w:b/>
              </w:rPr>
              <w:t>发行方式</w:t>
            </w:r>
          </w:p>
        </w:tc>
        <w:tc>
          <w:tcPr>
            <w:tcW w:w="1384" w:type="dxa"/>
            <w:gridSpan w:val="2"/>
            <w:shd w:val="clear" w:color="auto" w:fill="BFBFBF"/>
            <w:vAlign w:val="center"/>
          </w:tcPr>
          <w:p w14:paraId="6CF8B703">
            <w:pPr>
              <w:jc w:val="center"/>
            </w:pPr>
            <w:r>
              <w:rPr>
                <w:rFonts w:hint="eastAsia"/>
                <w:b/>
              </w:rPr>
              <w:t>基金在承销期内买入</w:t>
            </w:r>
          </w:p>
        </w:tc>
      </w:tr>
      <w:tr w14:paraId="0CB140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continue"/>
            <w:vAlign w:val="center"/>
          </w:tcPr>
          <w:p w14:paraId="0CE963ED"/>
        </w:tc>
        <w:tc>
          <w:tcPr>
            <w:tcW w:w="1384" w:type="dxa"/>
            <w:vMerge w:val="continue"/>
            <w:vAlign w:val="center"/>
          </w:tcPr>
          <w:p w14:paraId="0F0522CC"/>
        </w:tc>
        <w:tc>
          <w:tcPr>
            <w:tcW w:w="1384" w:type="dxa"/>
            <w:vMerge w:val="continue"/>
            <w:vAlign w:val="center"/>
          </w:tcPr>
          <w:p w14:paraId="7468E772"/>
        </w:tc>
        <w:tc>
          <w:tcPr>
            <w:tcW w:w="1384" w:type="dxa"/>
            <w:vMerge w:val="continue"/>
            <w:vAlign w:val="center"/>
          </w:tcPr>
          <w:p w14:paraId="2B63A341"/>
        </w:tc>
        <w:tc>
          <w:tcPr>
            <w:tcW w:w="1384" w:type="dxa"/>
            <w:shd w:val="clear" w:color="auto" w:fill="BFBFBF"/>
            <w:vAlign w:val="center"/>
          </w:tcPr>
          <w:p w14:paraId="41AC247A">
            <w:pPr>
              <w:jc w:val="center"/>
            </w:pPr>
            <w:r>
              <w:rPr>
                <w:rFonts w:hint="eastAsia"/>
                <w:b/>
              </w:rPr>
              <w:t>数量（单位：股/张）</w:t>
            </w:r>
          </w:p>
        </w:tc>
        <w:tc>
          <w:tcPr>
            <w:tcW w:w="1384" w:type="dxa"/>
            <w:shd w:val="clear" w:color="auto" w:fill="BFBFBF"/>
            <w:vAlign w:val="center"/>
          </w:tcPr>
          <w:p w14:paraId="2A6DEFF1">
            <w:pPr>
              <w:jc w:val="center"/>
            </w:pPr>
            <w:r>
              <w:rPr>
                <w:rFonts w:hint="eastAsia"/>
                <w:b/>
              </w:rPr>
              <w:t>总金额</w:t>
            </w:r>
          </w:p>
        </w:tc>
      </w:tr>
      <w:tr w14:paraId="01DA82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EBF6461">
            <w:r>
              <w:rPr>
                <w:rFonts w:hint="eastAsia"/>
              </w:rPr>
              <w:t>交通银行</w:t>
            </w:r>
          </w:p>
        </w:tc>
        <w:tc>
          <w:tcPr>
            <w:tcW w:w="1384" w:type="dxa"/>
            <w:vAlign w:val="center"/>
          </w:tcPr>
          <w:p w14:paraId="579998B1">
            <w:r>
              <w:rPr>
                <w:rFonts w:hint="eastAsia"/>
              </w:rPr>
              <w:t>112506286</w:t>
            </w:r>
          </w:p>
        </w:tc>
        <w:tc>
          <w:tcPr>
            <w:tcW w:w="1384" w:type="dxa"/>
            <w:vAlign w:val="center"/>
          </w:tcPr>
          <w:p w14:paraId="67DC999C">
            <w:r>
              <w:rPr>
                <w:rFonts w:hint="eastAsia"/>
              </w:rPr>
              <w:t>25交通银行CD286</w:t>
            </w:r>
          </w:p>
        </w:tc>
        <w:tc>
          <w:tcPr>
            <w:tcW w:w="1384" w:type="dxa"/>
            <w:vAlign w:val="center"/>
          </w:tcPr>
          <w:p w14:paraId="49E13C03">
            <w:r>
              <w:rPr>
                <w:rFonts w:hint="eastAsia"/>
              </w:rPr>
              <w:t>报价发行</w:t>
            </w:r>
          </w:p>
        </w:tc>
        <w:tc>
          <w:tcPr>
            <w:tcW w:w="1384" w:type="dxa"/>
            <w:vAlign w:val="center"/>
          </w:tcPr>
          <w:p w14:paraId="43441D6A">
            <w:pPr>
              <w:jc w:val="right"/>
            </w:pPr>
            <w:r>
              <w:rPr>
                <w:rFonts w:hint="eastAsia"/>
              </w:rPr>
              <w:t>2,000,000</w:t>
            </w:r>
          </w:p>
        </w:tc>
        <w:tc>
          <w:tcPr>
            <w:tcW w:w="1384" w:type="dxa"/>
            <w:vAlign w:val="center"/>
          </w:tcPr>
          <w:p w14:paraId="5C342505">
            <w:pPr>
              <w:jc w:val="right"/>
            </w:pPr>
            <w:r>
              <w:rPr>
                <w:rFonts w:hint="eastAsia"/>
              </w:rPr>
              <w:t>197,553,000.00</w:t>
            </w:r>
          </w:p>
        </w:tc>
      </w:tr>
      <w:tr w14:paraId="1DF56F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0B2808D">
            <w:r>
              <w:rPr>
                <w:rFonts w:hint="eastAsia"/>
              </w:rPr>
              <w:t>交通银行</w:t>
            </w:r>
          </w:p>
        </w:tc>
        <w:tc>
          <w:tcPr>
            <w:tcW w:w="1384" w:type="dxa"/>
            <w:vAlign w:val="center"/>
          </w:tcPr>
          <w:p w14:paraId="7D7E5B7F">
            <w:r>
              <w:rPr>
                <w:rFonts w:hint="eastAsia"/>
              </w:rPr>
              <w:t>112506284</w:t>
            </w:r>
          </w:p>
        </w:tc>
        <w:tc>
          <w:tcPr>
            <w:tcW w:w="1384" w:type="dxa"/>
            <w:vAlign w:val="center"/>
          </w:tcPr>
          <w:p w14:paraId="009F9D86">
            <w:r>
              <w:rPr>
                <w:rFonts w:hint="eastAsia"/>
              </w:rPr>
              <w:t>25交通银行CD284</w:t>
            </w:r>
          </w:p>
        </w:tc>
        <w:tc>
          <w:tcPr>
            <w:tcW w:w="1384" w:type="dxa"/>
            <w:vAlign w:val="center"/>
          </w:tcPr>
          <w:p w14:paraId="42559B4B">
            <w:r>
              <w:rPr>
                <w:rFonts w:hint="eastAsia"/>
              </w:rPr>
              <w:t>报价发行</w:t>
            </w:r>
          </w:p>
        </w:tc>
        <w:tc>
          <w:tcPr>
            <w:tcW w:w="1384" w:type="dxa"/>
            <w:vAlign w:val="center"/>
          </w:tcPr>
          <w:p w14:paraId="16614E87">
            <w:pPr>
              <w:jc w:val="right"/>
            </w:pPr>
            <w:r>
              <w:rPr>
                <w:rFonts w:hint="eastAsia"/>
              </w:rPr>
              <w:t>2,000,000</w:t>
            </w:r>
          </w:p>
        </w:tc>
        <w:tc>
          <w:tcPr>
            <w:tcW w:w="1384" w:type="dxa"/>
            <w:vAlign w:val="center"/>
          </w:tcPr>
          <w:p w14:paraId="7F1AAA91">
            <w:pPr>
              <w:jc w:val="right"/>
            </w:pPr>
            <w:r>
              <w:rPr>
                <w:rFonts w:hint="eastAsia"/>
              </w:rPr>
              <w:t>197,538,400.00</w:t>
            </w:r>
          </w:p>
        </w:tc>
      </w:tr>
      <w:tr w14:paraId="38166A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EEB8BBC">
            <w:r>
              <w:rPr>
                <w:rFonts w:hint="eastAsia"/>
              </w:rPr>
              <w:t>交通银行</w:t>
            </w:r>
          </w:p>
        </w:tc>
        <w:tc>
          <w:tcPr>
            <w:tcW w:w="1384" w:type="dxa"/>
            <w:vAlign w:val="center"/>
          </w:tcPr>
          <w:p w14:paraId="4A0F765A">
            <w:r>
              <w:rPr>
                <w:rFonts w:hint="eastAsia"/>
              </w:rPr>
              <w:t>112506220</w:t>
            </w:r>
          </w:p>
        </w:tc>
        <w:tc>
          <w:tcPr>
            <w:tcW w:w="1384" w:type="dxa"/>
            <w:vAlign w:val="center"/>
          </w:tcPr>
          <w:p w14:paraId="34EDD11D">
            <w:r>
              <w:rPr>
                <w:rFonts w:hint="eastAsia"/>
              </w:rPr>
              <w:t>25交通银行CD220</w:t>
            </w:r>
          </w:p>
        </w:tc>
        <w:tc>
          <w:tcPr>
            <w:tcW w:w="1384" w:type="dxa"/>
            <w:vAlign w:val="center"/>
          </w:tcPr>
          <w:p w14:paraId="39684970">
            <w:r>
              <w:rPr>
                <w:rFonts w:hint="eastAsia"/>
              </w:rPr>
              <w:t>报价发行</w:t>
            </w:r>
          </w:p>
        </w:tc>
        <w:tc>
          <w:tcPr>
            <w:tcW w:w="1384" w:type="dxa"/>
            <w:vAlign w:val="center"/>
          </w:tcPr>
          <w:p w14:paraId="24E72A7C">
            <w:pPr>
              <w:jc w:val="right"/>
            </w:pPr>
            <w:r>
              <w:rPr>
                <w:rFonts w:hint="eastAsia"/>
              </w:rPr>
              <w:t>2,000,000</w:t>
            </w:r>
          </w:p>
        </w:tc>
        <w:tc>
          <w:tcPr>
            <w:tcW w:w="1384" w:type="dxa"/>
            <w:vAlign w:val="center"/>
          </w:tcPr>
          <w:p w14:paraId="4B0A8B8C">
            <w:pPr>
              <w:jc w:val="right"/>
            </w:pPr>
            <w:r>
              <w:rPr>
                <w:rFonts w:hint="eastAsia"/>
              </w:rPr>
              <w:t>196,695,600.00</w:t>
            </w:r>
          </w:p>
        </w:tc>
      </w:tr>
      <w:tr w14:paraId="45BAE2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E5846AF">
            <w:r>
              <w:rPr>
                <w:rFonts w:hint="eastAsia"/>
              </w:rPr>
              <w:t>交通银行</w:t>
            </w:r>
          </w:p>
        </w:tc>
        <w:tc>
          <w:tcPr>
            <w:tcW w:w="1384" w:type="dxa"/>
            <w:vAlign w:val="center"/>
          </w:tcPr>
          <w:p w14:paraId="5AA3C64F">
            <w:r>
              <w:rPr>
                <w:rFonts w:hint="eastAsia"/>
              </w:rPr>
              <w:t>112506088</w:t>
            </w:r>
          </w:p>
        </w:tc>
        <w:tc>
          <w:tcPr>
            <w:tcW w:w="1384" w:type="dxa"/>
            <w:vAlign w:val="center"/>
          </w:tcPr>
          <w:p w14:paraId="0AEA6F8F">
            <w:r>
              <w:rPr>
                <w:rFonts w:hint="eastAsia"/>
              </w:rPr>
              <w:t>25交通银行CD088</w:t>
            </w:r>
          </w:p>
        </w:tc>
        <w:tc>
          <w:tcPr>
            <w:tcW w:w="1384" w:type="dxa"/>
            <w:vAlign w:val="center"/>
          </w:tcPr>
          <w:p w14:paraId="0C0E0E30">
            <w:r>
              <w:rPr>
                <w:rFonts w:hint="eastAsia"/>
              </w:rPr>
              <w:t>报价发行</w:t>
            </w:r>
          </w:p>
        </w:tc>
        <w:tc>
          <w:tcPr>
            <w:tcW w:w="1384" w:type="dxa"/>
            <w:vAlign w:val="center"/>
          </w:tcPr>
          <w:p w14:paraId="30378536">
            <w:pPr>
              <w:jc w:val="right"/>
            </w:pPr>
            <w:r>
              <w:rPr>
                <w:rFonts w:hint="eastAsia"/>
              </w:rPr>
              <w:t>2,000,000</w:t>
            </w:r>
          </w:p>
        </w:tc>
        <w:tc>
          <w:tcPr>
            <w:tcW w:w="1384" w:type="dxa"/>
            <w:vAlign w:val="center"/>
          </w:tcPr>
          <w:p w14:paraId="6444D289">
            <w:pPr>
              <w:jc w:val="right"/>
            </w:pPr>
            <w:r>
              <w:rPr>
                <w:rFonts w:hint="eastAsia"/>
              </w:rPr>
              <w:t>196,116,800.00</w:t>
            </w:r>
          </w:p>
        </w:tc>
      </w:tr>
      <w:tr w14:paraId="7698B3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561C826">
            <w:r>
              <w:rPr>
                <w:rFonts w:hint="eastAsia"/>
              </w:rPr>
              <w:t>交通银行</w:t>
            </w:r>
          </w:p>
        </w:tc>
        <w:tc>
          <w:tcPr>
            <w:tcW w:w="1384" w:type="dxa"/>
            <w:vAlign w:val="center"/>
          </w:tcPr>
          <w:p w14:paraId="58F2BBF0">
            <w:r>
              <w:rPr>
                <w:rFonts w:hint="eastAsia"/>
              </w:rPr>
              <w:t>112506190</w:t>
            </w:r>
          </w:p>
        </w:tc>
        <w:tc>
          <w:tcPr>
            <w:tcW w:w="1384" w:type="dxa"/>
            <w:vAlign w:val="center"/>
          </w:tcPr>
          <w:p w14:paraId="6DBEDBAB">
            <w:r>
              <w:rPr>
                <w:rFonts w:hint="eastAsia"/>
              </w:rPr>
              <w:t>25交通银行CD190</w:t>
            </w:r>
          </w:p>
        </w:tc>
        <w:tc>
          <w:tcPr>
            <w:tcW w:w="1384" w:type="dxa"/>
            <w:vAlign w:val="center"/>
          </w:tcPr>
          <w:p w14:paraId="6FEFD3D6">
            <w:r>
              <w:rPr>
                <w:rFonts w:hint="eastAsia"/>
              </w:rPr>
              <w:t>报价发行</w:t>
            </w:r>
          </w:p>
        </w:tc>
        <w:tc>
          <w:tcPr>
            <w:tcW w:w="1384" w:type="dxa"/>
            <w:vAlign w:val="center"/>
          </w:tcPr>
          <w:p w14:paraId="7846F4D6">
            <w:pPr>
              <w:jc w:val="right"/>
            </w:pPr>
            <w:r>
              <w:rPr>
                <w:rFonts w:hint="eastAsia"/>
              </w:rPr>
              <w:t>1,000,000</w:t>
            </w:r>
          </w:p>
        </w:tc>
        <w:tc>
          <w:tcPr>
            <w:tcW w:w="1384" w:type="dxa"/>
            <w:vAlign w:val="center"/>
          </w:tcPr>
          <w:p w14:paraId="5AEE2FAE">
            <w:pPr>
              <w:jc w:val="right"/>
            </w:pPr>
            <w:r>
              <w:rPr>
                <w:rFonts w:hint="eastAsia"/>
              </w:rPr>
              <w:t>99,204,800.00</w:t>
            </w:r>
          </w:p>
        </w:tc>
      </w:tr>
      <w:tr w14:paraId="5A9093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DD919BD">
            <w:r>
              <w:rPr>
                <w:rFonts w:hint="eastAsia"/>
              </w:rPr>
              <w:t>交通银行</w:t>
            </w:r>
          </w:p>
        </w:tc>
        <w:tc>
          <w:tcPr>
            <w:tcW w:w="1384" w:type="dxa"/>
            <w:vAlign w:val="center"/>
          </w:tcPr>
          <w:p w14:paraId="222A7220">
            <w:r>
              <w:rPr>
                <w:rFonts w:hint="eastAsia"/>
              </w:rPr>
              <w:t>112506167</w:t>
            </w:r>
          </w:p>
        </w:tc>
        <w:tc>
          <w:tcPr>
            <w:tcW w:w="1384" w:type="dxa"/>
            <w:vAlign w:val="center"/>
          </w:tcPr>
          <w:p w14:paraId="29319168">
            <w:r>
              <w:rPr>
                <w:rFonts w:hint="eastAsia"/>
              </w:rPr>
              <w:t>25交通银行CD167</w:t>
            </w:r>
          </w:p>
        </w:tc>
        <w:tc>
          <w:tcPr>
            <w:tcW w:w="1384" w:type="dxa"/>
            <w:vAlign w:val="center"/>
          </w:tcPr>
          <w:p w14:paraId="4DDA46A2">
            <w:r>
              <w:rPr>
                <w:rFonts w:hint="eastAsia"/>
              </w:rPr>
              <w:t>报价发行</w:t>
            </w:r>
          </w:p>
        </w:tc>
        <w:tc>
          <w:tcPr>
            <w:tcW w:w="1384" w:type="dxa"/>
            <w:vAlign w:val="center"/>
          </w:tcPr>
          <w:p w14:paraId="513C11D6">
            <w:pPr>
              <w:jc w:val="right"/>
            </w:pPr>
            <w:r>
              <w:rPr>
                <w:rFonts w:hint="eastAsia"/>
              </w:rPr>
              <w:t>1,000,000</w:t>
            </w:r>
          </w:p>
        </w:tc>
        <w:tc>
          <w:tcPr>
            <w:tcW w:w="1384" w:type="dxa"/>
            <w:vAlign w:val="center"/>
          </w:tcPr>
          <w:p w14:paraId="0FF6F3E0">
            <w:pPr>
              <w:jc w:val="right"/>
            </w:pPr>
            <w:r>
              <w:rPr>
                <w:rFonts w:hint="eastAsia"/>
              </w:rPr>
              <w:t>98,396,100.00</w:t>
            </w:r>
          </w:p>
        </w:tc>
      </w:tr>
      <w:tr w14:paraId="470433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4707232">
            <w:r>
              <w:rPr>
                <w:rFonts w:hint="eastAsia"/>
              </w:rPr>
              <w:t>交通银行</w:t>
            </w:r>
          </w:p>
        </w:tc>
        <w:tc>
          <w:tcPr>
            <w:tcW w:w="1384" w:type="dxa"/>
            <w:vAlign w:val="center"/>
          </w:tcPr>
          <w:p w14:paraId="5F7E53D8">
            <w:r>
              <w:rPr>
                <w:rFonts w:hint="eastAsia"/>
              </w:rPr>
              <w:t>112506146</w:t>
            </w:r>
          </w:p>
        </w:tc>
        <w:tc>
          <w:tcPr>
            <w:tcW w:w="1384" w:type="dxa"/>
            <w:vAlign w:val="center"/>
          </w:tcPr>
          <w:p w14:paraId="15E6577D">
            <w:r>
              <w:rPr>
                <w:rFonts w:hint="eastAsia"/>
              </w:rPr>
              <w:t>25交通银行CD146</w:t>
            </w:r>
          </w:p>
        </w:tc>
        <w:tc>
          <w:tcPr>
            <w:tcW w:w="1384" w:type="dxa"/>
            <w:vAlign w:val="center"/>
          </w:tcPr>
          <w:p w14:paraId="2B8C0919">
            <w:r>
              <w:rPr>
                <w:rFonts w:hint="eastAsia"/>
              </w:rPr>
              <w:t>报价发行</w:t>
            </w:r>
          </w:p>
        </w:tc>
        <w:tc>
          <w:tcPr>
            <w:tcW w:w="1384" w:type="dxa"/>
            <w:vAlign w:val="center"/>
          </w:tcPr>
          <w:p w14:paraId="0447489A">
            <w:pPr>
              <w:jc w:val="right"/>
            </w:pPr>
            <w:r>
              <w:rPr>
                <w:rFonts w:hint="eastAsia"/>
              </w:rPr>
              <w:t>1,000,000</w:t>
            </w:r>
          </w:p>
        </w:tc>
        <w:tc>
          <w:tcPr>
            <w:tcW w:w="1384" w:type="dxa"/>
            <w:vAlign w:val="center"/>
          </w:tcPr>
          <w:p w14:paraId="4956B898">
            <w:pPr>
              <w:jc w:val="right"/>
            </w:pPr>
            <w:r>
              <w:rPr>
                <w:rFonts w:hint="eastAsia"/>
              </w:rPr>
              <w:t>98,357,400.00</w:t>
            </w:r>
          </w:p>
        </w:tc>
      </w:tr>
      <w:tr w14:paraId="78AC36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384" w:type="dxa"/>
            <w:vAlign w:val="center"/>
          </w:tcPr>
          <w:p w14:paraId="6BA855E8">
            <w:r>
              <w:rPr>
                <w:rFonts w:hint="eastAsia"/>
              </w:rPr>
              <w:t>交通银行</w:t>
            </w:r>
          </w:p>
        </w:tc>
        <w:tc>
          <w:tcPr>
            <w:tcW w:w="1384" w:type="dxa"/>
            <w:vAlign w:val="center"/>
          </w:tcPr>
          <w:p w14:paraId="2B95D915">
            <w:r>
              <w:rPr>
                <w:rFonts w:hint="eastAsia"/>
              </w:rPr>
              <w:t>112506218</w:t>
            </w:r>
          </w:p>
        </w:tc>
        <w:tc>
          <w:tcPr>
            <w:tcW w:w="1384" w:type="dxa"/>
            <w:vAlign w:val="center"/>
          </w:tcPr>
          <w:p w14:paraId="02C6F744">
            <w:r>
              <w:rPr>
                <w:rFonts w:hint="eastAsia"/>
              </w:rPr>
              <w:t>25交通银行CD218</w:t>
            </w:r>
          </w:p>
        </w:tc>
        <w:tc>
          <w:tcPr>
            <w:tcW w:w="1384" w:type="dxa"/>
            <w:vAlign w:val="center"/>
          </w:tcPr>
          <w:p w14:paraId="025D27F0">
            <w:r>
              <w:rPr>
                <w:rFonts w:hint="eastAsia"/>
              </w:rPr>
              <w:t>报价发行</w:t>
            </w:r>
          </w:p>
        </w:tc>
        <w:tc>
          <w:tcPr>
            <w:tcW w:w="1384" w:type="dxa"/>
            <w:vAlign w:val="center"/>
          </w:tcPr>
          <w:p w14:paraId="0876E3A2">
            <w:pPr>
              <w:jc w:val="right"/>
            </w:pPr>
            <w:r>
              <w:rPr>
                <w:rFonts w:hint="eastAsia"/>
              </w:rPr>
              <w:t>1,000,000</w:t>
            </w:r>
          </w:p>
        </w:tc>
        <w:tc>
          <w:tcPr>
            <w:tcW w:w="1384" w:type="dxa"/>
            <w:vAlign w:val="center"/>
          </w:tcPr>
          <w:p w14:paraId="051F896A">
            <w:pPr>
              <w:jc w:val="right"/>
            </w:pPr>
            <w:r>
              <w:rPr>
                <w:rFonts w:hint="eastAsia"/>
              </w:rPr>
              <w:t>98,347,800.00</w:t>
            </w:r>
          </w:p>
        </w:tc>
      </w:tr>
    </w:tbl>
    <w:p w14:paraId="2B62605C"/>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3F461A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gridSpan w:val="6"/>
            <w:shd w:val="clear" w:color="auto" w:fill="BFBFBF"/>
            <w:vAlign w:val="center"/>
          </w:tcPr>
          <w:p w14:paraId="01C85318">
            <w:pPr>
              <w:jc w:val="center"/>
            </w:pPr>
            <w:r>
              <w:rPr>
                <w:rFonts w:hint="eastAsia"/>
                <w:b/>
              </w:rPr>
              <w:t>上年度可比期间2024年1月1日至2024年12月31日</w:t>
            </w:r>
          </w:p>
        </w:tc>
      </w:tr>
      <w:tr w14:paraId="35E57B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restart"/>
            <w:shd w:val="clear" w:color="auto" w:fill="BFBFBF"/>
            <w:vAlign w:val="center"/>
          </w:tcPr>
          <w:p w14:paraId="304B495C">
            <w:pPr>
              <w:jc w:val="center"/>
            </w:pPr>
            <w:r>
              <w:rPr>
                <w:rFonts w:hint="eastAsia"/>
                <w:b/>
              </w:rPr>
              <w:t>关联方名称</w:t>
            </w:r>
          </w:p>
        </w:tc>
        <w:tc>
          <w:tcPr>
            <w:tcW w:w="1384" w:type="dxa"/>
            <w:vMerge w:val="restart"/>
            <w:shd w:val="clear" w:color="auto" w:fill="BFBFBF"/>
            <w:vAlign w:val="center"/>
          </w:tcPr>
          <w:p w14:paraId="3C15BE90">
            <w:pPr>
              <w:jc w:val="center"/>
            </w:pPr>
            <w:r>
              <w:rPr>
                <w:rFonts w:hint="eastAsia"/>
                <w:b/>
              </w:rPr>
              <w:t>证券代码</w:t>
            </w:r>
          </w:p>
        </w:tc>
        <w:tc>
          <w:tcPr>
            <w:tcW w:w="1384" w:type="dxa"/>
            <w:vMerge w:val="restart"/>
            <w:shd w:val="clear" w:color="auto" w:fill="BFBFBF"/>
            <w:vAlign w:val="center"/>
          </w:tcPr>
          <w:p w14:paraId="30BE5FEB">
            <w:pPr>
              <w:jc w:val="center"/>
            </w:pPr>
            <w:r>
              <w:rPr>
                <w:rFonts w:hint="eastAsia"/>
                <w:b/>
              </w:rPr>
              <w:t>证券名称</w:t>
            </w:r>
          </w:p>
        </w:tc>
        <w:tc>
          <w:tcPr>
            <w:tcW w:w="1384" w:type="dxa"/>
            <w:vMerge w:val="restart"/>
            <w:shd w:val="clear" w:color="auto" w:fill="BFBFBF"/>
            <w:vAlign w:val="center"/>
          </w:tcPr>
          <w:p w14:paraId="107BC380">
            <w:pPr>
              <w:jc w:val="center"/>
            </w:pPr>
            <w:r>
              <w:rPr>
                <w:rFonts w:hint="eastAsia"/>
                <w:b/>
              </w:rPr>
              <w:t>发行方式</w:t>
            </w:r>
          </w:p>
        </w:tc>
        <w:tc>
          <w:tcPr>
            <w:tcW w:w="1384" w:type="dxa"/>
            <w:gridSpan w:val="2"/>
            <w:shd w:val="clear" w:color="auto" w:fill="BFBFBF"/>
            <w:vAlign w:val="center"/>
          </w:tcPr>
          <w:p w14:paraId="33FC590D">
            <w:pPr>
              <w:jc w:val="center"/>
            </w:pPr>
            <w:r>
              <w:rPr>
                <w:rFonts w:hint="eastAsia"/>
                <w:b/>
              </w:rPr>
              <w:t>基金在承销期内买入</w:t>
            </w:r>
          </w:p>
        </w:tc>
      </w:tr>
      <w:tr w14:paraId="4EFFED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continue"/>
            <w:vAlign w:val="center"/>
          </w:tcPr>
          <w:p w14:paraId="5B9468F4"/>
        </w:tc>
        <w:tc>
          <w:tcPr>
            <w:tcW w:w="1384" w:type="dxa"/>
            <w:vMerge w:val="continue"/>
            <w:vAlign w:val="center"/>
          </w:tcPr>
          <w:p w14:paraId="4AA14B8A"/>
        </w:tc>
        <w:tc>
          <w:tcPr>
            <w:tcW w:w="1384" w:type="dxa"/>
            <w:vMerge w:val="continue"/>
            <w:vAlign w:val="center"/>
          </w:tcPr>
          <w:p w14:paraId="0D990C1A"/>
        </w:tc>
        <w:tc>
          <w:tcPr>
            <w:tcW w:w="1384" w:type="dxa"/>
            <w:vMerge w:val="continue"/>
            <w:vAlign w:val="center"/>
          </w:tcPr>
          <w:p w14:paraId="70FC5FF5"/>
        </w:tc>
        <w:tc>
          <w:tcPr>
            <w:tcW w:w="1384" w:type="dxa"/>
            <w:shd w:val="clear" w:color="auto" w:fill="BFBFBF"/>
            <w:vAlign w:val="center"/>
          </w:tcPr>
          <w:p w14:paraId="31E54878">
            <w:pPr>
              <w:jc w:val="center"/>
            </w:pPr>
            <w:r>
              <w:rPr>
                <w:rFonts w:hint="eastAsia"/>
                <w:b/>
              </w:rPr>
              <w:t>数量（单位：股/张）</w:t>
            </w:r>
          </w:p>
        </w:tc>
        <w:tc>
          <w:tcPr>
            <w:tcW w:w="1384" w:type="dxa"/>
            <w:shd w:val="clear" w:color="auto" w:fill="BFBFBF"/>
            <w:vAlign w:val="center"/>
          </w:tcPr>
          <w:p w14:paraId="2AD6515B">
            <w:pPr>
              <w:jc w:val="center"/>
            </w:pPr>
            <w:r>
              <w:rPr>
                <w:rFonts w:hint="eastAsia"/>
                <w:b/>
              </w:rPr>
              <w:t>总金额</w:t>
            </w:r>
          </w:p>
        </w:tc>
      </w:tr>
      <w:tr w14:paraId="5FAC98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72A6A76">
            <w:r>
              <w:rPr>
                <w:rFonts w:hint="eastAsia"/>
              </w:rPr>
              <w:t>交通银行</w:t>
            </w:r>
          </w:p>
        </w:tc>
        <w:tc>
          <w:tcPr>
            <w:tcW w:w="1384" w:type="dxa"/>
            <w:vAlign w:val="center"/>
          </w:tcPr>
          <w:p w14:paraId="097DBFEE">
            <w:r>
              <w:rPr>
                <w:rFonts w:hint="eastAsia"/>
              </w:rPr>
              <w:t>112406409</w:t>
            </w:r>
          </w:p>
        </w:tc>
        <w:tc>
          <w:tcPr>
            <w:tcW w:w="1384" w:type="dxa"/>
            <w:vAlign w:val="center"/>
          </w:tcPr>
          <w:p w14:paraId="33E4C55A">
            <w:r>
              <w:rPr>
                <w:rFonts w:hint="eastAsia"/>
              </w:rPr>
              <w:t>24交通银行CD409</w:t>
            </w:r>
          </w:p>
        </w:tc>
        <w:tc>
          <w:tcPr>
            <w:tcW w:w="1384" w:type="dxa"/>
            <w:vAlign w:val="center"/>
          </w:tcPr>
          <w:p w14:paraId="764E5F4C">
            <w:r>
              <w:rPr>
                <w:rFonts w:hint="eastAsia"/>
              </w:rPr>
              <w:t>报价发行</w:t>
            </w:r>
          </w:p>
        </w:tc>
        <w:tc>
          <w:tcPr>
            <w:tcW w:w="1384" w:type="dxa"/>
            <w:vAlign w:val="center"/>
          </w:tcPr>
          <w:p w14:paraId="5AF076AD">
            <w:pPr>
              <w:jc w:val="right"/>
            </w:pPr>
            <w:r>
              <w:rPr>
                <w:rFonts w:hint="eastAsia"/>
              </w:rPr>
              <w:t>1,000,000</w:t>
            </w:r>
          </w:p>
        </w:tc>
        <w:tc>
          <w:tcPr>
            <w:tcW w:w="1384" w:type="dxa"/>
            <w:vAlign w:val="center"/>
          </w:tcPr>
          <w:p w14:paraId="472815CC">
            <w:pPr>
              <w:jc w:val="right"/>
            </w:pPr>
            <w:r>
              <w:rPr>
                <w:rFonts w:hint="eastAsia"/>
              </w:rPr>
              <w:t>98,386,400.00</w:t>
            </w:r>
          </w:p>
        </w:tc>
      </w:tr>
      <w:tr w14:paraId="78557D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5B60C4A">
            <w:r>
              <w:rPr>
                <w:rFonts w:hint="eastAsia"/>
              </w:rPr>
              <w:t>交通银行</w:t>
            </w:r>
          </w:p>
        </w:tc>
        <w:tc>
          <w:tcPr>
            <w:tcW w:w="1384" w:type="dxa"/>
            <w:vAlign w:val="center"/>
          </w:tcPr>
          <w:p w14:paraId="6FBF8E03">
            <w:r>
              <w:rPr>
                <w:rFonts w:hint="eastAsia"/>
              </w:rPr>
              <w:t>112406121</w:t>
            </w:r>
          </w:p>
        </w:tc>
        <w:tc>
          <w:tcPr>
            <w:tcW w:w="1384" w:type="dxa"/>
            <w:vAlign w:val="center"/>
          </w:tcPr>
          <w:p w14:paraId="488F42D6">
            <w:r>
              <w:rPr>
                <w:rFonts w:hint="eastAsia"/>
              </w:rPr>
              <w:t>24交通银行CD121</w:t>
            </w:r>
          </w:p>
        </w:tc>
        <w:tc>
          <w:tcPr>
            <w:tcW w:w="1384" w:type="dxa"/>
            <w:vAlign w:val="center"/>
          </w:tcPr>
          <w:p w14:paraId="7DE81403">
            <w:r>
              <w:rPr>
                <w:rFonts w:hint="eastAsia"/>
              </w:rPr>
              <w:t>报价发行</w:t>
            </w:r>
          </w:p>
        </w:tc>
        <w:tc>
          <w:tcPr>
            <w:tcW w:w="1384" w:type="dxa"/>
            <w:vAlign w:val="center"/>
          </w:tcPr>
          <w:p w14:paraId="761C762A">
            <w:pPr>
              <w:jc w:val="right"/>
            </w:pPr>
            <w:r>
              <w:rPr>
                <w:rFonts w:hint="eastAsia"/>
              </w:rPr>
              <w:t>1,000,000</w:t>
            </w:r>
          </w:p>
        </w:tc>
        <w:tc>
          <w:tcPr>
            <w:tcW w:w="1384" w:type="dxa"/>
            <w:vAlign w:val="center"/>
          </w:tcPr>
          <w:p w14:paraId="1AE37D56">
            <w:pPr>
              <w:jc w:val="right"/>
            </w:pPr>
            <w:r>
              <w:rPr>
                <w:rFonts w:hint="eastAsia"/>
              </w:rPr>
              <w:t>98,347,600.00</w:t>
            </w:r>
          </w:p>
        </w:tc>
      </w:tr>
    </w:tbl>
    <w:p w14:paraId="68240C56">
      <w:pPr>
        <w:pStyle w:val="35"/>
      </w:pPr>
      <w:bookmarkStart w:id="124" w:name="_Toc124"/>
      <w:r>
        <w:t>其他关联交易事项的说明</w:t>
      </w:r>
      <w:bookmarkEnd w:id="124"/>
    </w:p>
    <w:p w14:paraId="556A077F">
      <w:pPr>
        <w:pStyle w:val="18"/>
        <w:rPr>
          <w:rFonts w:hint="eastAsia"/>
        </w:rPr>
      </w:pPr>
      <w:r>
        <w:rPr>
          <w:rFonts w:hint="eastAsia"/>
        </w:rPr>
        <w:t>于本期末，本基金持有关联方交通银行发行的同业存单，成本总额为人民币544,006,542.29元，估值总额为人民币544,144,942.29元，占本基金基金净资产的比例为6.99%（于上期末，本基金持有关联方交通银行发行的同业存单，成本总额为人民币98,823,969.32元，估值总额为人民币98,860,969.32元，占本基金基金净资产的比例为2.68%）。</w:t>
      </w:r>
    </w:p>
    <w:p w14:paraId="6E69731B">
      <w:pPr>
        <w:pStyle w:val="28"/>
      </w:pPr>
      <w:bookmarkStart w:id="125" w:name="_Toc125"/>
      <w:r>
        <w:t>利润分配情况——固定净值型货币市场基金之外的基金</w:t>
      </w:r>
      <w:bookmarkEnd w:id="125"/>
    </w:p>
    <w:p w14:paraId="74A8F803">
      <w:pPr>
        <w:pStyle w:val="47"/>
        <w:rPr>
          <w:rFonts w:hint="eastAsia"/>
        </w:rPr>
      </w:pPr>
      <w:r>
        <w:rPr>
          <w:rFonts w:hint="eastAsia"/>
        </w:rPr>
        <w:t>注：本期无。本基金报告期后分红情况（如有）详见本报告“资产负债表日后事项”部分内容。</w:t>
      </w:r>
    </w:p>
    <w:p w14:paraId="2A17A298">
      <w:pPr>
        <w:pStyle w:val="28"/>
      </w:pPr>
      <w:bookmarkStart w:id="126" w:name="_Toc126"/>
      <w:r>
        <w:t>期末（2025年12月31日）本基金持有的流通受限证券</w:t>
      </w:r>
      <w:bookmarkEnd w:id="126"/>
    </w:p>
    <w:p w14:paraId="484F58D2">
      <w:pPr>
        <w:pStyle w:val="35"/>
      </w:pPr>
      <w:bookmarkStart w:id="127" w:name="_Toc127"/>
      <w:r>
        <w:t>因认购新发/增发证券而于期末持有的流通受限证券</w:t>
      </w:r>
      <w:bookmarkEnd w:id="127"/>
    </w:p>
    <w:p w14:paraId="377378E0">
      <w:pPr>
        <w:pStyle w:val="18"/>
        <w:rPr>
          <w:rFonts w:hint="eastAsia"/>
        </w:rPr>
      </w:pPr>
      <w:r>
        <w:rPr>
          <w:rFonts w:hint="eastAsia"/>
        </w:rPr>
        <w:t>无。</w:t>
      </w:r>
    </w:p>
    <w:p w14:paraId="738F2302">
      <w:pPr>
        <w:pStyle w:val="35"/>
      </w:pPr>
      <w:bookmarkStart w:id="128" w:name="_Toc128"/>
      <w:r>
        <w:t>期末持有的暂时停牌等流通受限股票</w:t>
      </w:r>
      <w:bookmarkEnd w:id="128"/>
    </w:p>
    <w:p w14:paraId="0AFC69AF">
      <w:pPr>
        <w:pStyle w:val="18"/>
        <w:rPr>
          <w:rFonts w:hint="eastAsia"/>
        </w:rPr>
      </w:pPr>
      <w:r>
        <w:rPr>
          <w:rFonts w:hint="eastAsia"/>
        </w:rPr>
        <w:t>无。</w:t>
      </w:r>
    </w:p>
    <w:p w14:paraId="45CDDE55">
      <w:pPr>
        <w:pStyle w:val="35"/>
      </w:pPr>
      <w:bookmarkStart w:id="129" w:name="_Toc129"/>
      <w:r>
        <w:t>期末债券正回购交易中作为抵押的债券</w:t>
      </w:r>
      <w:bookmarkEnd w:id="129"/>
    </w:p>
    <w:p w14:paraId="68F1EE53">
      <w:pPr>
        <w:pStyle w:val="36"/>
      </w:pPr>
      <w:bookmarkStart w:id="130" w:name="_Toc130"/>
      <w:r>
        <w:t>银行间市场债券正回购</w:t>
      </w:r>
      <w:bookmarkEnd w:id="130"/>
    </w:p>
    <w:p w14:paraId="16329C1E">
      <w:pPr>
        <w:pStyle w:val="18"/>
        <w:rPr>
          <w:rFonts w:hint="eastAsia"/>
        </w:rPr>
      </w:pPr>
      <w:r>
        <w:rPr>
          <w:rFonts w:hint="eastAsia"/>
        </w:rPr>
        <w:t>截至本报告期末2025年12月31日止，本基金从事银行间市场债券正回购交易形成的卖出回购证券款余额1,354,364,899.22元，是以如下债券作为质押：</w:t>
      </w:r>
    </w:p>
    <w:p w14:paraId="78DE23CE">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07"/>
        <w:gridCol w:w="1218"/>
        <w:gridCol w:w="1328"/>
        <w:gridCol w:w="1328"/>
        <w:gridCol w:w="1495"/>
        <w:gridCol w:w="1827"/>
      </w:tblGrid>
      <w:tr w14:paraId="0C2BC2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shd w:val="clear" w:color="auto" w:fill="BFBFBF"/>
            <w:vAlign w:val="center"/>
          </w:tcPr>
          <w:p w14:paraId="3DA4BA81">
            <w:pPr>
              <w:jc w:val="center"/>
            </w:pPr>
            <w:r>
              <w:rPr>
                <w:rFonts w:hint="eastAsia"/>
                <w:b/>
              </w:rPr>
              <w:t>债券代码</w:t>
            </w:r>
          </w:p>
        </w:tc>
        <w:tc>
          <w:tcPr>
            <w:tcW w:w="1218" w:type="dxa"/>
            <w:shd w:val="clear" w:color="auto" w:fill="BFBFBF"/>
            <w:vAlign w:val="center"/>
          </w:tcPr>
          <w:p w14:paraId="28D09742">
            <w:pPr>
              <w:jc w:val="center"/>
            </w:pPr>
            <w:r>
              <w:rPr>
                <w:rFonts w:hint="eastAsia"/>
                <w:b/>
              </w:rPr>
              <w:t>债券名称</w:t>
            </w:r>
          </w:p>
        </w:tc>
        <w:tc>
          <w:tcPr>
            <w:tcW w:w="1328" w:type="dxa"/>
            <w:shd w:val="clear" w:color="auto" w:fill="BFBFBF"/>
            <w:vAlign w:val="center"/>
          </w:tcPr>
          <w:p w14:paraId="01996DAD">
            <w:pPr>
              <w:jc w:val="center"/>
            </w:pPr>
            <w:r>
              <w:rPr>
                <w:rFonts w:hint="eastAsia"/>
                <w:b/>
              </w:rPr>
              <w:t>回购到期日</w:t>
            </w:r>
          </w:p>
        </w:tc>
        <w:tc>
          <w:tcPr>
            <w:tcW w:w="1328" w:type="dxa"/>
            <w:shd w:val="clear" w:color="auto" w:fill="BFBFBF"/>
            <w:vAlign w:val="center"/>
          </w:tcPr>
          <w:p w14:paraId="3CB75584">
            <w:pPr>
              <w:jc w:val="center"/>
            </w:pPr>
            <w:r>
              <w:rPr>
                <w:rFonts w:hint="eastAsia"/>
                <w:b/>
              </w:rPr>
              <w:t>期末估值单价</w:t>
            </w:r>
          </w:p>
        </w:tc>
        <w:tc>
          <w:tcPr>
            <w:tcW w:w="1495" w:type="dxa"/>
            <w:shd w:val="clear" w:color="auto" w:fill="BFBFBF"/>
            <w:vAlign w:val="center"/>
          </w:tcPr>
          <w:p w14:paraId="381067BB">
            <w:pPr>
              <w:jc w:val="center"/>
            </w:pPr>
            <w:r>
              <w:rPr>
                <w:rFonts w:hint="eastAsia"/>
                <w:b/>
              </w:rPr>
              <w:t>数量（张）</w:t>
            </w:r>
          </w:p>
        </w:tc>
        <w:tc>
          <w:tcPr>
            <w:tcW w:w="1827" w:type="dxa"/>
            <w:shd w:val="clear" w:color="auto" w:fill="BFBFBF"/>
            <w:vAlign w:val="center"/>
          </w:tcPr>
          <w:p w14:paraId="7703AA6A">
            <w:pPr>
              <w:jc w:val="center"/>
            </w:pPr>
            <w:r>
              <w:rPr>
                <w:rFonts w:hint="eastAsia"/>
                <w:b/>
              </w:rPr>
              <w:t>期末估值总额</w:t>
            </w:r>
          </w:p>
        </w:tc>
      </w:tr>
      <w:tr w14:paraId="4BDD91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232D881F">
            <w:r>
              <w:rPr>
                <w:rFonts w:hint="eastAsia"/>
              </w:rPr>
              <w:t>210208</w:t>
            </w:r>
          </w:p>
        </w:tc>
        <w:tc>
          <w:tcPr>
            <w:tcW w:w="1218" w:type="dxa"/>
            <w:vAlign w:val="center"/>
          </w:tcPr>
          <w:p w14:paraId="489D28EC">
            <w:r>
              <w:rPr>
                <w:rFonts w:hint="eastAsia"/>
              </w:rPr>
              <w:t>21国开08</w:t>
            </w:r>
          </w:p>
        </w:tc>
        <w:tc>
          <w:tcPr>
            <w:tcW w:w="1328" w:type="dxa"/>
            <w:vAlign w:val="center"/>
          </w:tcPr>
          <w:p w14:paraId="1AB786BB">
            <w:r>
              <w:rPr>
                <w:rFonts w:hint="eastAsia"/>
              </w:rPr>
              <w:t>2026年1月5日</w:t>
            </w:r>
          </w:p>
        </w:tc>
        <w:tc>
          <w:tcPr>
            <w:tcW w:w="1328" w:type="dxa"/>
            <w:vAlign w:val="center"/>
          </w:tcPr>
          <w:p w14:paraId="7ECA575B">
            <w:pPr>
              <w:jc w:val="right"/>
            </w:pPr>
            <w:r>
              <w:rPr>
                <w:rFonts w:hint="eastAsia"/>
              </w:rPr>
              <w:t>101.77</w:t>
            </w:r>
          </w:p>
        </w:tc>
        <w:tc>
          <w:tcPr>
            <w:tcW w:w="1495" w:type="dxa"/>
            <w:vAlign w:val="center"/>
          </w:tcPr>
          <w:p w14:paraId="3416ED23">
            <w:pPr>
              <w:jc w:val="right"/>
            </w:pPr>
            <w:r>
              <w:rPr>
                <w:rFonts w:hint="eastAsia"/>
              </w:rPr>
              <w:t>2,106,000</w:t>
            </w:r>
          </w:p>
        </w:tc>
        <w:tc>
          <w:tcPr>
            <w:tcW w:w="1827" w:type="dxa"/>
            <w:vAlign w:val="center"/>
          </w:tcPr>
          <w:p w14:paraId="1E87E3D7">
            <w:pPr>
              <w:jc w:val="right"/>
            </w:pPr>
            <w:r>
              <w:rPr>
                <w:rFonts w:hint="eastAsia"/>
              </w:rPr>
              <w:t>214,319,484.49</w:t>
            </w:r>
          </w:p>
        </w:tc>
      </w:tr>
      <w:tr w14:paraId="7CAF16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4AA685DA">
            <w:r>
              <w:rPr>
                <w:rFonts w:hint="eastAsia"/>
              </w:rPr>
              <w:t>112506286</w:t>
            </w:r>
          </w:p>
        </w:tc>
        <w:tc>
          <w:tcPr>
            <w:tcW w:w="1218" w:type="dxa"/>
            <w:vAlign w:val="center"/>
          </w:tcPr>
          <w:p w14:paraId="7C685512">
            <w:r>
              <w:rPr>
                <w:rFonts w:hint="eastAsia"/>
              </w:rPr>
              <w:t>25交通银行CD286</w:t>
            </w:r>
          </w:p>
        </w:tc>
        <w:tc>
          <w:tcPr>
            <w:tcW w:w="1328" w:type="dxa"/>
            <w:vAlign w:val="center"/>
          </w:tcPr>
          <w:p w14:paraId="1C77063E">
            <w:r>
              <w:rPr>
                <w:rFonts w:hint="eastAsia"/>
              </w:rPr>
              <w:t>2026年1月5日</w:t>
            </w:r>
          </w:p>
        </w:tc>
        <w:tc>
          <w:tcPr>
            <w:tcW w:w="1328" w:type="dxa"/>
            <w:vAlign w:val="center"/>
          </w:tcPr>
          <w:p w14:paraId="3B9BEF7F">
            <w:pPr>
              <w:jc w:val="right"/>
            </w:pPr>
            <w:r>
              <w:rPr>
                <w:rFonts w:hint="eastAsia"/>
              </w:rPr>
              <w:t>98.84</w:t>
            </w:r>
          </w:p>
        </w:tc>
        <w:tc>
          <w:tcPr>
            <w:tcW w:w="1495" w:type="dxa"/>
            <w:vAlign w:val="center"/>
          </w:tcPr>
          <w:p w14:paraId="6E36D252">
            <w:pPr>
              <w:jc w:val="right"/>
            </w:pPr>
            <w:r>
              <w:rPr>
                <w:rFonts w:hint="eastAsia"/>
              </w:rPr>
              <w:t>2,000,000</w:t>
            </w:r>
          </w:p>
        </w:tc>
        <w:tc>
          <w:tcPr>
            <w:tcW w:w="1827" w:type="dxa"/>
            <w:vAlign w:val="center"/>
          </w:tcPr>
          <w:p w14:paraId="0BD2C2A9">
            <w:pPr>
              <w:jc w:val="right"/>
            </w:pPr>
            <w:r>
              <w:rPr>
                <w:rFonts w:hint="eastAsia"/>
              </w:rPr>
              <w:t>197,689,306.57</w:t>
            </w:r>
          </w:p>
        </w:tc>
      </w:tr>
      <w:tr w14:paraId="230E47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0C74CBF3">
            <w:r>
              <w:rPr>
                <w:rFonts w:hint="eastAsia"/>
              </w:rPr>
              <w:t>112520203</w:t>
            </w:r>
          </w:p>
        </w:tc>
        <w:tc>
          <w:tcPr>
            <w:tcW w:w="1218" w:type="dxa"/>
            <w:vAlign w:val="center"/>
          </w:tcPr>
          <w:p w14:paraId="5CF504ED">
            <w:r>
              <w:rPr>
                <w:rFonts w:hint="eastAsia"/>
              </w:rPr>
              <w:t>25广发银行CD203</w:t>
            </w:r>
          </w:p>
        </w:tc>
        <w:tc>
          <w:tcPr>
            <w:tcW w:w="1328" w:type="dxa"/>
            <w:vAlign w:val="center"/>
          </w:tcPr>
          <w:p w14:paraId="6DEE3FA3">
            <w:r>
              <w:rPr>
                <w:rFonts w:hint="eastAsia"/>
              </w:rPr>
              <w:t>2026年1月5日</w:t>
            </w:r>
          </w:p>
        </w:tc>
        <w:tc>
          <w:tcPr>
            <w:tcW w:w="1328" w:type="dxa"/>
            <w:vAlign w:val="center"/>
          </w:tcPr>
          <w:p w14:paraId="10AB1D94">
            <w:pPr>
              <w:jc w:val="right"/>
            </w:pPr>
            <w:r>
              <w:rPr>
                <w:rFonts w:hint="eastAsia"/>
              </w:rPr>
              <w:t>99.11</w:t>
            </w:r>
          </w:p>
        </w:tc>
        <w:tc>
          <w:tcPr>
            <w:tcW w:w="1495" w:type="dxa"/>
            <w:vAlign w:val="center"/>
          </w:tcPr>
          <w:p w14:paraId="4B7F8196">
            <w:pPr>
              <w:jc w:val="right"/>
            </w:pPr>
            <w:r>
              <w:rPr>
                <w:rFonts w:hint="eastAsia"/>
              </w:rPr>
              <w:t>1,849,000</w:t>
            </w:r>
          </w:p>
        </w:tc>
        <w:tc>
          <w:tcPr>
            <w:tcW w:w="1827" w:type="dxa"/>
            <w:vAlign w:val="center"/>
          </w:tcPr>
          <w:p w14:paraId="75E927E1">
            <w:pPr>
              <w:jc w:val="right"/>
            </w:pPr>
            <w:r>
              <w:rPr>
                <w:rFonts w:hint="eastAsia"/>
              </w:rPr>
              <w:t>183,249,883.51</w:t>
            </w:r>
          </w:p>
        </w:tc>
      </w:tr>
      <w:tr w14:paraId="3059B3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72AE3CAA">
            <w:r>
              <w:rPr>
                <w:rFonts w:hint="eastAsia"/>
              </w:rPr>
              <w:t>112508218</w:t>
            </w:r>
          </w:p>
        </w:tc>
        <w:tc>
          <w:tcPr>
            <w:tcW w:w="1218" w:type="dxa"/>
            <w:vAlign w:val="center"/>
          </w:tcPr>
          <w:p w14:paraId="16C76693">
            <w:r>
              <w:rPr>
                <w:rFonts w:hint="eastAsia"/>
              </w:rPr>
              <w:t>25中信银行CD218</w:t>
            </w:r>
          </w:p>
        </w:tc>
        <w:tc>
          <w:tcPr>
            <w:tcW w:w="1328" w:type="dxa"/>
            <w:vAlign w:val="center"/>
          </w:tcPr>
          <w:p w14:paraId="55A18200">
            <w:r>
              <w:rPr>
                <w:rFonts w:hint="eastAsia"/>
              </w:rPr>
              <w:t>2026年1月5日</w:t>
            </w:r>
          </w:p>
        </w:tc>
        <w:tc>
          <w:tcPr>
            <w:tcW w:w="1328" w:type="dxa"/>
            <w:vAlign w:val="center"/>
          </w:tcPr>
          <w:p w14:paraId="0B277670">
            <w:pPr>
              <w:jc w:val="right"/>
            </w:pPr>
            <w:r>
              <w:rPr>
                <w:rFonts w:hint="eastAsia"/>
              </w:rPr>
              <w:t>99.11</w:t>
            </w:r>
          </w:p>
        </w:tc>
        <w:tc>
          <w:tcPr>
            <w:tcW w:w="1495" w:type="dxa"/>
            <w:vAlign w:val="center"/>
          </w:tcPr>
          <w:p w14:paraId="07DEF58C">
            <w:pPr>
              <w:jc w:val="right"/>
            </w:pPr>
            <w:r>
              <w:rPr>
                <w:rFonts w:hint="eastAsia"/>
              </w:rPr>
              <w:t>1,578,000</w:t>
            </w:r>
          </w:p>
        </w:tc>
        <w:tc>
          <w:tcPr>
            <w:tcW w:w="1827" w:type="dxa"/>
            <w:vAlign w:val="center"/>
          </w:tcPr>
          <w:p w14:paraId="13B2A5CF">
            <w:pPr>
              <w:jc w:val="right"/>
            </w:pPr>
            <w:r>
              <w:rPr>
                <w:rFonts w:hint="eastAsia"/>
              </w:rPr>
              <w:t>156,391,593.50</w:t>
            </w:r>
          </w:p>
        </w:tc>
      </w:tr>
      <w:tr w14:paraId="4D3798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15A6B0CC">
            <w:r>
              <w:rPr>
                <w:rFonts w:hint="eastAsia"/>
              </w:rPr>
              <w:t>230207</w:t>
            </w:r>
          </w:p>
        </w:tc>
        <w:tc>
          <w:tcPr>
            <w:tcW w:w="1218" w:type="dxa"/>
            <w:vAlign w:val="center"/>
          </w:tcPr>
          <w:p w14:paraId="65E5C842">
            <w:r>
              <w:rPr>
                <w:rFonts w:hint="eastAsia"/>
              </w:rPr>
              <w:t>23国开07</w:t>
            </w:r>
          </w:p>
        </w:tc>
        <w:tc>
          <w:tcPr>
            <w:tcW w:w="1328" w:type="dxa"/>
            <w:vAlign w:val="center"/>
          </w:tcPr>
          <w:p w14:paraId="412B99D5">
            <w:r>
              <w:rPr>
                <w:rFonts w:hint="eastAsia"/>
              </w:rPr>
              <w:t>2026年1月5日</w:t>
            </w:r>
          </w:p>
        </w:tc>
        <w:tc>
          <w:tcPr>
            <w:tcW w:w="1328" w:type="dxa"/>
            <w:vAlign w:val="center"/>
          </w:tcPr>
          <w:p w14:paraId="745C696F">
            <w:pPr>
              <w:jc w:val="right"/>
            </w:pPr>
            <w:r>
              <w:rPr>
                <w:rFonts w:hint="eastAsia"/>
              </w:rPr>
              <w:t>101.48</w:t>
            </w:r>
          </w:p>
        </w:tc>
        <w:tc>
          <w:tcPr>
            <w:tcW w:w="1495" w:type="dxa"/>
            <w:vAlign w:val="center"/>
          </w:tcPr>
          <w:p w14:paraId="6D36B109">
            <w:pPr>
              <w:jc w:val="right"/>
            </w:pPr>
            <w:r>
              <w:rPr>
                <w:rFonts w:hint="eastAsia"/>
              </w:rPr>
              <w:t>1,053,000</w:t>
            </w:r>
          </w:p>
        </w:tc>
        <w:tc>
          <w:tcPr>
            <w:tcW w:w="1827" w:type="dxa"/>
            <w:vAlign w:val="center"/>
          </w:tcPr>
          <w:p w14:paraId="577618FA">
            <w:pPr>
              <w:jc w:val="right"/>
            </w:pPr>
            <w:r>
              <w:rPr>
                <w:rFonts w:hint="eastAsia"/>
              </w:rPr>
              <w:t>106,862,046.16</w:t>
            </w:r>
          </w:p>
        </w:tc>
      </w:tr>
      <w:tr w14:paraId="704CE5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704BA99B">
            <w:r>
              <w:rPr>
                <w:rFonts w:hint="eastAsia"/>
              </w:rPr>
              <w:t>112509207</w:t>
            </w:r>
          </w:p>
        </w:tc>
        <w:tc>
          <w:tcPr>
            <w:tcW w:w="1218" w:type="dxa"/>
            <w:vAlign w:val="center"/>
          </w:tcPr>
          <w:p w14:paraId="67095440">
            <w:r>
              <w:rPr>
                <w:rFonts w:hint="eastAsia"/>
              </w:rPr>
              <w:t>25浦发银行CD207</w:t>
            </w:r>
          </w:p>
        </w:tc>
        <w:tc>
          <w:tcPr>
            <w:tcW w:w="1328" w:type="dxa"/>
            <w:vAlign w:val="center"/>
          </w:tcPr>
          <w:p w14:paraId="508970E0">
            <w:r>
              <w:rPr>
                <w:rFonts w:hint="eastAsia"/>
              </w:rPr>
              <w:t>2026年1月5日</w:t>
            </w:r>
          </w:p>
        </w:tc>
        <w:tc>
          <w:tcPr>
            <w:tcW w:w="1328" w:type="dxa"/>
            <w:vAlign w:val="center"/>
          </w:tcPr>
          <w:p w14:paraId="6CC39586">
            <w:pPr>
              <w:jc w:val="right"/>
            </w:pPr>
            <w:r>
              <w:rPr>
                <w:rFonts w:hint="eastAsia"/>
              </w:rPr>
              <w:t>99.07</w:t>
            </w:r>
          </w:p>
        </w:tc>
        <w:tc>
          <w:tcPr>
            <w:tcW w:w="1495" w:type="dxa"/>
            <w:vAlign w:val="center"/>
          </w:tcPr>
          <w:p w14:paraId="631F3B64">
            <w:pPr>
              <w:jc w:val="right"/>
            </w:pPr>
            <w:r>
              <w:rPr>
                <w:rFonts w:hint="eastAsia"/>
              </w:rPr>
              <w:t>1,000,000</w:t>
            </w:r>
          </w:p>
        </w:tc>
        <w:tc>
          <w:tcPr>
            <w:tcW w:w="1827" w:type="dxa"/>
            <w:vAlign w:val="center"/>
          </w:tcPr>
          <w:p w14:paraId="647CED73">
            <w:pPr>
              <w:jc w:val="right"/>
            </w:pPr>
            <w:r>
              <w:rPr>
                <w:rFonts w:hint="eastAsia"/>
              </w:rPr>
              <w:t>99,074,856.99</w:t>
            </w:r>
          </w:p>
        </w:tc>
      </w:tr>
      <w:tr w14:paraId="66B795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26B04DB3">
            <w:r>
              <w:rPr>
                <w:rFonts w:hint="eastAsia"/>
              </w:rPr>
              <w:t>112508306</w:t>
            </w:r>
          </w:p>
        </w:tc>
        <w:tc>
          <w:tcPr>
            <w:tcW w:w="1218" w:type="dxa"/>
            <w:vAlign w:val="center"/>
          </w:tcPr>
          <w:p w14:paraId="3B8A5D50">
            <w:r>
              <w:rPr>
                <w:rFonts w:hint="eastAsia"/>
              </w:rPr>
              <w:t>25中信银行CD306</w:t>
            </w:r>
          </w:p>
        </w:tc>
        <w:tc>
          <w:tcPr>
            <w:tcW w:w="1328" w:type="dxa"/>
            <w:vAlign w:val="center"/>
          </w:tcPr>
          <w:p w14:paraId="0494B525">
            <w:r>
              <w:rPr>
                <w:rFonts w:hint="eastAsia"/>
              </w:rPr>
              <w:t>2026年1月5日</w:t>
            </w:r>
          </w:p>
        </w:tc>
        <w:tc>
          <w:tcPr>
            <w:tcW w:w="1328" w:type="dxa"/>
            <w:vAlign w:val="center"/>
          </w:tcPr>
          <w:p w14:paraId="1A23FDF3">
            <w:pPr>
              <w:jc w:val="right"/>
            </w:pPr>
            <w:r>
              <w:rPr>
                <w:rFonts w:hint="eastAsia"/>
              </w:rPr>
              <w:t>98.83</w:t>
            </w:r>
          </w:p>
        </w:tc>
        <w:tc>
          <w:tcPr>
            <w:tcW w:w="1495" w:type="dxa"/>
            <w:vAlign w:val="center"/>
          </w:tcPr>
          <w:p w14:paraId="73CFA12F">
            <w:pPr>
              <w:jc w:val="right"/>
            </w:pPr>
            <w:r>
              <w:rPr>
                <w:rFonts w:hint="eastAsia"/>
              </w:rPr>
              <w:t>1,000,000</w:t>
            </w:r>
          </w:p>
        </w:tc>
        <w:tc>
          <w:tcPr>
            <w:tcW w:w="1827" w:type="dxa"/>
            <w:vAlign w:val="center"/>
          </w:tcPr>
          <w:p w14:paraId="7486245A">
            <w:pPr>
              <w:jc w:val="right"/>
            </w:pPr>
            <w:r>
              <w:rPr>
                <w:rFonts w:hint="eastAsia"/>
              </w:rPr>
              <w:t>98,832,657.53</w:t>
            </w:r>
          </w:p>
        </w:tc>
      </w:tr>
      <w:tr w14:paraId="7D7BB2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4F33F677">
            <w:r>
              <w:rPr>
                <w:rFonts w:hint="eastAsia"/>
              </w:rPr>
              <w:t>112520252</w:t>
            </w:r>
          </w:p>
        </w:tc>
        <w:tc>
          <w:tcPr>
            <w:tcW w:w="1218" w:type="dxa"/>
            <w:vAlign w:val="center"/>
          </w:tcPr>
          <w:p w14:paraId="581DB5F0">
            <w:r>
              <w:rPr>
                <w:rFonts w:hint="eastAsia"/>
              </w:rPr>
              <w:t>25广发银行CD252</w:t>
            </w:r>
          </w:p>
        </w:tc>
        <w:tc>
          <w:tcPr>
            <w:tcW w:w="1328" w:type="dxa"/>
            <w:vAlign w:val="center"/>
          </w:tcPr>
          <w:p w14:paraId="7F77866E">
            <w:r>
              <w:rPr>
                <w:rFonts w:hint="eastAsia"/>
              </w:rPr>
              <w:t>2026年1月5日</w:t>
            </w:r>
          </w:p>
        </w:tc>
        <w:tc>
          <w:tcPr>
            <w:tcW w:w="1328" w:type="dxa"/>
            <w:vAlign w:val="center"/>
          </w:tcPr>
          <w:p w14:paraId="59CDCFA5">
            <w:pPr>
              <w:jc w:val="right"/>
            </w:pPr>
            <w:r>
              <w:rPr>
                <w:rFonts w:hint="eastAsia"/>
              </w:rPr>
              <w:t>98.83</w:t>
            </w:r>
          </w:p>
        </w:tc>
        <w:tc>
          <w:tcPr>
            <w:tcW w:w="1495" w:type="dxa"/>
            <w:vAlign w:val="center"/>
          </w:tcPr>
          <w:p w14:paraId="302DB025">
            <w:pPr>
              <w:jc w:val="right"/>
            </w:pPr>
            <w:r>
              <w:rPr>
                <w:rFonts w:hint="eastAsia"/>
              </w:rPr>
              <w:t>1,000,000</w:t>
            </w:r>
          </w:p>
        </w:tc>
        <w:tc>
          <w:tcPr>
            <w:tcW w:w="1827" w:type="dxa"/>
            <w:vAlign w:val="center"/>
          </w:tcPr>
          <w:p w14:paraId="0214E5CF">
            <w:pPr>
              <w:jc w:val="right"/>
            </w:pPr>
            <w:r>
              <w:rPr>
                <w:rFonts w:hint="eastAsia"/>
              </w:rPr>
              <w:t>98,832,657.53</w:t>
            </w:r>
          </w:p>
        </w:tc>
      </w:tr>
      <w:tr w14:paraId="5767FC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1BD6EF02">
            <w:r>
              <w:rPr>
                <w:rFonts w:hint="eastAsia"/>
              </w:rPr>
              <w:t>112517268</w:t>
            </w:r>
          </w:p>
        </w:tc>
        <w:tc>
          <w:tcPr>
            <w:tcW w:w="1218" w:type="dxa"/>
            <w:vAlign w:val="center"/>
          </w:tcPr>
          <w:p w14:paraId="3EE88C22">
            <w:r>
              <w:rPr>
                <w:rFonts w:hint="eastAsia"/>
              </w:rPr>
              <w:t>25光大银行CD268</w:t>
            </w:r>
          </w:p>
        </w:tc>
        <w:tc>
          <w:tcPr>
            <w:tcW w:w="1328" w:type="dxa"/>
            <w:vAlign w:val="center"/>
          </w:tcPr>
          <w:p w14:paraId="76DE7E9D">
            <w:r>
              <w:rPr>
                <w:rFonts w:hint="eastAsia"/>
              </w:rPr>
              <w:t>2026年1月5日</w:t>
            </w:r>
          </w:p>
        </w:tc>
        <w:tc>
          <w:tcPr>
            <w:tcW w:w="1328" w:type="dxa"/>
            <w:vAlign w:val="center"/>
          </w:tcPr>
          <w:p w14:paraId="1DD32669">
            <w:pPr>
              <w:jc w:val="right"/>
            </w:pPr>
            <w:r>
              <w:rPr>
                <w:rFonts w:hint="eastAsia"/>
              </w:rPr>
              <w:t>98.45</w:t>
            </w:r>
          </w:p>
        </w:tc>
        <w:tc>
          <w:tcPr>
            <w:tcW w:w="1495" w:type="dxa"/>
            <w:vAlign w:val="center"/>
          </w:tcPr>
          <w:p w14:paraId="0CC85D86">
            <w:pPr>
              <w:jc w:val="right"/>
            </w:pPr>
            <w:r>
              <w:rPr>
                <w:rFonts w:hint="eastAsia"/>
              </w:rPr>
              <w:t>1,000,000</w:t>
            </w:r>
          </w:p>
        </w:tc>
        <w:tc>
          <w:tcPr>
            <w:tcW w:w="1827" w:type="dxa"/>
            <w:vAlign w:val="center"/>
          </w:tcPr>
          <w:p w14:paraId="7A775C59">
            <w:pPr>
              <w:jc w:val="right"/>
            </w:pPr>
            <w:r>
              <w:rPr>
                <w:rFonts w:hint="eastAsia"/>
              </w:rPr>
              <w:t>98,453,003.84</w:t>
            </w:r>
          </w:p>
        </w:tc>
      </w:tr>
      <w:tr w14:paraId="1BEAAB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465E1F6D">
            <w:r>
              <w:rPr>
                <w:rFonts w:hint="eastAsia"/>
              </w:rPr>
              <w:t>112517213</w:t>
            </w:r>
          </w:p>
        </w:tc>
        <w:tc>
          <w:tcPr>
            <w:tcW w:w="1218" w:type="dxa"/>
            <w:vAlign w:val="center"/>
          </w:tcPr>
          <w:p w14:paraId="6EB81096">
            <w:r>
              <w:rPr>
                <w:rFonts w:hint="eastAsia"/>
              </w:rPr>
              <w:t>25光大银行CD213</w:t>
            </w:r>
          </w:p>
        </w:tc>
        <w:tc>
          <w:tcPr>
            <w:tcW w:w="1328" w:type="dxa"/>
            <w:vAlign w:val="center"/>
          </w:tcPr>
          <w:p w14:paraId="27E12A1B">
            <w:r>
              <w:rPr>
                <w:rFonts w:hint="eastAsia"/>
              </w:rPr>
              <w:t>2026年1月5日</w:t>
            </w:r>
          </w:p>
        </w:tc>
        <w:tc>
          <w:tcPr>
            <w:tcW w:w="1328" w:type="dxa"/>
            <w:vAlign w:val="center"/>
          </w:tcPr>
          <w:p w14:paraId="2002AF31">
            <w:pPr>
              <w:jc w:val="right"/>
            </w:pPr>
            <w:r>
              <w:rPr>
                <w:rFonts w:hint="eastAsia"/>
              </w:rPr>
              <w:t>98.80</w:t>
            </w:r>
          </w:p>
        </w:tc>
        <w:tc>
          <w:tcPr>
            <w:tcW w:w="1495" w:type="dxa"/>
            <w:vAlign w:val="center"/>
          </w:tcPr>
          <w:p w14:paraId="2259606C">
            <w:pPr>
              <w:jc w:val="right"/>
            </w:pPr>
            <w:r>
              <w:rPr>
                <w:rFonts w:hint="eastAsia"/>
              </w:rPr>
              <w:t>946,000</w:t>
            </w:r>
          </w:p>
        </w:tc>
        <w:tc>
          <w:tcPr>
            <w:tcW w:w="1827" w:type="dxa"/>
            <w:vAlign w:val="center"/>
          </w:tcPr>
          <w:p w14:paraId="02DF3EBC">
            <w:pPr>
              <w:jc w:val="right"/>
            </w:pPr>
            <w:r>
              <w:rPr>
                <w:rFonts w:hint="eastAsia"/>
              </w:rPr>
              <w:t>93,465,267.56</w:t>
            </w:r>
          </w:p>
        </w:tc>
      </w:tr>
      <w:tr w14:paraId="5B8473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6C70A136">
            <w:r>
              <w:rPr>
                <w:rFonts w:hint="eastAsia"/>
              </w:rPr>
              <w:t>112520267</w:t>
            </w:r>
          </w:p>
        </w:tc>
        <w:tc>
          <w:tcPr>
            <w:tcW w:w="1218" w:type="dxa"/>
            <w:vAlign w:val="center"/>
          </w:tcPr>
          <w:p w14:paraId="0D02EE8A">
            <w:r>
              <w:rPr>
                <w:rFonts w:hint="eastAsia"/>
              </w:rPr>
              <w:t>25广发银行CD267</w:t>
            </w:r>
          </w:p>
        </w:tc>
        <w:tc>
          <w:tcPr>
            <w:tcW w:w="1328" w:type="dxa"/>
            <w:vAlign w:val="center"/>
          </w:tcPr>
          <w:p w14:paraId="4BEC65EA">
            <w:r>
              <w:rPr>
                <w:rFonts w:hint="eastAsia"/>
              </w:rPr>
              <w:t>2026年1月5日</w:t>
            </w:r>
          </w:p>
        </w:tc>
        <w:tc>
          <w:tcPr>
            <w:tcW w:w="1328" w:type="dxa"/>
            <w:vAlign w:val="center"/>
          </w:tcPr>
          <w:p w14:paraId="397059BB">
            <w:pPr>
              <w:jc w:val="right"/>
            </w:pPr>
            <w:r>
              <w:rPr>
                <w:rFonts w:hint="eastAsia"/>
              </w:rPr>
              <w:t>98.74</w:t>
            </w:r>
          </w:p>
        </w:tc>
        <w:tc>
          <w:tcPr>
            <w:tcW w:w="1495" w:type="dxa"/>
            <w:vAlign w:val="center"/>
          </w:tcPr>
          <w:p w14:paraId="4439F454">
            <w:pPr>
              <w:jc w:val="right"/>
            </w:pPr>
            <w:r>
              <w:rPr>
                <w:rFonts w:hint="eastAsia"/>
              </w:rPr>
              <w:t>764,000</w:t>
            </w:r>
          </w:p>
        </w:tc>
        <w:tc>
          <w:tcPr>
            <w:tcW w:w="1827" w:type="dxa"/>
            <w:vAlign w:val="center"/>
          </w:tcPr>
          <w:p w14:paraId="4125AFD2">
            <w:pPr>
              <w:jc w:val="right"/>
            </w:pPr>
            <w:r>
              <w:rPr>
                <w:rFonts w:hint="eastAsia"/>
              </w:rPr>
              <w:t>75,438,370.57</w:t>
            </w:r>
          </w:p>
        </w:tc>
      </w:tr>
      <w:tr w14:paraId="4B10F3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2A39367B">
            <w:r>
              <w:rPr>
                <w:rFonts w:hint="eastAsia"/>
              </w:rPr>
              <w:t>112517222</w:t>
            </w:r>
          </w:p>
        </w:tc>
        <w:tc>
          <w:tcPr>
            <w:tcW w:w="1218" w:type="dxa"/>
            <w:vAlign w:val="center"/>
          </w:tcPr>
          <w:p w14:paraId="6EA34FAD">
            <w:r>
              <w:rPr>
                <w:rFonts w:hint="eastAsia"/>
              </w:rPr>
              <w:t>25光大银行CD222</w:t>
            </w:r>
          </w:p>
        </w:tc>
        <w:tc>
          <w:tcPr>
            <w:tcW w:w="1328" w:type="dxa"/>
            <w:vAlign w:val="center"/>
          </w:tcPr>
          <w:p w14:paraId="0A0B63ED">
            <w:r>
              <w:rPr>
                <w:rFonts w:hint="eastAsia"/>
              </w:rPr>
              <w:t>2026年1月5日</w:t>
            </w:r>
          </w:p>
        </w:tc>
        <w:tc>
          <w:tcPr>
            <w:tcW w:w="1328" w:type="dxa"/>
            <w:vAlign w:val="center"/>
          </w:tcPr>
          <w:p w14:paraId="32E70591">
            <w:pPr>
              <w:jc w:val="right"/>
            </w:pPr>
            <w:r>
              <w:rPr>
                <w:rFonts w:hint="eastAsia"/>
              </w:rPr>
              <w:t>98.71</w:t>
            </w:r>
          </w:p>
        </w:tc>
        <w:tc>
          <w:tcPr>
            <w:tcW w:w="1495" w:type="dxa"/>
            <w:vAlign w:val="center"/>
          </w:tcPr>
          <w:p w14:paraId="53F53038">
            <w:pPr>
              <w:jc w:val="right"/>
            </w:pPr>
            <w:r>
              <w:rPr>
                <w:rFonts w:hint="eastAsia"/>
              </w:rPr>
              <w:t>358,000</w:t>
            </w:r>
          </w:p>
        </w:tc>
        <w:tc>
          <w:tcPr>
            <w:tcW w:w="1827" w:type="dxa"/>
            <w:vAlign w:val="center"/>
          </w:tcPr>
          <w:p w14:paraId="3730F8D0">
            <w:pPr>
              <w:jc w:val="right"/>
            </w:pPr>
            <w:r>
              <w:rPr>
                <w:rFonts w:hint="eastAsia"/>
              </w:rPr>
              <w:t>35,336,717.00</w:t>
            </w:r>
          </w:p>
        </w:tc>
      </w:tr>
      <w:tr w14:paraId="10F0A0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0746A359">
            <w:r>
              <w:rPr>
                <w:rFonts w:hint="eastAsia"/>
              </w:rPr>
              <w:t>合计</w:t>
            </w:r>
          </w:p>
        </w:tc>
        <w:tc>
          <w:tcPr>
            <w:tcW w:w="1218" w:type="dxa"/>
            <w:vAlign w:val="center"/>
          </w:tcPr>
          <w:p w14:paraId="347FF955">
            <w:pPr>
              <w:jc w:val="right"/>
            </w:pPr>
            <w:r>
              <w:rPr>
                <w:rFonts w:hint="eastAsia"/>
              </w:rPr>
              <w:t>-</w:t>
            </w:r>
          </w:p>
        </w:tc>
        <w:tc>
          <w:tcPr>
            <w:tcW w:w="1328" w:type="dxa"/>
            <w:vAlign w:val="center"/>
          </w:tcPr>
          <w:p w14:paraId="675B6776">
            <w:pPr>
              <w:jc w:val="right"/>
            </w:pPr>
            <w:r>
              <w:rPr>
                <w:rFonts w:hint="eastAsia"/>
              </w:rPr>
              <w:t>-</w:t>
            </w:r>
          </w:p>
        </w:tc>
        <w:tc>
          <w:tcPr>
            <w:tcW w:w="1328" w:type="dxa"/>
            <w:vAlign w:val="center"/>
          </w:tcPr>
          <w:p w14:paraId="673FA1AA">
            <w:pPr>
              <w:jc w:val="right"/>
            </w:pPr>
            <w:r>
              <w:rPr>
                <w:rFonts w:hint="eastAsia"/>
              </w:rPr>
              <w:t>-</w:t>
            </w:r>
          </w:p>
        </w:tc>
        <w:tc>
          <w:tcPr>
            <w:tcW w:w="1495" w:type="dxa"/>
            <w:vAlign w:val="center"/>
          </w:tcPr>
          <w:p w14:paraId="48938A91">
            <w:pPr>
              <w:jc w:val="right"/>
            </w:pPr>
            <w:r>
              <w:rPr>
                <w:rFonts w:hint="eastAsia"/>
              </w:rPr>
              <w:t>14,654,000</w:t>
            </w:r>
          </w:p>
        </w:tc>
        <w:tc>
          <w:tcPr>
            <w:tcW w:w="1827" w:type="dxa"/>
            <w:vAlign w:val="center"/>
          </w:tcPr>
          <w:p w14:paraId="65661E22">
            <w:pPr>
              <w:jc w:val="right"/>
            </w:pPr>
            <w:r>
              <w:rPr>
                <w:rFonts w:hint="eastAsia"/>
              </w:rPr>
              <w:t>1,457,945,845.25</w:t>
            </w:r>
          </w:p>
        </w:tc>
      </w:tr>
    </w:tbl>
    <w:p w14:paraId="79D976A1">
      <w:pPr>
        <w:pStyle w:val="36"/>
      </w:pPr>
      <w:bookmarkStart w:id="131" w:name="_Toc131"/>
      <w:r>
        <w:t>交易所市场债券正回购</w:t>
      </w:r>
      <w:bookmarkEnd w:id="131"/>
    </w:p>
    <w:p w14:paraId="72687862">
      <w:pPr>
        <w:pStyle w:val="18"/>
        <w:rPr>
          <w:rFonts w:hint="eastAsia"/>
        </w:rPr>
      </w:pPr>
      <w:r>
        <w:rPr>
          <w:rFonts w:hint="eastAsia"/>
        </w:rPr>
        <w:t>无。</w:t>
      </w:r>
    </w:p>
    <w:p w14:paraId="2B806ED8">
      <w:pPr>
        <w:pStyle w:val="35"/>
      </w:pPr>
      <w:bookmarkStart w:id="132" w:name="_Toc132"/>
      <w:r>
        <w:t>期末参与转融通证券出借业务的证券</w:t>
      </w:r>
      <w:bookmarkEnd w:id="132"/>
    </w:p>
    <w:p w14:paraId="7400B60F">
      <w:pPr>
        <w:pStyle w:val="18"/>
        <w:rPr>
          <w:rFonts w:hint="eastAsia"/>
        </w:rPr>
      </w:pPr>
      <w:r>
        <w:rPr>
          <w:rFonts w:hint="eastAsia"/>
        </w:rPr>
        <w:t>无。</w:t>
      </w:r>
    </w:p>
    <w:p w14:paraId="6A475B17">
      <w:pPr>
        <w:pStyle w:val="28"/>
      </w:pPr>
      <w:bookmarkStart w:id="133" w:name="_Toc133"/>
      <w:r>
        <w:t>金融工具风险及管理</w:t>
      </w:r>
      <w:bookmarkEnd w:id="133"/>
    </w:p>
    <w:p w14:paraId="66A39235">
      <w:pPr>
        <w:pStyle w:val="35"/>
      </w:pPr>
      <w:bookmarkStart w:id="134" w:name="_Toc134"/>
      <w:r>
        <w:t>风险管理政策和组织架构</w:t>
      </w:r>
      <w:bookmarkEnd w:id="134"/>
    </w:p>
    <w:p w14:paraId="7F899D3C">
      <w:pPr>
        <w:pStyle w:val="18"/>
        <w:rPr>
          <w:rFonts w:hint="eastAsia"/>
        </w:rPr>
      </w:pPr>
      <w:r>
        <w:rPr>
          <w:rFonts w:hint="eastAsia"/>
        </w:rPr>
        <w:t>本基金为被动式指数基金，主要采用抽样复制和动态最优化的方法跟踪标的指数的表现，具有与标的指数、以及标的指数所代表的债券市场相似的风险收益特征。本基金投资的金融工具主要包括债券投资等。本基金在日常投资管理中面临的与这些金融工具相关的风险主要包括信用风险、流动性风险及市场风险。本基金的基金管理人从事风险管理的主要目标是争取将以上风险控制在限定的范围之内，使本基金在风险和收益之间取得最佳的平衡以实现“对标的指数的有效跟踪”的风险收益目标。</w:t>
      </w:r>
    </w:p>
    <w:p w14:paraId="5EC465C0">
      <w:pPr>
        <w:pStyle w:val="18"/>
        <w:rPr>
          <w:rFonts w:hint="eastAsia"/>
        </w:rPr>
      </w:pPr>
      <w:r>
        <w:rPr>
          <w:rFonts w:hint="eastAsia"/>
        </w:rPr>
        <w:t>本基金的基金管理人奉行全面风险管理体系的建设，建立了以风险控制委员会为核心的、由督察长、风险控制委员会、监察稽核部、风险管理部和相关业务部门构成的四级风险管理架构体系。本基金的基金管理人在董事会下设立合规与风险管理委员会，负责制定风险管理的宏观政策，审议通过风险控制的总体措施等；在管理层层面设立风险控制委员会，讨论和制定公司日常经营过程中风险防范和控制措施；在业务操作层面风险管理职责主要由监察稽核部和风险管理部负责，协调并与各部门合作完成运作风险管理以及进行投资风险分析与绩效评估，督察长负责组织指导监察稽核工作。</w:t>
      </w:r>
    </w:p>
    <w:p w14:paraId="03A5BBB2">
      <w:pPr>
        <w:pStyle w:val="18"/>
        <w:rPr>
          <w:rFonts w:hint="eastAsia"/>
        </w:rPr>
      </w:pPr>
      <w:r>
        <w:rPr>
          <w:rFonts w:hint="eastAsia"/>
        </w:rPr>
        <w:t>本基金的基金管理人对于金融工具的风险管理方法主要是通过定性分析和定量分析的方法去估测各种风险产生的可能损失。从定性分析的角度出发，判断风险损失的严重程度和出现同类风险损失的频度。而从定量分析的角度出发，根据本基金的投资目标，结合基金资产所运用金融工具特征通过特定的风险量化指标、模型，日常的量化报告，确定风险损失的限度和相应置信程度，及时可靠地对各种风险进行监督、检查和评估，并通过相应决策，将风险控制在可承受的范围内。</w:t>
      </w:r>
    </w:p>
    <w:p w14:paraId="43B02D58">
      <w:pPr>
        <w:pStyle w:val="35"/>
      </w:pPr>
      <w:bookmarkStart w:id="135" w:name="_Toc135"/>
      <w:r>
        <w:t>信用风险</w:t>
      </w:r>
      <w:bookmarkEnd w:id="135"/>
    </w:p>
    <w:p w14:paraId="6760A4D3">
      <w:pPr>
        <w:pStyle w:val="18"/>
        <w:rPr>
          <w:rFonts w:hint="eastAsia"/>
        </w:rPr>
      </w:pPr>
      <w:r>
        <w:rPr>
          <w:rFonts w:hint="eastAsia"/>
        </w:rPr>
        <w:t>信用风险是指基金在交易过程中因交易对手未履行合约责任，或者基金所投资证券之发行人出现违约、拒绝支付到期本息等情况，导致基金资产损失和收益变化的风险。</w:t>
      </w:r>
    </w:p>
    <w:p w14:paraId="6C2F0CA4">
      <w:pPr>
        <w:pStyle w:val="18"/>
        <w:rPr>
          <w:rFonts w:hint="eastAsia"/>
        </w:rPr>
      </w:pPr>
      <w:r>
        <w:rPr>
          <w:rFonts w:hint="eastAsia"/>
        </w:rPr>
        <w:t>本基金的基金管理人在交易前对交易对手的资信状况进行了充分的评估。本基金的银行存款存放在本基金的托管人开立的托管账户或其他大中型商业银行开立的存款账户，因而与银行存款相关的信用风险不重大。本基金在交易所进行的交易均以中国证券登记结算有限责任公司为交易对手完成证券交收和款项清算，违约可能性很小；在银行间同业市场进行交易前均对交易对手进行信用评估并对证券交割方式进行限制以控制相应的信用风险。</w:t>
      </w:r>
    </w:p>
    <w:p w14:paraId="30D05851">
      <w:pPr>
        <w:pStyle w:val="18"/>
        <w:rPr>
          <w:rFonts w:hint="eastAsia"/>
        </w:rPr>
      </w:pPr>
      <w:r>
        <w:rPr>
          <w:rFonts w:hint="eastAsia"/>
        </w:rPr>
        <w:t>本基金的基金管理人建立了信用风险管理流程，通过对投资品种信用等级评估来控制证券发行人的信用风险。信用等级评估以内部信用评级为主，外部信用评级为辅。内部债券信用评级主要考察发行人的经营风险、财务风险和流动性风险，以及信用产品的条款和担保人的情况等。此外，本基金的基金管理人根据信用产品的内部评级，通过单只信用产品投资占基金净资产的比例及占发行量的比例进行控制，通过分散化投资以分散信用风险。</w:t>
      </w:r>
    </w:p>
    <w:p w14:paraId="36441C6A">
      <w:pPr>
        <w:pStyle w:val="18"/>
        <w:rPr>
          <w:rFonts w:hint="eastAsia"/>
        </w:rPr>
      </w:pPr>
      <w:r>
        <w:rPr>
          <w:rFonts w:hint="eastAsia"/>
        </w:rPr>
        <w:t>于本期末，本基金持有的除国债、央行票据和政策性金融债以外的债券占基金净资产的比例为112.22%(上期末：102.85%)。</w:t>
      </w:r>
    </w:p>
    <w:p w14:paraId="08253C59">
      <w:pPr>
        <w:pStyle w:val="35"/>
      </w:pPr>
      <w:bookmarkStart w:id="136" w:name="_Toc136"/>
      <w:r>
        <w:t>流动性风险</w:t>
      </w:r>
      <w:bookmarkEnd w:id="136"/>
    </w:p>
    <w:p w14:paraId="081D794A">
      <w:pPr>
        <w:pStyle w:val="18"/>
        <w:rPr>
          <w:rFonts w:hint="eastAsia"/>
        </w:rPr>
      </w:pPr>
      <w:r>
        <w:rPr>
          <w:rFonts w:hint="eastAsia"/>
        </w:rPr>
        <w:t>流动性风险是指基金在履行与金融负债有关的义务时遇到资金短缺的风险。本基金的流动性风险一方面来自于基金份额持有人要求赎回其持有的基金份额，另一方面来自于投资品种所处的交易市场不活跃而带来的变现困难或因投资集中而无法在市场出现剧烈波动的情况下以合理的价格变现。</w:t>
      </w:r>
    </w:p>
    <w:p w14:paraId="2744FDB3">
      <w:pPr>
        <w:pStyle w:val="18"/>
        <w:rPr>
          <w:rFonts w:hint="eastAsia"/>
        </w:rPr>
      </w:pPr>
      <w:r>
        <w:rPr>
          <w:rFonts w:hint="eastAsia"/>
        </w:rPr>
        <w:t>针对兑付赎回资金的流动性风险，本基金的基金管理人对本基金的申购赎回情况进行严密监控并预测流动性需求，保持基金投资组合中的可用现金头寸与之相匹配。本基金的基金管理人在基金合同中设计了巨额赎回条款，约定在非常情况下赎回申请的处理方式，控制因开放申购赎回模式带来的流动性风险，有效保障基金持有人利益。</w:t>
      </w:r>
    </w:p>
    <w:p w14:paraId="5058DF9A">
      <w:pPr>
        <w:pStyle w:val="18"/>
        <w:rPr>
          <w:rFonts w:hint="eastAsia"/>
        </w:rPr>
      </w:pPr>
      <w:r>
        <w:rPr>
          <w:rFonts w:hint="eastAsia"/>
        </w:rPr>
        <w:t>于本期末，本基金的卖出回购金融资产款(若有)计息且利息金额不重大；除此之外，本基金所承担的其他金融负债的合约约定到期日均为一个月以内且不计息，可赎回基金份额净值(净资产)无固定到期日且不计息，该部分账面余额即为未折现的合约到期现金流量。</w:t>
      </w:r>
    </w:p>
    <w:p w14:paraId="33897FF2">
      <w:pPr>
        <w:pStyle w:val="36"/>
      </w:pPr>
      <w:bookmarkStart w:id="137" w:name="_Toc137"/>
      <w:r>
        <w:t>报告期内本基金组合资产的流动性风险分析</w:t>
      </w:r>
      <w:bookmarkEnd w:id="137"/>
    </w:p>
    <w:p w14:paraId="12FCCA96">
      <w:pPr>
        <w:pStyle w:val="18"/>
        <w:rPr>
          <w:rFonts w:hint="eastAsia"/>
        </w:rPr>
      </w:pPr>
      <w:r>
        <w:rPr>
          <w:rFonts w:hint="eastAsia"/>
        </w:rPr>
        <w:t>本基金的基金管理人在基金运作过程中严格按照《公开募集证券投资基金运作管理办法》及《公开募集开放式证券投资基金流动性风险管理规定》等法规的要求对本基金组合资产的流动性风险进行管理，通过独立的风险管理部门对本基金的组合持仓集中度指标、流通受限制的投资品种比例以及组合在短时间内变现能力的综合指标等流动性指标进行持续的监测和分析。</w:t>
      </w:r>
    </w:p>
    <w:p w14:paraId="05B86B0B">
      <w:pPr>
        <w:pStyle w:val="18"/>
        <w:rPr>
          <w:rFonts w:hint="eastAsia"/>
        </w:rPr>
      </w:pPr>
      <w:r>
        <w:rPr>
          <w:rFonts w:hint="eastAsia"/>
        </w:rPr>
        <w:t>本基金所持部分证券在证券交易所上市，其余亦可在银行间同业市场交易，部分基金资产流通暂时受限制不能自由转让的情况参见附注“期末本基金持有的流通受限证券”。此外，本基金可通过卖出回购金融资产方式借入短期资金应对流动性需求，其上限一般不超过基金持有的债券投资的公允价值。本基金主动投资于流动性受限资产的市值合计不超过基金资产净值的15%。于本期末，本基金持有的流动性受限资产的估值占基金资产净值的比例符合该要求。</w:t>
      </w:r>
    </w:p>
    <w:p w14:paraId="0A0CB681">
      <w:pPr>
        <w:pStyle w:val="18"/>
        <w:rPr>
          <w:rFonts w:hint="eastAsia"/>
        </w:rPr>
      </w:pPr>
      <w:r>
        <w:rPr>
          <w:rFonts w:hint="eastAsia"/>
        </w:rPr>
        <w:t>本基金的基金管理人对基金组合资产中7个工作日可变现资产的可变现价值进行审慎评估与测算，确保确认的净赎回申请不得超过7个工作日可变现资产的可变现价值。于本期末，本基金组合资产中7个工作日可变现资产的账面价值超过经确认的当日净赎回金额。</w:t>
      </w:r>
    </w:p>
    <w:p w14:paraId="46B76551">
      <w:pPr>
        <w:pStyle w:val="18"/>
        <w:rPr>
          <w:rFonts w:hint="eastAsia"/>
        </w:rPr>
      </w:pPr>
      <w:r>
        <w:rPr>
          <w:rFonts w:hint="eastAsia"/>
        </w:rPr>
        <w:t>同时，本基金的基金管理人通过合理分散逆回购交易的到期日与交易对手的集中度；按照穿透原则对交易对手的财务状况、偿付能力及杠杆水平等进行必要的尽职调查与严格的准入管理，以及对不同的交易对手实施交易额度管理并进行动态调整等措施严格管理本基金从事逆回购交易的流动性风险和交易对手风险。此外，本基金的基金管理人建立了逆回购交易质押品管理制度：根据质押品的资质确定质押率水平；持续监测质押品的风险状况与价值变动以确保质押品按公允价值计算足额；并在与私募类证券资管产品及中国证监会认定的其他主体为交易对手开展逆回购交易时，可接受质押品的资质要求与基金合同约定的投资范围保持一致。</w:t>
      </w:r>
    </w:p>
    <w:p w14:paraId="5D13E5E5">
      <w:pPr>
        <w:pStyle w:val="35"/>
      </w:pPr>
      <w:bookmarkStart w:id="138" w:name="_Toc138"/>
      <w:r>
        <w:t>市场风险</w:t>
      </w:r>
      <w:bookmarkEnd w:id="138"/>
    </w:p>
    <w:p w14:paraId="3FCFBFC6">
      <w:pPr>
        <w:pStyle w:val="18"/>
        <w:rPr>
          <w:rFonts w:hint="eastAsia"/>
        </w:rPr>
      </w:pPr>
      <w:r>
        <w:rPr>
          <w:rFonts w:hint="eastAsia"/>
        </w:rPr>
        <w:t>市场风险是指基金所持金融工具的公允价值或未来现金流量因所处市场各类价格因素的变动而发生波动的风险，包括利率风险、外汇风险和其他价格风险。</w:t>
      </w:r>
    </w:p>
    <w:p w14:paraId="4EDD1F60">
      <w:pPr>
        <w:pStyle w:val="36"/>
      </w:pPr>
      <w:bookmarkStart w:id="139" w:name="_Toc139"/>
      <w:r>
        <w:t>利率风险</w:t>
      </w:r>
      <w:bookmarkEnd w:id="139"/>
    </w:p>
    <w:p w14:paraId="00061113">
      <w:pPr>
        <w:pStyle w:val="18"/>
        <w:rPr>
          <w:rFonts w:hint="eastAsia"/>
        </w:rPr>
      </w:pPr>
      <w:r>
        <w:rPr>
          <w:rFonts w:hint="eastAsia"/>
        </w:rPr>
        <w:t>利率风险是指金融工具的公允价值或未来现金流量受市场利率变动而发生波动的风险。利率敏感性金融工具均面临由于市场利率上升而导致公允价值下降的风险，其中浮动利率类金融工具还面临每个付息期间结束根据市场利率重新定价时对于未来现金流影响的风险。</w:t>
      </w:r>
    </w:p>
    <w:p w14:paraId="121E6EA8">
      <w:pPr>
        <w:pStyle w:val="18"/>
        <w:rPr>
          <w:rFonts w:hint="eastAsia"/>
        </w:rPr>
      </w:pPr>
      <w:r>
        <w:rPr>
          <w:rFonts w:hint="eastAsia"/>
        </w:rPr>
        <w:t>本基金持有的利率敏感性资产存在相应的利率风险。本基金的基金管理人定期对本基金面临的利率敏感性缺口进行监控，并通过调整投资组合的久期等方法对上述利率风险进行管理。</w:t>
      </w:r>
    </w:p>
    <w:p w14:paraId="6EEBC15B">
      <w:pPr>
        <w:pStyle w:val="37"/>
      </w:pPr>
      <w:bookmarkStart w:id="140" w:name="_Toc140"/>
      <w:r>
        <w:t>利率风险敞口</w:t>
      </w:r>
      <w:bookmarkEnd w:id="140"/>
    </w:p>
    <w:p w14:paraId="0D26B73D">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585977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AE91411">
            <w:r>
              <w:rPr>
                <w:rFonts w:hint="eastAsia"/>
              </w:rPr>
              <w:t>本期末2025年12月31日</w:t>
            </w:r>
          </w:p>
        </w:tc>
        <w:tc>
          <w:tcPr>
            <w:tcW w:w="1384" w:type="dxa"/>
            <w:vAlign w:val="center"/>
          </w:tcPr>
          <w:p w14:paraId="74ED112B">
            <w:r>
              <w:rPr>
                <w:rFonts w:hint="eastAsia"/>
              </w:rPr>
              <w:t>1年以内</w:t>
            </w:r>
          </w:p>
        </w:tc>
        <w:tc>
          <w:tcPr>
            <w:tcW w:w="1384" w:type="dxa"/>
            <w:vAlign w:val="center"/>
          </w:tcPr>
          <w:p w14:paraId="730A2152">
            <w:r>
              <w:rPr>
                <w:rFonts w:hint="eastAsia"/>
              </w:rPr>
              <w:t>1-5年</w:t>
            </w:r>
          </w:p>
        </w:tc>
        <w:tc>
          <w:tcPr>
            <w:tcW w:w="1384" w:type="dxa"/>
            <w:vAlign w:val="center"/>
          </w:tcPr>
          <w:p w14:paraId="4152F317">
            <w:r>
              <w:rPr>
                <w:rFonts w:hint="eastAsia"/>
              </w:rPr>
              <w:t>5年以上</w:t>
            </w:r>
          </w:p>
        </w:tc>
        <w:tc>
          <w:tcPr>
            <w:tcW w:w="1384" w:type="dxa"/>
            <w:vAlign w:val="center"/>
          </w:tcPr>
          <w:p w14:paraId="32F51D99">
            <w:r>
              <w:rPr>
                <w:rFonts w:hint="eastAsia"/>
              </w:rPr>
              <w:t>不计息</w:t>
            </w:r>
          </w:p>
        </w:tc>
        <w:tc>
          <w:tcPr>
            <w:tcW w:w="1384" w:type="dxa"/>
            <w:vAlign w:val="center"/>
          </w:tcPr>
          <w:p w14:paraId="6355DA98">
            <w:r>
              <w:rPr>
                <w:rFonts w:hint="eastAsia"/>
              </w:rPr>
              <w:t>合计</w:t>
            </w:r>
          </w:p>
        </w:tc>
      </w:tr>
      <w:tr w14:paraId="4CB8F5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2A4E772">
            <w:r>
              <w:rPr>
                <w:rFonts w:hint="eastAsia"/>
              </w:rPr>
              <w:t>资产</w:t>
            </w:r>
          </w:p>
        </w:tc>
        <w:tc>
          <w:tcPr>
            <w:tcW w:w="1384" w:type="dxa"/>
            <w:vAlign w:val="center"/>
          </w:tcPr>
          <w:p w14:paraId="6E7A4803"/>
        </w:tc>
        <w:tc>
          <w:tcPr>
            <w:tcW w:w="1384" w:type="dxa"/>
            <w:vAlign w:val="center"/>
          </w:tcPr>
          <w:p w14:paraId="695F1230"/>
        </w:tc>
        <w:tc>
          <w:tcPr>
            <w:tcW w:w="1384" w:type="dxa"/>
            <w:vAlign w:val="center"/>
          </w:tcPr>
          <w:p w14:paraId="4D345646"/>
        </w:tc>
        <w:tc>
          <w:tcPr>
            <w:tcW w:w="1384" w:type="dxa"/>
            <w:vAlign w:val="center"/>
          </w:tcPr>
          <w:p w14:paraId="5B1C388B"/>
        </w:tc>
        <w:tc>
          <w:tcPr>
            <w:tcW w:w="1384" w:type="dxa"/>
            <w:vAlign w:val="center"/>
          </w:tcPr>
          <w:p w14:paraId="31E6B815"/>
        </w:tc>
      </w:tr>
      <w:tr w14:paraId="118ADE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DA81DDC">
            <w:r>
              <w:rPr>
                <w:rFonts w:hint="eastAsia"/>
              </w:rPr>
              <w:t>货币资金</w:t>
            </w:r>
          </w:p>
        </w:tc>
        <w:tc>
          <w:tcPr>
            <w:tcW w:w="1384" w:type="dxa"/>
            <w:vAlign w:val="center"/>
          </w:tcPr>
          <w:p w14:paraId="7269A666">
            <w:pPr>
              <w:jc w:val="right"/>
            </w:pPr>
            <w:r>
              <w:rPr>
                <w:rFonts w:hint="eastAsia"/>
              </w:rPr>
              <w:t>488,786.88</w:t>
            </w:r>
          </w:p>
        </w:tc>
        <w:tc>
          <w:tcPr>
            <w:tcW w:w="1384" w:type="dxa"/>
            <w:vAlign w:val="center"/>
          </w:tcPr>
          <w:p w14:paraId="0D9B20FA">
            <w:pPr>
              <w:jc w:val="right"/>
            </w:pPr>
            <w:r>
              <w:rPr>
                <w:rFonts w:hint="eastAsia"/>
              </w:rPr>
              <w:t>-</w:t>
            </w:r>
          </w:p>
        </w:tc>
        <w:tc>
          <w:tcPr>
            <w:tcW w:w="1384" w:type="dxa"/>
            <w:vAlign w:val="center"/>
          </w:tcPr>
          <w:p w14:paraId="6990CD3F">
            <w:pPr>
              <w:jc w:val="right"/>
            </w:pPr>
            <w:r>
              <w:rPr>
                <w:rFonts w:hint="eastAsia"/>
              </w:rPr>
              <w:t>-</w:t>
            </w:r>
          </w:p>
        </w:tc>
        <w:tc>
          <w:tcPr>
            <w:tcW w:w="1384" w:type="dxa"/>
            <w:vAlign w:val="center"/>
          </w:tcPr>
          <w:p w14:paraId="4BEE7861">
            <w:pPr>
              <w:jc w:val="right"/>
            </w:pPr>
            <w:r>
              <w:rPr>
                <w:rFonts w:hint="eastAsia"/>
              </w:rPr>
              <w:t>-</w:t>
            </w:r>
          </w:p>
        </w:tc>
        <w:tc>
          <w:tcPr>
            <w:tcW w:w="1384" w:type="dxa"/>
            <w:vAlign w:val="center"/>
          </w:tcPr>
          <w:p w14:paraId="556EE2D6">
            <w:pPr>
              <w:jc w:val="right"/>
            </w:pPr>
            <w:r>
              <w:rPr>
                <w:rFonts w:hint="eastAsia"/>
              </w:rPr>
              <w:t>488,786.88</w:t>
            </w:r>
          </w:p>
        </w:tc>
      </w:tr>
      <w:tr w14:paraId="0565F5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2F5DDC2">
            <w:r>
              <w:rPr>
                <w:rFonts w:hint="eastAsia"/>
              </w:rPr>
              <w:t>结算备付金</w:t>
            </w:r>
          </w:p>
        </w:tc>
        <w:tc>
          <w:tcPr>
            <w:tcW w:w="1384" w:type="dxa"/>
            <w:vAlign w:val="center"/>
          </w:tcPr>
          <w:p w14:paraId="5A19B054">
            <w:pPr>
              <w:jc w:val="right"/>
            </w:pPr>
            <w:r>
              <w:rPr>
                <w:rFonts w:hint="eastAsia"/>
              </w:rPr>
              <w:t>-</w:t>
            </w:r>
          </w:p>
        </w:tc>
        <w:tc>
          <w:tcPr>
            <w:tcW w:w="1384" w:type="dxa"/>
            <w:vAlign w:val="center"/>
          </w:tcPr>
          <w:p w14:paraId="788C00C1">
            <w:pPr>
              <w:jc w:val="right"/>
            </w:pPr>
            <w:r>
              <w:rPr>
                <w:rFonts w:hint="eastAsia"/>
              </w:rPr>
              <w:t>-</w:t>
            </w:r>
          </w:p>
        </w:tc>
        <w:tc>
          <w:tcPr>
            <w:tcW w:w="1384" w:type="dxa"/>
            <w:vAlign w:val="center"/>
          </w:tcPr>
          <w:p w14:paraId="1FF68E82">
            <w:pPr>
              <w:jc w:val="right"/>
            </w:pPr>
            <w:r>
              <w:rPr>
                <w:rFonts w:hint="eastAsia"/>
              </w:rPr>
              <w:t>-</w:t>
            </w:r>
          </w:p>
        </w:tc>
        <w:tc>
          <w:tcPr>
            <w:tcW w:w="1384" w:type="dxa"/>
            <w:vAlign w:val="center"/>
          </w:tcPr>
          <w:p w14:paraId="7B07724E">
            <w:pPr>
              <w:jc w:val="right"/>
            </w:pPr>
            <w:r>
              <w:rPr>
                <w:rFonts w:hint="eastAsia"/>
              </w:rPr>
              <w:t>-</w:t>
            </w:r>
          </w:p>
        </w:tc>
        <w:tc>
          <w:tcPr>
            <w:tcW w:w="1384" w:type="dxa"/>
            <w:vAlign w:val="center"/>
          </w:tcPr>
          <w:p w14:paraId="3E05EB4B">
            <w:pPr>
              <w:jc w:val="right"/>
            </w:pPr>
            <w:r>
              <w:rPr>
                <w:rFonts w:hint="eastAsia"/>
              </w:rPr>
              <w:t>-</w:t>
            </w:r>
          </w:p>
        </w:tc>
      </w:tr>
      <w:tr w14:paraId="41D49C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27805B7">
            <w:r>
              <w:rPr>
                <w:rFonts w:hint="eastAsia"/>
              </w:rPr>
              <w:t>存出保证金</w:t>
            </w:r>
          </w:p>
        </w:tc>
        <w:tc>
          <w:tcPr>
            <w:tcW w:w="1384" w:type="dxa"/>
            <w:vAlign w:val="center"/>
          </w:tcPr>
          <w:p w14:paraId="39AD2D71">
            <w:pPr>
              <w:jc w:val="right"/>
            </w:pPr>
            <w:r>
              <w:rPr>
                <w:rFonts w:hint="eastAsia"/>
              </w:rPr>
              <w:t>5,861.66</w:t>
            </w:r>
          </w:p>
        </w:tc>
        <w:tc>
          <w:tcPr>
            <w:tcW w:w="1384" w:type="dxa"/>
            <w:vAlign w:val="center"/>
          </w:tcPr>
          <w:p w14:paraId="28E2760F">
            <w:pPr>
              <w:jc w:val="right"/>
            </w:pPr>
            <w:r>
              <w:rPr>
                <w:rFonts w:hint="eastAsia"/>
              </w:rPr>
              <w:t>-</w:t>
            </w:r>
          </w:p>
        </w:tc>
        <w:tc>
          <w:tcPr>
            <w:tcW w:w="1384" w:type="dxa"/>
            <w:vAlign w:val="center"/>
          </w:tcPr>
          <w:p w14:paraId="71FA4EA9">
            <w:pPr>
              <w:jc w:val="right"/>
            </w:pPr>
            <w:r>
              <w:rPr>
                <w:rFonts w:hint="eastAsia"/>
              </w:rPr>
              <w:t>-</w:t>
            </w:r>
          </w:p>
        </w:tc>
        <w:tc>
          <w:tcPr>
            <w:tcW w:w="1384" w:type="dxa"/>
            <w:vAlign w:val="center"/>
          </w:tcPr>
          <w:p w14:paraId="5F05DDC0">
            <w:pPr>
              <w:jc w:val="right"/>
            </w:pPr>
            <w:r>
              <w:rPr>
                <w:rFonts w:hint="eastAsia"/>
              </w:rPr>
              <w:t>-</w:t>
            </w:r>
          </w:p>
        </w:tc>
        <w:tc>
          <w:tcPr>
            <w:tcW w:w="1384" w:type="dxa"/>
            <w:vAlign w:val="center"/>
          </w:tcPr>
          <w:p w14:paraId="223928B9">
            <w:pPr>
              <w:jc w:val="right"/>
            </w:pPr>
            <w:r>
              <w:rPr>
                <w:rFonts w:hint="eastAsia"/>
              </w:rPr>
              <w:t>5,861.66</w:t>
            </w:r>
          </w:p>
        </w:tc>
      </w:tr>
      <w:tr w14:paraId="5564842E">
        <w:tblPrEx>
          <w:tblCellMar>
            <w:top w:w="0" w:type="dxa"/>
            <w:left w:w="108" w:type="dxa"/>
            <w:bottom w:w="0" w:type="dxa"/>
            <w:right w:w="108" w:type="dxa"/>
          </w:tblCellMar>
        </w:tblPrEx>
        <w:trPr>
          <w:jc w:val="center"/>
        </w:trPr>
        <w:tc>
          <w:tcPr>
            <w:tcW w:w="1384" w:type="dxa"/>
            <w:vAlign w:val="center"/>
          </w:tcPr>
          <w:p w14:paraId="75369589">
            <w:r>
              <w:rPr>
                <w:rFonts w:hint="eastAsia"/>
              </w:rPr>
              <w:t>交易性金融资产</w:t>
            </w:r>
          </w:p>
        </w:tc>
        <w:tc>
          <w:tcPr>
            <w:tcW w:w="1384" w:type="dxa"/>
            <w:vAlign w:val="center"/>
          </w:tcPr>
          <w:p w14:paraId="165F6363">
            <w:pPr>
              <w:jc w:val="right"/>
            </w:pPr>
            <w:r>
              <w:rPr>
                <w:rFonts w:hint="eastAsia"/>
              </w:rPr>
              <w:t>9,137,841,000.27</w:t>
            </w:r>
          </w:p>
        </w:tc>
        <w:tc>
          <w:tcPr>
            <w:tcW w:w="1384" w:type="dxa"/>
            <w:vAlign w:val="center"/>
          </w:tcPr>
          <w:p w14:paraId="4A655AEE">
            <w:pPr>
              <w:jc w:val="right"/>
            </w:pPr>
            <w:r>
              <w:rPr>
                <w:rFonts w:hint="eastAsia"/>
              </w:rPr>
              <w:t>-</w:t>
            </w:r>
          </w:p>
        </w:tc>
        <w:tc>
          <w:tcPr>
            <w:tcW w:w="1384" w:type="dxa"/>
            <w:vAlign w:val="center"/>
          </w:tcPr>
          <w:p w14:paraId="38914409">
            <w:pPr>
              <w:jc w:val="right"/>
            </w:pPr>
            <w:r>
              <w:rPr>
                <w:rFonts w:hint="eastAsia"/>
              </w:rPr>
              <w:t>-</w:t>
            </w:r>
          </w:p>
        </w:tc>
        <w:tc>
          <w:tcPr>
            <w:tcW w:w="1384" w:type="dxa"/>
            <w:vAlign w:val="center"/>
          </w:tcPr>
          <w:p w14:paraId="07C0914E">
            <w:pPr>
              <w:jc w:val="right"/>
            </w:pPr>
            <w:r>
              <w:rPr>
                <w:rFonts w:hint="eastAsia"/>
              </w:rPr>
              <w:t>-</w:t>
            </w:r>
          </w:p>
        </w:tc>
        <w:tc>
          <w:tcPr>
            <w:tcW w:w="1384" w:type="dxa"/>
            <w:vAlign w:val="center"/>
          </w:tcPr>
          <w:p w14:paraId="3189C616">
            <w:pPr>
              <w:jc w:val="right"/>
            </w:pPr>
            <w:r>
              <w:rPr>
                <w:rFonts w:hint="eastAsia"/>
              </w:rPr>
              <w:t>9,137,841,000.27</w:t>
            </w:r>
          </w:p>
        </w:tc>
      </w:tr>
      <w:tr w14:paraId="267A9E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CCE2E61">
            <w:r>
              <w:rPr>
                <w:rFonts w:hint="eastAsia"/>
              </w:rPr>
              <w:t>衍生金融资产</w:t>
            </w:r>
          </w:p>
        </w:tc>
        <w:tc>
          <w:tcPr>
            <w:tcW w:w="1384" w:type="dxa"/>
            <w:vAlign w:val="center"/>
          </w:tcPr>
          <w:p w14:paraId="54C3E1E1">
            <w:pPr>
              <w:jc w:val="right"/>
            </w:pPr>
            <w:r>
              <w:rPr>
                <w:rFonts w:hint="eastAsia"/>
              </w:rPr>
              <w:t>-</w:t>
            </w:r>
          </w:p>
        </w:tc>
        <w:tc>
          <w:tcPr>
            <w:tcW w:w="1384" w:type="dxa"/>
            <w:vAlign w:val="center"/>
          </w:tcPr>
          <w:p w14:paraId="50B22DC3">
            <w:pPr>
              <w:jc w:val="right"/>
            </w:pPr>
            <w:r>
              <w:rPr>
                <w:rFonts w:hint="eastAsia"/>
              </w:rPr>
              <w:t>-</w:t>
            </w:r>
          </w:p>
        </w:tc>
        <w:tc>
          <w:tcPr>
            <w:tcW w:w="1384" w:type="dxa"/>
            <w:vAlign w:val="center"/>
          </w:tcPr>
          <w:p w14:paraId="00D44821">
            <w:pPr>
              <w:jc w:val="right"/>
            </w:pPr>
            <w:r>
              <w:rPr>
                <w:rFonts w:hint="eastAsia"/>
              </w:rPr>
              <w:t>-</w:t>
            </w:r>
          </w:p>
        </w:tc>
        <w:tc>
          <w:tcPr>
            <w:tcW w:w="1384" w:type="dxa"/>
            <w:vAlign w:val="center"/>
          </w:tcPr>
          <w:p w14:paraId="6100CBE9">
            <w:pPr>
              <w:jc w:val="right"/>
            </w:pPr>
            <w:r>
              <w:rPr>
                <w:rFonts w:hint="eastAsia"/>
              </w:rPr>
              <w:t>-</w:t>
            </w:r>
          </w:p>
        </w:tc>
        <w:tc>
          <w:tcPr>
            <w:tcW w:w="1384" w:type="dxa"/>
            <w:vAlign w:val="center"/>
          </w:tcPr>
          <w:p w14:paraId="64550128">
            <w:pPr>
              <w:jc w:val="right"/>
            </w:pPr>
            <w:r>
              <w:rPr>
                <w:rFonts w:hint="eastAsia"/>
              </w:rPr>
              <w:t>-</w:t>
            </w:r>
          </w:p>
        </w:tc>
      </w:tr>
      <w:tr w14:paraId="4F46D2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0D74981">
            <w:r>
              <w:rPr>
                <w:rFonts w:hint="eastAsia"/>
              </w:rPr>
              <w:t>买入返售金融资产</w:t>
            </w:r>
          </w:p>
        </w:tc>
        <w:tc>
          <w:tcPr>
            <w:tcW w:w="1384" w:type="dxa"/>
            <w:vAlign w:val="center"/>
          </w:tcPr>
          <w:p w14:paraId="35934CFE">
            <w:pPr>
              <w:jc w:val="right"/>
            </w:pPr>
            <w:r>
              <w:rPr>
                <w:rFonts w:hint="eastAsia"/>
              </w:rPr>
              <w:t>-</w:t>
            </w:r>
          </w:p>
        </w:tc>
        <w:tc>
          <w:tcPr>
            <w:tcW w:w="1384" w:type="dxa"/>
            <w:vAlign w:val="center"/>
          </w:tcPr>
          <w:p w14:paraId="3DAD5C0A">
            <w:pPr>
              <w:jc w:val="right"/>
            </w:pPr>
            <w:r>
              <w:rPr>
                <w:rFonts w:hint="eastAsia"/>
              </w:rPr>
              <w:t>-</w:t>
            </w:r>
          </w:p>
        </w:tc>
        <w:tc>
          <w:tcPr>
            <w:tcW w:w="1384" w:type="dxa"/>
            <w:vAlign w:val="center"/>
          </w:tcPr>
          <w:p w14:paraId="41B5CC49">
            <w:pPr>
              <w:jc w:val="right"/>
            </w:pPr>
            <w:r>
              <w:rPr>
                <w:rFonts w:hint="eastAsia"/>
              </w:rPr>
              <w:t>-</w:t>
            </w:r>
          </w:p>
        </w:tc>
        <w:tc>
          <w:tcPr>
            <w:tcW w:w="1384" w:type="dxa"/>
            <w:vAlign w:val="center"/>
          </w:tcPr>
          <w:p w14:paraId="771A172A">
            <w:pPr>
              <w:jc w:val="right"/>
            </w:pPr>
            <w:r>
              <w:rPr>
                <w:rFonts w:hint="eastAsia"/>
              </w:rPr>
              <w:t>-</w:t>
            </w:r>
          </w:p>
        </w:tc>
        <w:tc>
          <w:tcPr>
            <w:tcW w:w="1384" w:type="dxa"/>
            <w:vAlign w:val="center"/>
          </w:tcPr>
          <w:p w14:paraId="42D9DB91">
            <w:pPr>
              <w:jc w:val="right"/>
            </w:pPr>
            <w:r>
              <w:rPr>
                <w:rFonts w:hint="eastAsia"/>
              </w:rPr>
              <w:t>-</w:t>
            </w:r>
          </w:p>
        </w:tc>
      </w:tr>
      <w:tr w14:paraId="2E4972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169CCE2">
            <w:r>
              <w:rPr>
                <w:rFonts w:hint="eastAsia"/>
              </w:rPr>
              <w:t>债权投资</w:t>
            </w:r>
          </w:p>
        </w:tc>
        <w:tc>
          <w:tcPr>
            <w:tcW w:w="1384" w:type="dxa"/>
            <w:vAlign w:val="center"/>
          </w:tcPr>
          <w:p w14:paraId="4D40F62D">
            <w:pPr>
              <w:jc w:val="right"/>
            </w:pPr>
            <w:r>
              <w:rPr>
                <w:rFonts w:hint="eastAsia"/>
              </w:rPr>
              <w:t>-</w:t>
            </w:r>
          </w:p>
        </w:tc>
        <w:tc>
          <w:tcPr>
            <w:tcW w:w="1384" w:type="dxa"/>
            <w:vAlign w:val="center"/>
          </w:tcPr>
          <w:p w14:paraId="70E29E2E">
            <w:pPr>
              <w:jc w:val="right"/>
            </w:pPr>
            <w:r>
              <w:rPr>
                <w:rFonts w:hint="eastAsia"/>
              </w:rPr>
              <w:t>-</w:t>
            </w:r>
          </w:p>
        </w:tc>
        <w:tc>
          <w:tcPr>
            <w:tcW w:w="1384" w:type="dxa"/>
            <w:vAlign w:val="center"/>
          </w:tcPr>
          <w:p w14:paraId="68A6589C">
            <w:pPr>
              <w:jc w:val="right"/>
            </w:pPr>
            <w:r>
              <w:rPr>
                <w:rFonts w:hint="eastAsia"/>
              </w:rPr>
              <w:t>-</w:t>
            </w:r>
          </w:p>
        </w:tc>
        <w:tc>
          <w:tcPr>
            <w:tcW w:w="1384" w:type="dxa"/>
            <w:vAlign w:val="center"/>
          </w:tcPr>
          <w:p w14:paraId="66F0E6CB">
            <w:pPr>
              <w:jc w:val="right"/>
            </w:pPr>
            <w:r>
              <w:rPr>
                <w:rFonts w:hint="eastAsia"/>
              </w:rPr>
              <w:t>-</w:t>
            </w:r>
          </w:p>
        </w:tc>
        <w:tc>
          <w:tcPr>
            <w:tcW w:w="1384" w:type="dxa"/>
            <w:vAlign w:val="center"/>
          </w:tcPr>
          <w:p w14:paraId="2C998831">
            <w:pPr>
              <w:jc w:val="right"/>
            </w:pPr>
            <w:r>
              <w:rPr>
                <w:rFonts w:hint="eastAsia"/>
              </w:rPr>
              <w:t>-</w:t>
            </w:r>
          </w:p>
        </w:tc>
      </w:tr>
      <w:tr w14:paraId="6EF6FD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1AF6B8F">
            <w:r>
              <w:rPr>
                <w:rFonts w:hint="eastAsia"/>
              </w:rPr>
              <w:t>其他债权投资</w:t>
            </w:r>
          </w:p>
        </w:tc>
        <w:tc>
          <w:tcPr>
            <w:tcW w:w="1384" w:type="dxa"/>
            <w:vAlign w:val="center"/>
          </w:tcPr>
          <w:p w14:paraId="32DCE055">
            <w:pPr>
              <w:jc w:val="right"/>
            </w:pPr>
            <w:r>
              <w:rPr>
                <w:rFonts w:hint="eastAsia"/>
              </w:rPr>
              <w:t>-</w:t>
            </w:r>
          </w:p>
        </w:tc>
        <w:tc>
          <w:tcPr>
            <w:tcW w:w="1384" w:type="dxa"/>
            <w:vAlign w:val="center"/>
          </w:tcPr>
          <w:p w14:paraId="0DD97253">
            <w:pPr>
              <w:jc w:val="right"/>
            </w:pPr>
            <w:r>
              <w:rPr>
                <w:rFonts w:hint="eastAsia"/>
              </w:rPr>
              <w:t>-</w:t>
            </w:r>
          </w:p>
        </w:tc>
        <w:tc>
          <w:tcPr>
            <w:tcW w:w="1384" w:type="dxa"/>
            <w:vAlign w:val="center"/>
          </w:tcPr>
          <w:p w14:paraId="1447C019">
            <w:pPr>
              <w:jc w:val="right"/>
            </w:pPr>
            <w:r>
              <w:rPr>
                <w:rFonts w:hint="eastAsia"/>
              </w:rPr>
              <w:t>-</w:t>
            </w:r>
          </w:p>
        </w:tc>
        <w:tc>
          <w:tcPr>
            <w:tcW w:w="1384" w:type="dxa"/>
            <w:vAlign w:val="center"/>
          </w:tcPr>
          <w:p w14:paraId="4069EED7">
            <w:pPr>
              <w:jc w:val="right"/>
            </w:pPr>
            <w:r>
              <w:rPr>
                <w:rFonts w:hint="eastAsia"/>
              </w:rPr>
              <w:t>-</w:t>
            </w:r>
          </w:p>
        </w:tc>
        <w:tc>
          <w:tcPr>
            <w:tcW w:w="1384" w:type="dxa"/>
            <w:vAlign w:val="center"/>
          </w:tcPr>
          <w:p w14:paraId="7EDE9B42">
            <w:pPr>
              <w:jc w:val="right"/>
            </w:pPr>
            <w:r>
              <w:rPr>
                <w:rFonts w:hint="eastAsia"/>
              </w:rPr>
              <w:t>-</w:t>
            </w:r>
          </w:p>
        </w:tc>
      </w:tr>
      <w:tr w14:paraId="3F5872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DF0898F">
            <w:r>
              <w:rPr>
                <w:rFonts w:hint="eastAsia"/>
              </w:rPr>
              <w:t>其他权益工具投资</w:t>
            </w:r>
          </w:p>
        </w:tc>
        <w:tc>
          <w:tcPr>
            <w:tcW w:w="1384" w:type="dxa"/>
            <w:vAlign w:val="center"/>
          </w:tcPr>
          <w:p w14:paraId="16D9F696">
            <w:pPr>
              <w:jc w:val="right"/>
            </w:pPr>
            <w:r>
              <w:rPr>
                <w:rFonts w:hint="eastAsia"/>
              </w:rPr>
              <w:t>-</w:t>
            </w:r>
          </w:p>
        </w:tc>
        <w:tc>
          <w:tcPr>
            <w:tcW w:w="1384" w:type="dxa"/>
            <w:vAlign w:val="center"/>
          </w:tcPr>
          <w:p w14:paraId="7C6AF5A9">
            <w:pPr>
              <w:jc w:val="right"/>
            </w:pPr>
            <w:r>
              <w:rPr>
                <w:rFonts w:hint="eastAsia"/>
              </w:rPr>
              <w:t>-</w:t>
            </w:r>
          </w:p>
        </w:tc>
        <w:tc>
          <w:tcPr>
            <w:tcW w:w="1384" w:type="dxa"/>
            <w:vAlign w:val="center"/>
          </w:tcPr>
          <w:p w14:paraId="6C555107">
            <w:pPr>
              <w:jc w:val="right"/>
            </w:pPr>
            <w:r>
              <w:rPr>
                <w:rFonts w:hint="eastAsia"/>
              </w:rPr>
              <w:t>-</w:t>
            </w:r>
          </w:p>
        </w:tc>
        <w:tc>
          <w:tcPr>
            <w:tcW w:w="1384" w:type="dxa"/>
            <w:vAlign w:val="center"/>
          </w:tcPr>
          <w:p w14:paraId="047407BC">
            <w:pPr>
              <w:jc w:val="right"/>
            </w:pPr>
            <w:r>
              <w:rPr>
                <w:rFonts w:hint="eastAsia"/>
              </w:rPr>
              <w:t>-</w:t>
            </w:r>
          </w:p>
        </w:tc>
        <w:tc>
          <w:tcPr>
            <w:tcW w:w="1384" w:type="dxa"/>
            <w:vAlign w:val="center"/>
          </w:tcPr>
          <w:p w14:paraId="2AD11403">
            <w:pPr>
              <w:jc w:val="right"/>
            </w:pPr>
            <w:r>
              <w:rPr>
                <w:rFonts w:hint="eastAsia"/>
              </w:rPr>
              <w:t>-</w:t>
            </w:r>
          </w:p>
        </w:tc>
      </w:tr>
      <w:tr w14:paraId="5A5E97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C37DD2F">
            <w:r>
              <w:rPr>
                <w:rFonts w:hint="eastAsia"/>
              </w:rPr>
              <w:t>应收清算款</w:t>
            </w:r>
          </w:p>
        </w:tc>
        <w:tc>
          <w:tcPr>
            <w:tcW w:w="1384" w:type="dxa"/>
            <w:vAlign w:val="center"/>
          </w:tcPr>
          <w:p w14:paraId="3A38229E">
            <w:pPr>
              <w:jc w:val="right"/>
            </w:pPr>
            <w:r>
              <w:rPr>
                <w:rFonts w:hint="eastAsia"/>
              </w:rPr>
              <w:t>-</w:t>
            </w:r>
          </w:p>
        </w:tc>
        <w:tc>
          <w:tcPr>
            <w:tcW w:w="1384" w:type="dxa"/>
            <w:vAlign w:val="center"/>
          </w:tcPr>
          <w:p w14:paraId="61E54597">
            <w:pPr>
              <w:jc w:val="right"/>
            </w:pPr>
            <w:r>
              <w:rPr>
                <w:rFonts w:hint="eastAsia"/>
              </w:rPr>
              <w:t>-</w:t>
            </w:r>
          </w:p>
        </w:tc>
        <w:tc>
          <w:tcPr>
            <w:tcW w:w="1384" w:type="dxa"/>
            <w:vAlign w:val="center"/>
          </w:tcPr>
          <w:p w14:paraId="55A571A7">
            <w:pPr>
              <w:jc w:val="right"/>
            </w:pPr>
            <w:r>
              <w:rPr>
                <w:rFonts w:hint="eastAsia"/>
              </w:rPr>
              <w:t>-</w:t>
            </w:r>
          </w:p>
        </w:tc>
        <w:tc>
          <w:tcPr>
            <w:tcW w:w="1384" w:type="dxa"/>
            <w:vAlign w:val="center"/>
          </w:tcPr>
          <w:p w14:paraId="50EB25E8">
            <w:pPr>
              <w:jc w:val="right"/>
            </w:pPr>
            <w:r>
              <w:rPr>
                <w:rFonts w:hint="eastAsia"/>
              </w:rPr>
              <w:t>-</w:t>
            </w:r>
          </w:p>
        </w:tc>
        <w:tc>
          <w:tcPr>
            <w:tcW w:w="1384" w:type="dxa"/>
            <w:vAlign w:val="center"/>
          </w:tcPr>
          <w:p w14:paraId="2A18AEF2">
            <w:pPr>
              <w:jc w:val="right"/>
            </w:pPr>
            <w:r>
              <w:rPr>
                <w:rFonts w:hint="eastAsia"/>
              </w:rPr>
              <w:t>-</w:t>
            </w:r>
          </w:p>
        </w:tc>
      </w:tr>
      <w:tr w14:paraId="242CBD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FC80601">
            <w:r>
              <w:rPr>
                <w:rFonts w:hint="eastAsia"/>
              </w:rPr>
              <w:t>应收股利</w:t>
            </w:r>
          </w:p>
        </w:tc>
        <w:tc>
          <w:tcPr>
            <w:tcW w:w="1384" w:type="dxa"/>
            <w:vAlign w:val="center"/>
          </w:tcPr>
          <w:p w14:paraId="2036DD50">
            <w:pPr>
              <w:jc w:val="right"/>
            </w:pPr>
            <w:r>
              <w:rPr>
                <w:rFonts w:hint="eastAsia"/>
              </w:rPr>
              <w:t>-</w:t>
            </w:r>
          </w:p>
        </w:tc>
        <w:tc>
          <w:tcPr>
            <w:tcW w:w="1384" w:type="dxa"/>
            <w:vAlign w:val="center"/>
          </w:tcPr>
          <w:p w14:paraId="05E478D9">
            <w:pPr>
              <w:jc w:val="right"/>
            </w:pPr>
            <w:r>
              <w:rPr>
                <w:rFonts w:hint="eastAsia"/>
              </w:rPr>
              <w:t>-</w:t>
            </w:r>
          </w:p>
        </w:tc>
        <w:tc>
          <w:tcPr>
            <w:tcW w:w="1384" w:type="dxa"/>
            <w:vAlign w:val="center"/>
          </w:tcPr>
          <w:p w14:paraId="42AC9218">
            <w:pPr>
              <w:jc w:val="right"/>
            </w:pPr>
            <w:r>
              <w:rPr>
                <w:rFonts w:hint="eastAsia"/>
              </w:rPr>
              <w:t>-</w:t>
            </w:r>
          </w:p>
        </w:tc>
        <w:tc>
          <w:tcPr>
            <w:tcW w:w="1384" w:type="dxa"/>
            <w:vAlign w:val="center"/>
          </w:tcPr>
          <w:p w14:paraId="1C2578D7">
            <w:pPr>
              <w:jc w:val="right"/>
            </w:pPr>
            <w:r>
              <w:rPr>
                <w:rFonts w:hint="eastAsia"/>
              </w:rPr>
              <w:t>-</w:t>
            </w:r>
          </w:p>
        </w:tc>
        <w:tc>
          <w:tcPr>
            <w:tcW w:w="1384" w:type="dxa"/>
            <w:vAlign w:val="center"/>
          </w:tcPr>
          <w:p w14:paraId="71E9A92B">
            <w:pPr>
              <w:jc w:val="right"/>
            </w:pPr>
            <w:r>
              <w:rPr>
                <w:rFonts w:hint="eastAsia"/>
              </w:rPr>
              <w:t>-</w:t>
            </w:r>
          </w:p>
        </w:tc>
      </w:tr>
      <w:tr w14:paraId="546703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F5DDEBA">
            <w:r>
              <w:rPr>
                <w:rFonts w:hint="eastAsia"/>
              </w:rPr>
              <w:t>应收申购款</w:t>
            </w:r>
          </w:p>
        </w:tc>
        <w:tc>
          <w:tcPr>
            <w:tcW w:w="1384" w:type="dxa"/>
            <w:vAlign w:val="center"/>
          </w:tcPr>
          <w:p w14:paraId="3EC712E7">
            <w:pPr>
              <w:jc w:val="right"/>
            </w:pPr>
            <w:r>
              <w:rPr>
                <w:rFonts w:hint="eastAsia"/>
              </w:rPr>
              <w:t>-</w:t>
            </w:r>
          </w:p>
        </w:tc>
        <w:tc>
          <w:tcPr>
            <w:tcW w:w="1384" w:type="dxa"/>
            <w:vAlign w:val="center"/>
          </w:tcPr>
          <w:p w14:paraId="04298024">
            <w:pPr>
              <w:jc w:val="right"/>
            </w:pPr>
            <w:r>
              <w:rPr>
                <w:rFonts w:hint="eastAsia"/>
              </w:rPr>
              <w:t>-</w:t>
            </w:r>
          </w:p>
        </w:tc>
        <w:tc>
          <w:tcPr>
            <w:tcW w:w="1384" w:type="dxa"/>
            <w:vAlign w:val="center"/>
          </w:tcPr>
          <w:p w14:paraId="5EB87591">
            <w:pPr>
              <w:jc w:val="right"/>
            </w:pPr>
            <w:r>
              <w:rPr>
                <w:rFonts w:hint="eastAsia"/>
              </w:rPr>
              <w:t>-</w:t>
            </w:r>
          </w:p>
        </w:tc>
        <w:tc>
          <w:tcPr>
            <w:tcW w:w="1384" w:type="dxa"/>
            <w:vAlign w:val="center"/>
          </w:tcPr>
          <w:p w14:paraId="51B4A15A">
            <w:pPr>
              <w:jc w:val="right"/>
            </w:pPr>
            <w:r>
              <w:rPr>
                <w:rFonts w:hint="eastAsia"/>
              </w:rPr>
              <w:t>32,192.00</w:t>
            </w:r>
          </w:p>
        </w:tc>
        <w:tc>
          <w:tcPr>
            <w:tcW w:w="1384" w:type="dxa"/>
            <w:vAlign w:val="center"/>
          </w:tcPr>
          <w:p w14:paraId="60B360D0">
            <w:pPr>
              <w:jc w:val="right"/>
            </w:pPr>
            <w:r>
              <w:rPr>
                <w:rFonts w:hint="eastAsia"/>
              </w:rPr>
              <w:t>32,192.00</w:t>
            </w:r>
          </w:p>
        </w:tc>
      </w:tr>
      <w:tr w14:paraId="00DBBF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B0C269B">
            <w:r>
              <w:rPr>
                <w:rFonts w:hint="eastAsia"/>
              </w:rPr>
              <w:t>递延所得税资产</w:t>
            </w:r>
          </w:p>
        </w:tc>
        <w:tc>
          <w:tcPr>
            <w:tcW w:w="1384" w:type="dxa"/>
            <w:vAlign w:val="center"/>
          </w:tcPr>
          <w:p w14:paraId="60D616B9">
            <w:pPr>
              <w:jc w:val="right"/>
            </w:pPr>
            <w:r>
              <w:rPr>
                <w:rFonts w:hint="eastAsia"/>
              </w:rPr>
              <w:t>-</w:t>
            </w:r>
          </w:p>
        </w:tc>
        <w:tc>
          <w:tcPr>
            <w:tcW w:w="1384" w:type="dxa"/>
            <w:vAlign w:val="center"/>
          </w:tcPr>
          <w:p w14:paraId="29EE5BEE">
            <w:pPr>
              <w:jc w:val="right"/>
            </w:pPr>
            <w:r>
              <w:rPr>
                <w:rFonts w:hint="eastAsia"/>
              </w:rPr>
              <w:t>-</w:t>
            </w:r>
          </w:p>
        </w:tc>
        <w:tc>
          <w:tcPr>
            <w:tcW w:w="1384" w:type="dxa"/>
            <w:vAlign w:val="center"/>
          </w:tcPr>
          <w:p w14:paraId="61CB732C">
            <w:pPr>
              <w:jc w:val="right"/>
            </w:pPr>
            <w:r>
              <w:rPr>
                <w:rFonts w:hint="eastAsia"/>
              </w:rPr>
              <w:t>-</w:t>
            </w:r>
          </w:p>
        </w:tc>
        <w:tc>
          <w:tcPr>
            <w:tcW w:w="1384" w:type="dxa"/>
            <w:vAlign w:val="center"/>
          </w:tcPr>
          <w:p w14:paraId="46ACB289">
            <w:pPr>
              <w:jc w:val="right"/>
            </w:pPr>
            <w:r>
              <w:rPr>
                <w:rFonts w:hint="eastAsia"/>
              </w:rPr>
              <w:t>-</w:t>
            </w:r>
          </w:p>
        </w:tc>
        <w:tc>
          <w:tcPr>
            <w:tcW w:w="1384" w:type="dxa"/>
            <w:vAlign w:val="center"/>
          </w:tcPr>
          <w:p w14:paraId="14294A64">
            <w:pPr>
              <w:jc w:val="right"/>
            </w:pPr>
            <w:r>
              <w:rPr>
                <w:rFonts w:hint="eastAsia"/>
              </w:rPr>
              <w:t>-</w:t>
            </w:r>
          </w:p>
        </w:tc>
      </w:tr>
      <w:tr w14:paraId="1FEB07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4415CC2">
            <w:r>
              <w:rPr>
                <w:rFonts w:hint="eastAsia"/>
              </w:rPr>
              <w:t>其他资产</w:t>
            </w:r>
          </w:p>
        </w:tc>
        <w:tc>
          <w:tcPr>
            <w:tcW w:w="1384" w:type="dxa"/>
            <w:vAlign w:val="center"/>
          </w:tcPr>
          <w:p w14:paraId="2D0ADB76">
            <w:pPr>
              <w:jc w:val="right"/>
            </w:pPr>
            <w:r>
              <w:rPr>
                <w:rFonts w:hint="eastAsia"/>
              </w:rPr>
              <w:t>-</w:t>
            </w:r>
          </w:p>
        </w:tc>
        <w:tc>
          <w:tcPr>
            <w:tcW w:w="1384" w:type="dxa"/>
            <w:vAlign w:val="center"/>
          </w:tcPr>
          <w:p w14:paraId="19FA4601">
            <w:pPr>
              <w:jc w:val="right"/>
            </w:pPr>
            <w:r>
              <w:rPr>
                <w:rFonts w:hint="eastAsia"/>
              </w:rPr>
              <w:t>-</w:t>
            </w:r>
          </w:p>
        </w:tc>
        <w:tc>
          <w:tcPr>
            <w:tcW w:w="1384" w:type="dxa"/>
            <w:vAlign w:val="center"/>
          </w:tcPr>
          <w:p w14:paraId="2AEB0F26">
            <w:pPr>
              <w:jc w:val="right"/>
            </w:pPr>
            <w:r>
              <w:rPr>
                <w:rFonts w:hint="eastAsia"/>
              </w:rPr>
              <w:t>-</w:t>
            </w:r>
          </w:p>
        </w:tc>
        <w:tc>
          <w:tcPr>
            <w:tcW w:w="1384" w:type="dxa"/>
            <w:vAlign w:val="center"/>
          </w:tcPr>
          <w:p w14:paraId="5A991665">
            <w:pPr>
              <w:jc w:val="right"/>
            </w:pPr>
            <w:r>
              <w:rPr>
                <w:rFonts w:hint="eastAsia"/>
              </w:rPr>
              <w:t>-</w:t>
            </w:r>
          </w:p>
        </w:tc>
        <w:tc>
          <w:tcPr>
            <w:tcW w:w="1384" w:type="dxa"/>
            <w:vAlign w:val="center"/>
          </w:tcPr>
          <w:p w14:paraId="0DCF4198">
            <w:pPr>
              <w:jc w:val="right"/>
            </w:pPr>
            <w:r>
              <w:rPr>
                <w:rFonts w:hint="eastAsia"/>
              </w:rPr>
              <w:t>-</w:t>
            </w:r>
          </w:p>
        </w:tc>
      </w:tr>
      <w:tr w14:paraId="539F07F4">
        <w:tblPrEx>
          <w:tblCellMar>
            <w:top w:w="0" w:type="dxa"/>
            <w:left w:w="108" w:type="dxa"/>
            <w:bottom w:w="0" w:type="dxa"/>
            <w:right w:w="108" w:type="dxa"/>
          </w:tblCellMar>
        </w:tblPrEx>
        <w:trPr>
          <w:jc w:val="center"/>
        </w:trPr>
        <w:tc>
          <w:tcPr>
            <w:tcW w:w="1384" w:type="dxa"/>
            <w:vAlign w:val="center"/>
          </w:tcPr>
          <w:p w14:paraId="32378DEB">
            <w:r>
              <w:rPr>
                <w:rFonts w:hint="eastAsia"/>
              </w:rPr>
              <w:t>资产总计</w:t>
            </w:r>
          </w:p>
        </w:tc>
        <w:tc>
          <w:tcPr>
            <w:tcW w:w="1384" w:type="dxa"/>
            <w:vAlign w:val="center"/>
          </w:tcPr>
          <w:p w14:paraId="2D4A2353">
            <w:pPr>
              <w:jc w:val="right"/>
            </w:pPr>
            <w:r>
              <w:rPr>
                <w:rFonts w:hint="eastAsia"/>
              </w:rPr>
              <w:t>9,138,335,648.81</w:t>
            </w:r>
          </w:p>
        </w:tc>
        <w:tc>
          <w:tcPr>
            <w:tcW w:w="1384" w:type="dxa"/>
            <w:vAlign w:val="center"/>
          </w:tcPr>
          <w:p w14:paraId="1B1945CE">
            <w:pPr>
              <w:jc w:val="right"/>
            </w:pPr>
            <w:r>
              <w:rPr>
                <w:rFonts w:hint="eastAsia"/>
              </w:rPr>
              <w:t>-</w:t>
            </w:r>
          </w:p>
        </w:tc>
        <w:tc>
          <w:tcPr>
            <w:tcW w:w="1384" w:type="dxa"/>
            <w:vAlign w:val="center"/>
          </w:tcPr>
          <w:p w14:paraId="17DD35FD">
            <w:pPr>
              <w:jc w:val="right"/>
            </w:pPr>
            <w:r>
              <w:rPr>
                <w:rFonts w:hint="eastAsia"/>
              </w:rPr>
              <w:t>-</w:t>
            </w:r>
          </w:p>
        </w:tc>
        <w:tc>
          <w:tcPr>
            <w:tcW w:w="1384" w:type="dxa"/>
            <w:vAlign w:val="center"/>
          </w:tcPr>
          <w:p w14:paraId="665C384A">
            <w:pPr>
              <w:jc w:val="right"/>
            </w:pPr>
            <w:r>
              <w:rPr>
                <w:rFonts w:hint="eastAsia"/>
              </w:rPr>
              <w:t>32,192.00</w:t>
            </w:r>
          </w:p>
        </w:tc>
        <w:tc>
          <w:tcPr>
            <w:tcW w:w="1384" w:type="dxa"/>
            <w:vAlign w:val="center"/>
          </w:tcPr>
          <w:p w14:paraId="44C63E68">
            <w:pPr>
              <w:jc w:val="right"/>
            </w:pPr>
            <w:r>
              <w:rPr>
                <w:rFonts w:hint="eastAsia"/>
              </w:rPr>
              <w:t>9,138,367,840.81</w:t>
            </w:r>
          </w:p>
        </w:tc>
      </w:tr>
      <w:tr w14:paraId="5689A3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3DA1A89">
            <w:r>
              <w:rPr>
                <w:rFonts w:hint="eastAsia"/>
              </w:rPr>
              <w:t>负债</w:t>
            </w:r>
          </w:p>
        </w:tc>
        <w:tc>
          <w:tcPr>
            <w:tcW w:w="1384" w:type="dxa"/>
            <w:vAlign w:val="center"/>
          </w:tcPr>
          <w:p w14:paraId="51D25E1F"/>
        </w:tc>
        <w:tc>
          <w:tcPr>
            <w:tcW w:w="1384" w:type="dxa"/>
            <w:vAlign w:val="center"/>
          </w:tcPr>
          <w:p w14:paraId="4EB2AC77"/>
        </w:tc>
        <w:tc>
          <w:tcPr>
            <w:tcW w:w="1384" w:type="dxa"/>
            <w:vAlign w:val="center"/>
          </w:tcPr>
          <w:p w14:paraId="10B52519"/>
        </w:tc>
        <w:tc>
          <w:tcPr>
            <w:tcW w:w="1384" w:type="dxa"/>
            <w:vAlign w:val="center"/>
          </w:tcPr>
          <w:p w14:paraId="5FD60EE8"/>
        </w:tc>
        <w:tc>
          <w:tcPr>
            <w:tcW w:w="1384" w:type="dxa"/>
            <w:vAlign w:val="center"/>
          </w:tcPr>
          <w:p w14:paraId="23E2ED4A"/>
        </w:tc>
      </w:tr>
      <w:tr w14:paraId="06D1A0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A32F5F3">
            <w:r>
              <w:rPr>
                <w:rFonts w:hint="eastAsia"/>
              </w:rPr>
              <w:t>短期借款</w:t>
            </w:r>
          </w:p>
        </w:tc>
        <w:tc>
          <w:tcPr>
            <w:tcW w:w="1384" w:type="dxa"/>
            <w:vAlign w:val="center"/>
          </w:tcPr>
          <w:p w14:paraId="296A5703">
            <w:pPr>
              <w:jc w:val="right"/>
            </w:pPr>
            <w:r>
              <w:rPr>
                <w:rFonts w:hint="eastAsia"/>
              </w:rPr>
              <w:t>-</w:t>
            </w:r>
          </w:p>
        </w:tc>
        <w:tc>
          <w:tcPr>
            <w:tcW w:w="1384" w:type="dxa"/>
            <w:vAlign w:val="center"/>
          </w:tcPr>
          <w:p w14:paraId="2E8B8F10">
            <w:pPr>
              <w:jc w:val="right"/>
            </w:pPr>
            <w:r>
              <w:rPr>
                <w:rFonts w:hint="eastAsia"/>
              </w:rPr>
              <w:t>-</w:t>
            </w:r>
          </w:p>
        </w:tc>
        <w:tc>
          <w:tcPr>
            <w:tcW w:w="1384" w:type="dxa"/>
            <w:vAlign w:val="center"/>
          </w:tcPr>
          <w:p w14:paraId="4D9B13E3">
            <w:pPr>
              <w:jc w:val="right"/>
            </w:pPr>
            <w:r>
              <w:rPr>
                <w:rFonts w:hint="eastAsia"/>
              </w:rPr>
              <w:t>-</w:t>
            </w:r>
          </w:p>
        </w:tc>
        <w:tc>
          <w:tcPr>
            <w:tcW w:w="1384" w:type="dxa"/>
            <w:vAlign w:val="center"/>
          </w:tcPr>
          <w:p w14:paraId="7813D6B1">
            <w:pPr>
              <w:jc w:val="right"/>
            </w:pPr>
            <w:r>
              <w:rPr>
                <w:rFonts w:hint="eastAsia"/>
              </w:rPr>
              <w:t>-</w:t>
            </w:r>
          </w:p>
        </w:tc>
        <w:tc>
          <w:tcPr>
            <w:tcW w:w="1384" w:type="dxa"/>
            <w:vAlign w:val="center"/>
          </w:tcPr>
          <w:p w14:paraId="77E51FBC">
            <w:pPr>
              <w:jc w:val="right"/>
            </w:pPr>
            <w:r>
              <w:rPr>
                <w:rFonts w:hint="eastAsia"/>
              </w:rPr>
              <w:t>-</w:t>
            </w:r>
          </w:p>
        </w:tc>
      </w:tr>
      <w:tr w14:paraId="0CBE6B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2578BBA">
            <w:r>
              <w:rPr>
                <w:rFonts w:hint="eastAsia"/>
              </w:rPr>
              <w:t>交易性金融负债</w:t>
            </w:r>
          </w:p>
        </w:tc>
        <w:tc>
          <w:tcPr>
            <w:tcW w:w="1384" w:type="dxa"/>
            <w:vAlign w:val="center"/>
          </w:tcPr>
          <w:p w14:paraId="40E9CEAC">
            <w:pPr>
              <w:jc w:val="right"/>
            </w:pPr>
            <w:r>
              <w:rPr>
                <w:rFonts w:hint="eastAsia"/>
              </w:rPr>
              <w:t>-</w:t>
            </w:r>
          </w:p>
        </w:tc>
        <w:tc>
          <w:tcPr>
            <w:tcW w:w="1384" w:type="dxa"/>
            <w:vAlign w:val="center"/>
          </w:tcPr>
          <w:p w14:paraId="4F07A03B">
            <w:pPr>
              <w:jc w:val="right"/>
            </w:pPr>
            <w:r>
              <w:rPr>
                <w:rFonts w:hint="eastAsia"/>
              </w:rPr>
              <w:t>-</w:t>
            </w:r>
          </w:p>
        </w:tc>
        <w:tc>
          <w:tcPr>
            <w:tcW w:w="1384" w:type="dxa"/>
            <w:vAlign w:val="center"/>
          </w:tcPr>
          <w:p w14:paraId="46EEF59D">
            <w:pPr>
              <w:jc w:val="right"/>
            </w:pPr>
            <w:r>
              <w:rPr>
                <w:rFonts w:hint="eastAsia"/>
              </w:rPr>
              <w:t>-</w:t>
            </w:r>
          </w:p>
        </w:tc>
        <w:tc>
          <w:tcPr>
            <w:tcW w:w="1384" w:type="dxa"/>
            <w:vAlign w:val="center"/>
          </w:tcPr>
          <w:p w14:paraId="21F4161D">
            <w:pPr>
              <w:jc w:val="right"/>
            </w:pPr>
            <w:r>
              <w:rPr>
                <w:rFonts w:hint="eastAsia"/>
              </w:rPr>
              <w:t>-</w:t>
            </w:r>
          </w:p>
        </w:tc>
        <w:tc>
          <w:tcPr>
            <w:tcW w:w="1384" w:type="dxa"/>
            <w:vAlign w:val="center"/>
          </w:tcPr>
          <w:p w14:paraId="28F39E01">
            <w:pPr>
              <w:jc w:val="right"/>
            </w:pPr>
            <w:r>
              <w:rPr>
                <w:rFonts w:hint="eastAsia"/>
              </w:rPr>
              <w:t>-</w:t>
            </w:r>
          </w:p>
        </w:tc>
      </w:tr>
      <w:tr w14:paraId="7ACC4C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C169954">
            <w:r>
              <w:rPr>
                <w:rFonts w:hint="eastAsia"/>
              </w:rPr>
              <w:t>衍生金融负债</w:t>
            </w:r>
          </w:p>
        </w:tc>
        <w:tc>
          <w:tcPr>
            <w:tcW w:w="1384" w:type="dxa"/>
            <w:vAlign w:val="center"/>
          </w:tcPr>
          <w:p w14:paraId="5A19754D">
            <w:pPr>
              <w:jc w:val="right"/>
            </w:pPr>
            <w:r>
              <w:rPr>
                <w:rFonts w:hint="eastAsia"/>
              </w:rPr>
              <w:t>-</w:t>
            </w:r>
          </w:p>
        </w:tc>
        <w:tc>
          <w:tcPr>
            <w:tcW w:w="1384" w:type="dxa"/>
            <w:vAlign w:val="center"/>
          </w:tcPr>
          <w:p w14:paraId="16A17E78">
            <w:pPr>
              <w:jc w:val="right"/>
            </w:pPr>
            <w:r>
              <w:rPr>
                <w:rFonts w:hint="eastAsia"/>
              </w:rPr>
              <w:t>-</w:t>
            </w:r>
          </w:p>
        </w:tc>
        <w:tc>
          <w:tcPr>
            <w:tcW w:w="1384" w:type="dxa"/>
            <w:vAlign w:val="center"/>
          </w:tcPr>
          <w:p w14:paraId="46EBF286">
            <w:pPr>
              <w:jc w:val="right"/>
            </w:pPr>
            <w:r>
              <w:rPr>
                <w:rFonts w:hint="eastAsia"/>
              </w:rPr>
              <w:t>-</w:t>
            </w:r>
          </w:p>
        </w:tc>
        <w:tc>
          <w:tcPr>
            <w:tcW w:w="1384" w:type="dxa"/>
            <w:vAlign w:val="center"/>
          </w:tcPr>
          <w:p w14:paraId="504B8BFB">
            <w:pPr>
              <w:jc w:val="right"/>
            </w:pPr>
            <w:r>
              <w:rPr>
                <w:rFonts w:hint="eastAsia"/>
              </w:rPr>
              <w:t>-</w:t>
            </w:r>
          </w:p>
        </w:tc>
        <w:tc>
          <w:tcPr>
            <w:tcW w:w="1384" w:type="dxa"/>
            <w:vAlign w:val="center"/>
          </w:tcPr>
          <w:p w14:paraId="00832D04">
            <w:pPr>
              <w:jc w:val="right"/>
            </w:pPr>
            <w:r>
              <w:rPr>
                <w:rFonts w:hint="eastAsia"/>
              </w:rPr>
              <w:t>-</w:t>
            </w:r>
          </w:p>
        </w:tc>
      </w:tr>
      <w:tr w14:paraId="0FFFC5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7D85637">
            <w:r>
              <w:rPr>
                <w:rFonts w:hint="eastAsia"/>
              </w:rPr>
              <w:t>卖出回购金融资产款</w:t>
            </w:r>
          </w:p>
        </w:tc>
        <w:tc>
          <w:tcPr>
            <w:tcW w:w="1384" w:type="dxa"/>
            <w:vAlign w:val="center"/>
          </w:tcPr>
          <w:p w14:paraId="16F7723E">
            <w:pPr>
              <w:jc w:val="right"/>
            </w:pPr>
            <w:r>
              <w:rPr>
                <w:rFonts w:hint="eastAsia"/>
              </w:rPr>
              <w:t>1,354,364,899.22</w:t>
            </w:r>
          </w:p>
        </w:tc>
        <w:tc>
          <w:tcPr>
            <w:tcW w:w="1384" w:type="dxa"/>
            <w:vAlign w:val="center"/>
          </w:tcPr>
          <w:p w14:paraId="08124304">
            <w:pPr>
              <w:jc w:val="right"/>
            </w:pPr>
            <w:r>
              <w:rPr>
                <w:rFonts w:hint="eastAsia"/>
              </w:rPr>
              <w:t>-</w:t>
            </w:r>
          </w:p>
        </w:tc>
        <w:tc>
          <w:tcPr>
            <w:tcW w:w="1384" w:type="dxa"/>
            <w:vAlign w:val="center"/>
          </w:tcPr>
          <w:p w14:paraId="7E615F48">
            <w:pPr>
              <w:jc w:val="right"/>
            </w:pPr>
            <w:r>
              <w:rPr>
                <w:rFonts w:hint="eastAsia"/>
              </w:rPr>
              <w:t>-</w:t>
            </w:r>
          </w:p>
        </w:tc>
        <w:tc>
          <w:tcPr>
            <w:tcW w:w="1384" w:type="dxa"/>
            <w:vAlign w:val="center"/>
          </w:tcPr>
          <w:p w14:paraId="68F288D8">
            <w:pPr>
              <w:jc w:val="right"/>
            </w:pPr>
            <w:r>
              <w:rPr>
                <w:rFonts w:hint="eastAsia"/>
              </w:rPr>
              <w:t>-</w:t>
            </w:r>
          </w:p>
        </w:tc>
        <w:tc>
          <w:tcPr>
            <w:tcW w:w="1384" w:type="dxa"/>
            <w:vAlign w:val="center"/>
          </w:tcPr>
          <w:p w14:paraId="70403615">
            <w:pPr>
              <w:jc w:val="right"/>
            </w:pPr>
            <w:r>
              <w:rPr>
                <w:rFonts w:hint="eastAsia"/>
              </w:rPr>
              <w:t>1,354,364,899.22</w:t>
            </w:r>
          </w:p>
        </w:tc>
      </w:tr>
      <w:tr w14:paraId="22587F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59B0B60">
            <w:r>
              <w:rPr>
                <w:rFonts w:hint="eastAsia"/>
              </w:rPr>
              <w:t>应付清算款</w:t>
            </w:r>
          </w:p>
        </w:tc>
        <w:tc>
          <w:tcPr>
            <w:tcW w:w="1384" w:type="dxa"/>
            <w:vAlign w:val="center"/>
          </w:tcPr>
          <w:p w14:paraId="523A2CEB">
            <w:pPr>
              <w:jc w:val="right"/>
            </w:pPr>
            <w:r>
              <w:rPr>
                <w:rFonts w:hint="eastAsia"/>
              </w:rPr>
              <w:t>-</w:t>
            </w:r>
          </w:p>
        </w:tc>
        <w:tc>
          <w:tcPr>
            <w:tcW w:w="1384" w:type="dxa"/>
            <w:vAlign w:val="center"/>
          </w:tcPr>
          <w:p w14:paraId="713D9EFB">
            <w:pPr>
              <w:jc w:val="right"/>
            </w:pPr>
            <w:r>
              <w:rPr>
                <w:rFonts w:hint="eastAsia"/>
              </w:rPr>
              <w:t>-</w:t>
            </w:r>
          </w:p>
        </w:tc>
        <w:tc>
          <w:tcPr>
            <w:tcW w:w="1384" w:type="dxa"/>
            <w:vAlign w:val="center"/>
          </w:tcPr>
          <w:p w14:paraId="7710C0E0">
            <w:pPr>
              <w:jc w:val="right"/>
            </w:pPr>
            <w:r>
              <w:rPr>
                <w:rFonts w:hint="eastAsia"/>
              </w:rPr>
              <w:t>-</w:t>
            </w:r>
          </w:p>
        </w:tc>
        <w:tc>
          <w:tcPr>
            <w:tcW w:w="1384" w:type="dxa"/>
            <w:vAlign w:val="center"/>
          </w:tcPr>
          <w:p w14:paraId="5FA08949">
            <w:pPr>
              <w:jc w:val="right"/>
            </w:pPr>
            <w:r>
              <w:rPr>
                <w:rFonts w:hint="eastAsia"/>
              </w:rPr>
              <w:t>-</w:t>
            </w:r>
          </w:p>
        </w:tc>
        <w:tc>
          <w:tcPr>
            <w:tcW w:w="1384" w:type="dxa"/>
            <w:vAlign w:val="center"/>
          </w:tcPr>
          <w:p w14:paraId="3369E15A">
            <w:pPr>
              <w:jc w:val="right"/>
            </w:pPr>
            <w:r>
              <w:rPr>
                <w:rFonts w:hint="eastAsia"/>
              </w:rPr>
              <w:t>-</w:t>
            </w:r>
          </w:p>
        </w:tc>
      </w:tr>
      <w:tr w14:paraId="473A93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423C1EF">
            <w:r>
              <w:rPr>
                <w:rFonts w:hint="eastAsia"/>
              </w:rPr>
              <w:t>应付赎回款</w:t>
            </w:r>
          </w:p>
        </w:tc>
        <w:tc>
          <w:tcPr>
            <w:tcW w:w="1384" w:type="dxa"/>
            <w:vAlign w:val="center"/>
          </w:tcPr>
          <w:p w14:paraId="382AB91F">
            <w:pPr>
              <w:jc w:val="right"/>
            </w:pPr>
            <w:r>
              <w:rPr>
                <w:rFonts w:hint="eastAsia"/>
              </w:rPr>
              <w:t>-</w:t>
            </w:r>
          </w:p>
        </w:tc>
        <w:tc>
          <w:tcPr>
            <w:tcW w:w="1384" w:type="dxa"/>
            <w:vAlign w:val="center"/>
          </w:tcPr>
          <w:p w14:paraId="23431CF6">
            <w:pPr>
              <w:jc w:val="right"/>
            </w:pPr>
            <w:r>
              <w:rPr>
                <w:rFonts w:hint="eastAsia"/>
              </w:rPr>
              <w:t>-</w:t>
            </w:r>
          </w:p>
        </w:tc>
        <w:tc>
          <w:tcPr>
            <w:tcW w:w="1384" w:type="dxa"/>
            <w:vAlign w:val="center"/>
          </w:tcPr>
          <w:p w14:paraId="2AA794EC">
            <w:pPr>
              <w:jc w:val="right"/>
            </w:pPr>
            <w:r>
              <w:rPr>
                <w:rFonts w:hint="eastAsia"/>
              </w:rPr>
              <w:t>-</w:t>
            </w:r>
          </w:p>
        </w:tc>
        <w:tc>
          <w:tcPr>
            <w:tcW w:w="1384" w:type="dxa"/>
            <w:vAlign w:val="center"/>
          </w:tcPr>
          <w:p w14:paraId="18142B7D">
            <w:pPr>
              <w:jc w:val="right"/>
            </w:pPr>
            <w:r>
              <w:rPr>
                <w:rFonts w:hint="eastAsia"/>
              </w:rPr>
              <w:t>385,326.69</w:t>
            </w:r>
          </w:p>
        </w:tc>
        <w:tc>
          <w:tcPr>
            <w:tcW w:w="1384" w:type="dxa"/>
            <w:vAlign w:val="center"/>
          </w:tcPr>
          <w:p w14:paraId="1EAA82F5">
            <w:pPr>
              <w:jc w:val="right"/>
            </w:pPr>
            <w:r>
              <w:rPr>
                <w:rFonts w:hint="eastAsia"/>
              </w:rPr>
              <w:t>385,326.69</w:t>
            </w:r>
          </w:p>
        </w:tc>
      </w:tr>
      <w:tr w14:paraId="48201F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D78C6B2">
            <w:r>
              <w:rPr>
                <w:rFonts w:hint="eastAsia"/>
              </w:rPr>
              <w:t>应付管理人报酬</w:t>
            </w:r>
          </w:p>
        </w:tc>
        <w:tc>
          <w:tcPr>
            <w:tcW w:w="1384" w:type="dxa"/>
            <w:vAlign w:val="center"/>
          </w:tcPr>
          <w:p w14:paraId="0105BE10">
            <w:pPr>
              <w:jc w:val="right"/>
            </w:pPr>
            <w:r>
              <w:rPr>
                <w:rFonts w:hint="eastAsia"/>
              </w:rPr>
              <w:t>-</w:t>
            </w:r>
          </w:p>
        </w:tc>
        <w:tc>
          <w:tcPr>
            <w:tcW w:w="1384" w:type="dxa"/>
            <w:vAlign w:val="center"/>
          </w:tcPr>
          <w:p w14:paraId="4824D33F">
            <w:pPr>
              <w:jc w:val="right"/>
            </w:pPr>
            <w:r>
              <w:rPr>
                <w:rFonts w:hint="eastAsia"/>
              </w:rPr>
              <w:t>-</w:t>
            </w:r>
          </w:p>
        </w:tc>
        <w:tc>
          <w:tcPr>
            <w:tcW w:w="1384" w:type="dxa"/>
            <w:vAlign w:val="center"/>
          </w:tcPr>
          <w:p w14:paraId="1B8CEB07">
            <w:pPr>
              <w:jc w:val="right"/>
            </w:pPr>
            <w:r>
              <w:rPr>
                <w:rFonts w:hint="eastAsia"/>
              </w:rPr>
              <w:t>-</w:t>
            </w:r>
          </w:p>
        </w:tc>
        <w:tc>
          <w:tcPr>
            <w:tcW w:w="1384" w:type="dxa"/>
            <w:vAlign w:val="center"/>
          </w:tcPr>
          <w:p w14:paraId="0204CDF8">
            <w:pPr>
              <w:jc w:val="right"/>
            </w:pPr>
            <w:r>
              <w:rPr>
                <w:rFonts w:hint="eastAsia"/>
              </w:rPr>
              <w:t>1,357,717.60</w:t>
            </w:r>
          </w:p>
        </w:tc>
        <w:tc>
          <w:tcPr>
            <w:tcW w:w="1384" w:type="dxa"/>
            <w:vAlign w:val="center"/>
          </w:tcPr>
          <w:p w14:paraId="23DF37CA">
            <w:pPr>
              <w:jc w:val="right"/>
            </w:pPr>
            <w:r>
              <w:rPr>
                <w:rFonts w:hint="eastAsia"/>
              </w:rPr>
              <w:t>1,357,717.60</w:t>
            </w:r>
          </w:p>
        </w:tc>
      </w:tr>
      <w:tr w14:paraId="4D27A600">
        <w:tblPrEx>
          <w:tblCellMar>
            <w:top w:w="0" w:type="dxa"/>
            <w:left w:w="108" w:type="dxa"/>
            <w:bottom w:w="0" w:type="dxa"/>
            <w:right w:w="108" w:type="dxa"/>
          </w:tblCellMar>
        </w:tblPrEx>
        <w:trPr>
          <w:jc w:val="center"/>
        </w:trPr>
        <w:tc>
          <w:tcPr>
            <w:tcW w:w="1384" w:type="dxa"/>
            <w:vAlign w:val="center"/>
          </w:tcPr>
          <w:p w14:paraId="5C0CDDC5">
            <w:r>
              <w:rPr>
                <w:rFonts w:hint="eastAsia"/>
              </w:rPr>
              <w:t>应付托管费</w:t>
            </w:r>
          </w:p>
        </w:tc>
        <w:tc>
          <w:tcPr>
            <w:tcW w:w="1384" w:type="dxa"/>
            <w:vAlign w:val="center"/>
          </w:tcPr>
          <w:p w14:paraId="466D6831">
            <w:pPr>
              <w:jc w:val="right"/>
            </w:pPr>
            <w:r>
              <w:rPr>
                <w:rFonts w:hint="eastAsia"/>
              </w:rPr>
              <w:t>-</w:t>
            </w:r>
          </w:p>
        </w:tc>
        <w:tc>
          <w:tcPr>
            <w:tcW w:w="1384" w:type="dxa"/>
            <w:vAlign w:val="center"/>
          </w:tcPr>
          <w:p w14:paraId="2FC62A0A">
            <w:pPr>
              <w:jc w:val="right"/>
            </w:pPr>
            <w:r>
              <w:rPr>
                <w:rFonts w:hint="eastAsia"/>
              </w:rPr>
              <w:t>-</w:t>
            </w:r>
          </w:p>
        </w:tc>
        <w:tc>
          <w:tcPr>
            <w:tcW w:w="1384" w:type="dxa"/>
            <w:vAlign w:val="center"/>
          </w:tcPr>
          <w:p w14:paraId="49778542">
            <w:pPr>
              <w:jc w:val="right"/>
            </w:pPr>
            <w:r>
              <w:rPr>
                <w:rFonts w:hint="eastAsia"/>
              </w:rPr>
              <w:t>-</w:t>
            </w:r>
          </w:p>
        </w:tc>
        <w:tc>
          <w:tcPr>
            <w:tcW w:w="1384" w:type="dxa"/>
            <w:vAlign w:val="center"/>
          </w:tcPr>
          <w:p w14:paraId="29EA467C">
            <w:pPr>
              <w:jc w:val="right"/>
            </w:pPr>
            <w:r>
              <w:rPr>
                <w:rFonts w:hint="eastAsia"/>
              </w:rPr>
              <w:t>339,429.38</w:t>
            </w:r>
          </w:p>
        </w:tc>
        <w:tc>
          <w:tcPr>
            <w:tcW w:w="1384" w:type="dxa"/>
            <w:vAlign w:val="center"/>
          </w:tcPr>
          <w:p w14:paraId="24FF8E18">
            <w:pPr>
              <w:jc w:val="right"/>
            </w:pPr>
            <w:r>
              <w:rPr>
                <w:rFonts w:hint="eastAsia"/>
              </w:rPr>
              <w:t>339,429.38</w:t>
            </w:r>
          </w:p>
        </w:tc>
      </w:tr>
      <w:tr w14:paraId="356AA8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9A51032">
            <w:r>
              <w:rPr>
                <w:rFonts w:hint="eastAsia"/>
              </w:rPr>
              <w:t>应付销售服务费</w:t>
            </w:r>
          </w:p>
        </w:tc>
        <w:tc>
          <w:tcPr>
            <w:tcW w:w="1384" w:type="dxa"/>
            <w:vAlign w:val="center"/>
          </w:tcPr>
          <w:p w14:paraId="207A369B">
            <w:pPr>
              <w:jc w:val="right"/>
            </w:pPr>
            <w:r>
              <w:rPr>
                <w:rFonts w:hint="eastAsia"/>
              </w:rPr>
              <w:t>-</w:t>
            </w:r>
          </w:p>
        </w:tc>
        <w:tc>
          <w:tcPr>
            <w:tcW w:w="1384" w:type="dxa"/>
            <w:vAlign w:val="center"/>
          </w:tcPr>
          <w:p w14:paraId="65D4C926">
            <w:pPr>
              <w:jc w:val="right"/>
            </w:pPr>
            <w:r>
              <w:rPr>
                <w:rFonts w:hint="eastAsia"/>
              </w:rPr>
              <w:t>-</w:t>
            </w:r>
          </w:p>
        </w:tc>
        <w:tc>
          <w:tcPr>
            <w:tcW w:w="1384" w:type="dxa"/>
            <w:vAlign w:val="center"/>
          </w:tcPr>
          <w:p w14:paraId="45F5D88F">
            <w:pPr>
              <w:jc w:val="right"/>
            </w:pPr>
            <w:r>
              <w:rPr>
                <w:rFonts w:hint="eastAsia"/>
              </w:rPr>
              <w:t>-</w:t>
            </w:r>
          </w:p>
        </w:tc>
        <w:tc>
          <w:tcPr>
            <w:tcW w:w="1384" w:type="dxa"/>
            <w:vAlign w:val="center"/>
          </w:tcPr>
          <w:p w14:paraId="7D056133">
            <w:pPr>
              <w:jc w:val="right"/>
            </w:pPr>
            <w:r>
              <w:rPr>
                <w:rFonts w:hint="eastAsia"/>
              </w:rPr>
              <w:t>1,357,717.60</w:t>
            </w:r>
          </w:p>
        </w:tc>
        <w:tc>
          <w:tcPr>
            <w:tcW w:w="1384" w:type="dxa"/>
            <w:vAlign w:val="center"/>
          </w:tcPr>
          <w:p w14:paraId="5229CBAB">
            <w:pPr>
              <w:jc w:val="right"/>
            </w:pPr>
            <w:r>
              <w:rPr>
                <w:rFonts w:hint="eastAsia"/>
              </w:rPr>
              <w:t>1,357,717.60</w:t>
            </w:r>
          </w:p>
        </w:tc>
      </w:tr>
      <w:tr w14:paraId="0705E5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A996D59">
            <w:r>
              <w:rPr>
                <w:rFonts w:hint="eastAsia"/>
              </w:rPr>
              <w:t>应付投资顾问费</w:t>
            </w:r>
          </w:p>
        </w:tc>
        <w:tc>
          <w:tcPr>
            <w:tcW w:w="1384" w:type="dxa"/>
            <w:vAlign w:val="center"/>
          </w:tcPr>
          <w:p w14:paraId="33D400A1">
            <w:pPr>
              <w:jc w:val="right"/>
            </w:pPr>
            <w:r>
              <w:rPr>
                <w:rFonts w:hint="eastAsia"/>
              </w:rPr>
              <w:t>-</w:t>
            </w:r>
          </w:p>
        </w:tc>
        <w:tc>
          <w:tcPr>
            <w:tcW w:w="1384" w:type="dxa"/>
            <w:vAlign w:val="center"/>
          </w:tcPr>
          <w:p w14:paraId="1406A1BD">
            <w:pPr>
              <w:jc w:val="right"/>
            </w:pPr>
            <w:r>
              <w:rPr>
                <w:rFonts w:hint="eastAsia"/>
              </w:rPr>
              <w:t>-</w:t>
            </w:r>
          </w:p>
        </w:tc>
        <w:tc>
          <w:tcPr>
            <w:tcW w:w="1384" w:type="dxa"/>
            <w:vAlign w:val="center"/>
          </w:tcPr>
          <w:p w14:paraId="06724DAE">
            <w:pPr>
              <w:jc w:val="right"/>
            </w:pPr>
            <w:r>
              <w:rPr>
                <w:rFonts w:hint="eastAsia"/>
              </w:rPr>
              <w:t>-</w:t>
            </w:r>
          </w:p>
        </w:tc>
        <w:tc>
          <w:tcPr>
            <w:tcW w:w="1384" w:type="dxa"/>
            <w:vAlign w:val="center"/>
          </w:tcPr>
          <w:p w14:paraId="29E39ABD">
            <w:pPr>
              <w:jc w:val="right"/>
            </w:pPr>
            <w:r>
              <w:rPr>
                <w:rFonts w:hint="eastAsia"/>
              </w:rPr>
              <w:t>-</w:t>
            </w:r>
          </w:p>
        </w:tc>
        <w:tc>
          <w:tcPr>
            <w:tcW w:w="1384" w:type="dxa"/>
            <w:vAlign w:val="center"/>
          </w:tcPr>
          <w:p w14:paraId="072051E5">
            <w:pPr>
              <w:jc w:val="right"/>
            </w:pPr>
            <w:r>
              <w:rPr>
                <w:rFonts w:hint="eastAsia"/>
              </w:rPr>
              <w:t>-</w:t>
            </w:r>
          </w:p>
        </w:tc>
      </w:tr>
      <w:tr w14:paraId="2AEDEE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FE3F8B3">
            <w:r>
              <w:rPr>
                <w:rFonts w:hint="eastAsia"/>
              </w:rPr>
              <w:t>应交税费</w:t>
            </w:r>
          </w:p>
        </w:tc>
        <w:tc>
          <w:tcPr>
            <w:tcW w:w="1384" w:type="dxa"/>
            <w:vAlign w:val="center"/>
          </w:tcPr>
          <w:p w14:paraId="6AAFD7B4">
            <w:pPr>
              <w:jc w:val="right"/>
            </w:pPr>
            <w:r>
              <w:rPr>
                <w:rFonts w:hint="eastAsia"/>
              </w:rPr>
              <w:t>-</w:t>
            </w:r>
          </w:p>
        </w:tc>
        <w:tc>
          <w:tcPr>
            <w:tcW w:w="1384" w:type="dxa"/>
            <w:vAlign w:val="center"/>
          </w:tcPr>
          <w:p w14:paraId="78DF9B17">
            <w:pPr>
              <w:jc w:val="right"/>
            </w:pPr>
            <w:r>
              <w:rPr>
                <w:rFonts w:hint="eastAsia"/>
              </w:rPr>
              <w:t>-</w:t>
            </w:r>
          </w:p>
        </w:tc>
        <w:tc>
          <w:tcPr>
            <w:tcW w:w="1384" w:type="dxa"/>
            <w:vAlign w:val="center"/>
          </w:tcPr>
          <w:p w14:paraId="5CE95033">
            <w:pPr>
              <w:jc w:val="right"/>
            </w:pPr>
            <w:r>
              <w:rPr>
                <w:rFonts w:hint="eastAsia"/>
              </w:rPr>
              <w:t>-</w:t>
            </w:r>
          </w:p>
        </w:tc>
        <w:tc>
          <w:tcPr>
            <w:tcW w:w="1384" w:type="dxa"/>
            <w:vAlign w:val="center"/>
          </w:tcPr>
          <w:p w14:paraId="78AE3327">
            <w:pPr>
              <w:jc w:val="right"/>
            </w:pPr>
            <w:r>
              <w:rPr>
                <w:rFonts w:hint="eastAsia"/>
              </w:rPr>
              <w:t>16,658.18</w:t>
            </w:r>
          </w:p>
        </w:tc>
        <w:tc>
          <w:tcPr>
            <w:tcW w:w="1384" w:type="dxa"/>
            <w:vAlign w:val="center"/>
          </w:tcPr>
          <w:p w14:paraId="6359EFF7">
            <w:pPr>
              <w:jc w:val="right"/>
            </w:pPr>
            <w:r>
              <w:rPr>
                <w:rFonts w:hint="eastAsia"/>
              </w:rPr>
              <w:t>16,658.18</w:t>
            </w:r>
          </w:p>
        </w:tc>
      </w:tr>
      <w:tr w14:paraId="09CBD4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4237C30">
            <w:r>
              <w:rPr>
                <w:rFonts w:hint="eastAsia"/>
              </w:rPr>
              <w:t>应付利润</w:t>
            </w:r>
          </w:p>
        </w:tc>
        <w:tc>
          <w:tcPr>
            <w:tcW w:w="1384" w:type="dxa"/>
            <w:vAlign w:val="center"/>
          </w:tcPr>
          <w:p w14:paraId="23C9641F">
            <w:pPr>
              <w:jc w:val="right"/>
            </w:pPr>
            <w:r>
              <w:rPr>
                <w:rFonts w:hint="eastAsia"/>
              </w:rPr>
              <w:t>-</w:t>
            </w:r>
          </w:p>
        </w:tc>
        <w:tc>
          <w:tcPr>
            <w:tcW w:w="1384" w:type="dxa"/>
            <w:vAlign w:val="center"/>
          </w:tcPr>
          <w:p w14:paraId="57FF08EB">
            <w:pPr>
              <w:jc w:val="right"/>
            </w:pPr>
            <w:r>
              <w:rPr>
                <w:rFonts w:hint="eastAsia"/>
              </w:rPr>
              <w:t>-</w:t>
            </w:r>
          </w:p>
        </w:tc>
        <w:tc>
          <w:tcPr>
            <w:tcW w:w="1384" w:type="dxa"/>
            <w:vAlign w:val="center"/>
          </w:tcPr>
          <w:p w14:paraId="0109CDB0">
            <w:pPr>
              <w:jc w:val="right"/>
            </w:pPr>
            <w:r>
              <w:rPr>
                <w:rFonts w:hint="eastAsia"/>
              </w:rPr>
              <w:t>-</w:t>
            </w:r>
          </w:p>
        </w:tc>
        <w:tc>
          <w:tcPr>
            <w:tcW w:w="1384" w:type="dxa"/>
            <w:vAlign w:val="center"/>
          </w:tcPr>
          <w:p w14:paraId="546B3AA2">
            <w:pPr>
              <w:jc w:val="right"/>
            </w:pPr>
            <w:r>
              <w:rPr>
                <w:rFonts w:hint="eastAsia"/>
              </w:rPr>
              <w:t>-</w:t>
            </w:r>
          </w:p>
        </w:tc>
        <w:tc>
          <w:tcPr>
            <w:tcW w:w="1384" w:type="dxa"/>
            <w:vAlign w:val="center"/>
          </w:tcPr>
          <w:p w14:paraId="18AAB36E">
            <w:pPr>
              <w:jc w:val="right"/>
            </w:pPr>
            <w:r>
              <w:rPr>
                <w:rFonts w:hint="eastAsia"/>
              </w:rPr>
              <w:t>-</w:t>
            </w:r>
          </w:p>
        </w:tc>
      </w:tr>
      <w:tr w14:paraId="0BD4FC29">
        <w:tblPrEx>
          <w:tblCellMar>
            <w:top w:w="0" w:type="dxa"/>
            <w:left w:w="108" w:type="dxa"/>
            <w:bottom w:w="0" w:type="dxa"/>
            <w:right w:w="108" w:type="dxa"/>
          </w:tblCellMar>
        </w:tblPrEx>
        <w:trPr>
          <w:jc w:val="center"/>
        </w:trPr>
        <w:tc>
          <w:tcPr>
            <w:tcW w:w="1384" w:type="dxa"/>
            <w:vAlign w:val="center"/>
          </w:tcPr>
          <w:p w14:paraId="683815B1">
            <w:r>
              <w:rPr>
                <w:rFonts w:hint="eastAsia"/>
              </w:rPr>
              <w:t>递延所得税负债</w:t>
            </w:r>
          </w:p>
        </w:tc>
        <w:tc>
          <w:tcPr>
            <w:tcW w:w="1384" w:type="dxa"/>
            <w:vAlign w:val="center"/>
          </w:tcPr>
          <w:p w14:paraId="5C1B61E1">
            <w:pPr>
              <w:jc w:val="right"/>
            </w:pPr>
            <w:r>
              <w:rPr>
                <w:rFonts w:hint="eastAsia"/>
              </w:rPr>
              <w:t>-</w:t>
            </w:r>
          </w:p>
        </w:tc>
        <w:tc>
          <w:tcPr>
            <w:tcW w:w="1384" w:type="dxa"/>
            <w:vAlign w:val="center"/>
          </w:tcPr>
          <w:p w14:paraId="79D92C3E">
            <w:pPr>
              <w:jc w:val="right"/>
            </w:pPr>
            <w:r>
              <w:rPr>
                <w:rFonts w:hint="eastAsia"/>
              </w:rPr>
              <w:t>-</w:t>
            </w:r>
          </w:p>
        </w:tc>
        <w:tc>
          <w:tcPr>
            <w:tcW w:w="1384" w:type="dxa"/>
            <w:vAlign w:val="center"/>
          </w:tcPr>
          <w:p w14:paraId="3A7B6CAE">
            <w:pPr>
              <w:jc w:val="right"/>
            </w:pPr>
            <w:r>
              <w:rPr>
                <w:rFonts w:hint="eastAsia"/>
              </w:rPr>
              <w:t>-</w:t>
            </w:r>
          </w:p>
        </w:tc>
        <w:tc>
          <w:tcPr>
            <w:tcW w:w="1384" w:type="dxa"/>
            <w:vAlign w:val="center"/>
          </w:tcPr>
          <w:p w14:paraId="7600DA27">
            <w:pPr>
              <w:jc w:val="right"/>
            </w:pPr>
            <w:r>
              <w:rPr>
                <w:rFonts w:hint="eastAsia"/>
              </w:rPr>
              <w:t>-</w:t>
            </w:r>
          </w:p>
        </w:tc>
        <w:tc>
          <w:tcPr>
            <w:tcW w:w="1384" w:type="dxa"/>
            <w:vAlign w:val="center"/>
          </w:tcPr>
          <w:p w14:paraId="2505CFC8">
            <w:pPr>
              <w:jc w:val="right"/>
            </w:pPr>
            <w:r>
              <w:rPr>
                <w:rFonts w:hint="eastAsia"/>
              </w:rPr>
              <w:t>-</w:t>
            </w:r>
          </w:p>
        </w:tc>
      </w:tr>
      <w:tr w14:paraId="17D74C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A5474E3">
            <w:r>
              <w:rPr>
                <w:rFonts w:hint="eastAsia"/>
              </w:rPr>
              <w:t>其他负债</w:t>
            </w:r>
          </w:p>
        </w:tc>
        <w:tc>
          <w:tcPr>
            <w:tcW w:w="1384" w:type="dxa"/>
            <w:vAlign w:val="center"/>
          </w:tcPr>
          <w:p w14:paraId="28C0F6FD">
            <w:pPr>
              <w:jc w:val="right"/>
            </w:pPr>
            <w:r>
              <w:rPr>
                <w:rFonts w:hint="eastAsia"/>
              </w:rPr>
              <w:t>-</w:t>
            </w:r>
          </w:p>
        </w:tc>
        <w:tc>
          <w:tcPr>
            <w:tcW w:w="1384" w:type="dxa"/>
            <w:vAlign w:val="center"/>
          </w:tcPr>
          <w:p w14:paraId="3A964EC1">
            <w:pPr>
              <w:jc w:val="right"/>
            </w:pPr>
            <w:r>
              <w:rPr>
                <w:rFonts w:hint="eastAsia"/>
              </w:rPr>
              <w:t>-</w:t>
            </w:r>
          </w:p>
        </w:tc>
        <w:tc>
          <w:tcPr>
            <w:tcW w:w="1384" w:type="dxa"/>
            <w:vAlign w:val="center"/>
          </w:tcPr>
          <w:p w14:paraId="36488ACB">
            <w:pPr>
              <w:jc w:val="right"/>
            </w:pPr>
            <w:r>
              <w:rPr>
                <w:rFonts w:hint="eastAsia"/>
              </w:rPr>
              <w:t>-</w:t>
            </w:r>
          </w:p>
        </w:tc>
        <w:tc>
          <w:tcPr>
            <w:tcW w:w="1384" w:type="dxa"/>
            <w:vAlign w:val="center"/>
          </w:tcPr>
          <w:p w14:paraId="14DF4BC9">
            <w:pPr>
              <w:jc w:val="right"/>
            </w:pPr>
            <w:r>
              <w:rPr>
                <w:rFonts w:hint="eastAsia"/>
              </w:rPr>
              <w:t>272,642.48</w:t>
            </w:r>
          </w:p>
        </w:tc>
        <w:tc>
          <w:tcPr>
            <w:tcW w:w="1384" w:type="dxa"/>
            <w:vAlign w:val="center"/>
          </w:tcPr>
          <w:p w14:paraId="535E770C">
            <w:pPr>
              <w:jc w:val="right"/>
            </w:pPr>
            <w:r>
              <w:rPr>
                <w:rFonts w:hint="eastAsia"/>
              </w:rPr>
              <w:t>272,642.48</w:t>
            </w:r>
          </w:p>
        </w:tc>
      </w:tr>
      <w:tr w14:paraId="6382348E">
        <w:tblPrEx>
          <w:tblCellMar>
            <w:top w:w="0" w:type="dxa"/>
            <w:left w:w="108" w:type="dxa"/>
            <w:bottom w:w="0" w:type="dxa"/>
            <w:right w:w="108" w:type="dxa"/>
          </w:tblCellMar>
        </w:tblPrEx>
        <w:trPr>
          <w:jc w:val="center"/>
        </w:trPr>
        <w:tc>
          <w:tcPr>
            <w:tcW w:w="1384" w:type="dxa"/>
            <w:vAlign w:val="center"/>
          </w:tcPr>
          <w:p w14:paraId="7A3317B0">
            <w:r>
              <w:rPr>
                <w:rFonts w:hint="eastAsia"/>
              </w:rPr>
              <w:t>负债总计</w:t>
            </w:r>
          </w:p>
        </w:tc>
        <w:tc>
          <w:tcPr>
            <w:tcW w:w="1384" w:type="dxa"/>
            <w:vAlign w:val="center"/>
          </w:tcPr>
          <w:p w14:paraId="1F5573DC">
            <w:pPr>
              <w:jc w:val="right"/>
            </w:pPr>
            <w:r>
              <w:rPr>
                <w:rFonts w:hint="eastAsia"/>
              </w:rPr>
              <w:t>1,354,364,899.22</w:t>
            </w:r>
          </w:p>
        </w:tc>
        <w:tc>
          <w:tcPr>
            <w:tcW w:w="1384" w:type="dxa"/>
            <w:vAlign w:val="center"/>
          </w:tcPr>
          <w:p w14:paraId="5E9D9EE9">
            <w:pPr>
              <w:jc w:val="right"/>
            </w:pPr>
            <w:r>
              <w:rPr>
                <w:rFonts w:hint="eastAsia"/>
              </w:rPr>
              <w:t>-</w:t>
            </w:r>
          </w:p>
        </w:tc>
        <w:tc>
          <w:tcPr>
            <w:tcW w:w="1384" w:type="dxa"/>
            <w:vAlign w:val="center"/>
          </w:tcPr>
          <w:p w14:paraId="5200709F">
            <w:pPr>
              <w:jc w:val="right"/>
            </w:pPr>
            <w:r>
              <w:rPr>
                <w:rFonts w:hint="eastAsia"/>
              </w:rPr>
              <w:t>-</w:t>
            </w:r>
          </w:p>
        </w:tc>
        <w:tc>
          <w:tcPr>
            <w:tcW w:w="1384" w:type="dxa"/>
            <w:vAlign w:val="center"/>
          </w:tcPr>
          <w:p w14:paraId="55F12398">
            <w:pPr>
              <w:jc w:val="right"/>
            </w:pPr>
            <w:r>
              <w:rPr>
                <w:rFonts w:hint="eastAsia"/>
              </w:rPr>
              <w:t>3,729,491.93</w:t>
            </w:r>
          </w:p>
        </w:tc>
        <w:tc>
          <w:tcPr>
            <w:tcW w:w="1384" w:type="dxa"/>
            <w:vAlign w:val="center"/>
          </w:tcPr>
          <w:p w14:paraId="4F7AA9A0">
            <w:pPr>
              <w:jc w:val="right"/>
            </w:pPr>
            <w:r>
              <w:rPr>
                <w:rFonts w:hint="eastAsia"/>
              </w:rPr>
              <w:t>1,358,094,391.15</w:t>
            </w:r>
          </w:p>
        </w:tc>
      </w:tr>
      <w:tr w14:paraId="7006AC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E8C4F05">
            <w:r>
              <w:rPr>
                <w:rFonts w:hint="eastAsia"/>
              </w:rPr>
              <w:t>利率敏感度缺口</w:t>
            </w:r>
          </w:p>
        </w:tc>
        <w:tc>
          <w:tcPr>
            <w:tcW w:w="1384" w:type="dxa"/>
            <w:vAlign w:val="center"/>
          </w:tcPr>
          <w:p w14:paraId="4C8440E2">
            <w:pPr>
              <w:jc w:val="right"/>
            </w:pPr>
            <w:r>
              <w:rPr>
                <w:rFonts w:hint="eastAsia"/>
              </w:rPr>
              <w:t>7,783,970,749.59</w:t>
            </w:r>
          </w:p>
        </w:tc>
        <w:tc>
          <w:tcPr>
            <w:tcW w:w="1384" w:type="dxa"/>
            <w:vAlign w:val="center"/>
          </w:tcPr>
          <w:p w14:paraId="03C5502C">
            <w:pPr>
              <w:jc w:val="right"/>
            </w:pPr>
            <w:r>
              <w:rPr>
                <w:rFonts w:hint="eastAsia"/>
              </w:rPr>
              <w:t>-</w:t>
            </w:r>
          </w:p>
        </w:tc>
        <w:tc>
          <w:tcPr>
            <w:tcW w:w="1384" w:type="dxa"/>
            <w:vAlign w:val="center"/>
          </w:tcPr>
          <w:p w14:paraId="03D772D7">
            <w:pPr>
              <w:jc w:val="right"/>
            </w:pPr>
            <w:r>
              <w:rPr>
                <w:rFonts w:hint="eastAsia"/>
              </w:rPr>
              <w:t>-</w:t>
            </w:r>
          </w:p>
        </w:tc>
        <w:tc>
          <w:tcPr>
            <w:tcW w:w="1384" w:type="dxa"/>
            <w:vAlign w:val="center"/>
          </w:tcPr>
          <w:p w14:paraId="7AF4F702">
            <w:pPr>
              <w:jc w:val="right"/>
            </w:pPr>
            <w:r>
              <w:rPr>
                <w:rFonts w:hint="eastAsia"/>
              </w:rPr>
              <w:t>-3,697,299.93</w:t>
            </w:r>
          </w:p>
        </w:tc>
        <w:tc>
          <w:tcPr>
            <w:tcW w:w="1384" w:type="dxa"/>
            <w:vAlign w:val="center"/>
          </w:tcPr>
          <w:p w14:paraId="73FCE9DB">
            <w:pPr>
              <w:jc w:val="right"/>
            </w:pPr>
            <w:r>
              <w:rPr>
                <w:rFonts w:hint="eastAsia"/>
              </w:rPr>
              <w:t>7,780,273,449.66</w:t>
            </w:r>
          </w:p>
        </w:tc>
      </w:tr>
      <w:tr w14:paraId="55C37F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3C48D84">
            <w:r>
              <w:rPr>
                <w:rFonts w:hint="eastAsia"/>
              </w:rPr>
              <w:t>上年度末2024年12月31日</w:t>
            </w:r>
          </w:p>
        </w:tc>
        <w:tc>
          <w:tcPr>
            <w:tcW w:w="1384" w:type="dxa"/>
            <w:vAlign w:val="center"/>
          </w:tcPr>
          <w:p w14:paraId="1EB0AD1F">
            <w:r>
              <w:rPr>
                <w:rFonts w:hint="eastAsia"/>
              </w:rPr>
              <w:t>1年以内</w:t>
            </w:r>
          </w:p>
        </w:tc>
        <w:tc>
          <w:tcPr>
            <w:tcW w:w="1384" w:type="dxa"/>
            <w:vAlign w:val="center"/>
          </w:tcPr>
          <w:p w14:paraId="6F2D5554">
            <w:r>
              <w:rPr>
                <w:rFonts w:hint="eastAsia"/>
              </w:rPr>
              <w:t>1-5年</w:t>
            </w:r>
          </w:p>
        </w:tc>
        <w:tc>
          <w:tcPr>
            <w:tcW w:w="1384" w:type="dxa"/>
            <w:vAlign w:val="center"/>
          </w:tcPr>
          <w:p w14:paraId="322506EE">
            <w:r>
              <w:rPr>
                <w:rFonts w:hint="eastAsia"/>
              </w:rPr>
              <w:t>5年以上</w:t>
            </w:r>
          </w:p>
        </w:tc>
        <w:tc>
          <w:tcPr>
            <w:tcW w:w="1384" w:type="dxa"/>
            <w:vAlign w:val="center"/>
          </w:tcPr>
          <w:p w14:paraId="4ACE6E0B">
            <w:r>
              <w:rPr>
                <w:rFonts w:hint="eastAsia"/>
              </w:rPr>
              <w:t>不计息</w:t>
            </w:r>
          </w:p>
        </w:tc>
        <w:tc>
          <w:tcPr>
            <w:tcW w:w="1384" w:type="dxa"/>
            <w:vAlign w:val="center"/>
          </w:tcPr>
          <w:p w14:paraId="0BF8BA28">
            <w:r>
              <w:rPr>
                <w:rFonts w:hint="eastAsia"/>
              </w:rPr>
              <w:t>合计</w:t>
            </w:r>
          </w:p>
        </w:tc>
      </w:tr>
      <w:tr w14:paraId="2B0F35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99A3818">
            <w:r>
              <w:rPr>
                <w:rFonts w:hint="eastAsia"/>
              </w:rPr>
              <w:t>资产</w:t>
            </w:r>
          </w:p>
        </w:tc>
        <w:tc>
          <w:tcPr>
            <w:tcW w:w="1384" w:type="dxa"/>
            <w:vAlign w:val="center"/>
          </w:tcPr>
          <w:p w14:paraId="5FF2B68A"/>
        </w:tc>
        <w:tc>
          <w:tcPr>
            <w:tcW w:w="1384" w:type="dxa"/>
            <w:vAlign w:val="center"/>
          </w:tcPr>
          <w:p w14:paraId="353AD1EB"/>
        </w:tc>
        <w:tc>
          <w:tcPr>
            <w:tcW w:w="1384" w:type="dxa"/>
            <w:vAlign w:val="center"/>
          </w:tcPr>
          <w:p w14:paraId="42FABCEF"/>
        </w:tc>
        <w:tc>
          <w:tcPr>
            <w:tcW w:w="1384" w:type="dxa"/>
            <w:vAlign w:val="center"/>
          </w:tcPr>
          <w:p w14:paraId="7FAF7DF6"/>
        </w:tc>
        <w:tc>
          <w:tcPr>
            <w:tcW w:w="1384" w:type="dxa"/>
            <w:vAlign w:val="center"/>
          </w:tcPr>
          <w:p w14:paraId="4E4349B1"/>
        </w:tc>
      </w:tr>
      <w:tr w14:paraId="3DD5C3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DDCCFEC">
            <w:r>
              <w:rPr>
                <w:rFonts w:hint="eastAsia"/>
              </w:rPr>
              <w:t>货币资金</w:t>
            </w:r>
          </w:p>
        </w:tc>
        <w:tc>
          <w:tcPr>
            <w:tcW w:w="1384" w:type="dxa"/>
            <w:vAlign w:val="center"/>
          </w:tcPr>
          <w:p w14:paraId="38727889">
            <w:pPr>
              <w:jc w:val="right"/>
            </w:pPr>
            <w:r>
              <w:rPr>
                <w:rFonts w:hint="eastAsia"/>
              </w:rPr>
              <w:t>437,941.36</w:t>
            </w:r>
          </w:p>
        </w:tc>
        <w:tc>
          <w:tcPr>
            <w:tcW w:w="1384" w:type="dxa"/>
            <w:vAlign w:val="center"/>
          </w:tcPr>
          <w:p w14:paraId="3CF21DDD">
            <w:pPr>
              <w:jc w:val="right"/>
            </w:pPr>
            <w:r>
              <w:rPr>
                <w:rFonts w:hint="eastAsia"/>
              </w:rPr>
              <w:t>-</w:t>
            </w:r>
          </w:p>
        </w:tc>
        <w:tc>
          <w:tcPr>
            <w:tcW w:w="1384" w:type="dxa"/>
            <w:vAlign w:val="center"/>
          </w:tcPr>
          <w:p w14:paraId="214BF5F2">
            <w:pPr>
              <w:jc w:val="right"/>
            </w:pPr>
            <w:r>
              <w:rPr>
                <w:rFonts w:hint="eastAsia"/>
              </w:rPr>
              <w:t>-</w:t>
            </w:r>
          </w:p>
        </w:tc>
        <w:tc>
          <w:tcPr>
            <w:tcW w:w="1384" w:type="dxa"/>
            <w:vAlign w:val="center"/>
          </w:tcPr>
          <w:p w14:paraId="2EECE2D1">
            <w:pPr>
              <w:jc w:val="right"/>
            </w:pPr>
            <w:r>
              <w:rPr>
                <w:rFonts w:hint="eastAsia"/>
              </w:rPr>
              <w:t>-</w:t>
            </w:r>
          </w:p>
        </w:tc>
        <w:tc>
          <w:tcPr>
            <w:tcW w:w="1384" w:type="dxa"/>
            <w:vAlign w:val="center"/>
          </w:tcPr>
          <w:p w14:paraId="30093C5A">
            <w:pPr>
              <w:jc w:val="right"/>
            </w:pPr>
            <w:r>
              <w:rPr>
                <w:rFonts w:hint="eastAsia"/>
              </w:rPr>
              <w:t>437,941.36</w:t>
            </w:r>
          </w:p>
        </w:tc>
      </w:tr>
      <w:tr w14:paraId="742CA05A">
        <w:tblPrEx>
          <w:tblCellMar>
            <w:top w:w="0" w:type="dxa"/>
            <w:left w:w="108" w:type="dxa"/>
            <w:bottom w:w="0" w:type="dxa"/>
            <w:right w:w="108" w:type="dxa"/>
          </w:tblCellMar>
        </w:tblPrEx>
        <w:trPr>
          <w:jc w:val="center"/>
        </w:trPr>
        <w:tc>
          <w:tcPr>
            <w:tcW w:w="1384" w:type="dxa"/>
            <w:vAlign w:val="center"/>
          </w:tcPr>
          <w:p w14:paraId="64F16846">
            <w:r>
              <w:rPr>
                <w:rFonts w:hint="eastAsia"/>
              </w:rPr>
              <w:t>结算备付金</w:t>
            </w:r>
          </w:p>
        </w:tc>
        <w:tc>
          <w:tcPr>
            <w:tcW w:w="1384" w:type="dxa"/>
            <w:vAlign w:val="center"/>
          </w:tcPr>
          <w:p w14:paraId="42B512E3">
            <w:pPr>
              <w:jc w:val="right"/>
            </w:pPr>
            <w:r>
              <w:rPr>
                <w:rFonts w:hint="eastAsia"/>
              </w:rPr>
              <w:t>-</w:t>
            </w:r>
          </w:p>
        </w:tc>
        <w:tc>
          <w:tcPr>
            <w:tcW w:w="1384" w:type="dxa"/>
            <w:vAlign w:val="center"/>
          </w:tcPr>
          <w:p w14:paraId="5E7D49F6">
            <w:pPr>
              <w:jc w:val="right"/>
            </w:pPr>
            <w:r>
              <w:rPr>
                <w:rFonts w:hint="eastAsia"/>
              </w:rPr>
              <w:t>-</w:t>
            </w:r>
          </w:p>
        </w:tc>
        <w:tc>
          <w:tcPr>
            <w:tcW w:w="1384" w:type="dxa"/>
            <w:vAlign w:val="center"/>
          </w:tcPr>
          <w:p w14:paraId="209E66DD">
            <w:pPr>
              <w:jc w:val="right"/>
            </w:pPr>
            <w:r>
              <w:rPr>
                <w:rFonts w:hint="eastAsia"/>
              </w:rPr>
              <w:t>-</w:t>
            </w:r>
          </w:p>
        </w:tc>
        <w:tc>
          <w:tcPr>
            <w:tcW w:w="1384" w:type="dxa"/>
            <w:vAlign w:val="center"/>
          </w:tcPr>
          <w:p w14:paraId="1CA95F38">
            <w:pPr>
              <w:jc w:val="right"/>
            </w:pPr>
            <w:r>
              <w:rPr>
                <w:rFonts w:hint="eastAsia"/>
              </w:rPr>
              <w:t>-</w:t>
            </w:r>
          </w:p>
        </w:tc>
        <w:tc>
          <w:tcPr>
            <w:tcW w:w="1384" w:type="dxa"/>
            <w:vAlign w:val="center"/>
          </w:tcPr>
          <w:p w14:paraId="352ADA32">
            <w:pPr>
              <w:jc w:val="right"/>
            </w:pPr>
            <w:r>
              <w:rPr>
                <w:rFonts w:hint="eastAsia"/>
              </w:rPr>
              <w:t>-</w:t>
            </w:r>
          </w:p>
        </w:tc>
      </w:tr>
      <w:tr w14:paraId="290BA3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B78BBFD">
            <w:r>
              <w:rPr>
                <w:rFonts w:hint="eastAsia"/>
              </w:rPr>
              <w:t>存出保证金</w:t>
            </w:r>
          </w:p>
        </w:tc>
        <w:tc>
          <w:tcPr>
            <w:tcW w:w="1384" w:type="dxa"/>
            <w:vAlign w:val="center"/>
          </w:tcPr>
          <w:p w14:paraId="685E3E25">
            <w:pPr>
              <w:jc w:val="right"/>
            </w:pPr>
            <w:r>
              <w:rPr>
                <w:rFonts w:hint="eastAsia"/>
              </w:rPr>
              <w:t>8,674.83</w:t>
            </w:r>
          </w:p>
        </w:tc>
        <w:tc>
          <w:tcPr>
            <w:tcW w:w="1384" w:type="dxa"/>
            <w:vAlign w:val="center"/>
          </w:tcPr>
          <w:p w14:paraId="51C8BB78">
            <w:pPr>
              <w:jc w:val="right"/>
            </w:pPr>
            <w:r>
              <w:rPr>
                <w:rFonts w:hint="eastAsia"/>
              </w:rPr>
              <w:t>-</w:t>
            </w:r>
          </w:p>
        </w:tc>
        <w:tc>
          <w:tcPr>
            <w:tcW w:w="1384" w:type="dxa"/>
            <w:vAlign w:val="center"/>
          </w:tcPr>
          <w:p w14:paraId="5F2393D4">
            <w:pPr>
              <w:jc w:val="right"/>
            </w:pPr>
            <w:r>
              <w:rPr>
                <w:rFonts w:hint="eastAsia"/>
              </w:rPr>
              <w:t>-</w:t>
            </w:r>
          </w:p>
        </w:tc>
        <w:tc>
          <w:tcPr>
            <w:tcW w:w="1384" w:type="dxa"/>
            <w:vAlign w:val="center"/>
          </w:tcPr>
          <w:p w14:paraId="59FBF58E">
            <w:pPr>
              <w:jc w:val="right"/>
            </w:pPr>
            <w:r>
              <w:rPr>
                <w:rFonts w:hint="eastAsia"/>
              </w:rPr>
              <w:t>-</w:t>
            </w:r>
          </w:p>
        </w:tc>
        <w:tc>
          <w:tcPr>
            <w:tcW w:w="1384" w:type="dxa"/>
            <w:vAlign w:val="center"/>
          </w:tcPr>
          <w:p w14:paraId="2FD30779">
            <w:pPr>
              <w:jc w:val="right"/>
            </w:pPr>
            <w:r>
              <w:rPr>
                <w:rFonts w:hint="eastAsia"/>
              </w:rPr>
              <w:t>8,674.83</w:t>
            </w:r>
          </w:p>
        </w:tc>
      </w:tr>
      <w:tr w14:paraId="642833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0B17369">
            <w:r>
              <w:rPr>
                <w:rFonts w:hint="eastAsia"/>
              </w:rPr>
              <w:t>交易性金融资产</w:t>
            </w:r>
          </w:p>
        </w:tc>
        <w:tc>
          <w:tcPr>
            <w:tcW w:w="1384" w:type="dxa"/>
            <w:vAlign w:val="center"/>
          </w:tcPr>
          <w:p w14:paraId="1F707251">
            <w:pPr>
              <w:jc w:val="right"/>
            </w:pPr>
            <w:r>
              <w:rPr>
                <w:rFonts w:hint="eastAsia"/>
              </w:rPr>
              <w:t>3,984,815,984.80</w:t>
            </w:r>
          </w:p>
        </w:tc>
        <w:tc>
          <w:tcPr>
            <w:tcW w:w="1384" w:type="dxa"/>
            <w:vAlign w:val="center"/>
          </w:tcPr>
          <w:p w14:paraId="02195EF7">
            <w:pPr>
              <w:jc w:val="right"/>
            </w:pPr>
            <w:r>
              <w:rPr>
                <w:rFonts w:hint="eastAsia"/>
              </w:rPr>
              <w:t>-</w:t>
            </w:r>
          </w:p>
        </w:tc>
        <w:tc>
          <w:tcPr>
            <w:tcW w:w="1384" w:type="dxa"/>
            <w:vAlign w:val="center"/>
          </w:tcPr>
          <w:p w14:paraId="4590B3E8">
            <w:pPr>
              <w:jc w:val="right"/>
            </w:pPr>
            <w:r>
              <w:rPr>
                <w:rFonts w:hint="eastAsia"/>
              </w:rPr>
              <w:t>-</w:t>
            </w:r>
          </w:p>
        </w:tc>
        <w:tc>
          <w:tcPr>
            <w:tcW w:w="1384" w:type="dxa"/>
            <w:vAlign w:val="center"/>
          </w:tcPr>
          <w:p w14:paraId="4B000585">
            <w:pPr>
              <w:jc w:val="right"/>
            </w:pPr>
            <w:r>
              <w:rPr>
                <w:rFonts w:hint="eastAsia"/>
              </w:rPr>
              <w:t>-</w:t>
            </w:r>
          </w:p>
        </w:tc>
        <w:tc>
          <w:tcPr>
            <w:tcW w:w="1384" w:type="dxa"/>
            <w:vAlign w:val="center"/>
          </w:tcPr>
          <w:p w14:paraId="222715C4">
            <w:pPr>
              <w:jc w:val="right"/>
            </w:pPr>
            <w:r>
              <w:rPr>
                <w:rFonts w:hint="eastAsia"/>
              </w:rPr>
              <w:t>3,984,815,984.80</w:t>
            </w:r>
          </w:p>
        </w:tc>
      </w:tr>
      <w:tr w14:paraId="58F798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0F18516">
            <w:r>
              <w:rPr>
                <w:rFonts w:hint="eastAsia"/>
              </w:rPr>
              <w:t>衍生金融资产</w:t>
            </w:r>
          </w:p>
        </w:tc>
        <w:tc>
          <w:tcPr>
            <w:tcW w:w="1384" w:type="dxa"/>
            <w:vAlign w:val="center"/>
          </w:tcPr>
          <w:p w14:paraId="4A82C400">
            <w:pPr>
              <w:jc w:val="right"/>
            </w:pPr>
            <w:r>
              <w:rPr>
                <w:rFonts w:hint="eastAsia"/>
              </w:rPr>
              <w:t>-</w:t>
            </w:r>
          </w:p>
        </w:tc>
        <w:tc>
          <w:tcPr>
            <w:tcW w:w="1384" w:type="dxa"/>
            <w:vAlign w:val="center"/>
          </w:tcPr>
          <w:p w14:paraId="54732629">
            <w:pPr>
              <w:jc w:val="right"/>
            </w:pPr>
            <w:r>
              <w:rPr>
                <w:rFonts w:hint="eastAsia"/>
              </w:rPr>
              <w:t>-</w:t>
            </w:r>
          </w:p>
        </w:tc>
        <w:tc>
          <w:tcPr>
            <w:tcW w:w="1384" w:type="dxa"/>
            <w:vAlign w:val="center"/>
          </w:tcPr>
          <w:p w14:paraId="75401C4E">
            <w:pPr>
              <w:jc w:val="right"/>
            </w:pPr>
            <w:r>
              <w:rPr>
                <w:rFonts w:hint="eastAsia"/>
              </w:rPr>
              <w:t>-</w:t>
            </w:r>
          </w:p>
        </w:tc>
        <w:tc>
          <w:tcPr>
            <w:tcW w:w="1384" w:type="dxa"/>
            <w:vAlign w:val="center"/>
          </w:tcPr>
          <w:p w14:paraId="7691D5C5">
            <w:pPr>
              <w:jc w:val="right"/>
            </w:pPr>
            <w:r>
              <w:rPr>
                <w:rFonts w:hint="eastAsia"/>
              </w:rPr>
              <w:t>-</w:t>
            </w:r>
          </w:p>
        </w:tc>
        <w:tc>
          <w:tcPr>
            <w:tcW w:w="1384" w:type="dxa"/>
            <w:vAlign w:val="center"/>
          </w:tcPr>
          <w:p w14:paraId="5BCEED1D">
            <w:pPr>
              <w:jc w:val="right"/>
            </w:pPr>
            <w:r>
              <w:rPr>
                <w:rFonts w:hint="eastAsia"/>
              </w:rPr>
              <w:t>-</w:t>
            </w:r>
          </w:p>
        </w:tc>
      </w:tr>
      <w:tr w14:paraId="3757F2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37DEF5F">
            <w:r>
              <w:rPr>
                <w:rFonts w:hint="eastAsia"/>
              </w:rPr>
              <w:t>买入返售金融资产</w:t>
            </w:r>
          </w:p>
        </w:tc>
        <w:tc>
          <w:tcPr>
            <w:tcW w:w="1384" w:type="dxa"/>
            <w:vAlign w:val="center"/>
          </w:tcPr>
          <w:p w14:paraId="7ADB0CA0">
            <w:pPr>
              <w:jc w:val="right"/>
            </w:pPr>
            <w:r>
              <w:rPr>
                <w:rFonts w:hint="eastAsia"/>
              </w:rPr>
              <w:t>-</w:t>
            </w:r>
          </w:p>
        </w:tc>
        <w:tc>
          <w:tcPr>
            <w:tcW w:w="1384" w:type="dxa"/>
            <w:vAlign w:val="center"/>
          </w:tcPr>
          <w:p w14:paraId="44A4262D">
            <w:pPr>
              <w:jc w:val="right"/>
            </w:pPr>
            <w:r>
              <w:rPr>
                <w:rFonts w:hint="eastAsia"/>
              </w:rPr>
              <w:t>-</w:t>
            </w:r>
          </w:p>
        </w:tc>
        <w:tc>
          <w:tcPr>
            <w:tcW w:w="1384" w:type="dxa"/>
            <w:vAlign w:val="center"/>
          </w:tcPr>
          <w:p w14:paraId="1A4DC53A">
            <w:pPr>
              <w:jc w:val="right"/>
            </w:pPr>
            <w:r>
              <w:rPr>
                <w:rFonts w:hint="eastAsia"/>
              </w:rPr>
              <w:t>-</w:t>
            </w:r>
          </w:p>
        </w:tc>
        <w:tc>
          <w:tcPr>
            <w:tcW w:w="1384" w:type="dxa"/>
            <w:vAlign w:val="center"/>
          </w:tcPr>
          <w:p w14:paraId="58020A06">
            <w:pPr>
              <w:jc w:val="right"/>
            </w:pPr>
            <w:r>
              <w:rPr>
                <w:rFonts w:hint="eastAsia"/>
              </w:rPr>
              <w:t>-</w:t>
            </w:r>
          </w:p>
        </w:tc>
        <w:tc>
          <w:tcPr>
            <w:tcW w:w="1384" w:type="dxa"/>
            <w:vAlign w:val="center"/>
          </w:tcPr>
          <w:p w14:paraId="2745A849">
            <w:pPr>
              <w:jc w:val="right"/>
            </w:pPr>
            <w:r>
              <w:rPr>
                <w:rFonts w:hint="eastAsia"/>
              </w:rPr>
              <w:t>-</w:t>
            </w:r>
          </w:p>
        </w:tc>
      </w:tr>
      <w:tr w14:paraId="3923A759">
        <w:tblPrEx>
          <w:tblCellMar>
            <w:top w:w="0" w:type="dxa"/>
            <w:left w:w="108" w:type="dxa"/>
            <w:bottom w:w="0" w:type="dxa"/>
            <w:right w:w="108" w:type="dxa"/>
          </w:tblCellMar>
        </w:tblPrEx>
        <w:trPr>
          <w:jc w:val="center"/>
        </w:trPr>
        <w:tc>
          <w:tcPr>
            <w:tcW w:w="1384" w:type="dxa"/>
            <w:vAlign w:val="center"/>
          </w:tcPr>
          <w:p w14:paraId="17920B44">
            <w:r>
              <w:rPr>
                <w:rFonts w:hint="eastAsia"/>
              </w:rPr>
              <w:t>债权投资</w:t>
            </w:r>
          </w:p>
        </w:tc>
        <w:tc>
          <w:tcPr>
            <w:tcW w:w="1384" w:type="dxa"/>
            <w:vAlign w:val="center"/>
          </w:tcPr>
          <w:p w14:paraId="48BB4447">
            <w:pPr>
              <w:jc w:val="right"/>
            </w:pPr>
            <w:r>
              <w:rPr>
                <w:rFonts w:hint="eastAsia"/>
              </w:rPr>
              <w:t>-</w:t>
            </w:r>
          </w:p>
        </w:tc>
        <w:tc>
          <w:tcPr>
            <w:tcW w:w="1384" w:type="dxa"/>
            <w:vAlign w:val="center"/>
          </w:tcPr>
          <w:p w14:paraId="002F8D56">
            <w:pPr>
              <w:jc w:val="right"/>
            </w:pPr>
            <w:r>
              <w:rPr>
                <w:rFonts w:hint="eastAsia"/>
              </w:rPr>
              <w:t>-</w:t>
            </w:r>
          </w:p>
        </w:tc>
        <w:tc>
          <w:tcPr>
            <w:tcW w:w="1384" w:type="dxa"/>
            <w:vAlign w:val="center"/>
          </w:tcPr>
          <w:p w14:paraId="6270B12F">
            <w:pPr>
              <w:jc w:val="right"/>
            </w:pPr>
            <w:r>
              <w:rPr>
                <w:rFonts w:hint="eastAsia"/>
              </w:rPr>
              <w:t>-</w:t>
            </w:r>
          </w:p>
        </w:tc>
        <w:tc>
          <w:tcPr>
            <w:tcW w:w="1384" w:type="dxa"/>
            <w:vAlign w:val="center"/>
          </w:tcPr>
          <w:p w14:paraId="683DC766">
            <w:pPr>
              <w:jc w:val="right"/>
            </w:pPr>
            <w:r>
              <w:rPr>
                <w:rFonts w:hint="eastAsia"/>
              </w:rPr>
              <w:t>-</w:t>
            </w:r>
          </w:p>
        </w:tc>
        <w:tc>
          <w:tcPr>
            <w:tcW w:w="1384" w:type="dxa"/>
            <w:vAlign w:val="center"/>
          </w:tcPr>
          <w:p w14:paraId="207BB967">
            <w:pPr>
              <w:jc w:val="right"/>
            </w:pPr>
            <w:r>
              <w:rPr>
                <w:rFonts w:hint="eastAsia"/>
              </w:rPr>
              <w:t>-</w:t>
            </w:r>
          </w:p>
        </w:tc>
      </w:tr>
      <w:tr w14:paraId="199FE8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45985DA">
            <w:r>
              <w:rPr>
                <w:rFonts w:hint="eastAsia"/>
              </w:rPr>
              <w:t>其他债权投资</w:t>
            </w:r>
          </w:p>
        </w:tc>
        <w:tc>
          <w:tcPr>
            <w:tcW w:w="1384" w:type="dxa"/>
            <w:vAlign w:val="center"/>
          </w:tcPr>
          <w:p w14:paraId="489119CD">
            <w:pPr>
              <w:jc w:val="right"/>
            </w:pPr>
            <w:r>
              <w:rPr>
                <w:rFonts w:hint="eastAsia"/>
              </w:rPr>
              <w:t>-</w:t>
            </w:r>
          </w:p>
        </w:tc>
        <w:tc>
          <w:tcPr>
            <w:tcW w:w="1384" w:type="dxa"/>
            <w:vAlign w:val="center"/>
          </w:tcPr>
          <w:p w14:paraId="4788C662">
            <w:pPr>
              <w:jc w:val="right"/>
            </w:pPr>
            <w:r>
              <w:rPr>
                <w:rFonts w:hint="eastAsia"/>
              </w:rPr>
              <w:t>-</w:t>
            </w:r>
          </w:p>
        </w:tc>
        <w:tc>
          <w:tcPr>
            <w:tcW w:w="1384" w:type="dxa"/>
            <w:vAlign w:val="center"/>
          </w:tcPr>
          <w:p w14:paraId="7BF48471">
            <w:pPr>
              <w:jc w:val="right"/>
            </w:pPr>
            <w:r>
              <w:rPr>
                <w:rFonts w:hint="eastAsia"/>
              </w:rPr>
              <w:t>-</w:t>
            </w:r>
          </w:p>
        </w:tc>
        <w:tc>
          <w:tcPr>
            <w:tcW w:w="1384" w:type="dxa"/>
            <w:vAlign w:val="center"/>
          </w:tcPr>
          <w:p w14:paraId="7977E1A2">
            <w:pPr>
              <w:jc w:val="right"/>
            </w:pPr>
            <w:r>
              <w:rPr>
                <w:rFonts w:hint="eastAsia"/>
              </w:rPr>
              <w:t>-</w:t>
            </w:r>
          </w:p>
        </w:tc>
        <w:tc>
          <w:tcPr>
            <w:tcW w:w="1384" w:type="dxa"/>
            <w:vAlign w:val="center"/>
          </w:tcPr>
          <w:p w14:paraId="2414D3A1">
            <w:pPr>
              <w:jc w:val="right"/>
            </w:pPr>
            <w:r>
              <w:rPr>
                <w:rFonts w:hint="eastAsia"/>
              </w:rPr>
              <w:t>-</w:t>
            </w:r>
          </w:p>
        </w:tc>
      </w:tr>
      <w:tr w14:paraId="2640CECD">
        <w:tblPrEx>
          <w:tblCellMar>
            <w:top w:w="0" w:type="dxa"/>
            <w:left w:w="108" w:type="dxa"/>
            <w:bottom w:w="0" w:type="dxa"/>
            <w:right w:w="108" w:type="dxa"/>
          </w:tblCellMar>
        </w:tblPrEx>
        <w:trPr>
          <w:jc w:val="center"/>
        </w:trPr>
        <w:tc>
          <w:tcPr>
            <w:tcW w:w="1384" w:type="dxa"/>
            <w:vAlign w:val="center"/>
          </w:tcPr>
          <w:p w14:paraId="2C89DBE1">
            <w:r>
              <w:rPr>
                <w:rFonts w:hint="eastAsia"/>
              </w:rPr>
              <w:t>其他权益工具投资</w:t>
            </w:r>
          </w:p>
        </w:tc>
        <w:tc>
          <w:tcPr>
            <w:tcW w:w="1384" w:type="dxa"/>
            <w:vAlign w:val="center"/>
          </w:tcPr>
          <w:p w14:paraId="33B89484">
            <w:pPr>
              <w:jc w:val="right"/>
            </w:pPr>
            <w:r>
              <w:rPr>
                <w:rFonts w:hint="eastAsia"/>
              </w:rPr>
              <w:t>-</w:t>
            </w:r>
          </w:p>
        </w:tc>
        <w:tc>
          <w:tcPr>
            <w:tcW w:w="1384" w:type="dxa"/>
            <w:vAlign w:val="center"/>
          </w:tcPr>
          <w:p w14:paraId="56AEBF96">
            <w:pPr>
              <w:jc w:val="right"/>
            </w:pPr>
            <w:r>
              <w:rPr>
                <w:rFonts w:hint="eastAsia"/>
              </w:rPr>
              <w:t>-</w:t>
            </w:r>
          </w:p>
        </w:tc>
        <w:tc>
          <w:tcPr>
            <w:tcW w:w="1384" w:type="dxa"/>
            <w:vAlign w:val="center"/>
          </w:tcPr>
          <w:p w14:paraId="4F3BC297">
            <w:pPr>
              <w:jc w:val="right"/>
            </w:pPr>
            <w:r>
              <w:rPr>
                <w:rFonts w:hint="eastAsia"/>
              </w:rPr>
              <w:t>-</w:t>
            </w:r>
          </w:p>
        </w:tc>
        <w:tc>
          <w:tcPr>
            <w:tcW w:w="1384" w:type="dxa"/>
            <w:vAlign w:val="center"/>
          </w:tcPr>
          <w:p w14:paraId="783DD5B3">
            <w:pPr>
              <w:jc w:val="right"/>
            </w:pPr>
            <w:r>
              <w:rPr>
                <w:rFonts w:hint="eastAsia"/>
              </w:rPr>
              <w:t>-</w:t>
            </w:r>
          </w:p>
        </w:tc>
        <w:tc>
          <w:tcPr>
            <w:tcW w:w="1384" w:type="dxa"/>
            <w:vAlign w:val="center"/>
          </w:tcPr>
          <w:p w14:paraId="0CCAA063">
            <w:pPr>
              <w:jc w:val="right"/>
            </w:pPr>
            <w:r>
              <w:rPr>
                <w:rFonts w:hint="eastAsia"/>
              </w:rPr>
              <w:t>-</w:t>
            </w:r>
          </w:p>
        </w:tc>
      </w:tr>
      <w:tr w14:paraId="42EA3B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C444CCA">
            <w:r>
              <w:rPr>
                <w:rFonts w:hint="eastAsia"/>
              </w:rPr>
              <w:t>应收清算款</w:t>
            </w:r>
          </w:p>
        </w:tc>
        <w:tc>
          <w:tcPr>
            <w:tcW w:w="1384" w:type="dxa"/>
            <w:vAlign w:val="center"/>
          </w:tcPr>
          <w:p w14:paraId="4141A602">
            <w:pPr>
              <w:jc w:val="right"/>
            </w:pPr>
            <w:r>
              <w:rPr>
                <w:rFonts w:hint="eastAsia"/>
              </w:rPr>
              <w:t>-</w:t>
            </w:r>
          </w:p>
        </w:tc>
        <w:tc>
          <w:tcPr>
            <w:tcW w:w="1384" w:type="dxa"/>
            <w:vAlign w:val="center"/>
          </w:tcPr>
          <w:p w14:paraId="56F1E476">
            <w:pPr>
              <w:jc w:val="right"/>
            </w:pPr>
            <w:r>
              <w:rPr>
                <w:rFonts w:hint="eastAsia"/>
              </w:rPr>
              <w:t>-</w:t>
            </w:r>
          </w:p>
        </w:tc>
        <w:tc>
          <w:tcPr>
            <w:tcW w:w="1384" w:type="dxa"/>
            <w:vAlign w:val="center"/>
          </w:tcPr>
          <w:p w14:paraId="564934A5">
            <w:pPr>
              <w:jc w:val="right"/>
            </w:pPr>
            <w:r>
              <w:rPr>
                <w:rFonts w:hint="eastAsia"/>
              </w:rPr>
              <w:t>-</w:t>
            </w:r>
          </w:p>
        </w:tc>
        <w:tc>
          <w:tcPr>
            <w:tcW w:w="1384" w:type="dxa"/>
            <w:vAlign w:val="center"/>
          </w:tcPr>
          <w:p w14:paraId="4ACADAE4">
            <w:pPr>
              <w:jc w:val="right"/>
            </w:pPr>
            <w:r>
              <w:rPr>
                <w:rFonts w:hint="eastAsia"/>
              </w:rPr>
              <w:t>-</w:t>
            </w:r>
          </w:p>
        </w:tc>
        <w:tc>
          <w:tcPr>
            <w:tcW w:w="1384" w:type="dxa"/>
            <w:vAlign w:val="center"/>
          </w:tcPr>
          <w:p w14:paraId="516B42E5">
            <w:pPr>
              <w:jc w:val="right"/>
            </w:pPr>
            <w:r>
              <w:rPr>
                <w:rFonts w:hint="eastAsia"/>
              </w:rPr>
              <w:t>-</w:t>
            </w:r>
          </w:p>
        </w:tc>
      </w:tr>
      <w:tr w14:paraId="2B609A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628E5C6">
            <w:r>
              <w:rPr>
                <w:rFonts w:hint="eastAsia"/>
              </w:rPr>
              <w:t>应收股利</w:t>
            </w:r>
          </w:p>
        </w:tc>
        <w:tc>
          <w:tcPr>
            <w:tcW w:w="1384" w:type="dxa"/>
            <w:vAlign w:val="center"/>
          </w:tcPr>
          <w:p w14:paraId="28C94810">
            <w:pPr>
              <w:jc w:val="right"/>
            </w:pPr>
            <w:r>
              <w:rPr>
                <w:rFonts w:hint="eastAsia"/>
              </w:rPr>
              <w:t>-</w:t>
            </w:r>
          </w:p>
        </w:tc>
        <w:tc>
          <w:tcPr>
            <w:tcW w:w="1384" w:type="dxa"/>
            <w:vAlign w:val="center"/>
          </w:tcPr>
          <w:p w14:paraId="29AC6EFE">
            <w:pPr>
              <w:jc w:val="right"/>
            </w:pPr>
            <w:r>
              <w:rPr>
                <w:rFonts w:hint="eastAsia"/>
              </w:rPr>
              <w:t>-</w:t>
            </w:r>
          </w:p>
        </w:tc>
        <w:tc>
          <w:tcPr>
            <w:tcW w:w="1384" w:type="dxa"/>
            <w:vAlign w:val="center"/>
          </w:tcPr>
          <w:p w14:paraId="66C4E858">
            <w:pPr>
              <w:jc w:val="right"/>
            </w:pPr>
            <w:r>
              <w:rPr>
                <w:rFonts w:hint="eastAsia"/>
              </w:rPr>
              <w:t>-</w:t>
            </w:r>
          </w:p>
        </w:tc>
        <w:tc>
          <w:tcPr>
            <w:tcW w:w="1384" w:type="dxa"/>
            <w:vAlign w:val="center"/>
          </w:tcPr>
          <w:p w14:paraId="30539401">
            <w:pPr>
              <w:jc w:val="right"/>
            </w:pPr>
            <w:r>
              <w:rPr>
                <w:rFonts w:hint="eastAsia"/>
              </w:rPr>
              <w:t>-</w:t>
            </w:r>
          </w:p>
        </w:tc>
        <w:tc>
          <w:tcPr>
            <w:tcW w:w="1384" w:type="dxa"/>
            <w:vAlign w:val="center"/>
          </w:tcPr>
          <w:p w14:paraId="66C79E9C">
            <w:pPr>
              <w:jc w:val="right"/>
            </w:pPr>
            <w:r>
              <w:rPr>
                <w:rFonts w:hint="eastAsia"/>
              </w:rPr>
              <w:t>-</w:t>
            </w:r>
          </w:p>
        </w:tc>
      </w:tr>
      <w:tr w14:paraId="5E9828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947C2EC">
            <w:r>
              <w:rPr>
                <w:rFonts w:hint="eastAsia"/>
              </w:rPr>
              <w:t>应收申购款</w:t>
            </w:r>
          </w:p>
        </w:tc>
        <w:tc>
          <w:tcPr>
            <w:tcW w:w="1384" w:type="dxa"/>
            <w:vAlign w:val="center"/>
          </w:tcPr>
          <w:p w14:paraId="6ABB71A0">
            <w:pPr>
              <w:jc w:val="right"/>
            </w:pPr>
            <w:r>
              <w:rPr>
                <w:rFonts w:hint="eastAsia"/>
              </w:rPr>
              <w:t>-</w:t>
            </w:r>
          </w:p>
        </w:tc>
        <w:tc>
          <w:tcPr>
            <w:tcW w:w="1384" w:type="dxa"/>
            <w:vAlign w:val="center"/>
          </w:tcPr>
          <w:p w14:paraId="16A62AC0">
            <w:pPr>
              <w:jc w:val="right"/>
            </w:pPr>
            <w:r>
              <w:rPr>
                <w:rFonts w:hint="eastAsia"/>
              </w:rPr>
              <w:t>-</w:t>
            </w:r>
          </w:p>
        </w:tc>
        <w:tc>
          <w:tcPr>
            <w:tcW w:w="1384" w:type="dxa"/>
            <w:vAlign w:val="center"/>
          </w:tcPr>
          <w:p w14:paraId="3E7E729C">
            <w:pPr>
              <w:jc w:val="right"/>
            </w:pPr>
            <w:r>
              <w:rPr>
                <w:rFonts w:hint="eastAsia"/>
              </w:rPr>
              <w:t>-</w:t>
            </w:r>
          </w:p>
        </w:tc>
        <w:tc>
          <w:tcPr>
            <w:tcW w:w="1384" w:type="dxa"/>
            <w:vAlign w:val="center"/>
          </w:tcPr>
          <w:p w14:paraId="7B239C6E">
            <w:pPr>
              <w:jc w:val="right"/>
            </w:pPr>
            <w:r>
              <w:rPr>
                <w:rFonts w:hint="eastAsia"/>
              </w:rPr>
              <w:t>83,969,340.47</w:t>
            </w:r>
          </w:p>
        </w:tc>
        <w:tc>
          <w:tcPr>
            <w:tcW w:w="1384" w:type="dxa"/>
            <w:vAlign w:val="center"/>
          </w:tcPr>
          <w:p w14:paraId="71CF53A9">
            <w:pPr>
              <w:jc w:val="right"/>
            </w:pPr>
            <w:r>
              <w:rPr>
                <w:rFonts w:hint="eastAsia"/>
              </w:rPr>
              <w:t>83,969,340.47</w:t>
            </w:r>
          </w:p>
        </w:tc>
      </w:tr>
      <w:tr w14:paraId="051EEB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ABF34B8">
            <w:r>
              <w:rPr>
                <w:rFonts w:hint="eastAsia"/>
              </w:rPr>
              <w:t>递延所得税资产</w:t>
            </w:r>
          </w:p>
        </w:tc>
        <w:tc>
          <w:tcPr>
            <w:tcW w:w="1384" w:type="dxa"/>
            <w:vAlign w:val="center"/>
          </w:tcPr>
          <w:p w14:paraId="238D9E88">
            <w:pPr>
              <w:jc w:val="right"/>
            </w:pPr>
            <w:r>
              <w:rPr>
                <w:rFonts w:hint="eastAsia"/>
              </w:rPr>
              <w:t>-</w:t>
            </w:r>
          </w:p>
        </w:tc>
        <w:tc>
          <w:tcPr>
            <w:tcW w:w="1384" w:type="dxa"/>
            <w:vAlign w:val="center"/>
          </w:tcPr>
          <w:p w14:paraId="5B01B5CA">
            <w:pPr>
              <w:jc w:val="right"/>
            </w:pPr>
            <w:r>
              <w:rPr>
                <w:rFonts w:hint="eastAsia"/>
              </w:rPr>
              <w:t>-</w:t>
            </w:r>
          </w:p>
        </w:tc>
        <w:tc>
          <w:tcPr>
            <w:tcW w:w="1384" w:type="dxa"/>
            <w:vAlign w:val="center"/>
          </w:tcPr>
          <w:p w14:paraId="24FA6AF4">
            <w:pPr>
              <w:jc w:val="right"/>
            </w:pPr>
            <w:r>
              <w:rPr>
                <w:rFonts w:hint="eastAsia"/>
              </w:rPr>
              <w:t>-</w:t>
            </w:r>
          </w:p>
        </w:tc>
        <w:tc>
          <w:tcPr>
            <w:tcW w:w="1384" w:type="dxa"/>
            <w:vAlign w:val="center"/>
          </w:tcPr>
          <w:p w14:paraId="66FE7D52">
            <w:pPr>
              <w:jc w:val="right"/>
            </w:pPr>
            <w:r>
              <w:rPr>
                <w:rFonts w:hint="eastAsia"/>
              </w:rPr>
              <w:t>-</w:t>
            </w:r>
          </w:p>
        </w:tc>
        <w:tc>
          <w:tcPr>
            <w:tcW w:w="1384" w:type="dxa"/>
            <w:vAlign w:val="center"/>
          </w:tcPr>
          <w:p w14:paraId="1221C692">
            <w:pPr>
              <w:jc w:val="right"/>
            </w:pPr>
            <w:r>
              <w:rPr>
                <w:rFonts w:hint="eastAsia"/>
              </w:rPr>
              <w:t>-</w:t>
            </w:r>
          </w:p>
        </w:tc>
      </w:tr>
      <w:tr w14:paraId="4FD3DB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D428044">
            <w:r>
              <w:rPr>
                <w:rFonts w:hint="eastAsia"/>
              </w:rPr>
              <w:t>其他资产</w:t>
            </w:r>
          </w:p>
        </w:tc>
        <w:tc>
          <w:tcPr>
            <w:tcW w:w="1384" w:type="dxa"/>
            <w:vAlign w:val="center"/>
          </w:tcPr>
          <w:p w14:paraId="0F3639CE">
            <w:pPr>
              <w:jc w:val="right"/>
            </w:pPr>
            <w:r>
              <w:rPr>
                <w:rFonts w:hint="eastAsia"/>
              </w:rPr>
              <w:t>-</w:t>
            </w:r>
          </w:p>
        </w:tc>
        <w:tc>
          <w:tcPr>
            <w:tcW w:w="1384" w:type="dxa"/>
            <w:vAlign w:val="center"/>
          </w:tcPr>
          <w:p w14:paraId="32BF60F9">
            <w:pPr>
              <w:jc w:val="right"/>
            </w:pPr>
            <w:r>
              <w:rPr>
                <w:rFonts w:hint="eastAsia"/>
              </w:rPr>
              <w:t>-</w:t>
            </w:r>
          </w:p>
        </w:tc>
        <w:tc>
          <w:tcPr>
            <w:tcW w:w="1384" w:type="dxa"/>
            <w:vAlign w:val="center"/>
          </w:tcPr>
          <w:p w14:paraId="518F706B">
            <w:pPr>
              <w:jc w:val="right"/>
            </w:pPr>
            <w:r>
              <w:rPr>
                <w:rFonts w:hint="eastAsia"/>
              </w:rPr>
              <w:t>-</w:t>
            </w:r>
          </w:p>
        </w:tc>
        <w:tc>
          <w:tcPr>
            <w:tcW w:w="1384" w:type="dxa"/>
            <w:vAlign w:val="center"/>
          </w:tcPr>
          <w:p w14:paraId="4AC0E696">
            <w:pPr>
              <w:jc w:val="right"/>
            </w:pPr>
            <w:r>
              <w:rPr>
                <w:rFonts w:hint="eastAsia"/>
              </w:rPr>
              <w:t>-</w:t>
            </w:r>
          </w:p>
        </w:tc>
        <w:tc>
          <w:tcPr>
            <w:tcW w:w="1384" w:type="dxa"/>
            <w:vAlign w:val="center"/>
          </w:tcPr>
          <w:p w14:paraId="39D528A2">
            <w:pPr>
              <w:jc w:val="right"/>
            </w:pPr>
            <w:r>
              <w:rPr>
                <w:rFonts w:hint="eastAsia"/>
              </w:rPr>
              <w:t>-</w:t>
            </w:r>
          </w:p>
        </w:tc>
      </w:tr>
      <w:tr w14:paraId="68003BC0">
        <w:tblPrEx>
          <w:tblCellMar>
            <w:top w:w="0" w:type="dxa"/>
            <w:left w:w="108" w:type="dxa"/>
            <w:bottom w:w="0" w:type="dxa"/>
            <w:right w:w="108" w:type="dxa"/>
          </w:tblCellMar>
        </w:tblPrEx>
        <w:trPr>
          <w:jc w:val="center"/>
        </w:trPr>
        <w:tc>
          <w:tcPr>
            <w:tcW w:w="1384" w:type="dxa"/>
            <w:vAlign w:val="center"/>
          </w:tcPr>
          <w:p w14:paraId="014BDDAD">
            <w:r>
              <w:rPr>
                <w:rFonts w:hint="eastAsia"/>
              </w:rPr>
              <w:t>资产总计</w:t>
            </w:r>
          </w:p>
        </w:tc>
        <w:tc>
          <w:tcPr>
            <w:tcW w:w="1384" w:type="dxa"/>
            <w:vAlign w:val="center"/>
          </w:tcPr>
          <w:p w14:paraId="1F46EF6A">
            <w:pPr>
              <w:jc w:val="right"/>
            </w:pPr>
            <w:r>
              <w:rPr>
                <w:rFonts w:hint="eastAsia"/>
              </w:rPr>
              <w:t>3,985,262,600.99</w:t>
            </w:r>
          </w:p>
        </w:tc>
        <w:tc>
          <w:tcPr>
            <w:tcW w:w="1384" w:type="dxa"/>
            <w:vAlign w:val="center"/>
          </w:tcPr>
          <w:p w14:paraId="1D867AEC">
            <w:pPr>
              <w:jc w:val="right"/>
            </w:pPr>
            <w:r>
              <w:rPr>
                <w:rFonts w:hint="eastAsia"/>
              </w:rPr>
              <w:t>-</w:t>
            </w:r>
          </w:p>
        </w:tc>
        <w:tc>
          <w:tcPr>
            <w:tcW w:w="1384" w:type="dxa"/>
            <w:vAlign w:val="center"/>
          </w:tcPr>
          <w:p w14:paraId="085E9E4F">
            <w:pPr>
              <w:jc w:val="right"/>
            </w:pPr>
            <w:r>
              <w:rPr>
                <w:rFonts w:hint="eastAsia"/>
              </w:rPr>
              <w:t>-</w:t>
            </w:r>
          </w:p>
        </w:tc>
        <w:tc>
          <w:tcPr>
            <w:tcW w:w="1384" w:type="dxa"/>
            <w:vAlign w:val="center"/>
          </w:tcPr>
          <w:p w14:paraId="2434860D">
            <w:pPr>
              <w:jc w:val="right"/>
            </w:pPr>
            <w:r>
              <w:rPr>
                <w:rFonts w:hint="eastAsia"/>
              </w:rPr>
              <w:t>83,969,340.47</w:t>
            </w:r>
          </w:p>
        </w:tc>
        <w:tc>
          <w:tcPr>
            <w:tcW w:w="1384" w:type="dxa"/>
            <w:vAlign w:val="center"/>
          </w:tcPr>
          <w:p w14:paraId="5E94BDC3">
            <w:pPr>
              <w:jc w:val="right"/>
            </w:pPr>
            <w:r>
              <w:rPr>
                <w:rFonts w:hint="eastAsia"/>
              </w:rPr>
              <w:t>4,069,231,941.46</w:t>
            </w:r>
          </w:p>
        </w:tc>
      </w:tr>
      <w:tr w14:paraId="2431CECB">
        <w:tblPrEx>
          <w:tblCellMar>
            <w:top w:w="0" w:type="dxa"/>
            <w:left w:w="108" w:type="dxa"/>
            <w:bottom w:w="0" w:type="dxa"/>
            <w:right w:w="108" w:type="dxa"/>
          </w:tblCellMar>
        </w:tblPrEx>
        <w:trPr>
          <w:jc w:val="center"/>
        </w:trPr>
        <w:tc>
          <w:tcPr>
            <w:tcW w:w="1384" w:type="dxa"/>
            <w:vAlign w:val="center"/>
          </w:tcPr>
          <w:p w14:paraId="76AF3B7E">
            <w:r>
              <w:rPr>
                <w:rFonts w:hint="eastAsia"/>
              </w:rPr>
              <w:t>负债</w:t>
            </w:r>
          </w:p>
        </w:tc>
        <w:tc>
          <w:tcPr>
            <w:tcW w:w="1384" w:type="dxa"/>
            <w:vAlign w:val="center"/>
          </w:tcPr>
          <w:p w14:paraId="73D2143F"/>
        </w:tc>
        <w:tc>
          <w:tcPr>
            <w:tcW w:w="1384" w:type="dxa"/>
            <w:vAlign w:val="center"/>
          </w:tcPr>
          <w:p w14:paraId="4649B421"/>
        </w:tc>
        <w:tc>
          <w:tcPr>
            <w:tcW w:w="1384" w:type="dxa"/>
            <w:vAlign w:val="center"/>
          </w:tcPr>
          <w:p w14:paraId="5498EDCF"/>
        </w:tc>
        <w:tc>
          <w:tcPr>
            <w:tcW w:w="1384" w:type="dxa"/>
            <w:vAlign w:val="center"/>
          </w:tcPr>
          <w:p w14:paraId="0EFE1D03"/>
        </w:tc>
        <w:tc>
          <w:tcPr>
            <w:tcW w:w="1384" w:type="dxa"/>
            <w:vAlign w:val="center"/>
          </w:tcPr>
          <w:p w14:paraId="384EB0FE"/>
        </w:tc>
      </w:tr>
      <w:tr w14:paraId="549977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7588A69">
            <w:r>
              <w:rPr>
                <w:rFonts w:hint="eastAsia"/>
              </w:rPr>
              <w:t>短期借款</w:t>
            </w:r>
          </w:p>
        </w:tc>
        <w:tc>
          <w:tcPr>
            <w:tcW w:w="1384" w:type="dxa"/>
            <w:vAlign w:val="center"/>
          </w:tcPr>
          <w:p w14:paraId="5E1012B8">
            <w:pPr>
              <w:jc w:val="right"/>
            </w:pPr>
            <w:r>
              <w:rPr>
                <w:rFonts w:hint="eastAsia"/>
              </w:rPr>
              <w:t>-</w:t>
            </w:r>
          </w:p>
        </w:tc>
        <w:tc>
          <w:tcPr>
            <w:tcW w:w="1384" w:type="dxa"/>
            <w:vAlign w:val="center"/>
          </w:tcPr>
          <w:p w14:paraId="670F5B7C">
            <w:pPr>
              <w:jc w:val="right"/>
            </w:pPr>
            <w:r>
              <w:rPr>
                <w:rFonts w:hint="eastAsia"/>
              </w:rPr>
              <w:t>-</w:t>
            </w:r>
          </w:p>
        </w:tc>
        <w:tc>
          <w:tcPr>
            <w:tcW w:w="1384" w:type="dxa"/>
            <w:vAlign w:val="center"/>
          </w:tcPr>
          <w:p w14:paraId="73C9779F">
            <w:pPr>
              <w:jc w:val="right"/>
            </w:pPr>
            <w:r>
              <w:rPr>
                <w:rFonts w:hint="eastAsia"/>
              </w:rPr>
              <w:t>-</w:t>
            </w:r>
          </w:p>
        </w:tc>
        <w:tc>
          <w:tcPr>
            <w:tcW w:w="1384" w:type="dxa"/>
            <w:vAlign w:val="center"/>
          </w:tcPr>
          <w:p w14:paraId="56A6080F">
            <w:pPr>
              <w:jc w:val="right"/>
            </w:pPr>
            <w:r>
              <w:rPr>
                <w:rFonts w:hint="eastAsia"/>
              </w:rPr>
              <w:t>-</w:t>
            </w:r>
          </w:p>
        </w:tc>
        <w:tc>
          <w:tcPr>
            <w:tcW w:w="1384" w:type="dxa"/>
            <w:vAlign w:val="center"/>
          </w:tcPr>
          <w:p w14:paraId="2A735AF5">
            <w:pPr>
              <w:jc w:val="right"/>
            </w:pPr>
            <w:r>
              <w:rPr>
                <w:rFonts w:hint="eastAsia"/>
              </w:rPr>
              <w:t>-</w:t>
            </w:r>
          </w:p>
        </w:tc>
      </w:tr>
      <w:tr w14:paraId="0DE2DC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B90D9BC">
            <w:r>
              <w:rPr>
                <w:rFonts w:hint="eastAsia"/>
              </w:rPr>
              <w:t>交易性金融负债</w:t>
            </w:r>
          </w:p>
        </w:tc>
        <w:tc>
          <w:tcPr>
            <w:tcW w:w="1384" w:type="dxa"/>
            <w:vAlign w:val="center"/>
          </w:tcPr>
          <w:p w14:paraId="59A29117">
            <w:pPr>
              <w:jc w:val="right"/>
            </w:pPr>
            <w:r>
              <w:rPr>
                <w:rFonts w:hint="eastAsia"/>
              </w:rPr>
              <w:t>-</w:t>
            </w:r>
          </w:p>
        </w:tc>
        <w:tc>
          <w:tcPr>
            <w:tcW w:w="1384" w:type="dxa"/>
            <w:vAlign w:val="center"/>
          </w:tcPr>
          <w:p w14:paraId="7D142E76">
            <w:pPr>
              <w:jc w:val="right"/>
            </w:pPr>
            <w:r>
              <w:rPr>
                <w:rFonts w:hint="eastAsia"/>
              </w:rPr>
              <w:t>-</w:t>
            </w:r>
          </w:p>
        </w:tc>
        <w:tc>
          <w:tcPr>
            <w:tcW w:w="1384" w:type="dxa"/>
            <w:vAlign w:val="center"/>
          </w:tcPr>
          <w:p w14:paraId="0A74B0BC">
            <w:pPr>
              <w:jc w:val="right"/>
            </w:pPr>
            <w:r>
              <w:rPr>
                <w:rFonts w:hint="eastAsia"/>
              </w:rPr>
              <w:t>-</w:t>
            </w:r>
          </w:p>
        </w:tc>
        <w:tc>
          <w:tcPr>
            <w:tcW w:w="1384" w:type="dxa"/>
            <w:vAlign w:val="center"/>
          </w:tcPr>
          <w:p w14:paraId="1D4041D6">
            <w:pPr>
              <w:jc w:val="right"/>
            </w:pPr>
            <w:r>
              <w:rPr>
                <w:rFonts w:hint="eastAsia"/>
              </w:rPr>
              <w:t>-</w:t>
            </w:r>
          </w:p>
        </w:tc>
        <w:tc>
          <w:tcPr>
            <w:tcW w:w="1384" w:type="dxa"/>
            <w:vAlign w:val="center"/>
          </w:tcPr>
          <w:p w14:paraId="5C039794">
            <w:pPr>
              <w:jc w:val="right"/>
            </w:pPr>
            <w:r>
              <w:rPr>
                <w:rFonts w:hint="eastAsia"/>
              </w:rPr>
              <w:t>-</w:t>
            </w:r>
          </w:p>
        </w:tc>
      </w:tr>
      <w:tr w14:paraId="308260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64660E6">
            <w:r>
              <w:rPr>
                <w:rFonts w:hint="eastAsia"/>
              </w:rPr>
              <w:t>衍生金融负债</w:t>
            </w:r>
          </w:p>
        </w:tc>
        <w:tc>
          <w:tcPr>
            <w:tcW w:w="1384" w:type="dxa"/>
            <w:vAlign w:val="center"/>
          </w:tcPr>
          <w:p w14:paraId="2E81342A">
            <w:pPr>
              <w:jc w:val="right"/>
            </w:pPr>
            <w:r>
              <w:rPr>
                <w:rFonts w:hint="eastAsia"/>
              </w:rPr>
              <w:t>-</w:t>
            </w:r>
          </w:p>
        </w:tc>
        <w:tc>
          <w:tcPr>
            <w:tcW w:w="1384" w:type="dxa"/>
            <w:vAlign w:val="center"/>
          </w:tcPr>
          <w:p w14:paraId="2B7FD6CE">
            <w:pPr>
              <w:jc w:val="right"/>
            </w:pPr>
            <w:r>
              <w:rPr>
                <w:rFonts w:hint="eastAsia"/>
              </w:rPr>
              <w:t>-</w:t>
            </w:r>
          </w:p>
        </w:tc>
        <w:tc>
          <w:tcPr>
            <w:tcW w:w="1384" w:type="dxa"/>
            <w:vAlign w:val="center"/>
          </w:tcPr>
          <w:p w14:paraId="15D1C7A9">
            <w:pPr>
              <w:jc w:val="right"/>
            </w:pPr>
            <w:r>
              <w:rPr>
                <w:rFonts w:hint="eastAsia"/>
              </w:rPr>
              <w:t>-</w:t>
            </w:r>
          </w:p>
        </w:tc>
        <w:tc>
          <w:tcPr>
            <w:tcW w:w="1384" w:type="dxa"/>
            <w:vAlign w:val="center"/>
          </w:tcPr>
          <w:p w14:paraId="0EF31959">
            <w:pPr>
              <w:jc w:val="right"/>
            </w:pPr>
            <w:r>
              <w:rPr>
                <w:rFonts w:hint="eastAsia"/>
              </w:rPr>
              <w:t>-</w:t>
            </w:r>
          </w:p>
        </w:tc>
        <w:tc>
          <w:tcPr>
            <w:tcW w:w="1384" w:type="dxa"/>
            <w:vAlign w:val="center"/>
          </w:tcPr>
          <w:p w14:paraId="1B95C52F">
            <w:pPr>
              <w:jc w:val="right"/>
            </w:pPr>
            <w:r>
              <w:rPr>
                <w:rFonts w:hint="eastAsia"/>
              </w:rPr>
              <w:t>-</w:t>
            </w:r>
          </w:p>
        </w:tc>
      </w:tr>
      <w:tr w14:paraId="45A1E9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9AD9D59">
            <w:r>
              <w:rPr>
                <w:rFonts w:hint="eastAsia"/>
              </w:rPr>
              <w:t>卖出回购金融资产款</w:t>
            </w:r>
          </w:p>
        </w:tc>
        <w:tc>
          <w:tcPr>
            <w:tcW w:w="1384" w:type="dxa"/>
            <w:vAlign w:val="center"/>
          </w:tcPr>
          <w:p w14:paraId="19F386DD">
            <w:pPr>
              <w:jc w:val="right"/>
            </w:pPr>
            <w:r>
              <w:rPr>
                <w:rFonts w:hint="eastAsia"/>
              </w:rPr>
              <w:t>384,328,678.46</w:t>
            </w:r>
          </w:p>
        </w:tc>
        <w:tc>
          <w:tcPr>
            <w:tcW w:w="1384" w:type="dxa"/>
            <w:vAlign w:val="center"/>
          </w:tcPr>
          <w:p w14:paraId="53E68AA2">
            <w:pPr>
              <w:jc w:val="right"/>
            </w:pPr>
            <w:r>
              <w:rPr>
                <w:rFonts w:hint="eastAsia"/>
              </w:rPr>
              <w:t>-</w:t>
            </w:r>
          </w:p>
        </w:tc>
        <w:tc>
          <w:tcPr>
            <w:tcW w:w="1384" w:type="dxa"/>
            <w:vAlign w:val="center"/>
          </w:tcPr>
          <w:p w14:paraId="70FF2216">
            <w:pPr>
              <w:jc w:val="right"/>
            </w:pPr>
            <w:r>
              <w:rPr>
                <w:rFonts w:hint="eastAsia"/>
              </w:rPr>
              <w:t>-</w:t>
            </w:r>
          </w:p>
        </w:tc>
        <w:tc>
          <w:tcPr>
            <w:tcW w:w="1384" w:type="dxa"/>
            <w:vAlign w:val="center"/>
          </w:tcPr>
          <w:p w14:paraId="5BA39430">
            <w:pPr>
              <w:jc w:val="right"/>
            </w:pPr>
            <w:r>
              <w:rPr>
                <w:rFonts w:hint="eastAsia"/>
              </w:rPr>
              <w:t>-</w:t>
            </w:r>
          </w:p>
        </w:tc>
        <w:tc>
          <w:tcPr>
            <w:tcW w:w="1384" w:type="dxa"/>
            <w:vAlign w:val="center"/>
          </w:tcPr>
          <w:p w14:paraId="763DD9FF">
            <w:pPr>
              <w:jc w:val="right"/>
            </w:pPr>
            <w:r>
              <w:rPr>
                <w:rFonts w:hint="eastAsia"/>
              </w:rPr>
              <w:t>384,328,678.46</w:t>
            </w:r>
          </w:p>
        </w:tc>
      </w:tr>
      <w:tr w14:paraId="4D7FCC32">
        <w:tblPrEx>
          <w:tblCellMar>
            <w:top w:w="0" w:type="dxa"/>
            <w:left w:w="108" w:type="dxa"/>
            <w:bottom w:w="0" w:type="dxa"/>
            <w:right w:w="108" w:type="dxa"/>
          </w:tblCellMar>
        </w:tblPrEx>
        <w:trPr>
          <w:jc w:val="center"/>
        </w:trPr>
        <w:tc>
          <w:tcPr>
            <w:tcW w:w="1384" w:type="dxa"/>
            <w:vAlign w:val="center"/>
          </w:tcPr>
          <w:p w14:paraId="1438C702">
            <w:r>
              <w:rPr>
                <w:rFonts w:hint="eastAsia"/>
              </w:rPr>
              <w:t>应付清算款</w:t>
            </w:r>
          </w:p>
        </w:tc>
        <w:tc>
          <w:tcPr>
            <w:tcW w:w="1384" w:type="dxa"/>
            <w:vAlign w:val="center"/>
          </w:tcPr>
          <w:p w14:paraId="1EE413C4">
            <w:pPr>
              <w:jc w:val="right"/>
            </w:pPr>
            <w:r>
              <w:rPr>
                <w:rFonts w:hint="eastAsia"/>
              </w:rPr>
              <w:t>-</w:t>
            </w:r>
          </w:p>
        </w:tc>
        <w:tc>
          <w:tcPr>
            <w:tcW w:w="1384" w:type="dxa"/>
            <w:vAlign w:val="center"/>
          </w:tcPr>
          <w:p w14:paraId="401726A2">
            <w:pPr>
              <w:jc w:val="right"/>
            </w:pPr>
            <w:r>
              <w:rPr>
                <w:rFonts w:hint="eastAsia"/>
              </w:rPr>
              <w:t>-</w:t>
            </w:r>
          </w:p>
        </w:tc>
        <w:tc>
          <w:tcPr>
            <w:tcW w:w="1384" w:type="dxa"/>
            <w:vAlign w:val="center"/>
          </w:tcPr>
          <w:p w14:paraId="7E7714DE">
            <w:pPr>
              <w:jc w:val="right"/>
            </w:pPr>
            <w:r>
              <w:rPr>
                <w:rFonts w:hint="eastAsia"/>
              </w:rPr>
              <w:t>-</w:t>
            </w:r>
          </w:p>
        </w:tc>
        <w:tc>
          <w:tcPr>
            <w:tcW w:w="1384" w:type="dxa"/>
            <w:vAlign w:val="center"/>
          </w:tcPr>
          <w:p w14:paraId="18033124">
            <w:pPr>
              <w:jc w:val="right"/>
            </w:pPr>
            <w:r>
              <w:rPr>
                <w:rFonts w:hint="eastAsia"/>
              </w:rPr>
              <w:t>-</w:t>
            </w:r>
          </w:p>
        </w:tc>
        <w:tc>
          <w:tcPr>
            <w:tcW w:w="1384" w:type="dxa"/>
            <w:vAlign w:val="center"/>
          </w:tcPr>
          <w:p w14:paraId="05FC5C23">
            <w:pPr>
              <w:jc w:val="right"/>
            </w:pPr>
            <w:r>
              <w:rPr>
                <w:rFonts w:hint="eastAsia"/>
              </w:rPr>
              <w:t>-</w:t>
            </w:r>
          </w:p>
        </w:tc>
      </w:tr>
      <w:tr w14:paraId="336057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5D82461">
            <w:r>
              <w:rPr>
                <w:rFonts w:hint="eastAsia"/>
              </w:rPr>
              <w:t>应付赎回款</w:t>
            </w:r>
          </w:p>
        </w:tc>
        <w:tc>
          <w:tcPr>
            <w:tcW w:w="1384" w:type="dxa"/>
            <w:vAlign w:val="center"/>
          </w:tcPr>
          <w:p w14:paraId="04ED9C98">
            <w:pPr>
              <w:jc w:val="right"/>
            </w:pPr>
            <w:r>
              <w:rPr>
                <w:rFonts w:hint="eastAsia"/>
              </w:rPr>
              <w:t>-</w:t>
            </w:r>
          </w:p>
        </w:tc>
        <w:tc>
          <w:tcPr>
            <w:tcW w:w="1384" w:type="dxa"/>
            <w:vAlign w:val="center"/>
          </w:tcPr>
          <w:p w14:paraId="3AC3B744">
            <w:pPr>
              <w:jc w:val="right"/>
            </w:pPr>
            <w:r>
              <w:rPr>
                <w:rFonts w:hint="eastAsia"/>
              </w:rPr>
              <w:t>-</w:t>
            </w:r>
          </w:p>
        </w:tc>
        <w:tc>
          <w:tcPr>
            <w:tcW w:w="1384" w:type="dxa"/>
            <w:vAlign w:val="center"/>
          </w:tcPr>
          <w:p w14:paraId="0CF9FB48">
            <w:pPr>
              <w:jc w:val="right"/>
            </w:pPr>
            <w:r>
              <w:rPr>
                <w:rFonts w:hint="eastAsia"/>
              </w:rPr>
              <w:t>-</w:t>
            </w:r>
          </w:p>
        </w:tc>
        <w:tc>
          <w:tcPr>
            <w:tcW w:w="1384" w:type="dxa"/>
            <w:vAlign w:val="center"/>
          </w:tcPr>
          <w:p w14:paraId="3A298F46">
            <w:pPr>
              <w:jc w:val="right"/>
            </w:pPr>
            <w:r>
              <w:rPr>
                <w:rFonts w:hint="eastAsia"/>
              </w:rPr>
              <w:t>605,702.22</w:t>
            </w:r>
          </w:p>
        </w:tc>
        <w:tc>
          <w:tcPr>
            <w:tcW w:w="1384" w:type="dxa"/>
            <w:vAlign w:val="center"/>
          </w:tcPr>
          <w:p w14:paraId="47DD011C">
            <w:pPr>
              <w:jc w:val="right"/>
            </w:pPr>
            <w:r>
              <w:rPr>
                <w:rFonts w:hint="eastAsia"/>
              </w:rPr>
              <w:t>605,702.22</w:t>
            </w:r>
          </w:p>
        </w:tc>
      </w:tr>
      <w:tr w14:paraId="02511D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6349AAF">
            <w:r>
              <w:rPr>
                <w:rFonts w:hint="eastAsia"/>
              </w:rPr>
              <w:t>应付管理人报酬</w:t>
            </w:r>
          </w:p>
        </w:tc>
        <w:tc>
          <w:tcPr>
            <w:tcW w:w="1384" w:type="dxa"/>
            <w:vAlign w:val="center"/>
          </w:tcPr>
          <w:p w14:paraId="2F5ED418">
            <w:pPr>
              <w:jc w:val="right"/>
            </w:pPr>
            <w:r>
              <w:rPr>
                <w:rFonts w:hint="eastAsia"/>
              </w:rPr>
              <w:t>-</w:t>
            </w:r>
          </w:p>
        </w:tc>
        <w:tc>
          <w:tcPr>
            <w:tcW w:w="1384" w:type="dxa"/>
            <w:vAlign w:val="center"/>
          </w:tcPr>
          <w:p w14:paraId="71758616">
            <w:pPr>
              <w:jc w:val="right"/>
            </w:pPr>
            <w:r>
              <w:rPr>
                <w:rFonts w:hint="eastAsia"/>
              </w:rPr>
              <w:t>-</w:t>
            </w:r>
          </w:p>
        </w:tc>
        <w:tc>
          <w:tcPr>
            <w:tcW w:w="1384" w:type="dxa"/>
            <w:vAlign w:val="center"/>
          </w:tcPr>
          <w:p w14:paraId="4E5BECD5">
            <w:pPr>
              <w:jc w:val="right"/>
            </w:pPr>
            <w:r>
              <w:rPr>
                <w:rFonts w:hint="eastAsia"/>
              </w:rPr>
              <w:t>-</w:t>
            </w:r>
          </w:p>
        </w:tc>
        <w:tc>
          <w:tcPr>
            <w:tcW w:w="1384" w:type="dxa"/>
            <w:vAlign w:val="center"/>
          </w:tcPr>
          <w:p w14:paraId="0D472242">
            <w:pPr>
              <w:jc w:val="right"/>
            </w:pPr>
            <w:r>
              <w:rPr>
                <w:rFonts w:hint="eastAsia"/>
              </w:rPr>
              <w:t>585,680.10</w:t>
            </w:r>
          </w:p>
        </w:tc>
        <w:tc>
          <w:tcPr>
            <w:tcW w:w="1384" w:type="dxa"/>
            <w:vAlign w:val="center"/>
          </w:tcPr>
          <w:p w14:paraId="39A58954">
            <w:pPr>
              <w:jc w:val="right"/>
            </w:pPr>
            <w:r>
              <w:rPr>
                <w:rFonts w:hint="eastAsia"/>
              </w:rPr>
              <w:t>585,680.10</w:t>
            </w:r>
          </w:p>
        </w:tc>
      </w:tr>
      <w:tr w14:paraId="15AF97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A5457DF">
            <w:r>
              <w:rPr>
                <w:rFonts w:hint="eastAsia"/>
              </w:rPr>
              <w:t>应付托管费</w:t>
            </w:r>
          </w:p>
        </w:tc>
        <w:tc>
          <w:tcPr>
            <w:tcW w:w="1384" w:type="dxa"/>
            <w:vAlign w:val="center"/>
          </w:tcPr>
          <w:p w14:paraId="74170A97">
            <w:pPr>
              <w:jc w:val="right"/>
            </w:pPr>
            <w:r>
              <w:rPr>
                <w:rFonts w:hint="eastAsia"/>
              </w:rPr>
              <w:t>-</w:t>
            </w:r>
          </w:p>
        </w:tc>
        <w:tc>
          <w:tcPr>
            <w:tcW w:w="1384" w:type="dxa"/>
            <w:vAlign w:val="center"/>
          </w:tcPr>
          <w:p w14:paraId="588C01EB">
            <w:pPr>
              <w:jc w:val="right"/>
            </w:pPr>
            <w:r>
              <w:rPr>
                <w:rFonts w:hint="eastAsia"/>
              </w:rPr>
              <w:t>-</w:t>
            </w:r>
          </w:p>
        </w:tc>
        <w:tc>
          <w:tcPr>
            <w:tcW w:w="1384" w:type="dxa"/>
            <w:vAlign w:val="center"/>
          </w:tcPr>
          <w:p w14:paraId="7438BBB1">
            <w:pPr>
              <w:jc w:val="right"/>
            </w:pPr>
            <w:r>
              <w:rPr>
                <w:rFonts w:hint="eastAsia"/>
              </w:rPr>
              <w:t>-</w:t>
            </w:r>
          </w:p>
        </w:tc>
        <w:tc>
          <w:tcPr>
            <w:tcW w:w="1384" w:type="dxa"/>
            <w:vAlign w:val="center"/>
          </w:tcPr>
          <w:p w14:paraId="463CE6AA">
            <w:pPr>
              <w:jc w:val="right"/>
            </w:pPr>
            <w:r>
              <w:rPr>
                <w:rFonts w:hint="eastAsia"/>
              </w:rPr>
              <w:t>146,420.06</w:t>
            </w:r>
          </w:p>
        </w:tc>
        <w:tc>
          <w:tcPr>
            <w:tcW w:w="1384" w:type="dxa"/>
            <w:vAlign w:val="center"/>
          </w:tcPr>
          <w:p w14:paraId="5FF12595">
            <w:pPr>
              <w:jc w:val="right"/>
            </w:pPr>
            <w:r>
              <w:rPr>
                <w:rFonts w:hint="eastAsia"/>
              </w:rPr>
              <w:t>146,420.06</w:t>
            </w:r>
          </w:p>
        </w:tc>
      </w:tr>
      <w:tr w14:paraId="52F3D7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97594D1">
            <w:r>
              <w:rPr>
                <w:rFonts w:hint="eastAsia"/>
              </w:rPr>
              <w:t>应付销售服务费</w:t>
            </w:r>
          </w:p>
        </w:tc>
        <w:tc>
          <w:tcPr>
            <w:tcW w:w="1384" w:type="dxa"/>
            <w:vAlign w:val="center"/>
          </w:tcPr>
          <w:p w14:paraId="100A49FA">
            <w:pPr>
              <w:jc w:val="right"/>
            </w:pPr>
            <w:r>
              <w:rPr>
                <w:rFonts w:hint="eastAsia"/>
              </w:rPr>
              <w:t>-</w:t>
            </w:r>
          </w:p>
        </w:tc>
        <w:tc>
          <w:tcPr>
            <w:tcW w:w="1384" w:type="dxa"/>
            <w:vAlign w:val="center"/>
          </w:tcPr>
          <w:p w14:paraId="04B87DF4">
            <w:pPr>
              <w:jc w:val="right"/>
            </w:pPr>
            <w:r>
              <w:rPr>
                <w:rFonts w:hint="eastAsia"/>
              </w:rPr>
              <w:t>-</w:t>
            </w:r>
          </w:p>
        </w:tc>
        <w:tc>
          <w:tcPr>
            <w:tcW w:w="1384" w:type="dxa"/>
            <w:vAlign w:val="center"/>
          </w:tcPr>
          <w:p w14:paraId="18A53572">
            <w:pPr>
              <w:jc w:val="right"/>
            </w:pPr>
            <w:r>
              <w:rPr>
                <w:rFonts w:hint="eastAsia"/>
              </w:rPr>
              <w:t>-</w:t>
            </w:r>
          </w:p>
        </w:tc>
        <w:tc>
          <w:tcPr>
            <w:tcW w:w="1384" w:type="dxa"/>
            <w:vAlign w:val="center"/>
          </w:tcPr>
          <w:p w14:paraId="2DFFD41C">
            <w:pPr>
              <w:jc w:val="right"/>
            </w:pPr>
            <w:r>
              <w:rPr>
                <w:rFonts w:hint="eastAsia"/>
              </w:rPr>
              <w:t>585,680.10</w:t>
            </w:r>
          </w:p>
        </w:tc>
        <w:tc>
          <w:tcPr>
            <w:tcW w:w="1384" w:type="dxa"/>
            <w:vAlign w:val="center"/>
          </w:tcPr>
          <w:p w14:paraId="0D191BC6">
            <w:pPr>
              <w:jc w:val="right"/>
            </w:pPr>
            <w:r>
              <w:rPr>
                <w:rFonts w:hint="eastAsia"/>
              </w:rPr>
              <w:t>585,680.10</w:t>
            </w:r>
          </w:p>
        </w:tc>
      </w:tr>
      <w:tr w14:paraId="5D222F36">
        <w:tblPrEx>
          <w:tblCellMar>
            <w:top w:w="0" w:type="dxa"/>
            <w:left w:w="108" w:type="dxa"/>
            <w:bottom w:w="0" w:type="dxa"/>
            <w:right w:w="108" w:type="dxa"/>
          </w:tblCellMar>
        </w:tblPrEx>
        <w:trPr>
          <w:jc w:val="center"/>
        </w:trPr>
        <w:tc>
          <w:tcPr>
            <w:tcW w:w="1384" w:type="dxa"/>
            <w:vAlign w:val="center"/>
          </w:tcPr>
          <w:p w14:paraId="4D77A18C">
            <w:r>
              <w:rPr>
                <w:rFonts w:hint="eastAsia"/>
              </w:rPr>
              <w:t>应付投资顾问费</w:t>
            </w:r>
          </w:p>
        </w:tc>
        <w:tc>
          <w:tcPr>
            <w:tcW w:w="1384" w:type="dxa"/>
            <w:vAlign w:val="center"/>
          </w:tcPr>
          <w:p w14:paraId="347AA6D7">
            <w:pPr>
              <w:jc w:val="right"/>
            </w:pPr>
            <w:r>
              <w:rPr>
                <w:rFonts w:hint="eastAsia"/>
              </w:rPr>
              <w:t>-</w:t>
            </w:r>
          </w:p>
        </w:tc>
        <w:tc>
          <w:tcPr>
            <w:tcW w:w="1384" w:type="dxa"/>
            <w:vAlign w:val="center"/>
          </w:tcPr>
          <w:p w14:paraId="68A8CB0B">
            <w:pPr>
              <w:jc w:val="right"/>
            </w:pPr>
            <w:r>
              <w:rPr>
                <w:rFonts w:hint="eastAsia"/>
              </w:rPr>
              <w:t>-</w:t>
            </w:r>
          </w:p>
        </w:tc>
        <w:tc>
          <w:tcPr>
            <w:tcW w:w="1384" w:type="dxa"/>
            <w:vAlign w:val="center"/>
          </w:tcPr>
          <w:p w14:paraId="3C92B04A">
            <w:pPr>
              <w:jc w:val="right"/>
            </w:pPr>
            <w:r>
              <w:rPr>
                <w:rFonts w:hint="eastAsia"/>
              </w:rPr>
              <w:t>-</w:t>
            </w:r>
          </w:p>
        </w:tc>
        <w:tc>
          <w:tcPr>
            <w:tcW w:w="1384" w:type="dxa"/>
            <w:vAlign w:val="center"/>
          </w:tcPr>
          <w:p w14:paraId="3EF959F0">
            <w:pPr>
              <w:jc w:val="right"/>
            </w:pPr>
            <w:r>
              <w:rPr>
                <w:rFonts w:hint="eastAsia"/>
              </w:rPr>
              <w:t>-</w:t>
            </w:r>
          </w:p>
        </w:tc>
        <w:tc>
          <w:tcPr>
            <w:tcW w:w="1384" w:type="dxa"/>
            <w:vAlign w:val="center"/>
          </w:tcPr>
          <w:p w14:paraId="1A0FC2F3">
            <w:pPr>
              <w:jc w:val="right"/>
            </w:pPr>
            <w:r>
              <w:rPr>
                <w:rFonts w:hint="eastAsia"/>
              </w:rPr>
              <w:t>-</w:t>
            </w:r>
          </w:p>
        </w:tc>
      </w:tr>
      <w:tr w14:paraId="7D93A4ED">
        <w:tblPrEx>
          <w:tblCellMar>
            <w:top w:w="0" w:type="dxa"/>
            <w:left w:w="108" w:type="dxa"/>
            <w:bottom w:w="0" w:type="dxa"/>
            <w:right w:w="108" w:type="dxa"/>
          </w:tblCellMar>
        </w:tblPrEx>
        <w:trPr>
          <w:jc w:val="center"/>
        </w:trPr>
        <w:tc>
          <w:tcPr>
            <w:tcW w:w="1384" w:type="dxa"/>
            <w:vAlign w:val="center"/>
          </w:tcPr>
          <w:p w14:paraId="76937548">
            <w:r>
              <w:rPr>
                <w:rFonts w:hint="eastAsia"/>
              </w:rPr>
              <w:t>应交税费</w:t>
            </w:r>
          </w:p>
        </w:tc>
        <w:tc>
          <w:tcPr>
            <w:tcW w:w="1384" w:type="dxa"/>
            <w:vAlign w:val="center"/>
          </w:tcPr>
          <w:p w14:paraId="3562F2B6">
            <w:pPr>
              <w:jc w:val="right"/>
            </w:pPr>
            <w:r>
              <w:rPr>
                <w:rFonts w:hint="eastAsia"/>
              </w:rPr>
              <w:t>-</w:t>
            </w:r>
          </w:p>
        </w:tc>
        <w:tc>
          <w:tcPr>
            <w:tcW w:w="1384" w:type="dxa"/>
            <w:vAlign w:val="center"/>
          </w:tcPr>
          <w:p w14:paraId="77D51EB2">
            <w:pPr>
              <w:jc w:val="right"/>
            </w:pPr>
            <w:r>
              <w:rPr>
                <w:rFonts w:hint="eastAsia"/>
              </w:rPr>
              <w:t>-</w:t>
            </w:r>
          </w:p>
        </w:tc>
        <w:tc>
          <w:tcPr>
            <w:tcW w:w="1384" w:type="dxa"/>
            <w:vAlign w:val="center"/>
          </w:tcPr>
          <w:p w14:paraId="0BADE596">
            <w:pPr>
              <w:jc w:val="right"/>
            </w:pPr>
            <w:r>
              <w:rPr>
                <w:rFonts w:hint="eastAsia"/>
              </w:rPr>
              <w:t>-</w:t>
            </w:r>
          </w:p>
        </w:tc>
        <w:tc>
          <w:tcPr>
            <w:tcW w:w="1384" w:type="dxa"/>
            <w:vAlign w:val="center"/>
          </w:tcPr>
          <w:p w14:paraId="498D722E">
            <w:pPr>
              <w:jc w:val="right"/>
            </w:pPr>
            <w:r>
              <w:rPr>
                <w:rFonts w:hint="eastAsia"/>
              </w:rPr>
              <w:t>12,309.00</w:t>
            </w:r>
          </w:p>
        </w:tc>
        <w:tc>
          <w:tcPr>
            <w:tcW w:w="1384" w:type="dxa"/>
            <w:vAlign w:val="center"/>
          </w:tcPr>
          <w:p w14:paraId="59C32AB4">
            <w:pPr>
              <w:jc w:val="right"/>
            </w:pPr>
            <w:r>
              <w:rPr>
                <w:rFonts w:hint="eastAsia"/>
              </w:rPr>
              <w:t>12,309.00</w:t>
            </w:r>
          </w:p>
        </w:tc>
      </w:tr>
      <w:tr w14:paraId="7A8C5B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BEF6D23">
            <w:r>
              <w:rPr>
                <w:rFonts w:hint="eastAsia"/>
              </w:rPr>
              <w:t>应付利润</w:t>
            </w:r>
          </w:p>
        </w:tc>
        <w:tc>
          <w:tcPr>
            <w:tcW w:w="1384" w:type="dxa"/>
            <w:vAlign w:val="center"/>
          </w:tcPr>
          <w:p w14:paraId="6976B4F1">
            <w:pPr>
              <w:jc w:val="right"/>
            </w:pPr>
            <w:r>
              <w:rPr>
                <w:rFonts w:hint="eastAsia"/>
              </w:rPr>
              <w:t>-</w:t>
            </w:r>
          </w:p>
        </w:tc>
        <w:tc>
          <w:tcPr>
            <w:tcW w:w="1384" w:type="dxa"/>
            <w:vAlign w:val="center"/>
          </w:tcPr>
          <w:p w14:paraId="1992E793">
            <w:pPr>
              <w:jc w:val="right"/>
            </w:pPr>
            <w:r>
              <w:rPr>
                <w:rFonts w:hint="eastAsia"/>
              </w:rPr>
              <w:t>-</w:t>
            </w:r>
          </w:p>
        </w:tc>
        <w:tc>
          <w:tcPr>
            <w:tcW w:w="1384" w:type="dxa"/>
            <w:vAlign w:val="center"/>
          </w:tcPr>
          <w:p w14:paraId="6E029C74">
            <w:pPr>
              <w:jc w:val="right"/>
            </w:pPr>
            <w:r>
              <w:rPr>
                <w:rFonts w:hint="eastAsia"/>
              </w:rPr>
              <w:t>-</w:t>
            </w:r>
          </w:p>
        </w:tc>
        <w:tc>
          <w:tcPr>
            <w:tcW w:w="1384" w:type="dxa"/>
            <w:vAlign w:val="center"/>
          </w:tcPr>
          <w:p w14:paraId="2A4D09EE">
            <w:pPr>
              <w:jc w:val="right"/>
            </w:pPr>
            <w:r>
              <w:rPr>
                <w:rFonts w:hint="eastAsia"/>
              </w:rPr>
              <w:t>-</w:t>
            </w:r>
          </w:p>
        </w:tc>
        <w:tc>
          <w:tcPr>
            <w:tcW w:w="1384" w:type="dxa"/>
            <w:vAlign w:val="center"/>
          </w:tcPr>
          <w:p w14:paraId="71010770">
            <w:pPr>
              <w:jc w:val="right"/>
            </w:pPr>
            <w:r>
              <w:rPr>
                <w:rFonts w:hint="eastAsia"/>
              </w:rPr>
              <w:t>-</w:t>
            </w:r>
          </w:p>
        </w:tc>
      </w:tr>
      <w:tr w14:paraId="494158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0D67333">
            <w:r>
              <w:rPr>
                <w:rFonts w:hint="eastAsia"/>
              </w:rPr>
              <w:t>递延所得税负债</w:t>
            </w:r>
          </w:p>
        </w:tc>
        <w:tc>
          <w:tcPr>
            <w:tcW w:w="1384" w:type="dxa"/>
            <w:vAlign w:val="center"/>
          </w:tcPr>
          <w:p w14:paraId="1C51F6C5">
            <w:pPr>
              <w:jc w:val="right"/>
            </w:pPr>
            <w:r>
              <w:rPr>
                <w:rFonts w:hint="eastAsia"/>
              </w:rPr>
              <w:t>-</w:t>
            </w:r>
          </w:p>
        </w:tc>
        <w:tc>
          <w:tcPr>
            <w:tcW w:w="1384" w:type="dxa"/>
            <w:vAlign w:val="center"/>
          </w:tcPr>
          <w:p w14:paraId="734EE8A1">
            <w:pPr>
              <w:jc w:val="right"/>
            </w:pPr>
            <w:r>
              <w:rPr>
                <w:rFonts w:hint="eastAsia"/>
              </w:rPr>
              <w:t>-</w:t>
            </w:r>
          </w:p>
        </w:tc>
        <w:tc>
          <w:tcPr>
            <w:tcW w:w="1384" w:type="dxa"/>
            <w:vAlign w:val="center"/>
          </w:tcPr>
          <w:p w14:paraId="3ED05A40">
            <w:pPr>
              <w:jc w:val="right"/>
            </w:pPr>
            <w:r>
              <w:rPr>
                <w:rFonts w:hint="eastAsia"/>
              </w:rPr>
              <w:t>-</w:t>
            </w:r>
          </w:p>
        </w:tc>
        <w:tc>
          <w:tcPr>
            <w:tcW w:w="1384" w:type="dxa"/>
            <w:vAlign w:val="center"/>
          </w:tcPr>
          <w:p w14:paraId="35BA0EF4">
            <w:pPr>
              <w:jc w:val="right"/>
            </w:pPr>
            <w:r>
              <w:rPr>
                <w:rFonts w:hint="eastAsia"/>
              </w:rPr>
              <w:t>-</w:t>
            </w:r>
          </w:p>
        </w:tc>
        <w:tc>
          <w:tcPr>
            <w:tcW w:w="1384" w:type="dxa"/>
            <w:vAlign w:val="center"/>
          </w:tcPr>
          <w:p w14:paraId="154B3F4C">
            <w:pPr>
              <w:jc w:val="right"/>
            </w:pPr>
            <w:r>
              <w:rPr>
                <w:rFonts w:hint="eastAsia"/>
              </w:rPr>
              <w:t>-</w:t>
            </w:r>
          </w:p>
        </w:tc>
      </w:tr>
      <w:tr w14:paraId="35DB51BF">
        <w:tblPrEx>
          <w:tblCellMar>
            <w:top w:w="0" w:type="dxa"/>
            <w:left w:w="108" w:type="dxa"/>
            <w:bottom w:w="0" w:type="dxa"/>
            <w:right w:w="108" w:type="dxa"/>
          </w:tblCellMar>
        </w:tblPrEx>
        <w:trPr>
          <w:jc w:val="center"/>
        </w:trPr>
        <w:tc>
          <w:tcPr>
            <w:tcW w:w="1384" w:type="dxa"/>
            <w:vAlign w:val="center"/>
          </w:tcPr>
          <w:p w14:paraId="37ED48E9">
            <w:r>
              <w:rPr>
                <w:rFonts w:hint="eastAsia"/>
              </w:rPr>
              <w:t>其他负债</w:t>
            </w:r>
          </w:p>
        </w:tc>
        <w:tc>
          <w:tcPr>
            <w:tcW w:w="1384" w:type="dxa"/>
            <w:vAlign w:val="center"/>
          </w:tcPr>
          <w:p w14:paraId="21742F43">
            <w:pPr>
              <w:jc w:val="right"/>
            </w:pPr>
            <w:r>
              <w:rPr>
                <w:rFonts w:hint="eastAsia"/>
              </w:rPr>
              <w:t>-</w:t>
            </w:r>
          </w:p>
        </w:tc>
        <w:tc>
          <w:tcPr>
            <w:tcW w:w="1384" w:type="dxa"/>
            <w:vAlign w:val="center"/>
          </w:tcPr>
          <w:p w14:paraId="547182F2">
            <w:pPr>
              <w:jc w:val="right"/>
            </w:pPr>
            <w:r>
              <w:rPr>
                <w:rFonts w:hint="eastAsia"/>
              </w:rPr>
              <w:t>-</w:t>
            </w:r>
          </w:p>
        </w:tc>
        <w:tc>
          <w:tcPr>
            <w:tcW w:w="1384" w:type="dxa"/>
            <w:vAlign w:val="center"/>
          </w:tcPr>
          <w:p w14:paraId="71FA847D">
            <w:pPr>
              <w:jc w:val="right"/>
            </w:pPr>
            <w:r>
              <w:rPr>
                <w:rFonts w:hint="eastAsia"/>
              </w:rPr>
              <w:t>-</w:t>
            </w:r>
          </w:p>
        </w:tc>
        <w:tc>
          <w:tcPr>
            <w:tcW w:w="1384" w:type="dxa"/>
            <w:vAlign w:val="center"/>
          </w:tcPr>
          <w:p w14:paraId="00615863">
            <w:pPr>
              <w:jc w:val="right"/>
            </w:pPr>
            <w:r>
              <w:rPr>
                <w:rFonts w:hint="eastAsia"/>
              </w:rPr>
              <w:t>163,256.55</w:t>
            </w:r>
          </w:p>
        </w:tc>
        <w:tc>
          <w:tcPr>
            <w:tcW w:w="1384" w:type="dxa"/>
            <w:vAlign w:val="center"/>
          </w:tcPr>
          <w:p w14:paraId="44CA4C67">
            <w:pPr>
              <w:jc w:val="right"/>
            </w:pPr>
            <w:r>
              <w:rPr>
                <w:rFonts w:hint="eastAsia"/>
              </w:rPr>
              <w:t>163,256.55</w:t>
            </w:r>
          </w:p>
        </w:tc>
      </w:tr>
      <w:tr w14:paraId="0DF83C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6D9472F">
            <w:r>
              <w:rPr>
                <w:rFonts w:hint="eastAsia"/>
              </w:rPr>
              <w:t>负债总计</w:t>
            </w:r>
          </w:p>
        </w:tc>
        <w:tc>
          <w:tcPr>
            <w:tcW w:w="1384" w:type="dxa"/>
            <w:vAlign w:val="center"/>
          </w:tcPr>
          <w:p w14:paraId="02427243">
            <w:pPr>
              <w:jc w:val="right"/>
            </w:pPr>
            <w:r>
              <w:rPr>
                <w:rFonts w:hint="eastAsia"/>
              </w:rPr>
              <w:t>384,328,678.46</w:t>
            </w:r>
          </w:p>
        </w:tc>
        <w:tc>
          <w:tcPr>
            <w:tcW w:w="1384" w:type="dxa"/>
            <w:vAlign w:val="center"/>
          </w:tcPr>
          <w:p w14:paraId="493FD2ED">
            <w:pPr>
              <w:jc w:val="right"/>
            </w:pPr>
            <w:r>
              <w:rPr>
                <w:rFonts w:hint="eastAsia"/>
              </w:rPr>
              <w:t>-</w:t>
            </w:r>
          </w:p>
        </w:tc>
        <w:tc>
          <w:tcPr>
            <w:tcW w:w="1384" w:type="dxa"/>
            <w:vAlign w:val="center"/>
          </w:tcPr>
          <w:p w14:paraId="1B3AAA4F">
            <w:pPr>
              <w:jc w:val="right"/>
            </w:pPr>
            <w:r>
              <w:rPr>
                <w:rFonts w:hint="eastAsia"/>
              </w:rPr>
              <w:t>-</w:t>
            </w:r>
          </w:p>
        </w:tc>
        <w:tc>
          <w:tcPr>
            <w:tcW w:w="1384" w:type="dxa"/>
            <w:vAlign w:val="center"/>
          </w:tcPr>
          <w:p w14:paraId="0D69F3AE">
            <w:pPr>
              <w:jc w:val="right"/>
            </w:pPr>
            <w:r>
              <w:rPr>
                <w:rFonts w:hint="eastAsia"/>
              </w:rPr>
              <w:t>2,099,048.03</w:t>
            </w:r>
          </w:p>
        </w:tc>
        <w:tc>
          <w:tcPr>
            <w:tcW w:w="1384" w:type="dxa"/>
            <w:vAlign w:val="center"/>
          </w:tcPr>
          <w:p w14:paraId="2B86ED04">
            <w:pPr>
              <w:jc w:val="right"/>
            </w:pPr>
            <w:r>
              <w:rPr>
                <w:rFonts w:hint="eastAsia"/>
              </w:rPr>
              <w:t>386,427,726.49</w:t>
            </w:r>
          </w:p>
        </w:tc>
      </w:tr>
      <w:tr w14:paraId="1511F450">
        <w:tblPrEx>
          <w:tblCellMar>
            <w:top w:w="0" w:type="dxa"/>
            <w:left w:w="108" w:type="dxa"/>
            <w:bottom w:w="0" w:type="dxa"/>
            <w:right w:w="108" w:type="dxa"/>
          </w:tblCellMar>
        </w:tblPrEx>
        <w:trPr>
          <w:jc w:val="center"/>
        </w:trPr>
        <w:tc>
          <w:tcPr>
            <w:tcW w:w="1384" w:type="dxa"/>
            <w:vAlign w:val="center"/>
          </w:tcPr>
          <w:p w14:paraId="229EBF26">
            <w:r>
              <w:rPr>
                <w:rFonts w:hint="eastAsia"/>
              </w:rPr>
              <w:t>利率敏感度缺口</w:t>
            </w:r>
          </w:p>
        </w:tc>
        <w:tc>
          <w:tcPr>
            <w:tcW w:w="1384" w:type="dxa"/>
            <w:vAlign w:val="center"/>
          </w:tcPr>
          <w:p w14:paraId="55FF966E">
            <w:pPr>
              <w:jc w:val="right"/>
            </w:pPr>
            <w:r>
              <w:rPr>
                <w:rFonts w:hint="eastAsia"/>
              </w:rPr>
              <w:t>3,600,933,922.53</w:t>
            </w:r>
          </w:p>
        </w:tc>
        <w:tc>
          <w:tcPr>
            <w:tcW w:w="1384" w:type="dxa"/>
            <w:vAlign w:val="center"/>
          </w:tcPr>
          <w:p w14:paraId="723FE72F">
            <w:pPr>
              <w:jc w:val="right"/>
            </w:pPr>
            <w:r>
              <w:rPr>
                <w:rFonts w:hint="eastAsia"/>
              </w:rPr>
              <w:t>-</w:t>
            </w:r>
          </w:p>
        </w:tc>
        <w:tc>
          <w:tcPr>
            <w:tcW w:w="1384" w:type="dxa"/>
            <w:vAlign w:val="center"/>
          </w:tcPr>
          <w:p w14:paraId="74DFB0A8">
            <w:pPr>
              <w:jc w:val="right"/>
            </w:pPr>
            <w:r>
              <w:rPr>
                <w:rFonts w:hint="eastAsia"/>
              </w:rPr>
              <w:t>-</w:t>
            </w:r>
          </w:p>
        </w:tc>
        <w:tc>
          <w:tcPr>
            <w:tcW w:w="1384" w:type="dxa"/>
            <w:vAlign w:val="center"/>
          </w:tcPr>
          <w:p w14:paraId="0F1BA2D0">
            <w:pPr>
              <w:jc w:val="right"/>
            </w:pPr>
            <w:r>
              <w:rPr>
                <w:rFonts w:hint="eastAsia"/>
              </w:rPr>
              <w:t>81,870,292.44</w:t>
            </w:r>
          </w:p>
        </w:tc>
        <w:tc>
          <w:tcPr>
            <w:tcW w:w="1384" w:type="dxa"/>
            <w:vAlign w:val="center"/>
          </w:tcPr>
          <w:p w14:paraId="267ABD19">
            <w:pPr>
              <w:jc w:val="right"/>
            </w:pPr>
            <w:r>
              <w:rPr>
                <w:rFonts w:hint="eastAsia"/>
              </w:rPr>
              <w:t>3,682,804,214.97</w:t>
            </w:r>
          </w:p>
        </w:tc>
      </w:tr>
    </w:tbl>
    <w:p w14:paraId="137FB387">
      <w:pPr>
        <w:pStyle w:val="47"/>
        <w:rPr>
          <w:rFonts w:hint="eastAsia"/>
        </w:rPr>
      </w:pPr>
      <w:r>
        <w:rPr>
          <w:rFonts w:hint="eastAsia"/>
        </w:rPr>
        <w:t>注：表中所示为本基金资产及负债的账面价值，并按照合约规定的利率重新定价日或到期日孰早者予以分类。</w:t>
      </w:r>
    </w:p>
    <w:p w14:paraId="5CDF900D">
      <w:pPr>
        <w:pStyle w:val="37"/>
      </w:pPr>
      <w:bookmarkStart w:id="141" w:name="_Toc141"/>
      <w:r>
        <w:t>利率风险的敏感性分析</w:t>
      </w:r>
      <w:bookmarkEnd w:id="141"/>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4A9542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1F8E3B95">
            <w:r>
              <w:rPr>
                <w:rFonts w:hint="eastAsia"/>
              </w:rPr>
              <w:t>假设</w:t>
            </w:r>
          </w:p>
        </w:tc>
        <w:tc>
          <w:tcPr>
            <w:tcW w:w="3267" w:type="dxa"/>
            <w:gridSpan w:val="3"/>
            <w:vAlign w:val="center"/>
          </w:tcPr>
          <w:p w14:paraId="4072CE5D">
            <w:r>
              <w:rPr>
                <w:rFonts w:hint="eastAsia"/>
              </w:rPr>
              <w:t>除市场利率以外的其他市场变量保持不变</w:t>
            </w:r>
          </w:p>
        </w:tc>
      </w:tr>
      <w:tr w14:paraId="0E765B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2A362A6B">
            <w:r>
              <w:rPr>
                <w:rFonts w:hint="eastAsia"/>
              </w:rPr>
              <w:t>分析</w:t>
            </w:r>
          </w:p>
        </w:tc>
        <w:tc>
          <w:tcPr>
            <w:tcW w:w="3267" w:type="dxa"/>
            <w:vMerge w:val="restart"/>
            <w:vAlign w:val="center"/>
          </w:tcPr>
          <w:p w14:paraId="552E4973">
            <w:r>
              <w:rPr>
                <w:rFonts w:hint="eastAsia"/>
              </w:rPr>
              <w:t>相关风险变量的变动</w:t>
            </w:r>
          </w:p>
        </w:tc>
        <w:tc>
          <w:tcPr>
            <w:tcW w:w="2159" w:type="dxa"/>
            <w:gridSpan w:val="2"/>
            <w:vAlign w:val="center"/>
          </w:tcPr>
          <w:p w14:paraId="72B2863E">
            <w:r>
              <w:rPr>
                <w:rFonts w:hint="eastAsia"/>
              </w:rPr>
              <w:t>对资产负债表日基金资产净值的影响金额（单位：人民币元）</w:t>
            </w:r>
          </w:p>
        </w:tc>
      </w:tr>
      <w:tr w14:paraId="51F9D0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22485E6D"/>
        </w:tc>
        <w:tc>
          <w:tcPr>
            <w:tcW w:w="3267" w:type="dxa"/>
            <w:vMerge w:val="continue"/>
            <w:vAlign w:val="center"/>
          </w:tcPr>
          <w:p w14:paraId="39DFF653"/>
        </w:tc>
        <w:tc>
          <w:tcPr>
            <w:tcW w:w="2159" w:type="dxa"/>
            <w:vAlign w:val="center"/>
          </w:tcPr>
          <w:p w14:paraId="54046315">
            <w:r>
              <w:rPr>
                <w:rFonts w:hint="eastAsia"/>
              </w:rPr>
              <w:t>本期末（ 2025年12月31日 ）</w:t>
            </w:r>
          </w:p>
        </w:tc>
        <w:tc>
          <w:tcPr>
            <w:tcW w:w="2159" w:type="dxa"/>
            <w:vAlign w:val="center"/>
          </w:tcPr>
          <w:p w14:paraId="5769705B">
            <w:r>
              <w:rPr>
                <w:rFonts w:hint="eastAsia"/>
              </w:rPr>
              <w:t>上年度末（ 2024年12月31日 ）</w:t>
            </w:r>
          </w:p>
        </w:tc>
      </w:tr>
      <w:tr w14:paraId="6FCC14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2FE4C00E"/>
        </w:tc>
        <w:tc>
          <w:tcPr>
            <w:tcW w:w="3267" w:type="dxa"/>
            <w:vAlign w:val="center"/>
          </w:tcPr>
          <w:p w14:paraId="39C9B613">
            <w:r>
              <w:rPr>
                <w:rFonts w:hint="eastAsia"/>
              </w:rPr>
              <w:t>1.市场利率平行上升25个基点</w:t>
            </w:r>
          </w:p>
        </w:tc>
        <w:tc>
          <w:tcPr>
            <w:tcW w:w="2159" w:type="dxa"/>
            <w:vAlign w:val="center"/>
          </w:tcPr>
          <w:p w14:paraId="32CBADAF">
            <w:pPr>
              <w:jc w:val="right"/>
            </w:pPr>
            <w:r>
              <w:rPr>
                <w:rFonts w:hint="eastAsia"/>
              </w:rPr>
              <w:t>-14,784,469.68</w:t>
            </w:r>
          </w:p>
        </w:tc>
        <w:tc>
          <w:tcPr>
            <w:tcW w:w="2159" w:type="dxa"/>
            <w:vAlign w:val="center"/>
          </w:tcPr>
          <w:p w14:paraId="57D6F48A">
            <w:pPr>
              <w:jc w:val="right"/>
            </w:pPr>
            <w:r>
              <w:rPr>
                <w:rFonts w:hint="eastAsia"/>
              </w:rPr>
              <w:t>-7,798,457.99</w:t>
            </w:r>
          </w:p>
        </w:tc>
      </w:tr>
      <w:tr w14:paraId="3D7668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360F992C"/>
        </w:tc>
        <w:tc>
          <w:tcPr>
            <w:tcW w:w="3267" w:type="dxa"/>
            <w:vAlign w:val="center"/>
          </w:tcPr>
          <w:p w14:paraId="5803D6A9">
            <w:r>
              <w:rPr>
                <w:rFonts w:hint="eastAsia"/>
              </w:rPr>
              <w:t>2.市场利率平行下降25个基点</w:t>
            </w:r>
          </w:p>
        </w:tc>
        <w:tc>
          <w:tcPr>
            <w:tcW w:w="2159" w:type="dxa"/>
            <w:vAlign w:val="center"/>
          </w:tcPr>
          <w:p w14:paraId="5D54C4F4">
            <w:pPr>
              <w:jc w:val="right"/>
            </w:pPr>
            <w:r>
              <w:rPr>
                <w:rFonts w:hint="eastAsia"/>
              </w:rPr>
              <w:t>14,835,752.97</w:t>
            </w:r>
          </w:p>
        </w:tc>
        <w:tc>
          <w:tcPr>
            <w:tcW w:w="2159" w:type="dxa"/>
            <w:vAlign w:val="center"/>
          </w:tcPr>
          <w:p w14:paraId="533BF4EE">
            <w:pPr>
              <w:jc w:val="right"/>
            </w:pPr>
            <w:r>
              <w:rPr>
                <w:rFonts w:hint="eastAsia"/>
              </w:rPr>
              <w:t>7,830,604.80</w:t>
            </w:r>
          </w:p>
        </w:tc>
      </w:tr>
    </w:tbl>
    <w:p w14:paraId="45123DB5">
      <w:pPr>
        <w:pStyle w:val="36"/>
      </w:pPr>
      <w:bookmarkStart w:id="142" w:name="_Toc142"/>
      <w:r>
        <w:t>外汇风险</w:t>
      </w:r>
      <w:bookmarkEnd w:id="142"/>
    </w:p>
    <w:p w14:paraId="60C51331">
      <w:pPr>
        <w:pStyle w:val="18"/>
        <w:rPr>
          <w:rFonts w:hint="eastAsia"/>
        </w:rPr>
      </w:pPr>
      <w:r>
        <w:rPr>
          <w:rFonts w:hint="eastAsia"/>
        </w:rPr>
        <w:t>外汇风险是指金融工具的公允价值或未来现金流量因外汇汇率变动而发生波动的风险。本基金本期末的所有资产及负债以人民币计价，因此无重大外汇风险。</w:t>
      </w:r>
    </w:p>
    <w:p w14:paraId="5DC5D0F1">
      <w:pPr>
        <w:pStyle w:val="36"/>
      </w:pPr>
      <w:bookmarkStart w:id="143" w:name="_Toc143"/>
      <w:r>
        <w:t>其他价格风险</w:t>
      </w:r>
      <w:bookmarkEnd w:id="143"/>
    </w:p>
    <w:p w14:paraId="201A8903">
      <w:pPr>
        <w:pStyle w:val="18"/>
        <w:rPr>
          <w:rFonts w:hint="eastAsia"/>
        </w:rPr>
      </w:pPr>
      <w:r>
        <w:rPr>
          <w:rFonts w:hint="eastAsia"/>
        </w:rPr>
        <w:t>其他价格风险是指基金所持金融工具的公允价值或未来现金流量因除市场利率和外汇汇率以外的市场价格因素变动而发生波动的风险。本基金主要投资于固定收益品种，因此无重大其他价格风险。</w:t>
      </w:r>
    </w:p>
    <w:p w14:paraId="3E4D2673">
      <w:pPr>
        <w:pStyle w:val="28"/>
      </w:pPr>
      <w:bookmarkStart w:id="144" w:name="_Toc144"/>
      <w:r>
        <w:t>公允价值</w:t>
      </w:r>
      <w:bookmarkEnd w:id="144"/>
    </w:p>
    <w:p w14:paraId="4AFB22E6">
      <w:pPr>
        <w:pStyle w:val="35"/>
      </w:pPr>
      <w:bookmarkStart w:id="145" w:name="_Toc145"/>
      <w:r>
        <w:t>金融工具公允价值计量的方法</w:t>
      </w:r>
      <w:bookmarkEnd w:id="145"/>
    </w:p>
    <w:p w14:paraId="1D4C2D17">
      <w:pPr>
        <w:pStyle w:val="18"/>
        <w:rPr>
          <w:rFonts w:hint="eastAsia"/>
        </w:rPr>
      </w:pPr>
      <w:r>
        <w:rPr>
          <w:rFonts w:hint="eastAsia"/>
        </w:rPr>
        <w:t>公允价值计量结果所属的层次，由对公允价值计量整体而言具有重要意义的输入值所属的最低层次决定：第一层次：相同资产或负债在活跃市场上未经调整的报价；第二层次：除第一层次输入值外相关资产或负债直接或间接可观察的输入值；第三层次：相关资产或负债的不可观察输入值。</w:t>
      </w:r>
    </w:p>
    <w:p w14:paraId="55810837">
      <w:pPr>
        <w:pStyle w:val="35"/>
      </w:pPr>
      <w:bookmarkStart w:id="146" w:name="_Toc146"/>
      <w:r>
        <w:t>持续的以公允价值计量的金融工具</w:t>
      </w:r>
      <w:bookmarkEnd w:id="146"/>
    </w:p>
    <w:p w14:paraId="12E314F1">
      <w:pPr>
        <w:pStyle w:val="36"/>
      </w:pPr>
      <w:bookmarkStart w:id="147" w:name="_Toc147"/>
      <w:r>
        <w:t>各层次金融工具的公允价值</w:t>
      </w:r>
      <w:bookmarkEnd w:id="147"/>
    </w:p>
    <w:p w14:paraId="0C0FC778">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4E8A29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568B71E9">
            <w:pPr>
              <w:jc w:val="center"/>
            </w:pPr>
            <w:r>
              <w:rPr>
                <w:rFonts w:hint="eastAsia"/>
                <w:b/>
              </w:rPr>
              <w:t>公允价值计量结果所属的层次</w:t>
            </w:r>
          </w:p>
        </w:tc>
        <w:tc>
          <w:tcPr>
            <w:tcW w:w="2768" w:type="dxa"/>
            <w:shd w:val="clear" w:color="auto" w:fill="BFBFBF"/>
            <w:vAlign w:val="center"/>
          </w:tcPr>
          <w:p w14:paraId="29D70494">
            <w:pPr>
              <w:jc w:val="center"/>
            </w:pPr>
            <w:r>
              <w:rPr>
                <w:rFonts w:hint="eastAsia"/>
                <w:b/>
              </w:rPr>
              <w:t>本期末2025年12月31日</w:t>
            </w:r>
          </w:p>
        </w:tc>
        <w:tc>
          <w:tcPr>
            <w:tcW w:w="2768" w:type="dxa"/>
            <w:shd w:val="clear" w:color="auto" w:fill="BFBFBF"/>
            <w:vAlign w:val="center"/>
          </w:tcPr>
          <w:p w14:paraId="0C1FF0E3">
            <w:pPr>
              <w:jc w:val="center"/>
            </w:pPr>
            <w:r>
              <w:rPr>
                <w:rFonts w:hint="eastAsia"/>
                <w:b/>
              </w:rPr>
              <w:t>上年度末2024年12月31日</w:t>
            </w:r>
          </w:p>
        </w:tc>
      </w:tr>
      <w:tr w14:paraId="62EA8C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C9AC55D">
            <w:r>
              <w:rPr>
                <w:rFonts w:hint="eastAsia"/>
              </w:rPr>
              <w:t>第一层次</w:t>
            </w:r>
          </w:p>
        </w:tc>
        <w:tc>
          <w:tcPr>
            <w:tcW w:w="2768" w:type="dxa"/>
            <w:vAlign w:val="center"/>
          </w:tcPr>
          <w:p w14:paraId="5E21C5CB">
            <w:pPr>
              <w:jc w:val="right"/>
            </w:pPr>
            <w:r>
              <w:rPr>
                <w:rFonts w:hint="eastAsia"/>
              </w:rPr>
              <w:t>-</w:t>
            </w:r>
          </w:p>
        </w:tc>
        <w:tc>
          <w:tcPr>
            <w:tcW w:w="2768" w:type="dxa"/>
            <w:vAlign w:val="center"/>
          </w:tcPr>
          <w:p w14:paraId="2E302D6B">
            <w:pPr>
              <w:jc w:val="right"/>
            </w:pPr>
            <w:r>
              <w:rPr>
                <w:rFonts w:hint="eastAsia"/>
              </w:rPr>
              <w:t>-</w:t>
            </w:r>
          </w:p>
        </w:tc>
      </w:tr>
      <w:tr w14:paraId="25393F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BF21AE0">
            <w:r>
              <w:rPr>
                <w:rFonts w:hint="eastAsia"/>
              </w:rPr>
              <w:t>第二层次</w:t>
            </w:r>
          </w:p>
        </w:tc>
        <w:tc>
          <w:tcPr>
            <w:tcW w:w="2768" w:type="dxa"/>
            <w:vAlign w:val="center"/>
          </w:tcPr>
          <w:p w14:paraId="71FE7EA4">
            <w:pPr>
              <w:jc w:val="right"/>
            </w:pPr>
            <w:r>
              <w:rPr>
                <w:rFonts w:hint="eastAsia"/>
              </w:rPr>
              <w:t>9,137,841,000.27</w:t>
            </w:r>
          </w:p>
        </w:tc>
        <w:tc>
          <w:tcPr>
            <w:tcW w:w="2768" w:type="dxa"/>
            <w:vAlign w:val="center"/>
          </w:tcPr>
          <w:p w14:paraId="432F775E">
            <w:pPr>
              <w:jc w:val="right"/>
            </w:pPr>
            <w:r>
              <w:rPr>
                <w:rFonts w:hint="eastAsia"/>
              </w:rPr>
              <w:t>3,984,815,984.80</w:t>
            </w:r>
          </w:p>
        </w:tc>
      </w:tr>
      <w:tr w14:paraId="17EC83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D86D097">
            <w:r>
              <w:rPr>
                <w:rFonts w:hint="eastAsia"/>
              </w:rPr>
              <w:t>第三层次</w:t>
            </w:r>
          </w:p>
        </w:tc>
        <w:tc>
          <w:tcPr>
            <w:tcW w:w="2768" w:type="dxa"/>
            <w:vAlign w:val="center"/>
          </w:tcPr>
          <w:p w14:paraId="1A3D205F">
            <w:pPr>
              <w:jc w:val="right"/>
            </w:pPr>
            <w:r>
              <w:rPr>
                <w:rFonts w:hint="eastAsia"/>
              </w:rPr>
              <w:t>-</w:t>
            </w:r>
          </w:p>
        </w:tc>
        <w:tc>
          <w:tcPr>
            <w:tcW w:w="2768" w:type="dxa"/>
            <w:vAlign w:val="center"/>
          </w:tcPr>
          <w:p w14:paraId="5E4862EF">
            <w:pPr>
              <w:jc w:val="right"/>
            </w:pPr>
            <w:r>
              <w:rPr>
                <w:rFonts w:hint="eastAsia"/>
              </w:rPr>
              <w:t>-</w:t>
            </w:r>
          </w:p>
        </w:tc>
      </w:tr>
      <w:tr w14:paraId="5ED69C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1E8DB2C">
            <w:r>
              <w:rPr>
                <w:rFonts w:hint="eastAsia"/>
              </w:rPr>
              <w:t>合计</w:t>
            </w:r>
          </w:p>
        </w:tc>
        <w:tc>
          <w:tcPr>
            <w:tcW w:w="2768" w:type="dxa"/>
            <w:vAlign w:val="center"/>
          </w:tcPr>
          <w:p w14:paraId="14BE2557">
            <w:pPr>
              <w:jc w:val="right"/>
            </w:pPr>
            <w:r>
              <w:rPr>
                <w:rFonts w:hint="eastAsia"/>
              </w:rPr>
              <w:t>9,137,841,000.27</w:t>
            </w:r>
          </w:p>
        </w:tc>
        <w:tc>
          <w:tcPr>
            <w:tcW w:w="2768" w:type="dxa"/>
            <w:vAlign w:val="center"/>
          </w:tcPr>
          <w:p w14:paraId="664506CA">
            <w:pPr>
              <w:jc w:val="right"/>
            </w:pPr>
            <w:r>
              <w:rPr>
                <w:rFonts w:hint="eastAsia"/>
              </w:rPr>
              <w:t>3,984,815,984.80</w:t>
            </w:r>
          </w:p>
        </w:tc>
      </w:tr>
    </w:tbl>
    <w:p w14:paraId="70D2F2A0">
      <w:pPr>
        <w:pStyle w:val="36"/>
      </w:pPr>
      <w:bookmarkStart w:id="148" w:name="_Toc148"/>
      <w:r>
        <w:t>公允价值所属层次间的重大变动</w:t>
      </w:r>
      <w:bookmarkEnd w:id="148"/>
    </w:p>
    <w:p w14:paraId="766BAC8B">
      <w:pPr>
        <w:pStyle w:val="18"/>
        <w:rPr>
          <w:rFonts w:hint="eastAsia"/>
        </w:rPr>
      </w:pPr>
      <w:r>
        <w:rPr>
          <w:rFonts w:hint="eastAsia"/>
        </w:rPr>
        <w:t>本基金以导致各层次之间转换的事项发生日为确认各层次之间转换的时点。</w:t>
      </w:r>
    </w:p>
    <w:p w14:paraId="4A880066">
      <w:pPr>
        <w:pStyle w:val="18"/>
        <w:rPr>
          <w:rFonts w:hint="eastAsia"/>
        </w:rPr>
      </w:pPr>
      <w:r>
        <w:rPr>
          <w:rFonts w:hint="eastAsia"/>
        </w:rPr>
        <w:t>本基金本期及上年度可比期间持有的以公允价值计量的金融工具的公允价值所属层次未发生重大变动。</w:t>
      </w:r>
    </w:p>
    <w:p w14:paraId="672E5B5A">
      <w:pPr>
        <w:pStyle w:val="35"/>
      </w:pPr>
      <w:bookmarkStart w:id="149" w:name="_Toc149"/>
      <w:r>
        <w:t>非持续的以公允价值计量的金融工具的说明</w:t>
      </w:r>
      <w:bookmarkEnd w:id="149"/>
    </w:p>
    <w:p w14:paraId="5A1B47B6">
      <w:pPr>
        <w:pStyle w:val="18"/>
        <w:rPr>
          <w:rFonts w:hint="eastAsia"/>
        </w:rPr>
      </w:pPr>
      <w:r>
        <w:rPr>
          <w:rFonts w:hint="eastAsia"/>
        </w:rPr>
        <w:t>于本报告期末，本基金未持有非持续的以公允价值计量的金融资产（上年度末：同）。</w:t>
      </w:r>
    </w:p>
    <w:p w14:paraId="1B38C3DB">
      <w:pPr>
        <w:pStyle w:val="35"/>
      </w:pPr>
      <w:bookmarkStart w:id="150" w:name="_Toc150"/>
      <w:r>
        <w:t>不以公允价值计量的金融工具的相关说明</w:t>
      </w:r>
      <w:bookmarkEnd w:id="150"/>
    </w:p>
    <w:p w14:paraId="2D681749">
      <w:pPr>
        <w:pStyle w:val="18"/>
        <w:rPr>
          <w:rFonts w:hint="eastAsia"/>
        </w:rPr>
      </w:pPr>
      <w:r>
        <w:rPr>
          <w:rFonts w:hint="eastAsia"/>
        </w:rPr>
        <w:t>不以公允价值计量的金融资产和负债主要包括应收款项和其他金融负债，其账面价值与公允价值相差很小。</w:t>
      </w:r>
    </w:p>
    <w:p w14:paraId="1ED004B8">
      <w:pPr>
        <w:pStyle w:val="28"/>
      </w:pPr>
      <w:bookmarkStart w:id="151" w:name="_Toc151"/>
      <w:r>
        <w:t>有助于理解和分析会计报表需要说明的其他事项</w:t>
      </w:r>
      <w:bookmarkEnd w:id="151"/>
    </w:p>
    <w:p w14:paraId="27F103C6">
      <w:pPr>
        <w:pStyle w:val="18"/>
        <w:rPr>
          <w:rFonts w:hint="eastAsia"/>
        </w:rPr>
      </w:pPr>
      <w:r>
        <w:rPr>
          <w:rFonts w:hint="eastAsia"/>
        </w:rPr>
        <w:t>截至资产负债表日本基金无需要说明的其他重要事项。</w:t>
      </w:r>
    </w:p>
    <w:p w14:paraId="3E53B9E5">
      <w:pPr>
        <w:pStyle w:val="26"/>
      </w:pPr>
      <w:bookmarkStart w:id="152" w:name="_Toc9487"/>
      <w:r>
        <w:t>投资组合报告</w:t>
      </w:r>
      <w:bookmarkEnd w:id="152"/>
    </w:p>
    <w:p w14:paraId="7DF903A4">
      <w:pPr>
        <w:pStyle w:val="23"/>
      </w:pPr>
      <w:bookmarkStart w:id="153" w:name="_Toc19353"/>
      <w:r>
        <w:t>期末基金资产组合情况</w:t>
      </w:r>
      <w:bookmarkEnd w:id="153"/>
    </w:p>
    <w:p w14:paraId="00AA8C48">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4"/>
        <w:gridCol w:w="3211"/>
        <w:gridCol w:w="2214"/>
        <w:gridCol w:w="2214"/>
      </w:tblGrid>
      <w:tr w14:paraId="36FAA0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shd w:val="clear" w:color="auto" w:fill="BFBFBF"/>
            <w:vAlign w:val="center"/>
          </w:tcPr>
          <w:p w14:paraId="0BE835D7">
            <w:pPr>
              <w:jc w:val="center"/>
            </w:pPr>
            <w:r>
              <w:rPr>
                <w:rFonts w:hint="eastAsia"/>
                <w:b/>
              </w:rPr>
              <w:t>序号</w:t>
            </w:r>
          </w:p>
        </w:tc>
        <w:tc>
          <w:tcPr>
            <w:tcW w:w="3211" w:type="dxa"/>
            <w:shd w:val="clear" w:color="auto" w:fill="BFBFBF"/>
            <w:vAlign w:val="center"/>
          </w:tcPr>
          <w:p w14:paraId="48587E59">
            <w:pPr>
              <w:jc w:val="center"/>
            </w:pPr>
            <w:r>
              <w:rPr>
                <w:rFonts w:hint="eastAsia"/>
                <w:b/>
              </w:rPr>
              <w:t>项目</w:t>
            </w:r>
          </w:p>
        </w:tc>
        <w:tc>
          <w:tcPr>
            <w:tcW w:w="2214" w:type="dxa"/>
            <w:shd w:val="clear" w:color="auto" w:fill="BFBFBF"/>
            <w:vAlign w:val="center"/>
          </w:tcPr>
          <w:p w14:paraId="6756E366">
            <w:pPr>
              <w:jc w:val="center"/>
            </w:pPr>
            <w:r>
              <w:rPr>
                <w:rFonts w:hint="eastAsia"/>
                <w:b/>
              </w:rPr>
              <w:t>金额</w:t>
            </w:r>
          </w:p>
        </w:tc>
        <w:tc>
          <w:tcPr>
            <w:tcW w:w="2214" w:type="dxa"/>
            <w:shd w:val="clear" w:color="auto" w:fill="BFBFBF"/>
            <w:vAlign w:val="center"/>
          </w:tcPr>
          <w:p w14:paraId="3112FAC1">
            <w:pPr>
              <w:jc w:val="center"/>
            </w:pPr>
            <w:r>
              <w:rPr>
                <w:rFonts w:hint="eastAsia"/>
                <w:b/>
              </w:rPr>
              <w:t>占基金总资产的比例（%）</w:t>
            </w:r>
          </w:p>
        </w:tc>
      </w:tr>
      <w:tr w14:paraId="0DF23E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179E4C3A">
            <w:pPr>
              <w:jc w:val="center"/>
            </w:pPr>
            <w:r>
              <w:rPr>
                <w:rFonts w:hint="eastAsia"/>
              </w:rPr>
              <w:t>1</w:t>
            </w:r>
          </w:p>
        </w:tc>
        <w:tc>
          <w:tcPr>
            <w:tcW w:w="3211" w:type="dxa"/>
            <w:vAlign w:val="center"/>
          </w:tcPr>
          <w:p w14:paraId="7EB6860C">
            <w:r>
              <w:rPr>
                <w:rFonts w:hint="eastAsia"/>
              </w:rPr>
              <w:t>权益投资</w:t>
            </w:r>
          </w:p>
        </w:tc>
        <w:tc>
          <w:tcPr>
            <w:tcW w:w="2214" w:type="dxa"/>
            <w:vAlign w:val="center"/>
          </w:tcPr>
          <w:p w14:paraId="7ED35350">
            <w:pPr>
              <w:jc w:val="right"/>
            </w:pPr>
            <w:r>
              <w:rPr>
                <w:rFonts w:hint="eastAsia"/>
              </w:rPr>
              <w:t>-</w:t>
            </w:r>
          </w:p>
        </w:tc>
        <w:tc>
          <w:tcPr>
            <w:tcW w:w="2214" w:type="dxa"/>
            <w:vAlign w:val="center"/>
          </w:tcPr>
          <w:p w14:paraId="1980A340">
            <w:pPr>
              <w:jc w:val="right"/>
            </w:pPr>
            <w:r>
              <w:rPr>
                <w:rFonts w:hint="eastAsia"/>
              </w:rPr>
              <w:t>-</w:t>
            </w:r>
          </w:p>
        </w:tc>
      </w:tr>
      <w:tr w14:paraId="693DCE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6F7931BD">
            <w:pPr>
              <w:jc w:val="center"/>
            </w:pPr>
          </w:p>
        </w:tc>
        <w:tc>
          <w:tcPr>
            <w:tcW w:w="3211" w:type="dxa"/>
            <w:vAlign w:val="center"/>
          </w:tcPr>
          <w:p w14:paraId="7CA39D1D">
            <w:r>
              <w:rPr>
                <w:rFonts w:hint="eastAsia"/>
              </w:rPr>
              <w:t>其中：股票</w:t>
            </w:r>
          </w:p>
        </w:tc>
        <w:tc>
          <w:tcPr>
            <w:tcW w:w="2214" w:type="dxa"/>
            <w:vAlign w:val="center"/>
          </w:tcPr>
          <w:p w14:paraId="229C565F">
            <w:pPr>
              <w:jc w:val="right"/>
            </w:pPr>
            <w:r>
              <w:rPr>
                <w:rFonts w:hint="eastAsia"/>
              </w:rPr>
              <w:t>-</w:t>
            </w:r>
          </w:p>
        </w:tc>
        <w:tc>
          <w:tcPr>
            <w:tcW w:w="2214" w:type="dxa"/>
            <w:vAlign w:val="center"/>
          </w:tcPr>
          <w:p w14:paraId="1666356F">
            <w:pPr>
              <w:jc w:val="right"/>
            </w:pPr>
            <w:r>
              <w:rPr>
                <w:rFonts w:hint="eastAsia"/>
              </w:rPr>
              <w:t>-</w:t>
            </w:r>
          </w:p>
        </w:tc>
      </w:tr>
      <w:tr w14:paraId="1B42BC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1527F978">
            <w:pPr>
              <w:jc w:val="center"/>
            </w:pPr>
            <w:r>
              <w:rPr>
                <w:rFonts w:hint="eastAsia"/>
              </w:rPr>
              <w:t>2</w:t>
            </w:r>
          </w:p>
        </w:tc>
        <w:tc>
          <w:tcPr>
            <w:tcW w:w="3211" w:type="dxa"/>
            <w:vAlign w:val="center"/>
          </w:tcPr>
          <w:p w14:paraId="0920865B">
            <w:r>
              <w:rPr>
                <w:rFonts w:hint="eastAsia"/>
              </w:rPr>
              <w:t>基金投资</w:t>
            </w:r>
          </w:p>
        </w:tc>
        <w:tc>
          <w:tcPr>
            <w:tcW w:w="2214" w:type="dxa"/>
            <w:vAlign w:val="center"/>
          </w:tcPr>
          <w:p w14:paraId="11B53073">
            <w:pPr>
              <w:jc w:val="right"/>
            </w:pPr>
            <w:r>
              <w:rPr>
                <w:rFonts w:hint="eastAsia"/>
              </w:rPr>
              <w:t>-</w:t>
            </w:r>
          </w:p>
        </w:tc>
        <w:tc>
          <w:tcPr>
            <w:tcW w:w="2214" w:type="dxa"/>
            <w:vAlign w:val="center"/>
          </w:tcPr>
          <w:p w14:paraId="48C1E1F4">
            <w:pPr>
              <w:jc w:val="right"/>
            </w:pPr>
            <w:r>
              <w:rPr>
                <w:rFonts w:hint="eastAsia"/>
              </w:rPr>
              <w:t>-</w:t>
            </w:r>
          </w:p>
        </w:tc>
      </w:tr>
      <w:tr w14:paraId="2E5DFF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02DEE854">
            <w:pPr>
              <w:jc w:val="center"/>
            </w:pPr>
            <w:r>
              <w:rPr>
                <w:rFonts w:hint="eastAsia"/>
              </w:rPr>
              <w:t>3</w:t>
            </w:r>
          </w:p>
        </w:tc>
        <w:tc>
          <w:tcPr>
            <w:tcW w:w="3211" w:type="dxa"/>
            <w:vAlign w:val="center"/>
          </w:tcPr>
          <w:p w14:paraId="4DDB08E1">
            <w:r>
              <w:rPr>
                <w:rFonts w:hint="eastAsia"/>
              </w:rPr>
              <w:t>固定收益投资</w:t>
            </w:r>
          </w:p>
        </w:tc>
        <w:tc>
          <w:tcPr>
            <w:tcW w:w="2214" w:type="dxa"/>
            <w:vAlign w:val="center"/>
          </w:tcPr>
          <w:p w14:paraId="39436AD3">
            <w:pPr>
              <w:jc w:val="right"/>
            </w:pPr>
            <w:r>
              <w:rPr>
                <w:rFonts w:hint="eastAsia"/>
              </w:rPr>
              <w:t>9,137,841,000.27</w:t>
            </w:r>
          </w:p>
        </w:tc>
        <w:tc>
          <w:tcPr>
            <w:tcW w:w="2214" w:type="dxa"/>
            <w:vAlign w:val="center"/>
          </w:tcPr>
          <w:p w14:paraId="5C62BB10">
            <w:pPr>
              <w:jc w:val="right"/>
            </w:pPr>
            <w:r>
              <w:rPr>
                <w:rFonts w:hint="eastAsia"/>
              </w:rPr>
              <w:t>99.99</w:t>
            </w:r>
          </w:p>
        </w:tc>
      </w:tr>
      <w:tr w14:paraId="5B38A8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7B46BD53">
            <w:pPr>
              <w:jc w:val="center"/>
            </w:pPr>
          </w:p>
        </w:tc>
        <w:tc>
          <w:tcPr>
            <w:tcW w:w="3211" w:type="dxa"/>
            <w:vAlign w:val="center"/>
          </w:tcPr>
          <w:p w14:paraId="3C2EB68D">
            <w:r>
              <w:rPr>
                <w:rFonts w:hint="eastAsia"/>
              </w:rPr>
              <w:t>其中：债券</w:t>
            </w:r>
          </w:p>
        </w:tc>
        <w:tc>
          <w:tcPr>
            <w:tcW w:w="2214" w:type="dxa"/>
            <w:vAlign w:val="center"/>
          </w:tcPr>
          <w:p w14:paraId="3412A74A">
            <w:pPr>
              <w:jc w:val="right"/>
            </w:pPr>
            <w:r>
              <w:rPr>
                <w:rFonts w:hint="eastAsia"/>
              </w:rPr>
              <w:t>9,137,841,000.27</w:t>
            </w:r>
          </w:p>
        </w:tc>
        <w:tc>
          <w:tcPr>
            <w:tcW w:w="2214" w:type="dxa"/>
            <w:vAlign w:val="center"/>
          </w:tcPr>
          <w:p w14:paraId="41D64A9E">
            <w:pPr>
              <w:jc w:val="right"/>
            </w:pPr>
            <w:r>
              <w:rPr>
                <w:rFonts w:hint="eastAsia"/>
              </w:rPr>
              <w:t>99.99</w:t>
            </w:r>
          </w:p>
        </w:tc>
      </w:tr>
      <w:tr w14:paraId="29373C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4F61493A">
            <w:pPr>
              <w:jc w:val="center"/>
            </w:pPr>
          </w:p>
        </w:tc>
        <w:tc>
          <w:tcPr>
            <w:tcW w:w="3211" w:type="dxa"/>
            <w:vAlign w:val="center"/>
          </w:tcPr>
          <w:p w14:paraId="748299D4">
            <w:r>
              <w:rPr>
                <w:rFonts w:hint="eastAsia"/>
              </w:rPr>
              <w:t xml:space="preserve">      资产支持证券</w:t>
            </w:r>
          </w:p>
        </w:tc>
        <w:tc>
          <w:tcPr>
            <w:tcW w:w="2214" w:type="dxa"/>
            <w:vAlign w:val="center"/>
          </w:tcPr>
          <w:p w14:paraId="4BE95163">
            <w:pPr>
              <w:jc w:val="right"/>
            </w:pPr>
            <w:r>
              <w:rPr>
                <w:rFonts w:hint="eastAsia"/>
              </w:rPr>
              <w:t>-</w:t>
            </w:r>
          </w:p>
        </w:tc>
        <w:tc>
          <w:tcPr>
            <w:tcW w:w="2214" w:type="dxa"/>
            <w:vAlign w:val="center"/>
          </w:tcPr>
          <w:p w14:paraId="16C3284F">
            <w:pPr>
              <w:jc w:val="right"/>
            </w:pPr>
            <w:r>
              <w:rPr>
                <w:rFonts w:hint="eastAsia"/>
              </w:rPr>
              <w:t>-</w:t>
            </w:r>
          </w:p>
        </w:tc>
      </w:tr>
      <w:tr w14:paraId="174397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0F7A325E">
            <w:pPr>
              <w:jc w:val="center"/>
            </w:pPr>
            <w:r>
              <w:rPr>
                <w:rFonts w:hint="eastAsia"/>
              </w:rPr>
              <w:t>4</w:t>
            </w:r>
          </w:p>
        </w:tc>
        <w:tc>
          <w:tcPr>
            <w:tcW w:w="3211" w:type="dxa"/>
            <w:vAlign w:val="center"/>
          </w:tcPr>
          <w:p w14:paraId="3D5A9F7D">
            <w:r>
              <w:rPr>
                <w:rFonts w:hint="eastAsia"/>
              </w:rPr>
              <w:t>贵金属投资</w:t>
            </w:r>
          </w:p>
        </w:tc>
        <w:tc>
          <w:tcPr>
            <w:tcW w:w="2214" w:type="dxa"/>
            <w:vAlign w:val="center"/>
          </w:tcPr>
          <w:p w14:paraId="74EF6DD7">
            <w:pPr>
              <w:jc w:val="right"/>
            </w:pPr>
            <w:r>
              <w:rPr>
                <w:rFonts w:hint="eastAsia"/>
              </w:rPr>
              <w:t>-</w:t>
            </w:r>
          </w:p>
        </w:tc>
        <w:tc>
          <w:tcPr>
            <w:tcW w:w="2214" w:type="dxa"/>
            <w:vAlign w:val="center"/>
          </w:tcPr>
          <w:p w14:paraId="6A995B19">
            <w:pPr>
              <w:jc w:val="right"/>
            </w:pPr>
            <w:r>
              <w:rPr>
                <w:rFonts w:hint="eastAsia"/>
              </w:rPr>
              <w:t>-</w:t>
            </w:r>
          </w:p>
        </w:tc>
      </w:tr>
      <w:tr w14:paraId="64F185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64609356">
            <w:pPr>
              <w:jc w:val="center"/>
            </w:pPr>
            <w:r>
              <w:rPr>
                <w:rFonts w:hint="eastAsia"/>
              </w:rPr>
              <w:t>5</w:t>
            </w:r>
          </w:p>
        </w:tc>
        <w:tc>
          <w:tcPr>
            <w:tcW w:w="3211" w:type="dxa"/>
            <w:vAlign w:val="center"/>
          </w:tcPr>
          <w:p w14:paraId="63C0B9B5">
            <w:r>
              <w:rPr>
                <w:rFonts w:hint="eastAsia"/>
              </w:rPr>
              <w:t>金融衍生品投资</w:t>
            </w:r>
          </w:p>
        </w:tc>
        <w:tc>
          <w:tcPr>
            <w:tcW w:w="2214" w:type="dxa"/>
            <w:vAlign w:val="center"/>
          </w:tcPr>
          <w:p w14:paraId="570E4548">
            <w:pPr>
              <w:jc w:val="right"/>
            </w:pPr>
            <w:r>
              <w:rPr>
                <w:rFonts w:hint="eastAsia"/>
              </w:rPr>
              <w:t>-</w:t>
            </w:r>
          </w:p>
        </w:tc>
        <w:tc>
          <w:tcPr>
            <w:tcW w:w="2214" w:type="dxa"/>
            <w:vAlign w:val="center"/>
          </w:tcPr>
          <w:p w14:paraId="336022C8">
            <w:pPr>
              <w:jc w:val="right"/>
            </w:pPr>
            <w:r>
              <w:rPr>
                <w:rFonts w:hint="eastAsia"/>
              </w:rPr>
              <w:t>-</w:t>
            </w:r>
          </w:p>
        </w:tc>
      </w:tr>
      <w:tr w14:paraId="05B818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2E4BC5FE">
            <w:pPr>
              <w:jc w:val="center"/>
            </w:pPr>
            <w:r>
              <w:rPr>
                <w:rFonts w:hint="eastAsia"/>
              </w:rPr>
              <w:t>6</w:t>
            </w:r>
          </w:p>
        </w:tc>
        <w:tc>
          <w:tcPr>
            <w:tcW w:w="3211" w:type="dxa"/>
            <w:vAlign w:val="center"/>
          </w:tcPr>
          <w:p w14:paraId="7481103F">
            <w:r>
              <w:rPr>
                <w:rFonts w:hint="eastAsia"/>
              </w:rPr>
              <w:t>买入返售金融资产</w:t>
            </w:r>
          </w:p>
        </w:tc>
        <w:tc>
          <w:tcPr>
            <w:tcW w:w="2214" w:type="dxa"/>
            <w:vAlign w:val="center"/>
          </w:tcPr>
          <w:p w14:paraId="09094C45">
            <w:pPr>
              <w:jc w:val="right"/>
            </w:pPr>
            <w:r>
              <w:rPr>
                <w:rFonts w:hint="eastAsia"/>
              </w:rPr>
              <w:t>-</w:t>
            </w:r>
          </w:p>
        </w:tc>
        <w:tc>
          <w:tcPr>
            <w:tcW w:w="2214" w:type="dxa"/>
            <w:vAlign w:val="center"/>
          </w:tcPr>
          <w:p w14:paraId="2B51CEB6">
            <w:pPr>
              <w:jc w:val="right"/>
            </w:pPr>
            <w:r>
              <w:rPr>
                <w:rFonts w:hint="eastAsia"/>
              </w:rPr>
              <w:t>-</w:t>
            </w:r>
          </w:p>
        </w:tc>
      </w:tr>
      <w:tr w14:paraId="58E26F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06D0F0B8">
            <w:pPr>
              <w:jc w:val="center"/>
            </w:pPr>
          </w:p>
        </w:tc>
        <w:tc>
          <w:tcPr>
            <w:tcW w:w="3211" w:type="dxa"/>
            <w:vAlign w:val="center"/>
          </w:tcPr>
          <w:p w14:paraId="0B233F51">
            <w:r>
              <w:rPr>
                <w:rFonts w:hint="eastAsia"/>
              </w:rPr>
              <w:t>其中：买断式回购的买入返售金融资产</w:t>
            </w:r>
          </w:p>
        </w:tc>
        <w:tc>
          <w:tcPr>
            <w:tcW w:w="2214" w:type="dxa"/>
            <w:vAlign w:val="center"/>
          </w:tcPr>
          <w:p w14:paraId="18EE356E">
            <w:pPr>
              <w:jc w:val="right"/>
            </w:pPr>
            <w:r>
              <w:rPr>
                <w:rFonts w:hint="eastAsia"/>
              </w:rPr>
              <w:t>-</w:t>
            </w:r>
          </w:p>
        </w:tc>
        <w:tc>
          <w:tcPr>
            <w:tcW w:w="2214" w:type="dxa"/>
            <w:vAlign w:val="center"/>
          </w:tcPr>
          <w:p w14:paraId="19B22381">
            <w:pPr>
              <w:jc w:val="right"/>
            </w:pPr>
            <w:r>
              <w:rPr>
                <w:rFonts w:hint="eastAsia"/>
              </w:rPr>
              <w:t>-</w:t>
            </w:r>
          </w:p>
        </w:tc>
      </w:tr>
      <w:tr w14:paraId="572DE9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2A3A3403">
            <w:pPr>
              <w:jc w:val="center"/>
            </w:pPr>
            <w:r>
              <w:rPr>
                <w:rFonts w:hint="eastAsia"/>
              </w:rPr>
              <w:t>7</w:t>
            </w:r>
          </w:p>
        </w:tc>
        <w:tc>
          <w:tcPr>
            <w:tcW w:w="3211" w:type="dxa"/>
            <w:vAlign w:val="center"/>
          </w:tcPr>
          <w:p w14:paraId="09B1A13B">
            <w:r>
              <w:rPr>
                <w:rFonts w:hint="eastAsia"/>
              </w:rPr>
              <w:t>银行存款和结算备付金合计</w:t>
            </w:r>
          </w:p>
        </w:tc>
        <w:tc>
          <w:tcPr>
            <w:tcW w:w="2214" w:type="dxa"/>
            <w:vAlign w:val="center"/>
          </w:tcPr>
          <w:p w14:paraId="784F1323">
            <w:pPr>
              <w:jc w:val="right"/>
            </w:pPr>
            <w:r>
              <w:rPr>
                <w:rFonts w:hint="eastAsia"/>
              </w:rPr>
              <w:t>488,786.88</w:t>
            </w:r>
          </w:p>
        </w:tc>
        <w:tc>
          <w:tcPr>
            <w:tcW w:w="2214" w:type="dxa"/>
            <w:vAlign w:val="center"/>
          </w:tcPr>
          <w:p w14:paraId="65CAC943">
            <w:pPr>
              <w:jc w:val="right"/>
            </w:pPr>
            <w:r>
              <w:rPr>
                <w:rFonts w:hint="eastAsia"/>
              </w:rPr>
              <w:t>0.01</w:t>
            </w:r>
          </w:p>
        </w:tc>
      </w:tr>
      <w:tr w14:paraId="155BE9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65A261B8">
            <w:pPr>
              <w:jc w:val="center"/>
            </w:pPr>
            <w:r>
              <w:rPr>
                <w:rFonts w:hint="eastAsia"/>
              </w:rPr>
              <w:t>8</w:t>
            </w:r>
          </w:p>
        </w:tc>
        <w:tc>
          <w:tcPr>
            <w:tcW w:w="3211" w:type="dxa"/>
            <w:vAlign w:val="center"/>
          </w:tcPr>
          <w:p w14:paraId="00F2147B">
            <w:r>
              <w:rPr>
                <w:rFonts w:hint="eastAsia"/>
              </w:rPr>
              <w:t>其他各项资产</w:t>
            </w:r>
          </w:p>
        </w:tc>
        <w:tc>
          <w:tcPr>
            <w:tcW w:w="2214" w:type="dxa"/>
            <w:vAlign w:val="center"/>
          </w:tcPr>
          <w:p w14:paraId="37A6E7A6">
            <w:pPr>
              <w:jc w:val="right"/>
            </w:pPr>
            <w:r>
              <w:rPr>
                <w:rFonts w:hint="eastAsia"/>
              </w:rPr>
              <w:t>38,053.66</w:t>
            </w:r>
          </w:p>
        </w:tc>
        <w:tc>
          <w:tcPr>
            <w:tcW w:w="2214" w:type="dxa"/>
            <w:vAlign w:val="center"/>
          </w:tcPr>
          <w:p w14:paraId="7CFE6101">
            <w:pPr>
              <w:jc w:val="right"/>
            </w:pPr>
            <w:r>
              <w:rPr>
                <w:rFonts w:hint="eastAsia"/>
              </w:rPr>
              <w:t>0.00</w:t>
            </w:r>
          </w:p>
        </w:tc>
      </w:tr>
      <w:tr w14:paraId="5B212C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7E3908EE">
            <w:pPr>
              <w:jc w:val="center"/>
            </w:pPr>
            <w:r>
              <w:rPr>
                <w:rFonts w:hint="eastAsia"/>
              </w:rPr>
              <w:t>9</w:t>
            </w:r>
          </w:p>
        </w:tc>
        <w:tc>
          <w:tcPr>
            <w:tcW w:w="3211" w:type="dxa"/>
            <w:vAlign w:val="center"/>
          </w:tcPr>
          <w:p w14:paraId="1635165C">
            <w:r>
              <w:rPr>
                <w:rFonts w:hint="eastAsia"/>
              </w:rPr>
              <w:t>合计</w:t>
            </w:r>
          </w:p>
        </w:tc>
        <w:tc>
          <w:tcPr>
            <w:tcW w:w="2214" w:type="dxa"/>
            <w:vAlign w:val="center"/>
          </w:tcPr>
          <w:p w14:paraId="39B9F648">
            <w:pPr>
              <w:jc w:val="right"/>
            </w:pPr>
            <w:r>
              <w:rPr>
                <w:rFonts w:hint="eastAsia"/>
              </w:rPr>
              <w:t>9,138,367,840.81</w:t>
            </w:r>
          </w:p>
        </w:tc>
        <w:tc>
          <w:tcPr>
            <w:tcW w:w="2214" w:type="dxa"/>
            <w:vAlign w:val="center"/>
          </w:tcPr>
          <w:p w14:paraId="17BC6D24">
            <w:pPr>
              <w:jc w:val="right"/>
            </w:pPr>
            <w:r>
              <w:rPr>
                <w:rFonts w:hint="eastAsia"/>
              </w:rPr>
              <w:t>100.00</w:t>
            </w:r>
          </w:p>
        </w:tc>
      </w:tr>
    </w:tbl>
    <w:p w14:paraId="3CD8942C">
      <w:pPr>
        <w:pStyle w:val="23"/>
      </w:pPr>
      <w:bookmarkStart w:id="154" w:name="_Toc6413"/>
      <w:r>
        <w:t>报告期末按行业分类的股票投资组合</w:t>
      </w:r>
      <w:bookmarkEnd w:id="154"/>
    </w:p>
    <w:p w14:paraId="01AF8D9E">
      <w:pPr>
        <w:pStyle w:val="28"/>
      </w:pPr>
      <w:bookmarkStart w:id="155" w:name="_Toc155"/>
      <w:r>
        <w:t>报告期末按行业分类的境内股票投资组合</w:t>
      </w:r>
      <w:bookmarkEnd w:id="155"/>
    </w:p>
    <w:p w14:paraId="199387A0">
      <w:pPr>
        <w:pStyle w:val="18"/>
        <w:rPr>
          <w:rFonts w:hint="eastAsia"/>
        </w:rPr>
      </w:pPr>
      <w:r>
        <w:rPr>
          <w:rFonts w:hint="eastAsia"/>
        </w:rPr>
        <w:t>无。</w:t>
      </w:r>
    </w:p>
    <w:p w14:paraId="413CB3E0">
      <w:pPr>
        <w:pStyle w:val="28"/>
      </w:pPr>
      <w:bookmarkStart w:id="156" w:name="_Toc156"/>
      <w:r>
        <w:t>报告期末按行业分类的港股通投资股票投资组合</w:t>
      </w:r>
      <w:bookmarkEnd w:id="156"/>
    </w:p>
    <w:p w14:paraId="1723750D">
      <w:pPr>
        <w:pStyle w:val="18"/>
        <w:rPr>
          <w:rFonts w:hint="eastAsia"/>
        </w:rPr>
      </w:pPr>
      <w:r>
        <w:rPr>
          <w:rFonts w:hint="eastAsia"/>
        </w:rPr>
        <w:t>无。</w:t>
      </w:r>
    </w:p>
    <w:p w14:paraId="2A2530BC">
      <w:pPr>
        <w:pStyle w:val="23"/>
      </w:pPr>
      <w:bookmarkStart w:id="157" w:name="_Toc9004"/>
      <w:r>
        <w:t>期末按公允价值占基金资产净值比例大小排序的所有股票投资明细</w:t>
      </w:r>
      <w:bookmarkEnd w:id="157"/>
    </w:p>
    <w:p w14:paraId="6F7B0AA3">
      <w:pPr>
        <w:pStyle w:val="18"/>
        <w:rPr>
          <w:rFonts w:hint="eastAsia"/>
        </w:rPr>
      </w:pPr>
      <w:r>
        <w:rPr>
          <w:rFonts w:hint="eastAsia"/>
        </w:rPr>
        <w:t>无。</w:t>
      </w:r>
    </w:p>
    <w:p w14:paraId="050E072C">
      <w:pPr>
        <w:pStyle w:val="23"/>
      </w:pPr>
      <w:bookmarkStart w:id="158" w:name="_Toc19534"/>
      <w:r>
        <w:t>报告期内股票投资组合的重大变动</w:t>
      </w:r>
      <w:bookmarkEnd w:id="158"/>
    </w:p>
    <w:p w14:paraId="1BCF179C">
      <w:pPr>
        <w:pStyle w:val="28"/>
      </w:pPr>
      <w:bookmarkStart w:id="159" w:name="_Toc159"/>
      <w:r>
        <w:t>累计买入金额超出期初基金资产净值2%或前20名的股票明细</w:t>
      </w:r>
      <w:bookmarkEnd w:id="159"/>
    </w:p>
    <w:p w14:paraId="1FA74196">
      <w:pPr>
        <w:pStyle w:val="18"/>
        <w:rPr>
          <w:rFonts w:hint="eastAsia"/>
        </w:rPr>
      </w:pPr>
      <w:r>
        <w:rPr>
          <w:rFonts w:hint="eastAsia"/>
        </w:rPr>
        <w:t>无。</w:t>
      </w:r>
    </w:p>
    <w:p w14:paraId="32EB2858">
      <w:pPr>
        <w:pStyle w:val="28"/>
      </w:pPr>
      <w:bookmarkStart w:id="160" w:name="_Toc160"/>
      <w:r>
        <w:t>累计卖出金额超出期初基金资产净值2%或前20名的股票明细</w:t>
      </w:r>
      <w:bookmarkEnd w:id="160"/>
    </w:p>
    <w:p w14:paraId="2159BDBA">
      <w:pPr>
        <w:pStyle w:val="18"/>
        <w:rPr>
          <w:rFonts w:hint="eastAsia"/>
        </w:rPr>
      </w:pPr>
      <w:r>
        <w:rPr>
          <w:rFonts w:hint="eastAsia"/>
        </w:rPr>
        <w:t>无。</w:t>
      </w:r>
    </w:p>
    <w:p w14:paraId="37716D5D">
      <w:pPr>
        <w:pStyle w:val="28"/>
      </w:pPr>
      <w:bookmarkStart w:id="161" w:name="_Toc161"/>
      <w:r>
        <w:t>买入股票的成本总额及卖出股票的收入总额</w:t>
      </w:r>
      <w:bookmarkEnd w:id="161"/>
    </w:p>
    <w:p w14:paraId="2F4469CC">
      <w:pPr>
        <w:pStyle w:val="18"/>
        <w:rPr>
          <w:rFonts w:hint="eastAsia"/>
        </w:rPr>
      </w:pPr>
      <w:r>
        <w:rPr>
          <w:rFonts w:hint="eastAsia"/>
        </w:rPr>
        <w:t>无。</w:t>
      </w:r>
    </w:p>
    <w:p w14:paraId="006862D4">
      <w:pPr>
        <w:pStyle w:val="23"/>
      </w:pPr>
      <w:bookmarkStart w:id="162" w:name="_Toc23962"/>
      <w:r>
        <w:t>期末按债券品种分类的债券投资组合</w:t>
      </w:r>
      <w:bookmarkEnd w:id="162"/>
    </w:p>
    <w:p w14:paraId="30FFF052">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2768"/>
        <w:gridCol w:w="2408"/>
        <w:gridCol w:w="2497"/>
      </w:tblGrid>
      <w:tr w14:paraId="33592D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1C0813EE">
            <w:pPr>
              <w:jc w:val="center"/>
            </w:pPr>
            <w:r>
              <w:rPr>
                <w:rFonts w:hint="eastAsia"/>
                <w:b/>
              </w:rPr>
              <w:t>序号</w:t>
            </w:r>
          </w:p>
        </w:tc>
        <w:tc>
          <w:tcPr>
            <w:tcW w:w="2768" w:type="dxa"/>
            <w:shd w:val="clear" w:color="auto" w:fill="BFBFBF"/>
            <w:vAlign w:val="center"/>
          </w:tcPr>
          <w:p w14:paraId="6F1A01AD">
            <w:pPr>
              <w:jc w:val="center"/>
            </w:pPr>
            <w:r>
              <w:rPr>
                <w:rFonts w:hint="eastAsia"/>
                <w:b/>
              </w:rPr>
              <w:t>债券品种</w:t>
            </w:r>
          </w:p>
        </w:tc>
        <w:tc>
          <w:tcPr>
            <w:tcW w:w="2408" w:type="dxa"/>
            <w:shd w:val="clear" w:color="auto" w:fill="BFBFBF"/>
            <w:vAlign w:val="center"/>
          </w:tcPr>
          <w:p w14:paraId="7238F536">
            <w:pPr>
              <w:jc w:val="center"/>
            </w:pPr>
            <w:r>
              <w:rPr>
                <w:rFonts w:hint="eastAsia"/>
                <w:b/>
              </w:rPr>
              <w:t>公允价值（元）</w:t>
            </w:r>
          </w:p>
        </w:tc>
        <w:tc>
          <w:tcPr>
            <w:tcW w:w="2497" w:type="dxa"/>
            <w:shd w:val="clear" w:color="auto" w:fill="BFBFBF"/>
            <w:vAlign w:val="center"/>
          </w:tcPr>
          <w:p w14:paraId="2E0F2CB4">
            <w:pPr>
              <w:jc w:val="center"/>
            </w:pPr>
            <w:r>
              <w:rPr>
                <w:rFonts w:hint="eastAsia"/>
                <w:b/>
              </w:rPr>
              <w:t>占基金资产净值比例（％）</w:t>
            </w:r>
          </w:p>
        </w:tc>
      </w:tr>
      <w:tr w14:paraId="62697E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E5082BC">
            <w:pPr>
              <w:jc w:val="center"/>
            </w:pPr>
            <w:r>
              <w:rPr>
                <w:rFonts w:hint="eastAsia"/>
              </w:rPr>
              <w:t>1</w:t>
            </w:r>
          </w:p>
        </w:tc>
        <w:tc>
          <w:tcPr>
            <w:tcW w:w="2768" w:type="dxa"/>
            <w:vAlign w:val="center"/>
          </w:tcPr>
          <w:p w14:paraId="28A88296">
            <w:r>
              <w:rPr>
                <w:rFonts w:hint="eastAsia"/>
              </w:rPr>
              <w:t>国家债券</w:t>
            </w:r>
          </w:p>
        </w:tc>
        <w:tc>
          <w:tcPr>
            <w:tcW w:w="2408" w:type="dxa"/>
            <w:vAlign w:val="center"/>
          </w:tcPr>
          <w:p w14:paraId="2917BFC5">
            <w:pPr>
              <w:jc w:val="right"/>
            </w:pPr>
            <w:r>
              <w:rPr>
                <w:rFonts w:hint="eastAsia"/>
              </w:rPr>
              <w:t>-</w:t>
            </w:r>
          </w:p>
        </w:tc>
        <w:tc>
          <w:tcPr>
            <w:tcW w:w="2497" w:type="dxa"/>
            <w:vAlign w:val="center"/>
          </w:tcPr>
          <w:p w14:paraId="261439F2">
            <w:pPr>
              <w:jc w:val="right"/>
            </w:pPr>
            <w:r>
              <w:rPr>
                <w:rFonts w:hint="eastAsia"/>
              </w:rPr>
              <w:t>-</w:t>
            </w:r>
          </w:p>
        </w:tc>
      </w:tr>
      <w:tr w14:paraId="5E793C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354E55A">
            <w:pPr>
              <w:jc w:val="center"/>
            </w:pPr>
            <w:r>
              <w:rPr>
                <w:rFonts w:hint="eastAsia"/>
              </w:rPr>
              <w:t>2</w:t>
            </w:r>
          </w:p>
        </w:tc>
        <w:tc>
          <w:tcPr>
            <w:tcW w:w="2768" w:type="dxa"/>
            <w:vAlign w:val="center"/>
          </w:tcPr>
          <w:p w14:paraId="00F55BF0">
            <w:r>
              <w:rPr>
                <w:rFonts w:hint="eastAsia"/>
              </w:rPr>
              <w:t>央行票据</w:t>
            </w:r>
          </w:p>
        </w:tc>
        <w:tc>
          <w:tcPr>
            <w:tcW w:w="2408" w:type="dxa"/>
            <w:vAlign w:val="center"/>
          </w:tcPr>
          <w:p w14:paraId="5B9A0C99">
            <w:pPr>
              <w:jc w:val="right"/>
            </w:pPr>
            <w:r>
              <w:rPr>
                <w:rFonts w:hint="eastAsia"/>
              </w:rPr>
              <w:t>-</w:t>
            </w:r>
          </w:p>
        </w:tc>
        <w:tc>
          <w:tcPr>
            <w:tcW w:w="2497" w:type="dxa"/>
            <w:vAlign w:val="center"/>
          </w:tcPr>
          <w:p w14:paraId="1EE8BA7B">
            <w:pPr>
              <w:jc w:val="right"/>
            </w:pPr>
            <w:r>
              <w:rPr>
                <w:rFonts w:hint="eastAsia"/>
              </w:rPr>
              <w:t>-</w:t>
            </w:r>
          </w:p>
        </w:tc>
      </w:tr>
      <w:tr w14:paraId="75A642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F2A3E50">
            <w:pPr>
              <w:jc w:val="center"/>
            </w:pPr>
            <w:r>
              <w:rPr>
                <w:rFonts w:hint="eastAsia"/>
              </w:rPr>
              <w:t>3</w:t>
            </w:r>
          </w:p>
        </w:tc>
        <w:tc>
          <w:tcPr>
            <w:tcW w:w="2768" w:type="dxa"/>
            <w:vAlign w:val="center"/>
          </w:tcPr>
          <w:p w14:paraId="4EDCBF61">
            <w:r>
              <w:rPr>
                <w:rFonts w:hint="eastAsia"/>
              </w:rPr>
              <w:t>金融债券</w:t>
            </w:r>
          </w:p>
        </w:tc>
        <w:tc>
          <w:tcPr>
            <w:tcW w:w="2408" w:type="dxa"/>
            <w:vAlign w:val="center"/>
          </w:tcPr>
          <w:p w14:paraId="4C919279">
            <w:pPr>
              <w:jc w:val="right"/>
            </w:pPr>
            <w:r>
              <w:rPr>
                <w:rFonts w:hint="eastAsia"/>
              </w:rPr>
              <w:t>426,981,690.96</w:t>
            </w:r>
          </w:p>
        </w:tc>
        <w:tc>
          <w:tcPr>
            <w:tcW w:w="2497" w:type="dxa"/>
            <w:vAlign w:val="center"/>
          </w:tcPr>
          <w:p w14:paraId="1EA380C4">
            <w:pPr>
              <w:jc w:val="right"/>
            </w:pPr>
            <w:r>
              <w:rPr>
                <w:rFonts w:hint="eastAsia"/>
              </w:rPr>
              <w:t>5.49</w:t>
            </w:r>
          </w:p>
        </w:tc>
      </w:tr>
      <w:tr w14:paraId="6CAE9E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39FEC86">
            <w:pPr>
              <w:jc w:val="center"/>
            </w:pPr>
          </w:p>
        </w:tc>
        <w:tc>
          <w:tcPr>
            <w:tcW w:w="2768" w:type="dxa"/>
            <w:vAlign w:val="center"/>
          </w:tcPr>
          <w:p w14:paraId="34AAA8FA">
            <w:r>
              <w:rPr>
                <w:rFonts w:hint="eastAsia"/>
              </w:rPr>
              <w:t>其中：政策性金融债</w:t>
            </w:r>
          </w:p>
        </w:tc>
        <w:tc>
          <w:tcPr>
            <w:tcW w:w="2408" w:type="dxa"/>
            <w:vAlign w:val="center"/>
          </w:tcPr>
          <w:p w14:paraId="2115F318">
            <w:pPr>
              <w:jc w:val="right"/>
            </w:pPr>
            <w:r>
              <w:rPr>
                <w:rFonts w:hint="eastAsia"/>
              </w:rPr>
              <w:t>406,555,665.75</w:t>
            </w:r>
          </w:p>
        </w:tc>
        <w:tc>
          <w:tcPr>
            <w:tcW w:w="2497" w:type="dxa"/>
            <w:vAlign w:val="center"/>
          </w:tcPr>
          <w:p w14:paraId="49C1A9DE">
            <w:pPr>
              <w:jc w:val="right"/>
            </w:pPr>
            <w:r>
              <w:rPr>
                <w:rFonts w:hint="eastAsia"/>
              </w:rPr>
              <w:t>5.23</w:t>
            </w:r>
          </w:p>
        </w:tc>
      </w:tr>
      <w:tr w14:paraId="11B9A0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9C8D1E3">
            <w:pPr>
              <w:jc w:val="center"/>
            </w:pPr>
            <w:r>
              <w:rPr>
                <w:rFonts w:hint="eastAsia"/>
              </w:rPr>
              <w:t>4</w:t>
            </w:r>
          </w:p>
        </w:tc>
        <w:tc>
          <w:tcPr>
            <w:tcW w:w="2768" w:type="dxa"/>
            <w:vAlign w:val="center"/>
          </w:tcPr>
          <w:p w14:paraId="7F7FD2DE">
            <w:r>
              <w:rPr>
                <w:rFonts w:hint="eastAsia"/>
              </w:rPr>
              <w:t>企业债券</w:t>
            </w:r>
          </w:p>
        </w:tc>
        <w:tc>
          <w:tcPr>
            <w:tcW w:w="2408" w:type="dxa"/>
            <w:vAlign w:val="center"/>
          </w:tcPr>
          <w:p w14:paraId="04FD79D8">
            <w:pPr>
              <w:jc w:val="right"/>
            </w:pPr>
            <w:r>
              <w:rPr>
                <w:rFonts w:hint="eastAsia"/>
              </w:rPr>
              <w:t>-</w:t>
            </w:r>
          </w:p>
        </w:tc>
        <w:tc>
          <w:tcPr>
            <w:tcW w:w="2497" w:type="dxa"/>
            <w:vAlign w:val="center"/>
          </w:tcPr>
          <w:p w14:paraId="4BB57E9F">
            <w:pPr>
              <w:jc w:val="right"/>
            </w:pPr>
            <w:r>
              <w:rPr>
                <w:rFonts w:hint="eastAsia"/>
              </w:rPr>
              <w:t>-</w:t>
            </w:r>
          </w:p>
        </w:tc>
      </w:tr>
      <w:tr w14:paraId="4BBA59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DD3B0BE">
            <w:pPr>
              <w:jc w:val="center"/>
            </w:pPr>
            <w:r>
              <w:rPr>
                <w:rFonts w:hint="eastAsia"/>
              </w:rPr>
              <w:t>5</w:t>
            </w:r>
          </w:p>
        </w:tc>
        <w:tc>
          <w:tcPr>
            <w:tcW w:w="2768" w:type="dxa"/>
            <w:vAlign w:val="center"/>
          </w:tcPr>
          <w:p w14:paraId="7993C9B0">
            <w:r>
              <w:rPr>
                <w:rFonts w:hint="eastAsia"/>
              </w:rPr>
              <w:t>企业短期融资券</w:t>
            </w:r>
          </w:p>
        </w:tc>
        <w:tc>
          <w:tcPr>
            <w:tcW w:w="2408" w:type="dxa"/>
            <w:vAlign w:val="center"/>
          </w:tcPr>
          <w:p w14:paraId="2CB67E99">
            <w:pPr>
              <w:jc w:val="right"/>
            </w:pPr>
            <w:r>
              <w:rPr>
                <w:rFonts w:hint="eastAsia"/>
              </w:rPr>
              <w:t>211,110,105.75</w:t>
            </w:r>
          </w:p>
        </w:tc>
        <w:tc>
          <w:tcPr>
            <w:tcW w:w="2497" w:type="dxa"/>
            <w:vAlign w:val="center"/>
          </w:tcPr>
          <w:p w14:paraId="57072F36">
            <w:pPr>
              <w:jc w:val="right"/>
            </w:pPr>
            <w:r>
              <w:rPr>
                <w:rFonts w:hint="eastAsia"/>
              </w:rPr>
              <w:t>2.71</w:t>
            </w:r>
          </w:p>
        </w:tc>
      </w:tr>
      <w:tr w14:paraId="536D91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C473970">
            <w:pPr>
              <w:jc w:val="center"/>
            </w:pPr>
            <w:r>
              <w:rPr>
                <w:rFonts w:hint="eastAsia"/>
              </w:rPr>
              <w:t>6</w:t>
            </w:r>
          </w:p>
        </w:tc>
        <w:tc>
          <w:tcPr>
            <w:tcW w:w="2768" w:type="dxa"/>
            <w:vAlign w:val="center"/>
          </w:tcPr>
          <w:p w14:paraId="6EAB7B9E">
            <w:r>
              <w:rPr>
                <w:rFonts w:hint="eastAsia"/>
              </w:rPr>
              <w:t>中期票据</w:t>
            </w:r>
          </w:p>
        </w:tc>
        <w:tc>
          <w:tcPr>
            <w:tcW w:w="2408" w:type="dxa"/>
            <w:vAlign w:val="center"/>
          </w:tcPr>
          <w:p w14:paraId="10879332">
            <w:pPr>
              <w:jc w:val="right"/>
            </w:pPr>
            <w:r>
              <w:rPr>
                <w:rFonts w:hint="eastAsia"/>
              </w:rPr>
              <w:t>90,945,504.11</w:t>
            </w:r>
          </w:p>
        </w:tc>
        <w:tc>
          <w:tcPr>
            <w:tcW w:w="2497" w:type="dxa"/>
            <w:vAlign w:val="center"/>
          </w:tcPr>
          <w:p w14:paraId="2C0E0346">
            <w:pPr>
              <w:jc w:val="right"/>
            </w:pPr>
            <w:r>
              <w:rPr>
                <w:rFonts w:hint="eastAsia"/>
              </w:rPr>
              <w:t>1.17</w:t>
            </w:r>
          </w:p>
        </w:tc>
      </w:tr>
      <w:tr w14:paraId="4FA41C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FE96845">
            <w:pPr>
              <w:jc w:val="center"/>
            </w:pPr>
            <w:r>
              <w:rPr>
                <w:rFonts w:hint="eastAsia"/>
              </w:rPr>
              <w:t>7</w:t>
            </w:r>
          </w:p>
        </w:tc>
        <w:tc>
          <w:tcPr>
            <w:tcW w:w="2768" w:type="dxa"/>
            <w:vAlign w:val="center"/>
          </w:tcPr>
          <w:p w14:paraId="3774A7DA">
            <w:r>
              <w:rPr>
                <w:rFonts w:hint="eastAsia"/>
              </w:rPr>
              <w:t>可转债（可交换债）</w:t>
            </w:r>
          </w:p>
        </w:tc>
        <w:tc>
          <w:tcPr>
            <w:tcW w:w="2408" w:type="dxa"/>
            <w:vAlign w:val="center"/>
          </w:tcPr>
          <w:p w14:paraId="31B06F32">
            <w:pPr>
              <w:jc w:val="right"/>
            </w:pPr>
            <w:r>
              <w:rPr>
                <w:rFonts w:hint="eastAsia"/>
              </w:rPr>
              <w:t>-</w:t>
            </w:r>
          </w:p>
        </w:tc>
        <w:tc>
          <w:tcPr>
            <w:tcW w:w="2497" w:type="dxa"/>
            <w:vAlign w:val="center"/>
          </w:tcPr>
          <w:p w14:paraId="7ECC63EC">
            <w:pPr>
              <w:jc w:val="right"/>
            </w:pPr>
            <w:r>
              <w:rPr>
                <w:rFonts w:hint="eastAsia"/>
              </w:rPr>
              <w:t>-</w:t>
            </w:r>
          </w:p>
        </w:tc>
      </w:tr>
      <w:tr w14:paraId="46EA75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A3BB964">
            <w:pPr>
              <w:jc w:val="center"/>
            </w:pPr>
            <w:r>
              <w:rPr>
                <w:rFonts w:hint="eastAsia"/>
              </w:rPr>
              <w:t>8</w:t>
            </w:r>
          </w:p>
        </w:tc>
        <w:tc>
          <w:tcPr>
            <w:tcW w:w="2768" w:type="dxa"/>
            <w:vAlign w:val="center"/>
          </w:tcPr>
          <w:p w14:paraId="723C60C2">
            <w:r>
              <w:rPr>
                <w:rFonts w:hint="eastAsia"/>
              </w:rPr>
              <w:t>同业存单</w:t>
            </w:r>
          </w:p>
        </w:tc>
        <w:tc>
          <w:tcPr>
            <w:tcW w:w="2408" w:type="dxa"/>
            <w:vAlign w:val="center"/>
          </w:tcPr>
          <w:p w14:paraId="3BD260CB">
            <w:pPr>
              <w:jc w:val="right"/>
            </w:pPr>
            <w:r>
              <w:rPr>
                <w:rFonts w:hint="eastAsia"/>
              </w:rPr>
              <w:t>8,408,803,699.45</w:t>
            </w:r>
          </w:p>
        </w:tc>
        <w:tc>
          <w:tcPr>
            <w:tcW w:w="2497" w:type="dxa"/>
            <w:vAlign w:val="center"/>
          </w:tcPr>
          <w:p w14:paraId="0D0580FF">
            <w:pPr>
              <w:jc w:val="right"/>
            </w:pPr>
            <w:r>
              <w:rPr>
                <w:rFonts w:hint="eastAsia"/>
              </w:rPr>
              <w:t>108.08</w:t>
            </w:r>
          </w:p>
        </w:tc>
      </w:tr>
      <w:tr w14:paraId="232C19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B53BBF4">
            <w:pPr>
              <w:jc w:val="center"/>
            </w:pPr>
            <w:r>
              <w:rPr>
                <w:rFonts w:hint="eastAsia"/>
              </w:rPr>
              <w:t>9</w:t>
            </w:r>
          </w:p>
        </w:tc>
        <w:tc>
          <w:tcPr>
            <w:tcW w:w="2768" w:type="dxa"/>
            <w:vAlign w:val="center"/>
          </w:tcPr>
          <w:p w14:paraId="0E84839B">
            <w:r>
              <w:rPr>
                <w:rFonts w:hint="eastAsia"/>
              </w:rPr>
              <w:t>其他</w:t>
            </w:r>
          </w:p>
        </w:tc>
        <w:tc>
          <w:tcPr>
            <w:tcW w:w="2408" w:type="dxa"/>
            <w:vAlign w:val="center"/>
          </w:tcPr>
          <w:p w14:paraId="44108038">
            <w:pPr>
              <w:jc w:val="right"/>
            </w:pPr>
            <w:r>
              <w:rPr>
                <w:rFonts w:hint="eastAsia"/>
              </w:rPr>
              <w:t>-</w:t>
            </w:r>
          </w:p>
        </w:tc>
        <w:tc>
          <w:tcPr>
            <w:tcW w:w="2497" w:type="dxa"/>
            <w:vAlign w:val="center"/>
          </w:tcPr>
          <w:p w14:paraId="08473441">
            <w:pPr>
              <w:jc w:val="right"/>
            </w:pPr>
            <w:r>
              <w:rPr>
                <w:rFonts w:hint="eastAsia"/>
              </w:rPr>
              <w:t>-</w:t>
            </w:r>
          </w:p>
        </w:tc>
      </w:tr>
      <w:tr w14:paraId="63F83C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370D7D4">
            <w:pPr>
              <w:jc w:val="center"/>
            </w:pPr>
            <w:r>
              <w:rPr>
                <w:rFonts w:hint="eastAsia"/>
              </w:rPr>
              <w:t>10</w:t>
            </w:r>
          </w:p>
        </w:tc>
        <w:tc>
          <w:tcPr>
            <w:tcW w:w="2768" w:type="dxa"/>
            <w:vAlign w:val="center"/>
          </w:tcPr>
          <w:p w14:paraId="2AEC1ABB">
            <w:r>
              <w:rPr>
                <w:rFonts w:hint="eastAsia"/>
              </w:rPr>
              <w:t>合计</w:t>
            </w:r>
          </w:p>
        </w:tc>
        <w:tc>
          <w:tcPr>
            <w:tcW w:w="2408" w:type="dxa"/>
            <w:vAlign w:val="center"/>
          </w:tcPr>
          <w:p w14:paraId="03F5C2D3">
            <w:pPr>
              <w:jc w:val="right"/>
            </w:pPr>
            <w:r>
              <w:rPr>
                <w:rFonts w:hint="eastAsia"/>
              </w:rPr>
              <w:t>9,137,841,000.27</w:t>
            </w:r>
          </w:p>
        </w:tc>
        <w:tc>
          <w:tcPr>
            <w:tcW w:w="2497" w:type="dxa"/>
            <w:vAlign w:val="center"/>
          </w:tcPr>
          <w:p w14:paraId="136C7403">
            <w:pPr>
              <w:jc w:val="right"/>
            </w:pPr>
            <w:r>
              <w:rPr>
                <w:rFonts w:hint="eastAsia"/>
              </w:rPr>
              <w:t>117.45</w:t>
            </w:r>
          </w:p>
        </w:tc>
      </w:tr>
    </w:tbl>
    <w:p w14:paraId="41253783">
      <w:pPr>
        <w:pStyle w:val="23"/>
      </w:pPr>
      <w:bookmarkStart w:id="163" w:name="_Toc6671"/>
      <w:r>
        <w:t>期末按公允价值占基金资产净值比例大小排序的前五名债券投资明细</w:t>
      </w:r>
      <w:bookmarkEnd w:id="163"/>
    </w:p>
    <w:p w14:paraId="62C2D073">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1135"/>
        <w:gridCol w:w="1882"/>
        <w:gridCol w:w="1113"/>
        <w:gridCol w:w="1771"/>
        <w:gridCol w:w="1771"/>
      </w:tblGrid>
      <w:tr w14:paraId="5DE4F8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0E028D33">
            <w:pPr>
              <w:jc w:val="center"/>
            </w:pPr>
            <w:r>
              <w:rPr>
                <w:rFonts w:hint="eastAsia"/>
                <w:b/>
              </w:rPr>
              <w:t>序号</w:t>
            </w:r>
          </w:p>
        </w:tc>
        <w:tc>
          <w:tcPr>
            <w:tcW w:w="1135" w:type="dxa"/>
            <w:shd w:val="clear" w:color="auto" w:fill="BFBFBF"/>
            <w:vAlign w:val="center"/>
          </w:tcPr>
          <w:p w14:paraId="065EF483">
            <w:pPr>
              <w:jc w:val="center"/>
            </w:pPr>
            <w:r>
              <w:rPr>
                <w:rFonts w:hint="eastAsia"/>
                <w:b/>
              </w:rPr>
              <w:t>债券代码</w:t>
            </w:r>
          </w:p>
        </w:tc>
        <w:tc>
          <w:tcPr>
            <w:tcW w:w="1882" w:type="dxa"/>
            <w:shd w:val="clear" w:color="auto" w:fill="BFBFBF"/>
            <w:vAlign w:val="center"/>
          </w:tcPr>
          <w:p w14:paraId="45CDB82A">
            <w:pPr>
              <w:jc w:val="center"/>
            </w:pPr>
            <w:r>
              <w:rPr>
                <w:rFonts w:hint="eastAsia"/>
                <w:b/>
              </w:rPr>
              <w:t>债券名称</w:t>
            </w:r>
          </w:p>
        </w:tc>
        <w:tc>
          <w:tcPr>
            <w:tcW w:w="1113" w:type="dxa"/>
            <w:shd w:val="clear" w:color="auto" w:fill="BFBFBF"/>
            <w:vAlign w:val="center"/>
          </w:tcPr>
          <w:p w14:paraId="0F5C2B05">
            <w:pPr>
              <w:jc w:val="center"/>
            </w:pPr>
            <w:r>
              <w:rPr>
                <w:rFonts w:hint="eastAsia"/>
                <w:b/>
              </w:rPr>
              <w:t>数量（张）</w:t>
            </w:r>
          </w:p>
        </w:tc>
        <w:tc>
          <w:tcPr>
            <w:tcW w:w="1771" w:type="dxa"/>
            <w:shd w:val="clear" w:color="auto" w:fill="BFBFBF"/>
            <w:vAlign w:val="center"/>
          </w:tcPr>
          <w:p w14:paraId="7F31ADEC">
            <w:pPr>
              <w:jc w:val="center"/>
            </w:pPr>
            <w:r>
              <w:rPr>
                <w:rFonts w:hint="eastAsia"/>
                <w:b/>
              </w:rPr>
              <w:t>公允价值（元）</w:t>
            </w:r>
          </w:p>
        </w:tc>
        <w:tc>
          <w:tcPr>
            <w:tcW w:w="1771" w:type="dxa"/>
            <w:shd w:val="clear" w:color="auto" w:fill="BFBFBF"/>
            <w:vAlign w:val="center"/>
          </w:tcPr>
          <w:p w14:paraId="68F1CC0E">
            <w:pPr>
              <w:jc w:val="center"/>
            </w:pPr>
            <w:r>
              <w:rPr>
                <w:rFonts w:hint="eastAsia"/>
                <w:b/>
              </w:rPr>
              <w:t>占基金资产净值比例（％）</w:t>
            </w:r>
          </w:p>
        </w:tc>
      </w:tr>
      <w:tr w14:paraId="7662C8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5E129E1">
            <w:pPr>
              <w:jc w:val="center"/>
            </w:pPr>
            <w:r>
              <w:rPr>
                <w:rFonts w:hint="eastAsia"/>
              </w:rPr>
              <w:t>1</w:t>
            </w:r>
          </w:p>
        </w:tc>
        <w:tc>
          <w:tcPr>
            <w:tcW w:w="1135" w:type="dxa"/>
            <w:vAlign w:val="center"/>
          </w:tcPr>
          <w:p w14:paraId="6914DF83">
            <w:r>
              <w:rPr>
                <w:rFonts w:hint="eastAsia"/>
              </w:rPr>
              <w:t>210208</w:t>
            </w:r>
          </w:p>
        </w:tc>
        <w:tc>
          <w:tcPr>
            <w:tcW w:w="1882" w:type="dxa"/>
            <w:vAlign w:val="center"/>
          </w:tcPr>
          <w:p w14:paraId="5233EC2F">
            <w:r>
              <w:rPr>
                <w:rFonts w:hint="eastAsia"/>
              </w:rPr>
              <w:t>21国开08</w:t>
            </w:r>
          </w:p>
        </w:tc>
        <w:tc>
          <w:tcPr>
            <w:tcW w:w="1113" w:type="dxa"/>
            <w:vAlign w:val="center"/>
          </w:tcPr>
          <w:p w14:paraId="65DA9F21">
            <w:pPr>
              <w:jc w:val="right"/>
            </w:pPr>
            <w:r>
              <w:rPr>
                <w:rFonts w:hint="eastAsia"/>
              </w:rPr>
              <w:t>2,200,000</w:t>
            </w:r>
          </w:p>
        </w:tc>
        <w:tc>
          <w:tcPr>
            <w:tcW w:w="1771" w:type="dxa"/>
            <w:vAlign w:val="center"/>
          </w:tcPr>
          <w:p w14:paraId="43E8F5F6">
            <w:pPr>
              <w:jc w:val="right"/>
            </w:pPr>
            <w:r>
              <w:rPr>
                <w:rFonts w:hint="eastAsia"/>
              </w:rPr>
              <w:t>223,885,501.37</w:t>
            </w:r>
          </w:p>
        </w:tc>
        <w:tc>
          <w:tcPr>
            <w:tcW w:w="1771" w:type="dxa"/>
            <w:vAlign w:val="center"/>
          </w:tcPr>
          <w:p w14:paraId="4C9240E3">
            <w:pPr>
              <w:jc w:val="right"/>
            </w:pPr>
            <w:r>
              <w:rPr>
                <w:rFonts w:hint="eastAsia"/>
              </w:rPr>
              <w:t>2.88</w:t>
            </w:r>
          </w:p>
        </w:tc>
      </w:tr>
      <w:tr w14:paraId="1AB43199">
        <w:tblPrEx>
          <w:tblCellMar>
            <w:top w:w="0" w:type="dxa"/>
            <w:left w:w="108" w:type="dxa"/>
            <w:bottom w:w="0" w:type="dxa"/>
            <w:right w:w="108" w:type="dxa"/>
          </w:tblCellMar>
        </w:tblPrEx>
        <w:trPr>
          <w:jc w:val="center"/>
        </w:trPr>
        <w:tc>
          <w:tcPr>
            <w:tcW w:w="631" w:type="dxa"/>
            <w:vAlign w:val="center"/>
          </w:tcPr>
          <w:p w14:paraId="646AFD42">
            <w:pPr>
              <w:jc w:val="center"/>
            </w:pPr>
            <w:r>
              <w:rPr>
                <w:rFonts w:hint="eastAsia"/>
              </w:rPr>
              <w:t>2</w:t>
            </w:r>
          </w:p>
        </w:tc>
        <w:tc>
          <w:tcPr>
            <w:tcW w:w="1135" w:type="dxa"/>
            <w:vAlign w:val="center"/>
          </w:tcPr>
          <w:p w14:paraId="011AB9F4">
            <w:r>
              <w:rPr>
                <w:rFonts w:hint="eastAsia"/>
              </w:rPr>
              <w:t>112520203</w:t>
            </w:r>
          </w:p>
        </w:tc>
        <w:tc>
          <w:tcPr>
            <w:tcW w:w="1882" w:type="dxa"/>
            <w:vAlign w:val="center"/>
          </w:tcPr>
          <w:p w14:paraId="06BD2069">
            <w:r>
              <w:rPr>
                <w:rFonts w:hint="eastAsia"/>
              </w:rPr>
              <w:t>25广发银行CD203</w:t>
            </w:r>
          </w:p>
        </w:tc>
        <w:tc>
          <w:tcPr>
            <w:tcW w:w="1113" w:type="dxa"/>
            <w:vAlign w:val="center"/>
          </w:tcPr>
          <w:p w14:paraId="564A63DE">
            <w:pPr>
              <w:jc w:val="right"/>
            </w:pPr>
            <w:r>
              <w:rPr>
                <w:rFonts w:hint="eastAsia"/>
              </w:rPr>
              <w:t>2,000,000</w:t>
            </w:r>
          </w:p>
        </w:tc>
        <w:tc>
          <w:tcPr>
            <w:tcW w:w="1771" w:type="dxa"/>
            <w:vAlign w:val="center"/>
          </w:tcPr>
          <w:p w14:paraId="4A94D214">
            <w:pPr>
              <w:jc w:val="right"/>
            </w:pPr>
            <w:r>
              <w:rPr>
                <w:rFonts w:hint="eastAsia"/>
              </w:rPr>
              <w:t>198,215,125.48</w:t>
            </w:r>
          </w:p>
        </w:tc>
        <w:tc>
          <w:tcPr>
            <w:tcW w:w="1771" w:type="dxa"/>
            <w:vAlign w:val="center"/>
          </w:tcPr>
          <w:p w14:paraId="73BF2987">
            <w:pPr>
              <w:jc w:val="right"/>
            </w:pPr>
            <w:r>
              <w:rPr>
                <w:rFonts w:hint="eastAsia"/>
              </w:rPr>
              <w:t>2.55</w:t>
            </w:r>
          </w:p>
        </w:tc>
      </w:tr>
      <w:tr w14:paraId="33C840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87C8970">
            <w:pPr>
              <w:jc w:val="center"/>
            </w:pPr>
            <w:r>
              <w:rPr>
                <w:rFonts w:hint="eastAsia"/>
              </w:rPr>
              <w:t>3</w:t>
            </w:r>
          </w:p>
        </w:tc>
        <w:tc>
          <w:tcPr>
            <w:tcW w:w="1135" w:type="dxa"/>
            <w:vAlign w:val="center"/>
          </w:tcPr>
          <w:p w14:paraId="2C5055F7">
            <w:r>
              <w:rPr>
                <w:rFonts w:hint="eastAsia"/>
              </w:rPr>
              <w:t>112508218</w:t>
            </w:r>
          </w:p>
        </w:tc>
        <w:tc>
          <w:tcPr>
            <w:tcW w:w="1882" w:type="dxa"/>
            <w:vAlign w:val="center"/>
          </w:tcPr>
          <w:p w14:paraId="0FCBDFC2">
            <w:r>
              <w:rPr>
                <w:rFonts w:hint="eastAsia"/>
              </w:rPr>
              <w:t>25中信银行CD218</w:t>
            </w:r>
          </w:p>
        </w:tc>
        <w:tc>
          <w:tcPr>
            <w:tcW w:w="1113" w:type="dxa"/>
            <w:vAlign w:val="center"/>
          </w:tcPr>
          <w:p w14:paraId="2FA08565">
            <w:pPr>
              <w:jc w:val="right"/>
            </w:pPr>
            <w:r>
              <w:rPr>
                <w:rFonts w:hint="eastAsia"/>
              </w:rPr>
              <w:t>2,000,000</w:t>
            </w:r>
          </w:p>
        </w:tc>
        <w:tc>
          <w:tcPr>
            <w:tcW w:w="1771" w:type="dxa"/>
            <w:vAlign w:val="center"/>
          </w:tcPr>
          <w:p w14:paraId="6F85B859">
            <w:pPr>
              <w:jc w:val="right"/>
            </w:pPr>
            <w:r>
              <w:rPr>
                <w:rFonts w:hint="eastAsia"/>
              </w:rPr>
              <w:t>198,214,947.40</w:t>
            </w:r>
          </w:p>
        </w:tc>
        <w:tc>
          <w:tcPr>
            <w:tcW w:w="1771" w:type="dxa"/>
            <w:vAlign w:val="center"/>
          </w:tcPr>
          <w:p w14:paraId="242FABA5">
            <w:pPr>
              <w:jc w:val="right"/>
            </w:pPr>
            <w:r>
              <w:rPr>
                <w:rFonts w:hint="eastAsia"/>
              </w:rPr>
              <w:t>2.55</w:t>
            </w:r>
          </w:p>
        </w:tc>
      </w:tr>
      <w:tr w14:paraId="1CFA9CC4">
        <w:tblPrEx>
          <w:tblCellMar>
            <w:top w:w="0" w:type="dxa"/>
            <w:left w:w="108" w:type="dxa"/>
            <w:bottom w:w="0" w:type="dxa"/>
            <w:right w:w="108" w:type="dxa"/>
          </w:tblCellMar>
        </w:tblPrEx>
        <w:trPr>
          <w:jc w:val="center"/>
        </w:trPr>
        <w:tc>
          <w:tcPr>
            <w:tcW w:w="631" w:type="dxa"/>
            <w:vAlign w:val="center"/>
          </w:tcPr>
          <w:p w14:paraId="2119BCBB">
            <w:pPr>
              <w:jc w:val="center"/>
            </w:pPr>
            <w:r>
              <w:rPr>
                <w:rFonts w:hint="eastAsia"/>
              </w:rPr>
              <w:t>4</w:t>
            </w:r>
          </w:p>
        </w:tc>
        <w:tc>
          <w:tcPr>
            <w:tcW w:w="1135" w:type="dxa"/>
            <w:vAlign w:val="center"/>
          </w:tcPr>
          <w:p w14:paraId="264C8B7B">
            <w:r>
              <w:rPr>
                <w:rFonts w:hint="eastAsia"/>
              </w:rPr>
              <w:t>112520235</w:t>
            </w:r>
          </w:p>
        </w:tc>
        <w:tc>
          <w:tcPr>
            <w:tcW w:w="1882" w:type="dxa"/>
            <w:vAlign w:val="center"/>
          </w:tcPr>
          <w:p w14:paraId="3C61DB50">
            <w:r>
              <w:rPr>
                <w:rFonts w:hint="eastAsia"/>
              </w:rPr>
              <w:t>25广发银行CD235</w:t>
            </w:r>
          </w:p>
        </w:tc>
        <w:tc>
          <w:tcPr>
            <w:tcW w:w="1113" w:type="dxa"/>
            <w:vAlign w:val="center"/>
          </w:tcPr>
          <w:p w14:paraId="3706A9C3">
            <w:pPr>
              <w:jc w:val="right"/>
            </w:pPr>
            <w:r>
              <w:rPr>
                <w:rFonts w:hint="eastAsia"/>
              </w:rPr>
              <w:t>2,000,000</w:t>
            </w:r>
          </w:p>
        </w:tc>
        <w:tc>
          <w:tcPr>
            <w:tcW w:w="1771" w:type="dxa"/>
            <w:vAlign w:val="center"/>
          </w:tcPr>
          <w:p w14:paraId="29FF80A1">
            <w:pPr>
              <w:jc w:val="right"/>
            </w:pPr>
            <w:r>
              <w:rPr>
                <w:rFonts w:hint="eastAsia"/>
              </w:rPr>
              <w:t>197,802,838.36</w:t>
            </w:r>
          </w:p>
        </w:tc>
        <w:tc>
          <w:tcPr>
            <w:tcW w:w="1771" w:type="dxa"/>
            <w:vAlign w:val="center"/>
          </w:tcPr>
          <w:p w14:paraId="65EA1104">
            <w:pPr>
              <w:jc w:val="right"/>
            </w:pPr>
            <w:r>
              <w:rPr>
                <w:rFonts w:hint="eastAsia"/>
              </w:rPr>
              <w:t>2.54</w:t>
            </w:r>
          </w:p>
        </w:tc>
      </w:tr>
      <w:tr w14:paraId="5C779E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E06ADCB">
            <w:pPr>
              <w:jc w:val="center"/>
            </w:pPr>
            <w:r>
              <w:rPr>
                <w:rFonts w:hint="eastAsia"/>
              </w:rPr>
              <w:t>5</w:t>
            </w:r>
          </w:p>
        </w:tc>
        <w:tc>
          <w:tcPr>
            <w:tcW w:w="1135" w:type="dxa"/>
            <w:vAlign w:val="center"/>
          </w:tcPr>
          <w:p w14:paraId="26B98C5F">
            <w:r>
              <w:rPr>
                <w:rFonts w:hint="eastAsia"/>
              </w:rPr>
              <w:t>112514197</w:t>
            </w:r>
          </w:p>
        </w:tc>
        <w:tc>
          <w:tcPr>
            <w:tcW w:w="1882" w:type="dxa"/>
            <w:vAlign w:val="center"/>
          </w:tcPr>
          <w:p w14:paraId="1279ACEA">
            <w:r>
              <w:rPr>
                <w:rFonts w:hint="eastAsia"/>
              </w:rPr>
              <w:t>25江苏银行CD197</w:t>
            </w:r>
          </w:p>
        </w:tc>
        <w:tc>
          <w:tcPr>
            <w:tcW w:w="1113" w:type="dxa"/>
            <w:vAlign w:val="center"/>
          </w:tcPr>
          <w:p w14:paraId="65FA3C37">
            <w:pPr>
              <w:jc w:val="right"/>
            </w:pPr>
            <w:r>
              <w:rPr>
                <w:rFonts w:hint="eastAsia"/>
              </w:rPr>
              <w:t>2,000,000</w:t>
            </w:r>
          </w:p>
        </w:tc>
        <w:tc>
          <w:tcPr>
            <w:tcW w:w="1771" w:type="dxa"/>
            <w:vAlign w:val="center"/>
          </w:tcPr>
          <w:p w14:paraId="568C3FA3">
            <w:pPr>
              <w:jc w:val="right"/>
            </w:pPr>
            <w:r>
              <w:rPr>
                <w:rFonts w:hint="eastAsia"/>
              </w:rPr>
              <w:t>197,749,781.75</w:t>
            </w:r>
          </w:p>
        </w:tc>
        <w:tc>
          <w:tcPr>
            <w:tcW w:w="1771" w:type="dxa"/>
            <w:vAlign w:val="center"/>
          </w:tcPr>
          <w:p w14:paraId="2237221B">
            <w:pPr>
              <w:jc w:val="right"/>
            </w:pPr>
            <w:r>
              <w:rPr>
                <w:rFonts w:hint="eastAsia"/>
              </w:rPr>
              <w:t>2.54</w:t>
            </w:r>
          </w:p>
        </w:tc>
      </w:tr>
    </w:tbl>
    <w:p w14:paraId="06C15E52">
      <w:pPr>
        <w:pStyle w:val="23"/>
      </w:pPr>
      <w:bookmarkStart w:id="164" w:name="_Toc4185"/>
      <w:r>
        <w:t>期末按公允价值占基金资产净值比例大小排序的所有资产支持证券投资明细</w:t>
      </w:r>
      <w:bookmarkEnd w:id="164"/>
    </w:p>
    <w:p w14:paraId="2CD5995A">
      <w:pPr>
        <w:pStyle w:val="18"/>
        <w:rPr>
          <w:rFonts w:hint="eastAsia"/>
        </w:rPr>
      </w:pPr>
      <w:r>
        <w:rPr>
          <w:rFonts w:hint="eastAsia"/>
        </w:rPr>
        <w:t>无。</w:t>
      </w:r>
    </w:p>
    <w:p w14:paraId="3C70DEC7">
      <w:pPr>
        <w:pStyle w:val="23"/>
      </w:pPr>
      <w:bookmarkStart w:id="165" w:name="_Toc29804"/>
      <w:r>
        <w:t>报告期末按公允价值占基金资产净值比例大小排序的前五名贵金属投资明细</w:t>
      </w:r>
      <w:bookmarkEnd w:id="165"/>
    </w:p>
    <w:p w14:paraId="437D5836">
      <w:pPr>
        <w:pStyle w:val="18"/>
        <w:rPr>
          <w:rFonts w:hint="eastAsia"/>
        </w:rPr>
      </w:pPr>
      <w:r>
        <w:rPr>
          <w:rFonts w:hint="eastAsia"/>
        </w:rPr>
        <w:t>无。</w:t>
      </w:r>
    </w:p>
    <w:p w14:paraId="05E8321C">
      <w:pPr>
        <w:pStyle w:val="23"/>
      </w:pPr>
      <w:bookmarkStart w:id="166" w:name="_Toc21899"/>
      <w:r>
        <w:t>期末按公允价值占基金资产净值比例大小排序的前五名权证投资明细</w:t>
      </w:r>
      <w:bookmarkEnd w:id="166"/>
    </w:p>
    <w:p w14:paraId="06DD5F81">
      <w:pPr>
        <w:pStyle w:val="18"/>
        <w:rPr>
          <w:rFonts w:hint="eastAsia"/>
        </w:rPr>
      </w:pPr>
      <w:r>
        <w:rPr>
          <w:rFonts w:hint="eastAsia"/>
        </w:rPr>
        <w:t>无。</w:t>
      </w:r>
    </w:p>
    <w:p w14:paraId="0B9AECEC">
      <w:pPr>
        <w:pStyle w:val="23"/>
      </w:pPr>
      <w:bookmarkStart w:id="167" w:name="_Toc9111"/>
      <w:r>
        <w:t>本基金投资股指期货的投资政策</w:t>
      </w:r>
      <w:bookmarkEnd w:id="167"/>
    </w:p>
    <w:p w14:paraId="2ED37EC4">
      <w:pPr>
        <w:pStyle w:val="18"/>
        <w:rPr>
          <w:rFonts w:hint="eastAsia"/>
        </w:rPr>
      </w:pPr>
      <w:r>
        <w:rPr>
          <w:rFonts w:hint="eastAsia"/>
        </w:rPr>
        <w:t>无。</w:t>
      </w:r>
    </w:p>
    <w:p w14:paraId="364AC931">
      <w:pPr>
        <w:pStyle w:val="23"/>
      </w:pPr>
      <w:bookmarkStart w:id="168" w:name="_Toc22760"/>
      <w:r>
        <w:t>报告期末本基金投资的国债期货交易情况说明</w:t>
      </w:r>
      <w:bookmarkEnd w:id="168"/>
    </w:p>
    <w:p w14:paraId="29D59A6D">
      <w:pPr>
        <w:pStyle w:val="28"/>
      </w:pPr>
      <w:bookmarkStart w:id="169" w:name="_Toc169"/>
      <w:r>
        <w:t>本期国债期货投资政策</w:t>
      </w:r>
      <w:bookmarkEnd w:id="169"/>
    </w:p>
    <w:p w14:paraId="074C62F3">
      <w:pPr>
        <w:pStyle w:val="18"/>
        <w:rPr>
          <w:rFonts w:hint="eastAsia"/>
        </w:rPr>
      </w:pPr>
      <w:r>
        <w:rPr>
          <w:rFonts w:hint="eastAsia"/>
        </w:rPr>
        <w:t>无。</w:t>
      </w:r>
    </w:p>
    <w:p w14:paraId="388A6305">
      <w:pPr>
        <w:pStyle w:val="28"/>
      </w:pPr>
      <w:bookmarkStart w:id="170" w:name="_Toc170"/>
      <w:r>
        <w:t>本期国债期货投资评价</w:t>
      </w:r>
      <w:bookmarkEnd w:id="170"/>
    </w:p>
    <w:p w14:paraId="71F07539">
      <w:pPr>
        <w:pStyle w:val="18"/>
        <w:rPr>
          <w:rFonts w:hint="eastAsia"/>
        </w:rPr>
      </w:pPr>
      <w:r>
        <w:rPr>
          <w:rFonts w:hint="eastAsia"/>
        </w:rPr>
        <w:t>无。</w:t>
      </w:r>
    </w:p>
    <w:p w14:paraId="3B1230D7">
      <w:pPr>
        <w:pStyle w:val="23"/>
      </w:pPr>
      <w:bookmarkStart w:id="171" w:name="_Toc16265"/>
      <w:r>
        <w:t>投资组合报告附注</w:t>
      </w:r>
      <w:bookmarkEnd w:id="171"/>
    </w:p>
    <w:p w14:paraId="60051D85">
      <w:pPr>
        <w:pStyle w:val="28"/>
      </w:pPr>
      <w:bookmarkStart w:id="172" w:name="_Toc172"/>
      <w:r>
        <w:t>声明本基金投资的前十名证券的发行主体本期是否出现被监管部门立案调查，或在报告编制日前一年内受到公开谴责、处罚的情形。如是，还应对相关证券的投资决策程序做出说明</w:t>
      </w:r>
      <w:bookmarkEnd w:id="172"/>
    </w:p>
    <w:p w14:paraId="6A204A09">
      <w:pPr>
        <w:pStyle w:val="18"/>
        <w:rPr>
          <w:rFonts w:hint="eastAsia"/>
        </w:rPr>
      </w:pPr>
      <w:r>
        <w:rPr>
          <w:rFonts w:hint="eastAsia"/>
        </w:rPr>
        <w:t>本基金投资的前十名证券的发行主体中，国家开发银行在报告编制日前一年内曾受到中国人民银行的处罚；中国光大银行股份有限公司在报告编制日前一年内曾受到国家金融监督管理总局、中国人民银行的处罚；广发银行股份有限公司在报告编制日前一年内曾受到国家金融监督管理总局的处罚；华夏银行股份有限公司在报告编制日前一年内曾受到国家金融监督管理总局、中国人民银行的处罚；交通银行股份有限公司在报告编制日前一年内曾受到中国人民银行的处罚；中国银行股份有限公司在报告编制日前一年内曾受到国家金融监督管理总局的处罚；中信银行股份有限公司在报告编制日前一年内曾受到国家金融监督管理总局、中国人民银行的处罚。除上述证券的发行主体外，本基金投资的前十名证券的发行主体本期未有被监管部门立案调查，不存在报告编制日前一年内受到公开谴责、处罚的情形。</w:t>
      </w:r>
    </w:p>
    <w:p w14:paraId="5302E279">
      <w:pPr>
        <w:pStyle w:val="18"/>
        <w:rPr>
          <w:rFonts w:hint="eastAsia"/>
        </w:rPr>
      </w:pPr>
      <w:r>
        <w:rPr>
          <w:rFonts w:hint="eastAsia"/>
        </w:rPr>
        <w:t>对上述证券的投资决策程序的说明：本基金投资上述证券的投资决策程序符合相关法律法规和公司制度的要求。</w:t>
      </w:r>
    </w:p>
    <w:p w14:paraId="5FAA0AE6">
      <w:pPr>
        <w:pStyle w:val="28"/>
      </w:pPr>
      <w:bookmarkStart w:id="173" w:name="_Toc173"/>
      <w:r>
        <w:t xml:space="preserve">声明基金投资的前十名股票是否超出基金合同规定的备选股票库。如是，还应对相关股票的投资决策程序做出说明 </w:t>
      </w:r>
      <w:bookmarkEnd w:id="173"/>
    </w:p>
    <w:p w14:paraId="62428596">
      <w:pPr>
        <w:pStyle w:val="18"/>
        <w:rPr>
          <w:rFonts w:hint="eastAsia"/>
        </w:rPr>
      </w:pPr>
      <w:r>
        <w:rPr>
          <w:rFonts w:hint="eastAsia"/>
        </w:rPr>
        <w:t>本基金投资的前十名股票（如有）没有超出基金合同规定的备选股票库，本基金管理人从制度和流程上要求股票必须先入库再买入。</w:t>
      </w:r>
    </w:p>
    <w:p w14:paraId="01B0B081">
      <w:pPr>
        <w:pStyle w:val="28"/>
      </w:pPr>
      <w:bookmarkStart w:id="174" w:name="_Toc174"/>
      <w:r>
        <w:t>期末其他各项资产构成</w:t>
      </w:r>
      <w:bookmarkEnd w:id="174"/>
    </w:p>
    <w:p w14:paraId="40EE65EB">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5"/>
        <w:gridCol w:w="2907"/>
        <w:gridCol w:w="4673"/>
      </w:tblGrid>
      <w:tr w14:paraId="17377C71">
        <w:tblPrEx>
          <w:tblCellMar>
            <w:top w:w="0" w:type="dxa"/>
            <w:left w:w="108" w:type="dxa"/>
            <w:bottom w:w="0" w:type="dxa"/>
            <w:right w:w="108" w:type="dxa"/>
          </w:tblCellMar>
        </w:tblPrEx>
        <w:trPr>
          <w:jc w:val="center"/>
        </w:trPr>
        <w:tc>
          <w:tcPr>
            <w:tcW w:w="725" w:type="dxa"/>
            <w:shd w:val="clear" w:color="auto" w:fill="BFBFBF"/>
            <w:vAlign w:val="center"/>
          </w:tcPr>
          <w:p w14:paraId="2B07A11E">
            <w:pPr>
              <w:jc w:val="center"/>
            </w:pPr>
            <w:r>
              <w:rPr>
                <w:rFonts w:hint="eastAsia"/>
                <w:b/>
              </w:rPr>
              <w:t>序号</w:t>
            </w:r>
          </w:p>
        </w:tc>
        <w:tc>
          <w:tcPr>
            <w:tcW w:w="2907" w:type="dxa"/>
            <w:shd w:val="clear" w:color="auto" w:fill="BFBFBF"/>
            <w:vAlign w:val="center"/>
          </w:tcPr>
          <w:p w14:paraId="59C06167">
            <w:pPr>
              <w:jc w:val="center"/>
            </w:pPr>
            <w:r>
              <w:rPr>
                <w:rFonts w:hint="eastAsia"/>
                <w:b/>
              </w:rPr>
              <w:t>名称</w:t>
            </w:r>
          </w:p>
        </w:tc>
        <w:tc>
          <w:tcPr>
            <w:tcW w:w="4673" w:type="dxa"/>
            <w:shd w:val="clear" w:color="auto" w:fill="BFBFBF"/>
            <w:vAlign w:val="center"/>
          </w:tcPr>
          <w:p w14:paraId="1396FD89">
            <w:pPr>
              <w:jc w:val="center"/>
            </w:pPr>
            <w:r>
              <w:rPr>
                <w:rFonts w:hint="eastAsia"/>
                <w:b/>
              </w:rPr>
              <w:t>金额（元）</w:t>
            </w:r>
          </w:p>
        </w:tc>
      </w:tr>
      <w:tr w14:paraId="48E0F0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21259F97">
            <w:pPr>
              <w:jc w:val="center"/>
            </w:pPr>
            <w:r>
              <w:rPr>
                <w:rFonts w:hint="eastAsia"/>
              </w:rPr>
              <w:t>1</w:t>
            </w:r>
          </w:p>
        </w:tc>
        <w:tc>
          <w:tcPr>
            <w:tcW w:w="2907" w:type="dxa"/>
            <w:vAlign w:val="center"/>
          </w:tcPr>
          <w:p w14:paraId="140A64EA">
            <w:r>
              <w:rPr>
                <w:rFonts w:hint="eastAsia"/>
              </w:rPr>
              <w:t>存出保证金</w:t>
            </w:r>
          </w:p>
        </w:tc>
        <w:tc>
          <w:tcPr>
            <w:tcW w:w="4673" w:type="dxa"/>
            <w:vAlign w:val="center"/>
          </w:tcPr>
          <w:p w14:paraId="17257726">
            <w:pPr>
              <w:jc w:val="right"/>
            </w:pPr>
            <w:r>
              <w:rPr>
                <w:rFonts w:hint="eastAsia"/>
              </w:rPr>
              <w:t>5,861.66</w:t>
            </w:r>
          </w:p>
        </w:tc>
      </w:tr>
      <w:tr w14:paraId="6517B5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58F791C2">
            <w:pPr>
              <w:jc w:val="center"/>
            </w:pPr>
            <w:r>
              <w:rPr>
                <w:rFonts w:hint="eastAsia"/>
              </w:rPr>
              <w:t>2</w:t>
            </w:r>
          </w:p>
        </w:tc>
        <w:tc>
          <w:tcPr>
            <w:tcW w:w="2907" w:type="dxa"/>
            <w:vAlign w:val="center"/>
          </w:tcPr>
          <w:p w14:paraId="3957820B">
            <w:r>
              <w:rPr>
                <w:rFonts w:hint="eastAsia"/>
              </w:rPr>
              <w:t>应收清算款</w:t>
            </w:r>
          </w:p>
        </w:tc>
        <w:tc>
          <w:tcPr>
            <w:tcW w:w="4673" w:type="dxa"/>
            <w:vAlign w:val="center"/>
          </w:tcPr>
          <w:p w14:paraId="7DD700A5">
            <w:pPr>
              <w:jc w:val="right"/>
            </w:pPr>
            <w:r>
              <w:rPr>
                <w:rFonts w:hint="eastAsia"/>
              </w:rPr>
              <w:t>-</w:t>
            </w:r>
          </w:p>
        </w:tc>
      </w:tr>
      <w:tr w14:paraId="7B3E8B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252795C4">
            <w:pPr>
              <w:jc w:val="center"/>
            </w:pPr>
            <w:r>
              <w:rPr>
                <w:rFonts w:hint="eastAsia"/>
              </w:rPr>
              <w:t>3</w:t>
            </w:r>
          </w:p>
        </w:tc>
        <w:tc>
          <w:tcPr>
            <w:tcW w:w="2907" w:type="dxa"/>
            <w:vAlign w:val="center"/>
          </w:tcPr>
          <w:p w14:paraId="3A82CE47">
            <w:r>
              <w:rPr>
                <w:rFonts w:hint="eastAsia"/>
              </w:rPr>
              <w:t>应收股利</w:t>
            </w:r>
          </w:p>
        </w:tc>
        <w:tc>
          <w:tcPr>
            <w:tcW w:w="4673" w:type="dxa"/>
            <w:vAlign w:val="center"/>
          </w:tcPr>
          <w:p w14:paraId="6ED34B27">
            <w:pPr>
              <w:jc w:val="right"/>
            </w:pPr>
            <w:r>
              <w:rPr>
                <w:rFonts w:hint="eastAsia"/>
              </w:rPr>
              <w:t>-</w:t>
            </w:r>
          </w:p>
        </w:tc>
      </w:tr>
      <w:tr w14:paraId="0218DD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73AC01E6">
            <w:pPr>
              <w:jc w:val="center"/>
            </w:pPr>
            <w:r>
              <w:rPr>
                <w:rFonts w:hint="eastAsia"/>
              </w:rPr>
              <w:t>4</w:t>
            </w:r>
          </w:p>
        </w:tc>
        <w:tc>
          <w:tcPr>
            <w:tcW w:w="2907" w:type="dxa"/>
            <w:vAlign w:val="center"/>
          </w:tcPr>
          <w:p w14:paraId="31A0C0A2">
            <w:r>
              <w:rPr>
                <w:rFonts w:hint="eastAsia"/>
              </w:rPr>
              <w:t>应收利息</w:t>
            </w:r>
          </w:p>
        </w:tc>
        <w:tc>
          <w:tcPr>
            <w:tcW w:w="4673" w:type="dxa"/>
            <w:vAlign w:val="center"/>
          </w:tcPr>
          <w:p w14:paraId="7276CB06">
            <w:pPr>
              <w:jc w:val="right"/>
            </w:pPr>
            <w:r>
              <w:rPr>
                <w:rFonts w:hint="eastAsia"/>
              </w:rPr>
              <w:t>-</w:t>
            </w:r>
          </w:p>
        </w:tc>
      </w:tr>
      <w:tr w14:paraId="292BB6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32563E85">
            <w:pPr>
              <w:jc w:val="center"/>
            </w:pPr>
            <w:r>
              <w:rPr>
                <w:rFonts w:hint="eastAsia"/>
              </w:rPr>
              <w:t>5</w:t>
            </w:r>
          </w:p>
        </w:tc>
        <w:tc>
          <w:tcPr>
            <w:tcW w:w="2907" w:type="dxa"/>
            <w:vAlign w:val="center"/>
          </w:tcPr>
          <w:p w14:paraId="10E45137">
            <w:r>
              <w:rPr>
                <w:rFonts w:hint="eastAsia"/>
              </w:rPr>
              <w:t>应收申购款</w:t>
            </w:r>
          </w:p>
        </w:tc>
        <w:tc>
          <w:tcPr>
            <w:tcW w:w="4673" w:type="dxa"/>
            <w:vAlign w:val="center"/>
          </w:tcPr>
          <w:p w14:paraId="099F17BF">
            <w:pPr>
              <w:jc w:val="right"/>
            </w:pPr>
            <w:r>
              <w:rPr>
                <w:rFonts w:hint="eastAsia"/>
              </w:rPr>
              <w:t>32,192.00</w:t>
            </w:r>
          </w:p>
        </w:tc>
      </w:tr>
      <w:tr w14:paraId="304394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79127C15">
            <w:pPr>
              <w:jc w:val="center"/>
            </w:pPr>
            <w:r>
              <w:rPr>
                <w:rFonts w:hint="eastAsia"/>
              </w:rPr>
              <w:t>6</w:t>
            </w:r>
          </w:p>
        </w:tc>
        <w:tc>
          <w:tcPr>
            <w:tcW w:w="2907" w:type="dxa"/>
            <w:vAlign w:val="center"/>
          </w:tcPr>
          <w:p w14:paraId="296755A2">
            <w:r>
              <w:rPr>
                <w:rFonts w:hint="eastAsia"/>
              </w:rPr>
              <w:t>其他应收款</w:t>
            </w:r>
          </w:p>
        </w:tc>
        <w:tc>
          <w:tcPr>
            <w:tcW w:w="4673" w:type="dxa"/>
            <w:vAlign w:val="center"/>
          </w:tcPr>
          <w:p w14:paraId="08786CFF">
            <w:pPr>
              <w:jc w:val="right"/>
            </w:pPr>
            <w:r>
              <w:rPr>
                <w:rFonts w:hint="eastAsia"/>
              </w:rPr>
              <w:t>-</w:t>
            </w:r>
          </w:p>
        </w:tc>
      </w:tr>
      <w:tr w14:paraId="026559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0700E8E8">
            <w:pPr>
              <w:jc w:val="center"/>
            </w:pPr>
            <w:r>
              <w:rPr>
                <w:rFonts w:hint="eastAsia"/>
              </w:rPr>
              <w:t>7</w:t>
            </w:r>
          </w:p>
        </w:tc>
        <w:tc>
          <w:tcPr>
            <w:tcW w:w="2907" w:type="dxa"/>
            <w:vAlign w:val="center"/>
          </w:tcPr>
          <w:p w14:paraId="764163E8">
            <w:r>
              <w:rPr>
                <w:rFonts w:hint="eastAsia"/>
              </w:rPr>
              <w:t>待摊费用</w:t>
            </w:r>
          </w:p>
        </w:tc>
        <w:tc>
          <w:tcPr>
            <w:tcW w:w="4673" w:type="dxa"/>
            <w:vAlign w:val="center"/>
          </w:tcPr>
          <w:p w14:paraId="5D6553AE">
            <w:pPr>
              <w:jc w:val="right"/>
            </w:pPr>
            <w:r>
              <w:rPr>
                <w:rFonts w:hint="eastAsia"/>
              </w:rPr>
              <w:t>-</w:t>
            </w:r>
          </w:p>
        </w:tc>
      </w:tr>
      <w:tr w14:paraId="5E6ADE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5B5B83EE">
            <w:pPr>
              <w:jc w:val="center"/>
            </w:pPr>
            <w:r>
              <w:rPr>
                <w:rFonts w:hint="eastAsia"/>
              </w:rPr>
              <w:t>8</w:t>
            </w:r>
          </w:p>
        </w:tc>
        <w:tc>
          <w:tcPr>
            <w:tcW w:w="2907" w:type="dxa"/>
            <w:vAlign w:val="center"/>
          </w:tcPr>
          <w:p w14:paraId="4AD2CB47">
            <w:r>
              <w:rPr>
                <w:rFonts w:hint="eastAsia"/>
              </w:rPr>
              <w:t>其他</w:t>
            </w:r>
          </w:p>
        </w:tc>
        <w:tc>
          <w:tcPr>
            <w:tcW w:w="4673" w:type="dxa"/>
            <w:vAlign w:val="center"/>
          </w:tcPr>
          <w:p w14:paraId="22A84406">
            <w:pPr>
              <w:jc w:val="right"/>
            </w:pPr>
            <w:r>
              <w:rPr>
                <w:rFonts w:hint="eastAsia"/>
              </w:rPr>
              <w:t>-</w:t>
            </w:r>
          </w:p>
        </w:tc>
      </w:tr>
      <w:tr w14:paraId="5DDE3E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553DDB91">
            <w:pPr>
              <w:jc w:val="center"/>
            </w:pPr>
            <w:r>
              <w:rPr>
                <w:rFonts w:hint="eastAsia"/>
              </w:rPr>
              <w:t>9</w:t>
            </w:r>
          </w:p>
        </w:tc>
        <w:tc>
          <w:tcPr>
            <w:tcW w:w="2907" w:type="dxa"/>
            <w:vAlign w:val="center"/>
          </w:tcPr>
          <w:p w14:paraId="184ECD87">
            <w:r>
              <w:rPr>
                <w:rFonts w:hint="eastAsia"/>
              </w:rPr>
              <w:t>合计</w:t>
            </w:r>
          </w:p>
        </w:tc>
        <w:tc>
          <w:tcPr>
            <w:tcW w:w="4673" w:type="dxa"/>
            <w:vAlign w:val="center"/>
          </w:tcPr>
          <w:p w14:paraId="232DB587">
            <w:pPr>
              <w:jc w:val="right"/>
            </w:pPr>
            <w:r>
              <w:rPr>
                <w:rFonts w:hint="eastAsia"/>
              </w:rPr>
              <w:t>38,053.66</w:t>
            </w:r>
          </w:p>
        </w:tc>
      </w:tr>
    </w:tbl>
    <w:p w14:paraId="09F68E5C">
      <w:pPr>
        <w:pStyle w:val="28"/>
      </w:pPr>
      <w:bookmarkStart w:id="175" w:name="_Toc175"/>
      <w:r>
        <w:t>期末持有的处于转股期的可转换债券明细</w:t>
      </w:r>
      <w:bookmarkEnd w:id="175"/>
    </w:p>
    <w:p w14:paraId="09C0A253">
      <w:pPr>
        <w:pStyle w:val="18"/>
        <w:rPr>
          <w:rFonts w:hint="eastAsia"/>
        </w:rPr>
      </w:pPr>
      <w:r>
        <w:rPr>
          <w:rFonts w:hint="eastAsia"/>
        </w:rPr>
        <w:t>本基金本报告期末未持有处于转股期的可转换债券。</w:t>
      </w:r>
    </w:p>
    <w:p w14:paraId="1ED46C9F">
      <w:pPr>
        <w:pStyle w:val="28"/>
      </w:pPr>
      <w:bookmarkStart w:id="176" w:name="_Toc176"/>
      <w:r>
        <w:t>期末前十名股票中存在流通受限情况的说明</w:t>
      </w:r>
      <w:bookmarkEnd w:id="176"/>
    </w:p>
    <w:p w14:paraId="79A3138E">
      <w:pPr>
        <w:pStyle w:val="18"/>
        <w:rPr>
          <w:rFonts w:hint="eastAsia"/>
        </w:rPr>
      </w:pPr>
      <w:r>
        <w:rPr>
          <w:rFonts w:hint="eastAsia"/>
        </w:rPr>
        <w:t>无。</w:t>
      </w:r>
    </w:p>
    <w:p w14:paraId="31614260">
      <w:pPr>
        <w:pStyle w:val="26"/>
      </w:pPr>
      <w:bookmarkStart w:id="177" w:name="_Toc2334"/>
      <w:r>
        <w:t>基金份额持有人信息</w:t>
      </w:r>
      <w:bookmarkEnd w:id="177"/>
    </w:p>
    <w:p w14:paraId="45545E07">
      <w:pPr>
        <w:pStyle w:val="23"/>
      </w:pPr>
      <w:bookmarkStart w:id="178" w:name="_Toc16484"/>
      <w:r>
        <w:t>期末基金份额持有人户数及持有人结构</w:t>
      </w:r>
      <w:bookmarkEnd w:id="178"/>
    </w:p>
    <w:p w14:paraId="3DEEF23F">
      <w:pPr>
        <w:jc w:val="right"/>
        <w:rPr>
          <w:rFonts w:hint="eastAsia"/>
        </w:rPr>
      </w:pPr>
      <w:r>
        <w:rPr>
          <w:rFonts w:hint="eastAsia"/>
        </w:rPr>
        <w:t>份额单位：份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0"/>
        <w:gridCol w:w="1960"/>
        <w:gridCol w:w="2063"/>
        <w:gridCol w:w="773"/>
        <w:gridCol w:w="2063"/>
        <w:gridCol w:w="773"/>
      </w:tblGrid>
      <w:tr w14:paraId="6239C8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0" w:type="dxa"/>
            <w:vMerge w:val="restart"/>
            <w:shd w:val="clear" w:color="auto" w:fill="BFBFBF"/>
            <w:vAlign w:val="center"/>
          </w:tcPr>
          <w:p w14:paraId="7A1DD808">
            <w:pPr>
              <w:jc w:val="center"/>
            </w:pPr>
            <w:r>
              <w:rPr>
                <w:rFonts w:hint="eastAsia"/>
                <w:b/>
              </w:rPr>
              <w:t>持有人户数（户）</w:t>
            </w:r>
          </w:p>
        </w:tc>
        <w:tc>
          <w:tcPr>
            <w:tcW w:w="1960" w:type="dxa"/>
            <w:vMerge w:val="restart"/>
            <w:shd w:val="clear" w:color="auto" w:fill="BFBFBF"/>
            <w:vAlign w:val="center"/>
          </w:tcPr>
          <w:p w14:paraId="6FA4E564">
            <w:pPr>
              <w:jc w:val="center"/>
            </w:pPr>
            <w:r>
              <w:rPr>
                <w:rFonts w:hint="eastAsia"/>
                <w:b/>
              </w:rPr>
              <w:t>户均持有的基金份额</w:t>
            </w:r>
          </w:p>
        </w:tc>
        <w:tc>
          <w:tcPr>
            <w:tcW w:w="2063" w:type="dxa"/>
            <w:gridSpan w:val="4"/>
            <w:shd w:val="clear" w:color="auto" w:fill="BFBFBF"/>
            <w:vAlign w:val="center"/>
          </w:tcPr>
          <w:p w14:paraId="428A06F5">
            <w:pPr>
              <w:jc w:val="center"/>
            </w:pPr>
            <w:r>
              <w:rPr>
                <w:rFonts w:hint="eastAsia"/>
                <w:b/>
              </w:rPr>
              <w:t>持有人结构</w:t>
            </w:r>
          </w:p>
        </w:tc>
      </w:tr>
      <w:tr w14:paraId="4EAFD6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0" w:type="dxa"/>
            <w:vMerge w:val="continue"/>
            <w:vAlign w:val="center"/>
          </w:tcPr>
          <w:p w14:paraId="46C5EE26"/>
        </w:tc>
        <w:tc>
          <w:tcPr>
            <w:tcW w:w="1960" w:type="dxa"/>
            <w:vMerge w:val="continue"/>
            <w:vAlign w:val="center"/>
          </w:tcPr>
          <w:p w14:paraId="251E9F15"/>
        </w:tc>
        <w:tc>
          <w:tcPr>
            <w:tcW w:w="2063" w:type="dxa"/>
            <w:gridSpan w:val="2"/>
            <w:shd w:val="clear" w:color="auto" w:fill="BFBFBF"/>
            <w:vAlign w:val="center"/>
          </w:tcPr>
          <w:p w14:paraId="28C13FAC">
            <w:pPr>
              <w:jc w:val="center"/>
            </w:pPr>
            <w:r>
              <w:rPr>
                <w:rFonts w:hint="eastAsia"/>
                <w:b/>
              </w:rPr>
              <w:t>机构投资者</w:t>
            </w:r>
          </w:p>
        </w:tc>
        <w:tc>
          <w:tcPr>
            <w:tcW w:w="2063" w:type="dxa"/>
            <w:gridSpan w:val="2"/>
            <w:shd w:val="clear" w:color="auto" w:fill="BFBFBF"/>
            <w:vAlign w:val="center"/>
          </w:tcPr>
          <w:p w14:paraId="4B7F6E66">
            <w:pPr>
              <w:jc w:val="center"/>
            </w:pPr>
            <w:r>
              <w:rPr>
                <w:rFonts w:hint="eastAsia"/>
                <w:b/>
              </w:rPr>
              <w:t>个人投资者</w:t>
            </w:r>
          </w:p>
        </w:tc>
      </w:tr>
      <w:tr w14:paraId="6FD09B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0" w:type="dxa"/>
            <w:vMerge w:val="continue"/>
            <w:vAlign w:val="center"/>
          </w:tcPr>
          <w:p w14:paraId="1A04C20D"/>
        </w:tc>
        <w:tc>
          <w:tcPr>
            <w:tcW w:w="1960" w:type="dxa"/>
            <w:vMerge w:val="continue"/>
            <w:vAlign w:val="center"/>
          </w:tcPr>
          <w:p w14:paraId="1B350DEC"/>
        </w:tc>
        <w:tc>
          <w:tcPr>
            <w:tcW w:w="2063" w:type="dxa"/>
            <w:shd w:val="clear" w:color="auto" w:fill="BFBFBF"/>
            <w:vAlign w:val="center"/>
          </w:tcPr>
          <w:p w14:paraId="00119739">
            <w:pPr>
              <w:jc w:val="center"/>
            </w:pPr>
            <w:r>
              <w:rPr>
                <w:rFonts w:hint="eastAsia"/>
                <w:b/>
              </w:rPr>
              <w:t>持有份额</w:t>
            </w:r>
          </w:p>
        </w:tc>
        <w:tc>
          <w:tcPr>
            <w:tcW w:w="773" w:type="dxa"/>
            <w:shd w:val="clear" w:color="auto" w:fill="BFBFBF"/>
            <w:vAlign w:val="center"/>
          </w:tcPr>
          <w:p w14:paraId="5758CD83">
            <w:pPr>
              <w:jc w:val="center"/>
            </w:pPr>
            <w:r>
              <w:rPr>
                <w:rFonts w:hint="eastAsia"/>
                <w:b/>
              </w:rPr>
              <w:t>占总份额比例</w:t>
            </w:r>
          </w:p>
        </w:tc>
        <w:tc>
          <w:tcPr>
            <w:tcW w:w="2063" w:type="dxa"/>
            <w:shd w:val="clear" w:color="auto" w:fill="BFBFBF"/>
            <w:vAlign w:val="center"/>
          </w:tcPr>
          <w:p w14:paraId="78F7685E">
            <w:pPr>
              <w:jc w:val="center"/>
            </w:pPr>
            <w:r>
              <w:rPr>
                <w:rFonts w:hint="eastAsia"/>
                <w:b/>
              </w:rPr>
              <w:t>持有份额</w:t>
            </w:r>
          </w:p>
        </w:tc>
        <w:tc>
          <w:tcPr>
            <w:tcW w:w="773" w:type="dxa"/>
            <w:shd w:val="clear" w:color="auto" w:fill="BFBFBF"/>
            <w:vAlign w:val="center"/>
          </w:tcPr>
          <w:p w14:paraId="735E6EF9">
            <w:pPr>
              <w:jc w:val="center"/>
            </w:pPr>
            <w:r>
              <w:rPr>
                <w:rFonts w:hint="eastAsia"/>
                <w:b/>
              </w:rPr>
              <w:t>占总份额比例</w:t>
            </w:r>
          </w:p>
        </w:tc>
      </w:tr>
      <w:tr w14:paraId="08AD33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0" w:type="dxa"/>
            <w:vAlign w:val="center"/>
          </w:tcPr>
          <w:p w14:paraId="1C213DA9">
            <w:pPr>
              <w:jc w:val="right"/>
            </w:pPr>
            <w:r>
              <w:rPr>
                <w:rFonts w:hint="eastAsia"/>
              </w:rPr>
              <w:t>404,104</w:t>
            </w:r>
          </w:p>
        </w:tc>
        <w:tc>
          <w:tcPr>
            <w:tcW w:w="1960" w:type="dxa"/>
            <w:vAlign w:val="center"/>
          </w:tcPr>
          <w:p w14:paraId="29884695">
            <w:pPr>
              <w:jc w:val="right"/>
            </w:pPr>
            <w:r>
              <w:rPr>
                <w:rFonts w:hint="eastAsia"/>
              </w:rPr>
              <w:t>17,719.89</w:t>
            </w:r>
          </w:p>
        </w:tc>
        <w:tc>
          <w:tcPr>
            <w:tcW w:w="2063" w:type="dxa"/>
            <w:vAlign w:val="center"/>
          </w:tcPr>
          <w:p w14:paraId="15FBF492">
            <w:pPr>
              <w:jc w:val="right"/>
            </w:pPr>
            <w:r>
              <w:rPr>
                <w:rFonts w:hint="eastAsia"/>
              </w:rPr>
              <w:t>7,935,710.32</w:t>
            </w:r>
          </w:p>
        </w:tc>
        <w:tc>
          <w:tcPr>
            <w:tcW w:w="773" w:type="dxa"/>
            <w:vAlign w:val="center"/>
          </w:tcPr>
          <w:p w14:paraId="2412DFF6">
            <w:pPr>
              <w:jc w:val="right"/>
            </w:pPr>
            <w:r>
              <w:rPr>
                <w:rFonts w:hint="eastAsia"/>
              </w:rPr>
              <w:t>0.11%</w:t>
            </w:r>
          </w:p>
        </w:tc>
        <w:tc>
          <w:tcPr>
            <w:tcW w:w="2063" w:type="dxa"/>
            <w:vAlign w:val="center"/>
          </w:tcPr>
          <w:p w14:paraId="08FED3BB">
            <w:pPr>
              <w:jc w:val="right"/>
            </w:pPr>
            <w:r>
              <w:rPr>
                <w:rFonts w:hint="eastAsia"/>
              </w:rPr>
              <w:t>7,152,742,518.19</w:t>
            </w:r>
          </w:p>
        </w:tc>
        <w:tc>
          <w:tcPr>
            <w:tcW w:w="773" w:type="dxa"/>
            <w:vAlign w:val="center"/>
          </w:tcPr>
          <w:p w14:paraId="42C0FF0E">
            <w:pPr>
              <w:jc w:val="right"/>
            </w:pPr>
            <w:r>
              <w:rPr>
                <w:rFonts w:hint="eastAsia"/>
              </w:rPr>
              <w:t>99.89%</w:t>
            </w:r>
          </w:p>
        </w:tc>
      </w:tr>
    </w:tbl>
    <w:p w14:paraId="77DBC847">
      <w:pPr>
        <w:pStyle w:val="23"/>
      </w:pPr>
      <w:bookmarkStart w:id="179" w:name="_Toc31021"/>
      <w:r>
        <w:t>期末基金管理人的从业人员持有本基金的情况</w:t>
      </w:r>
      <w:bookmarkEnd w:id="179"/>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27AFED47">
        <w:tblPrEx>
          <w:tblCellMar>
            <w:top w:w="0" w:type="dxa"/>
            <w:left w:w="108" w:type="dxa"/>
            <w:bottom w:w="0" w:type="dxa"/>
            <w:right w:w="108" w:type="dxa"/>
          </w:tblCellMar>
        </w:tblPrEx>
        <w:trPr>
          <w:jc w:val="center"/>
        </w:trPr>
        <w:tc>
          <w:tcPr>
            <w:tcW w:w="2768" w:type="dxa"/>
            <w:vAlign w:val="center"/>
          </w:tcPr>
          <w:p w14:paraId="53536E75">
            <w:r>
              <w:rPr>
                <w:rFonts w:hint="eastAsia"/>
              </w:rPr>
              <w:t>项目</w:t>
            </w:r>
          </w:p>
        </w:tc>
        <w:tc>
          <w:tcPr>
            <w:tcW w:w="2768" w:type="dxa"/>
            <w:vAlign w:val="center"/>
          </w:tcPr>
          <w:p w14:paraId="6FA20972">
            <w:r>
              <w:rPr>
                <w:rFonts w:hint="eastAsia"/>
              </w:rPr>
              <w:t>持有份额总数（份）</w:t>
            </w:r>
          </w:p>
        </w:tc>
        <w:tc>
          <w:tcPr>
            <w:tcW w:w="2768" w:type="dxa"/>
            <w:vAlign w:val="center"/>
          </w:tcPr>
          <w:p w14:paraId="43ED521C">
            <w:r>
              <w:rPr>
                <w:rFonts w:hint="eastAsia"/>
              </w:rPr>
              <w:t>占基金总份额比例</w:t>
            </w:r>
          </w:p>
        </w:tc>
      </w:tr>
      <w:tr w14:paraId="5360B3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5DC47D1">
            <w:r>
              <w:rPr>
                <w:rFonts w:hint="eastAsia"/>
              </w:rPr>
              <w:t>基金管理人所有从业人员持有本基金</w:t>
            </w:r>
          </w:p>
        </w:tc>
        <w:tc>
          <w:tcPr>
            <w:tcW w:w="2768" w:type="dxa"/>
            <w:vAlign w:val="center"/>
          </w:tcPr>
          <w:p w14:paraId="565EF137">
            <w:pPr>
              <w:jc w:val="right"/>
            </w:pPr>
            <w:r>
              <w:rPr>
                <w:rFonts w:hint="eastAsia"/>
              </w:rPr>
              <w:t>7,234,164.32</w:t>
            </w:r>
          </w:p>
        </w:tc>
        <w:tc>
          <w:tcPr>
            <w:tcW w:w="2768" w:type="dxa"/>
            <w:vAlign w:val="center"/>
          </w:tcPr>
          <w:p w14:paraId="5D0D0808">
            <w:pPr>
              <w:jc w:val="right"/>
            </w:pPr>
            <w:r>
              <w:rPr>
                <w:rFonts w:hint="eastAsia"/>
              </w:rPr>
              <w:t>0.1010%</w:t>
            </w:r>
          </w:p>
        </w:tc>
      </w:tr>
    </w:tbl>
    <w:p w14:paraId="0AE34B65">
      <w:pPr>
        <w:pStyle w:val="23"/>
      </w:pPr>
      <w:bookmarkStart w:id="180" w:name="_Toc8945"/>
      <w:r>
        <w:t>期末基金管理人的从业人员持有本开放式基金份额总量区间情况</w:t>
      </w:r>
      <w:bookmarkEnd w:id="180"/>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75575524">
        <w:tblPrEx>
          <w:tblCellMar>
            <w:top w:w="0" w:type="dxa"/>
            <w:left w:w="108" w:type="dxa"/>
            <w:bottom w:w="0" w:type="dxa"/>
            <w:right w:w="108" w:type="dxa"/>
          </w:tblCellMar>
        </w:tblPrEx>
        <w:trPr>
          <w:jc w:val="center"/>
        </w:trPr>
        <w:tc>
          <w:tcPr>
            <w:tcW w:w="4153" w:type="dxa"/>
            <w:vAlign w:val="center"/>
          </w:tcPr>
          <w:p w14:paraId="63B66B50">
            <w:r>
              <w:rPr>
                <w:rFonts w:hint="eastAsia"/>
              </w:rPr>
              <w:t>项目</w:t>
            </w:r>
          </w:p>
        </w:tc>
        <w:tc>
          <w:tcPr>
            <w:tcW w:w="4153" w:type="dxa"/>
            <w:vAlign w:val="center"/>
          </w:tcPr>
          <w:p w14:paraId="50EBDD55">
            <w:r>
              <w:rPr>
                <w:rFonts w:hint="eastAsia"/>
              </w:rPr>
              <w:t>持有基金份额总量的数量区间（万份）</w:t>
            </w:r>
          </w:p>
        </w:tc>
      </w:tr>
      <w:tr w14:paraId="7283AD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C65A3DF">
            <w:r>
              <w:rPr>
                <w:rFonts w:hint="eastAsia"/>
              </w:rPr>
              <w:t>本公司高级管理人员、基金投资和研究部门负责人持有本开放式基金</w:t>
            </w:r>
          </w:p>
        </w:tc>
        <w:tc>
          <w:tcPr>
            <w:tcW w:w="4153" w:type="dxa"/>
            <w:vAlign w:val="center"/>
          </w:tcPr>
          <w:p w14:paraId="175BC729">
            <w:pPr>
              <w:jc w:val="right"/>
            </w:pPr>
            <w:r>
              <w:rPr>
                <w:rFonts w:hint="eastAsia"/>
              </w:rPr>
              <w:t>0~10</w:t>
            </w:r>
          </w:p>
        </w:tc>
      </w:tr>
      <w:tr w14:paraId="33F776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4374403">
            <w:r>
              <w:rPr>
                <w:rFonts w:hint="eastAsia"/>
              </w:rPr>
              <w:t>本基金基金经理持有本开放式基金</w:t>
            </w:r>
          </w:p>
        </w:tc>
        <w:tc>
          <w:tcPr>
            <w:tcW w:w="4153" w:type="dxa"/>
            <w:vAlign w:val="center"/>
          </w:tcPr>
          <w:p w14:paraId="1ABC4B7A">
            <w:pPr>
              <w:jc w:val="right"/>
            </w:pPr>
            <w:r>
              <w:rPr>
                <w:rFonts w:hint="eastAsia"/>
              </w:rPr>
              <w:t>0~10</w:t>
            </w:r>
          </w:p>
        </w:tc>
      </w:tr>
    </w:tbl>
    <w:p w14:paraId="3A8BCB93">
      <w:pPr>
        <w:pStyle w:val="26"/>
      </w:pPr>
      <w:bookmarkStart w:id="181" w:name="_Toc6524"/>
      <w:r>
        <w:t>开放式基金份额变动</w:t>
      </w:r>
      <w:bookmarkEnd w:id="181"/>
    </w:p>
    <w:p w14:paraId="5DA891AC">
      <w:pPr>
        <w:jc w:val="right"/>
        <w:rPr>
          <w:rFonts w:hint="eastAsia"/>
        </w:rPr>
      </w:pPr>
      <w:r>
        <w:rPr>
          <w:rFonts w:hint="eastAsia"/>
        </w:rPr>
        <w:t>单位：份</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7616202C">
        <w:tblPrEx>
          <w:tblCellMar>
            <w:top w:w="0" w:type="dxa"/>
            <w:left w:w="108" w:type="dxa"/>
            <w:bottom w:w="0" w:type="dxa"/>
            <w:right w:w="108" w:type="dxa"/>
          </w:tblCellMar>
        </w:tblPrEx>
        <w:trPr>
          <w:jc w:val="center"/>
        </w:trPr>
        <w:tc>
          <w:tcPr>
            <w:tcW w:w="4153" w:type="dxa"/>
            <w:vAlign w:val="center"/>
          </w:tcPr>
          <w:p w14:paraId="1EE5CCC7">
            <w:r>
              <w:rPr>
                <w:rFonts w:hint="eastAsia"/>
              </w:rPr>
              <w:t>基金合同生效日(2021年12月20日)基金份额总额</w:t>
            </w:r>
          </w:p>
        </w:tc>
        <w:tc>
          <w:tcPr>
            <w:tcW w:w="4153" w:type="dxa"/>
            <w:vAlign w:val="center"/>
          </w:tcPr>
          <w:p w14:paraId="6C8FFB84">
            <w:pPr>
              <w:jc w:val="right"/>
            </w:pPr>
            <w:r>
              <w:rPr>
                <w:rFonts w:hint="eastAsia"/>
              </w:rPr>
              <w:t>8,127,478,403.95</w:t>
            </w:r>
          </w:p>
        </w:tc>
      </w:tr>
      <w:tr w14:paraId="7479E5ED">
        <w:tblPrEx>
          <w:tblCellMar>
            <w:top w:w="0" w:type="dxa"/>
            <w:left w:w="108" w:type="dxa"/>
            <w:bottom w:w="0" w:type="dxa"/>
            <w:right w:w="108" w:type="dxa"/>
          </w:tblCellMar>
        </w:tblPrEx>
        <w:trPr>
          <w:jc w:val="center"/>
        </w:trPr>
        <w:tc>
          <w:tcPr>
            <w:tcW w:w="4153" w:type="dxa"/>
            <w:vAlign w:val="center"/>
          </w:tcPr>
          <w:p w14:paraId="1364D1CC">
            <w:r>
              <w:rPr>
                <w:rFonts w:hint="eastAsia"/>
              </w:rPr>
              <w:t>本报告期期初基金份额总额</w:t>
            </w:r>
          </w:p>
        </w:tc>
        <w:tc>
          <w:tcPr>
            <w:tcW w:w="4153" w:type="dxa"/>
            <w:vAlign w:val="center"/>
          </w:tcPr>
          <w:p w14:paraId="2F68DABE">
            <w:pPr>
              <w:jc w:val="right"/>
            </w:pPr>
            <w:r>
              <w:rPr>
                <w:rFonts w:hint="eastAsia"/>
              </w:rPr>
              <w:t>3,436,465,719.57</w:t>
            </w:r>
          </w:p>
        </w:tc>
      </w:tr>
      <w:tr w14:paraId="49634A74">
        <w:tblPrEx>
          <w:tblCellMar>
            <w:top w:w="0" w:type="dxa"/>
            <w:left w:w="108" w:type="dxa"/>
            <w:bottom w:w="0" w:type="dxa"/>
            <w:right w:w="108" w:type="dxa"/>
          </w:tblCellMar>
        </w:tblPrEx>
        <w:trPr>
          <w:jc w:val="center"/>
        </w:trPr>
        <w:tc>
          <w:tcPr>
            <w:tcW w:w="4153" w:type="dxa"/>
            <w:vAlign w:val="center"/>
          </w:tcPr>
          <w:p w14:paraId="420BDD8F">
            <w:r>
              <w:rPr>
                <w:rFonts w:hint="eastAsia"/>
              </w:rPr>
              <w:t>本报告期基金总申购份额</w:t>
            </w:r>
          </w:p>
        </w:tc>
        <w:tc>
          <w:tcPr>
            <w:tcW w:w="4153" w:type="dxa"/>
            <w:vAlign w:val="center"/>
          </w:tcPr>
          <w:p w14:paraId="52E5E9A1">
            <w:pPr>
              <w:jc w:val="right"/>
            </w:pPr>
            <w:r>
              <w:rPr>
                <w:rFonts w:hint="eastAsia"/>
              </w:rPr>
              <w:t>18,961,181,959.81</w:t>
            </w:r>
          </w:p>
        </w:tc>
      </w:tr>
      <w:tr w14:paraId="529B16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C4229FC">
            <w:r>
              <w:rPr>
                <w:rFonts w:hint="eastAsia"/>
              </w:rPr>
              <w:t>减：本报告期基金总赎回份额</w:t>
            </w:r>
          </w:p>
        </w:tc>
        <w:tc>
          <w:tcPr>
            <w:tcW w:w="4153" w:type="dxa"/>
            <w:vAlign w:val="center"/>
          </w:tcPr>
          <w:p w14:paraId="508BDCEB">
            <w:pPr>
              <w:jc w:val="right"/>
            </w:pPr>
            <w:r>
              <w:rPr>
                <w:rFonts w:hint="eastAsia"/>
              </w:rPr>
              <w:t>15,236,969,450.87</w:t>
            </w:r>
          </w:p>
        </w:tc>
      </w:tr>
      <w:tr w14:paraId="512899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03B9A11">
            <w:r>
              <w:rPr>
                <w:rFonts w:hint="eastAsia"/>
              </w:rPr>
              <w:t>本报告期基金拆分变动份额</w:t>
            </w:r>
          </w:p>
        </w:tc>
        <w:tc>
          <w:tcPr>
            <w:tcW w:w="4153" w:type="dxa"/>
            <w:vAlign w:val="center"/>
          </w:tcPr>
          <w:p w14:paraId="2905D120">
            <w:pPr>
              <w:jc w:val="right"/>
            </w:pPr>
            <w:r>
              <w:rPr>
                <w:rFonts w:hint="eastAsia"/>
              </w:rPr>
              <w:t>-</w:t>
            </w:r>
          </w:p>
        </w:tc>
      </w:tr>
      <w:tr w14:paraId="0464F9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DFD0723">
            <w:r>
              <w:rPr>
                <w:rFonts w:hint="eastAsia"/>
              </w:rPr>
              <w:t>本报告期期末基金份额总额</w:t>
            </w:r>
          </w:p>
        </w:tc>
        <w:tc>
          <w:tcPr>
            <w:tcW w:w="4153" w:type="dxa"/>
            <w:vAlign w:val="center"/>
          </w:tcPr>
          <w:p w14:paraId="6A73A5D0">
            <w:pPr>
              <w:jc w:val="right"/>
            </w:pPr>
            <w:r>
              <w:rPr>
                <w:rFonts w:hint="eastAsia"/>
              </w:rPr>
              <w:t>7,160,678,228.51</w:t>
            </w:r>
          </w:p>
        </w:tc>
      </w:tr>
    </w:tbl>
    <w:p w14:paraId="7812C55E">
      <w:pPr>
        <w:pStyle w:val="26"/>
      </w:pPr>
      <w:bookmarkStart w:id="182" w:name="_Toc18891"/>
      <w:r>
        <w:t>重大事件揭示</w:t>
      </w:r>
      <w:bookmarkEnd w:id="182"/>
    </w:p>
    <w:p w14:paraId="66026ADB">
      <w:pPr>
        <w:pStyle w:val="23"/>
      </w:pPr>
      <w:bookmarkStart w:id="183" w:name="_Toc28347"/>
      <w:r>
        <w:t>基金份额持有人大会决议</w:t>
      </w:r>
      <w:bookmarkEnd w:id="183"/>
    </w:p>
    <w:p w14:paraId="36D679AB">
      <w:pPr>
        <w:pStyle w:val="18"/>
        <w:rPr>
          <w:rFonts w:hint="eastAsia"/>
        </w:rPr>
      </w:pPr>
      <w:r>
        <w:rPr>
          <w:rFonts w:hint="eastAsia"/>
        </w:rPr>
        <w:t>本报告期本基金无基金份额持有人大会决议。</w:t>
      </w:r>
    </w:p>
    <w:p w14:paraId="19D1D143">
      <w:pPr>
        <w:pStyle w:val="23"/>
      </w:pPr>
      <w:r>
        <w:t xml:space="preserve"> </w:t>
      </w:r>
      <w:bookmarkStart w:id="184" w:name="_Toc18754"/>
      <w:r>
        <w:t>基金管理人、基金托管人的专门基金托管部门的重大人事变动</w:t>
      </w:r>
      <w:bookmarkEnd w:id="184"/>
    </w:p>
    <w:p w14:paraId="1045F1CF">
      <w:pPr>
        <w:pStyle w:val="18"/>
        <w:rPr>
          <w:rFonts w:hint="eastAsia"/>
        </w:rPr>
      </w:pPr>
      <w:r>
        <w:rPr>
          <w:rFonts w:hint="eastAsia"/>
        </w:rPr>
        <w:t>本报告期内，本基金的基金管理人未发生重大人事变动。</w:t>
      </w:r>
    </w:p>
    <w:p w14:paraId="566944D9">
      <w:pPr>
        <w:pStyle w:val="18"/>
        <w:rPr>
          <w:rFonts w:hint="eastAsia"/>
        </w:rPr>
      </w:pPr>
      <w:r>
        <w:rPr>
          <w:rFonts w:hint="eastAsia"/>
        </w:rPr>
        <w:t>本报告期内，孟羽任交通银行资产托管部/资产托管业务发展中心总经理。</w:t>
      </w:r>
    </w:p>
    <w:p w14:paraId="0366EA46">
      <w:pPr>
        <w:pStyle w:val="23"/>
      </w:pPr>
      <w:r>
        <w:t xml:space="preserve"> </w:t>
      </w:r>
      <w:bookmarkStart w:id="185" w:name="_Toc23769"/>
      <w:r>
        <w:t>涉及基金管理人、基金财产、基金托管业务的诉讼</w:t>
      </w:r>
      <w:bookmarkEnd w:id="185"/>
    </w:p>
    <w:p w14:paraId="4398C1E5">
      <w:pPr>
        <w:pStyle w:val="18"/>
        <w:rPr>
          <w:rFonts w:hint="eastAsia"/>
        </w:rPr>
      </w:pPr>
      <w:r>
        <w:rPr>
          <w:rFonts w:hint="eastAsia"/>
        </w:rPr>
        <w:t>本报告期内，无涉及基金管理人主营业务的诉讼。</w:t>
      </w:r>
    </w:p>
    <w:p w14:paraId="39093053">
      <w:pPr>
        <w:pStyle w:val="18"/>
        <w:rPr>
          <w:rFonts w:hint="eastAsia"/>
        </w:rPr>
      </w:pPr>
      <w:r>
        <w:rPr>
          <w:rFonts w:hint="eastAsia"/>
        </w:rPr>
        <w:t>本报告期内无涉及基金财产的诉讼事项。</w:t>
      </w:r>
    </w:p>
    <w:p w14:paraId="096411C9">
      <w:pPr>
        <w:pStyle w:val="18"/>
        <w:rPr>
          <w:rFonts w:hint="eastAsia"/>
        </w:rPr>
      </w:pPr>
      <w:r>
        <w:rPr>
          <w:rFonts w:hint="eastAsia"/>
        </w:rPr>
        <w:t>本报告期内无涉及基金托管业务的诉讼事项。</w:t>
      </w:r>
    </w:p>
    <w:p w14:paraId="297ED6C9">
      <w:pPr>
        <w:pStyle w:val="23"/>
      </w:pPr>
      <w:bookmarkStart w:id="186" w:name="_Toc31484"/>
      <w:r>
        <w:t>基金投资策略的改变</w:t>
      </w:r>
      <w:bookmarkEnd w:id="186"/>
    </w:p>
    <w:p w14:paraId="29402629">
      <w:pPr>
        <w:pStyle w:val="18"/>
        <w:rPr>
          <w:rFonts w:hint="eastAsia"/>
        </w:rPr>
      </w:pPr>
      <w:r>
        <w:rPr>
          <w:rFonts w:hint="eastAsia"/>
        </w:rPr>
        <w:t>本报告期内本基金的投资策略未有重大变化。</w:t>
      </w:r>
    </w:p>
    <w:p w14:paraId="48BE15AB">
      <w:pPr>
        <w:pStyle w:val="23"/>
      </w:pPr>
      <w:bookmarkStart w:id="187" w:name="_Toc3727"/>
      <w:r>
        <w:t>为基金进行审计的会计师事务所情况</w:t>
      </w:r>
      <w:bookmarkEnd w:id="187"/>
    </w:p>
    <w:p w14:paraId="0DDB9F39">
      <w:pPr>
        <w:pStyle w:val="18"/>
        <w:rPr>
          <w:rFonts w:hint="eastAsia"/>
        </w:rPr>
      </w:pPr>
      <w:r>
        <w:rPr>
          <w:rFonts w:hint="eastAsia"/>
        </w:rPr>
        <w:t>本报告期本基金的审计事务所无变化；目前容诚会计师事务所（特殊普通合伙）已为本基金提供审计服务2年，本报告期应支付给容诚会计师事务所（特殊普通合伙）的报酬为人民币80,000.00元。</w:t>
      </w:r>
    </w:p>
    <w:p w14:paraId="5718E15E">
      <w:pPr>
        <w:pStyle w:val="23"/>
      </w:pPr>
      <w:bookmarkStart w:id="188" w:name="_Toc24530"/>
      <w:r>
        <w:t>管理人、托管人及相关从业人员受调查或处罚等情况</w:t>
      </w:r>
      <w:bookmarkEnd w:id="188"/>
    </w:p>
    <w:p w14:paraId="509F0679">
      <w:pPr>
        <w:pStyle w:val="28"/>
      </w:pPr>
      <w:bookmarkStart w:id="189" w:name="_Toc189"/>
      <w:r>
        <w:t>管理人受调查或处罚等情况</w:t>
      </w:r>
      <w:bookmarkEnd w:id="189"/>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6C68F5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6EA44630">
            <w:pPr>
              <w:jc w:val="center"/>
            </w:pPr>
            <w:r>
              <w:rPr>
                <w:rFonts w:hint="eastAsia"/>
                <w:b/>
              </w:rPr>
              <w:t>管理人受调查或处罚等情况</w:t>
            </w:r>
          </w:p>
        </w:tc>
        <w:tc>
          <w:tcPr>
            <w:tcW w:w="4153" w:type="dxa"/>
            <w:shd w:val="clear" w:color="auto" w:fill="BFBFBF"/>
            <w:vAlign w:val="center"/>
          </w:tcPr>
          <w:p w14:paraId="6140FA16">
            <w:pPr>
              <w:jc w:val="center"/>
            </w:pPr>
            <w:r>
              <w:rPr>
                <w:rFonts w:hint="eastAsia"/>
                <w:b/>
              </w:rPr>
              <w:t>内容</w:t>
            </w:r>
          </w:p>
        </w:tc>
      </w:tr>
      <w:tr w14:paraId="59126B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A00FC40">
            <w:r>
              <w:rPr>
                <w:rFonts w:hint="eastAsia"/>
              </w:rPr>
              <w:t>受到调查或处罚等措施的主体</w:t>
            </w:r>
          </w:p>
        </w:tc>
        <w:tc>
          <w:tcPr>
            <w:tcW w:w="4153" w:type="dxa"/>
            <w:vAlign w:val="center"/>
          </w:tcPr>
          <w:p w14:paraId="4BB04E59">
            <w:r>
              <w:rPr>
                <w:rFonts w:hint="eastAsia"/>
              </w:rPr>
              <w:t>管理人</w:t>
            </w:r>
          </w:p>
        </w:tc>
      </w:tr>
      <w:tr w14:paraId="49409C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1BD6F7A">
            <w:r>
              <w:rPr>
                <w:rFonts w:hint="eastAsia"/>
              </w:rPr>
              <w:t>受到调查或处罚等措施的时间</w:t>
            </w:r>
          </w:p>
        </w:tc>
        <w:tc>
          <w:tcPr>
            <w:tcW w:w="4153" w:type="dxa"/>
            <w:vAlign w:val="center"/>
          </w:tcPr>
          <w:p w14:paraId="1C24AE6E">
            <w:pPr>
              <w:rPr>
                <w:rFonts w:hint="eastAsia"/>
              </w:rPr>
            </w:pPr>
            <w:r>
              <w:rPr>
                <w:rFonts w:hint="eastAsia"/>
              </w:rPr>
              <w:t>2025-10-17；
</w:t>
            </w:r>
            <w:r>
              <w:rPr>
                <w:rFonts w:hint="eastAsia"/>
              </w:rPr>
              <w:br w:type="textWrapping"/>
            </w:r>
            <w:r>
              <w:rPr>
                <w:rFonts w:hint="eastAsia"/>
              </w:rPr>
              <w:t>2025-11-18</w:t>
            </w:r>
          </w:p>
        </w:tc>
      </w:tr>
      <w:tr w14:paraId="387B0E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B164E91">
            <w:r>
              <w:rPr>
                <w:rFonts w:hint="eastAsia"/>
              </w:rPr>
              <w:t>采取调查或处罚等措施的机构</w:t>
            </w:r>
          </w:p>
        </w:tc>
        <w:tc>
          <w:tcPr>
            <w:tcW w:w="4153" w:type="dxa"/>
            <w:vAlign w:val="center"/>
          </w:tcPr>
          <w:p w14:paraId="4E53D630">
            <w:pPr>
              <w:rPr>
                <w:rFonts w:hint="eastAsia"/>
              </w:rPr>
            </w:pPr>
            <w:r>
              <w:rPr>
                <w:rFonts w:hint="eastAsia"/>
              </w:rPr>
              <w:t>中国证监会深圳监管局；
</w:t>
            </w:r>
            <w:r>
              <w:rPr>
                <w:rFonts w:hint="eastAsia"/>
              </w:rPr>
              <w:br w:type="textWrapping"/>
            </w:r>
            <w:r>
              <w:rPr>
                <w:rFonts w:hint="eastAsia"/>
              </w:rPr>
              <w:t>国家外汇管理局深圳市分局</w:t>
            </w:r>
          </w:p>
        </w:tc>
      </w:tr>
      <w:tr w14:paraId="28B41F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28F980F">
            <w:r>
              <w:rPr>
                <w:rFonts w:hint="eastAsia"/>
              </w:rPr>
              <w:t>受到调查或处罚等措施类型</w:t>
            </w:r>
          </w:p>
        </w:tc>
        <w:tc>
          <w:tcPr>
            <w:tcW w:w="4153" w:type="dxa"/>
            <w:vAlign w:val="center"/>
          </w:tcPr>
          <w:p w14:paraId="58AD26E6">
            <w:pPr>
              <w:rPr>
                <w:rFonts w:hint="eastAsia"/>
              </w:rPr>
            </w:pPr>
            <w:r>
              <w:rPr>
                <w:rFonts w:hint="eastAsia"/>
              </w:rPr>
              <w:t>行政监管措施；
</w:t>
            </w:r>
            <w:r>
              <w:rPr>
                <w:rFonts w:hint="eastAsia"/>
              </w:rPr>
              <w:br w:type="textWrapping"/>
            </w:r>
            <w:r>
              <w:rPr>
                <w:rFonts w:hint="eastAsia"/>
              </w:rPr>
              <w:t>行政处罚</w:t>
            </w:r>
          </w:p>
        </w:tc>
      </w:tr>
      <w:tr w14:paraId="04DE9A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3AC88AC">
            <w:r>
              <w:rPr>
                <w:rFonts w:hint="eastAsia"/>
              </w:rPr>
              <w:t>受到的具体措施类型</w:t>
            </w:r>
          </w:p>
        </w:tc>
        <w:tc>
          <w:tcPr>
            <w:tcW w:w="4153" w:type="dxa"/>
            <w:vAlign w:val="center"/>
          </w:tcPr>
          <w:p w14:paraId="276DC1E8">
            <w:pPr>
              <w:rPr>
                <w:rFonts w:hint="eastAsia"/>
              </w:rPr>
            </w:pPr>
            <w:r>
              <w:rPr>
                <w:rFonts w:hint="eastAsia"/>
              </w:rPr>
              <w:t>责令改正；
</w:t>
            </w:r>
            <w:r>
              <w:rPr>
                <w:rFonts w:hint="eastAsia"/>
              </w:rPr>
              <w:br w:type="textWrapping"/>
            </w:r>
            <w:r>
              <w:rPr>
                <w:rFonts w:hint="eastAsia"/>
              </w:rPr>
              <w:t>警告、罚款</w:t>
            </w:r>
          </w:p>
        </w:tc>
      </w:tr>
      <w:tr w14:paraId="31FD01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A73CC8F">
            <w:r>
              <w:rPr>
                <w:rFonts w:hint="eastAsia"/>
              </w:rPr>
              <w:t>受到调查或处罚等措施的原因</w:t>
            </w:r>
          </w:p>
        </w:tc>
        <w:tc>
          <w:tcPr>
            <w:tcW w:w="4153" w:type="dxa"/>
            <w:vAlign w:val="center"/>
          </w:tcPr>
          <w:p w14:paraId="62C76D19">
            <w:pPr>
              <w:rPr>
                <w:rFonts w:hint="eastAsia"/>
              </w:rPr>
            </w:pPr>
            <w:r>
              <w:rPr>
                <w:rFonts w:hint="eastAsia"/>
              </w:rPr>
              <w:t>投资运作、人员管理、其他问题(销售管理)；
</w:t>
            </w:r>
            <w:r>
              <w:rPr>
                <w:rFonts w:hint="eastAsia"/>
              </w:rPr>
              <w:br w:type="textWrapping"/>
            </w:r>
            <w:r>
              <w:rPr>
                <w:rFonts w:hint="eastAsia"/>
              </w:rPr>
              <w:t>其他问题(外汇登记)</w:t>
            </w:r>
          </w:p>
        </w:tc>
      </w:tr>
      <w:tr w14:paraId="6A6A28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A8DB440">
            <w:r>
              <w:rPr>
                <w:rFonts w:hint="eastAsia"/>
              </w:rPr>
              <w:t>受到处罚的依据</w:t>
            </w:r>
          </w:p>
        </w:tc>
        <w:tc>
          <w:tcPr>
            <w:tcW w:w="4153" w:type="dxa"/>
            <w:vAlign w:val="center"/>
          </w:tcPr>
          <w:p w14:paraId="01FA5261">
            <w:pPr>
              <w:jc w:val="both"/>
              <w:rPr>
                <w:rFonts w:hint="eastAsia"/>
              </w:rPr>
            </w:pPr>
            <w:r>
              <w:rPr>
                <w:rFonts w:hint="eastAsia"/>
              </w:rPr>
              <w:t>《公开募集证券投资基金管理人监督管理办法》《公开募集证券投资基金运作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
</w:t>
            </w:r>
            <w:r>
              <w:rPr>
                <w:rFonts w:hint="eastAsia"/>
              </w:rPr>
              <w:br w:type="textWrapping"/>
            </w:r>
            <w:r>
              <w:rPr>
                <w:rFonts w:hint="eastAsia"/>
              </w:rPr>
              <w:t>《中华人民共和国外汇管理条例》</w:t>
            </w:r>
          </w:p>
        </w:tc>
      </w:tr>
      <w:tr w14:paraId="3B08E9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C4754ED">
            <w:r>
              <w:rPr>
                <w:rFonts w:hint="eastAsia"/>
              </w:rPr>
              <w:t>管理人采取整改措施的情况</w:t>
            </w:r>
          </w:p>
        </w:tc>
        <w:tc>
          <w:tcPr>
            <w:tcW w:w="4153" w:type="dxa"/>
            <w:vAlign w:val="center"/>
          </w:tcPr>
          <w:p w14:paraId="0A3ACE65">
            <w:pPr>
              <w:jc w:val="both"/>
              <w:rPr>
                <w:rFonts w:hint="eastAsia"/>
              </w:rPr>
            </w:pPr>
            <w:r>
              <w:rPr>
                <w:rFonts w:hint="eastAsia"/>
              </w:rPr>
              <w:t>截至报告期末公司已通过完善制度、优化流程等整改措施完成整改，整改成果已经中国证监会深圳监管局验收通过；
</w:t>
            </w:r>
            <w:r>
              <w:rPr>
                <w:rFonts w:hint="eastAsia"/>
              </w:rPr>
              <w:br w:type="textWrapping"/>
            </w:r>
            <w:r>
              <w:rPr>
                <w:rFonts w:hint="eastAsia"/>
              </w:rPr>
              <w:t>截至报告期末公司已完成整改，整改成果已向国家外汇管理局深圳市分局报告并通过</w:t>
            </w:r>
          </w:p>
        </w:tc>
      </w:tr>
      <w:tr w14:paraId="504B28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1D396E3">
            <w:r>
              <w:rPr>
                <w:rFonts w:hint="eastAsia"/>
              </w:rPr>
              <w:t>其他</w:t>
            </w:r>
          </w:p>
        </w:tc>
        <w:tc>
          <w:tcPr>
            <w:tcW w:w="4153" w:type="dxa"/>
            <w:vAlign w:val="center"/>
          </w:tcPr>
          <w:p w14:paraId="0F2DDBC3">
            <w:r>
              <w:rPr>
                <w:rFonts w:hint="eastAsia"/>
              </w:rPr>
              <w:t>-</w:t>
            </w:r>
          </w:p>
        </w:tc>
      </w:tr>
    </w:tbl>
    <w:p w14:paraId="35E540E6">
      <w:pPr>
        <w:pStyle w:val="28"/>
      </w:pPr>
      <w:bookmarkStart w:id="190" w:name="_Toc190"/>
      <w:r>
        <w:t>管理人相关从业人员受调查或处罚等情况</w:t>
      </w:r>
      <w:bookmarkEnd w:id="190"/>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11616B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19C04140">
            <w:pPr>
              <w:jc w:val="center"/>
            </w:pPr>
            <w:r>
              <w:rPr>
                <w:rFonts w:hint="eastAsia"/>
                <w:b/>
              </w:rPr>
              <w:t>管理人相关从业人员受调查或处罚等情况</w:t>
            </w:r>
          </w:p>
        </w:tc>
        <w:tc>
          <w:tcPr>
            <w:tcW w:w="4153" w:type="dxa"/>
            <w:shd w:val="clear" w:color="auto" w:fill="BFBFBF"/>
            <w:vAlign w:val="center"/>
          </w:tcPr>
          <w:p w14:paraId="345A8554">
            <w:pPr>
              <w:jc w:val="center"/>
            </w:pPr>
            <w:r>
              <w:rPr>
                <w:rFonts w:hint="eastAsia"/>
                <w:b/>
              </w:rPr>
              <w:t>内容</w:t>
            </w:r>
          </w:p>
        </w:tc>
      </w:tr>
      <w:tr w14:paraId="29DEFF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6A7BD1C">
            <w:r>
              <w:rPr>
                <w:rFonts w:hint="eastAsia"/>
              </w:rPr>
              <w:t>受到调查或处罚等措施的主体</w:t>
            </w:r>
          </w:p>
        </w:tc>
        <w:tc>
          <w:tcPr>
            <w:tcW w:w="4153" w:type="dxa"/>
            <w:vAlign w:val="center"/>
          </w:tcPr>
          <w:p w14:paraId="42B00693">
            <w:r>
              <w:rPr>
                <w:rFonts w:hint="eastAsia"/>
              </w:rPr>
              <w:t>高级管理人员</w:t>
            </w:r>
          </w:p>
        </w:tc>
      </w:tr>
      <w:tr w14:paraId="625A70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5874F59">
            <w:r>
              <w:rPr>
                <w:rFonts w:hint="eastAsia"/>
              </w:rPr>
              <w:t>受到调查或处罚等措施的时间</w:t>
            </w:r>
          </w:p>
        </w:tc>
        <w:tc>
          <w:tcPr>
            <w:tcW w:w="4153" w:type="dxa"/>
            <w:vAlign w:val="center"/>
          </w:tcPr>
          <w:p w14:paraId="06C5A94F">
            <w:r>
              <w:rPr>
                <w:rFonts w:hint="eastAsia"/>
              </w:rPr>
              <w:t>2025-10-17</w:t>
            </w:r>
          </w:p>
        </w:tc>
      </w:tr>
      <w:tr w14:paraId="7B2AFF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DBE2BE3">
            <w:r>
              <w:rPr>
                <w:rFonts w:hint="eastAsia"/>
              </w:rPr>
              <w:t>采取调查或处罚等措施的机构</w:t>
            </w:r>
          </w:p>
        </w:tc>
        <w:tc>
          <w:tcPr>
            <w:tcW w:w="4153" w:type="dxa"/>
            <w:vAlign w:val="center"/>
          </w:tcPr>
          <w:p w14:paraId="7B308B08">
            <w:r>
              <w:rPr>
                <w:rFonts w:hint="eastAsia"/>
              </w:rPr>
              <w:t>中国证监会深圳监管局</w:t>
            </w:r>
          </w:p>
        </w:tc>
      </w:tr>
      <w:tr w14:paraId="12A8E8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797210A">
            <w:r>
              <w:rPr>
                <w:rFonts w:hint="eastAsia"/>
              </w:rPr>
              <w:t>受到调查或处罚等措施类型</w:t>
            </w:r>
          </w:p>
        </w:tc>
        <w:tc>
          <w:tcPr>
            <w:tcW w:w="4153" w:type="dxa"/>
            <w:vAlign w:val="center"/>
          </w:tcPr>
          <w:p w14:paraId="54C8A5D9">
            <w:r>
              <w:rPr>
                <w:rFonts w:hint="eastAsia"/>
              </w:rPr>
              <w:t>行政监管措施</w:t>
            </w:r>
          </w:p>
        </w:tc>
      </w:tr>
      <w:tr w14:paraId="6CAA56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B5DB2C4">
            <w:r>
              <w:rPr>
                <w:rFonts w:hint="eastAsia"/>
              </w:rPr>
              <w:t>受到的具体措施类型</w:t>
            </w:r>
          </w:p>
        </w:tc>
        <w:tc>
          <w:tcPr>
            <w:tcW w:w="4153" w:type="dxa"/>
            <w:vAlign w:val="center"/>
          </w:tcPr>
          <w:p w14:paraId="7F6D7417">
            <w:r>
              <w:rPr>
                <w:rFonts w:hint="eastAsia"/>
              </w:rPr>
              <w:t>出具警示函</w:t>
            </w:r>
          </w:p>
        </w:tc>
      </w:tr>
      <w:tr w14:paraId="721A42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0065128">
            <w:r>
              <w:rPr>
                <w:rFonts w:hint="eastAsia"/>
              </w:rPr>
              <w:t>受到调查或处罚等措施的原因</w:t>
            </w:r>
          </w:p>
        </w:tc>
        <w:tc>
          <w:tcPr>
            <w:tcW w:w="4153" w:type="dxa"/>
            <w:vAlign w:val="center"/>
          </w:tcPr>
          <w:p w14:paraId="7B4E1AB8">
            <w:r>
              <w:rPr>
                <w:rFonts w:hint="eastAsia"/>
              </w:rPr>
              <w:t>人员管理、其他问题(销售管理)</w:t>
            </w:r>
          </w:p>
        </w:tc>
      </w:tr>
      <w:tr w14:paraId="27C7E3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AA4E3C4">
            <w:r>
              <w:rPr>
                <w:rFonts w:hint="eastAsia"/>
              </w:rPr>
              <w:t>受到处罚的依据</w:t>
            </w:r>
          </w:p>
        </w:tc>
        <w:tc>
          <w:tcPr>
            <w:tcW w:w="4153" w:type="dxa"/>
            <w:vAlign w:val="center"/>
          </w:tcPr>
          <w:p w14:paraId="3E8910E7">
            <w:pPr>
              <w:jc w:val="both"/>
            </w:pPr>
            <w:r>
              <w:rPr>
                <w:rFonts w:hint="eastAsia"/>
              </w:rPr>
              <w:t>《公开募集证券投资基金管理人监督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w:t>
            </w:r>
          </w:p>
        </w:tc>
      </w:tr>
      <w:tr w14:paraId="6F28A5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54D3107">
            <w:r>
              <w:rPr>
                <w:rFonts w:hint="eastAsia"/>
              </w:rPr>
              <w:t>管理人采取整改措施的情况（如提出整改意见）</w:t>
            </w:r>
          </w:p>
        </w:tc>
        <w:tc>
          <w:tcPr>
            <w:tcW w:w="4153" w:type="dxa"/>
            <w:vAlign w:val="center"/>
          </w:tcPr>
          <w:p w14:paraId="2D766CF7">
            <w:r>
              <w:rPr>
                <w:rFonts w:hint="eastAsia"/>
              </w:rPr>
              <w:t>截至报告期末公司已通过完善制度、优化流程等整改措施完成整改，整改成果已经中国证监会深圳监管局验收通过</w:t>
            </w:r>
          </w:p>
        </w:tc>
      </w:tr>
      <w:tr w14:paraId="501CCA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039AE59">
            <w:r>
              <w:rPr>
                <w:rFonts w:hint="eastAsia"/>
              </w:rPr>
              <w:t>其他</w:t>
            </w:r>
          </w:p>
        </w:tc>
        <w:tc>
          <w:tcPr>
            <w:tcW w:w="4153" w:type="dxa"/>
            <w:vAlign w:val="center"/>
          </w:tcPr>
          <w:p w14:paraId="33BC5AF0">
            <w:pPr>
              <w:jc w:val="right"/>
            </w:pPr>
            <w:r>
              <w:rPr>
                <w:rFonts w:hint="eastAsia"/>
              </w:rPr>
              <w:t>-</w:t>
            </w:r>
          </w:p>
        </w:tc>
      </w:tr>
    </w:tbl>
    <w:p w14:paraId="7A9141F6">
      <w:pPr>
        <w:pStyle w:val="28"/>
      </w:pPr>
      <w:bookmarkStart w:id="191" w:name="_Toc191"/>
      <w:r>
        <w:t>托管人受调查或处罚等情况</w:t>
      </w:r>
      <w:bookmarkEnd w:id="191"/>
    </w:p>
    <w:p w14:paraId="534A0F69">
      <w:pPr>
        <w:pStyle w:val="18"/>
        <w:rPr>
          <w:rFonts w:hint="eastAsia"/>
        </w:rPr>
      </w:pPr>
      <w:r>
        <w:rPr>
          <w:rFonts w:hint="eastAsia"/>
        </w:rPr>
        <w:t>无。</w:t>
      </w:r>
    </w:p>
    <w:p w14:paraId="7A5913BA">
      <w:pPr>
        <w:pStyle w:val="28"/>
      </w:pPr>
      <w:bookmarkStart w:id="192" w:name="_Toc192"/>
      <w:r>
        <w:t>托管人相关从业人员受调查或处罚等情况</w:t>
      </w:r>
      <w:bookmarkEnd w:id="192"/>
    </w:p>
    <w:p w14:paraId="754416DF">
      <w:pPr>
        <w:pStyle w:val="18"/>
        <w:rPr>
          <w:rFonts w:hint="eastAsia"/>
        </w:rPr>
      </w:pPr>
      <w:r>
        <w:rPr>
          <w:rFonts w:hint="eastAsia"/>
        </w:rPr>
        <w:t>无。</w:t>
      </w:r>
    </w:p>
    <w:p w14:paraId="253B5B33">
      <w:pPr>
        <w:pStyle w:val="23"/>
      </w:pPr>
      <w:bookmarkStart w:id="193" w:name="_Toc1611"/>
      <w:r>
        <w:t>基金租用证券公司交易单元的有关情况</w:t>
      </w:r>
      <w:bookmarkEnd w:id="193"/>
    </w:p>
    <w:p w14:paraId="1C9EDB5C">
      <w:pPr>
        <w:pStyle w:val="28"/>
      </w:pPr>
      <w:bookmarkStart w:id="194" w:name="_Toc194"/>
      <w:r>
        <w:t>基金租用证券公司交易单元进行股票投资及佣金支付情况</w:t>
      </w:r>
      <w:bookmarkEnd w:id="194"/>
    </w:p>
    <w:p w14:paraId="248EAD42">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13"/>
        <w:gridCol w:w="775"/>
        <w:gridCol w:w="1699"/>
        <w:gridCol w:w="1201"/>
        <w:gridCol w:w="1312"/>
        <w:gridCol w:w="1256"/>
        <w:gridCol w:w="946"/>
      </w:tblGrid>
      <w:tr w14:paraId="69B016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restart"/>
            <w:shd w:val="clear" w:color="auto" w:fill="BFBFBF"/>
            <w:vAlign w:val="center"/>
          </w:tcPr>
          <w:p w14:paraId="7C15EFAD">
            <w:pPr>
              <w:jc w:val="center"/>
            </w:pPr>
            <w:r>
              <w:rPr>
                <w:rFonts w:hint="eastAsia"/>
                <w:b/>
              </w:rPr>
              <w:t>券商名称</w:t>
            </w:r>
          </w:p>
        </w:tc>
        <w:tc>
          <w:tcPr>
            <w:tcW w:w="775" w:type="dxa"/>
            <w:vMerge w:val="restart"/>
            <w:shd w:val="clear" w:color="auto" w:fill="BFBFBF"/>
            <w:vAlign w:val="center"/>
          </w:tcPr>
          <w:p w14:paraId="66AFC792">
            <w:pPr>
              <w:jc w:val="center"/>
            </w:pPr>
            <w:r>
              <w:rPr>
                <w:rFonts w:hint="eastAsia"/>
                <w:b/>
              </w:rPr>
              <w:t>交易单元数量</w:t>
            </w:r>
          </w:p>
        </w:tc>
        <w:tc>
          <w:tcPr>
            <w:tcW w:w="1699" w:type="dxa"/>
            <w:gridSpan w:val="2"/>
            <w:shd w:val="clear" w:color="auto" w:fill="BFBFBF"/>
            <w:vAlign w:val="center"/>
          </w:tcPr>
          <w:p w14:paraId="05FE6E33">
            <w:pPr>
              <w:jc w:val="center"/>
            </w:pPr>
            <w:r>
              <w:rPr>
                <w:rFonts w:hint="eastAsia"/>
                <w:b/>
              </w:rPr>
              <w:t>股票交易</w:t>
            </w:r>
          </w:p>
        </w:tc>
        <w:tc>
          <w:tcPr>
            <w:tcW w:w="1312" w:type="dxa"/>
            <w:gridSpan w:val="2"/>
            <w:shd w:val="clear" w:color="auto" w:fill="BFBFBF"/>
            <w:vAlign w:val="center"/>
          </w:tcPr>
          <w:p w14:paraId="2E51921F">
            <w:pPr>
              <w:jc w:val="center"/>
            </w:pPr>
            <w:r>
              <w:rPr>
                <w:rFonts w:hint="eastAsia"/>
                <w:b/>
              </w:rPr>
              <w:t>应支付该券商的佣金</w:t>
            </w:r>
          </w:p>
        </w:tc>
        <w:tc>
          <w:tcPr>
            <w:tcW w:w="946" w:type="dxa"/>
            <w:vMerge w:val="restart"/>
            <w:shd w:val="clear" w:color="auto" w:fill="BFBFBF"/>
            <w:vAlign w:val="center"/>
          </w:tcPr>
          <w:p w14:paraId="40DBF081">
            <w:pPr>
              <w:jc w:val="center"/>
            </w:pPr>
            <w:r>
              <w:rPr>
                <w:rFonts w:hint="eastAsia"/>
                <w:b/>
              </w:rPr>
              <w:t>备注</w:t>
            </w:r>
          </w:p>
        </w:tc>
      </w:tr>
      <w:tr w14:paraId="606D29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continue"/>
            <w:vAlign w:val="center"/>
          </w:tcPr>
          <w:p w14:paraId="4B50E36A"/>
        </w:tc>
        <w:tc>
          <w:tcPr>
            <w:tcW w:w="775" w:type="dxa"/>
            <w:vMerge w:val="continue"/>
            <w:vAlign w:val="center"/>
          </w:tcPr>
          <w:p w14:paraId="3CB6074E"/>
        </w:tc>
        <w:tc>
          <w:tcPr>
            <w:tcW w:w="1699" w:type="dxa"/>
            <w:shd w:val="clear" w:color="auto" w:fill="BFBFBF"/>
            <w:vAlign w:val="center"/>
          </w:tcPr>
          <w:p w14:paraId="7BFA6F30">
            <w:pPr>
              <w:jc w:val="center"/>
            </w:pPr>
            <w:r>
              <w:rPr>
                <w:rFonts w:hint="eastAsia"/>
                <w:b/>
              </w:rPr>
              <w:t>成交金额</w:t>
            </w:r>
          </w:p>
        </w:tc>
        <w:tc>
          <w:tcPr>
            <w:tcW w:w="1201" w:type="dxa"/>
            <w:shd w:val="clear" w:color="auto" w:fill="BFBFBF"/>
            <w:vAlign w:val="center"/>
          </w:tcPr>
          <w:p w14:paraId="536AE8EA">
            <w:pPr>
              <w:jc w:val="center"/>
            </w:pPr>
            <w:r>
              <w:rPr>
                <w:rFonts w:hint="eastAsia"/>
                <w:b/>
              </w:rPr>
              <w:t>占当期股票成交总额的比例</w:t>
            </w:r>
          </w:p>
        </w:tc>
        <w:tc>
          <w:tcPr>
            <w:tcW w:w="1312" w:type="dxa"/>
            <w:shd w:val="clear" w:color="auto" w:fill="BFBFBF"/>
            <w:vAlign w:val="center"/>
          </w:tcPr>
          <w:p w14:paraId="2BF19C07">
            <w:pPr>
              <w:jc w:val="center"/>
            </w:pPr>
            <w:r>
              <w:rPr>
                <w:rFonts w:hint="eastAsia"/>
                <w:b/>
              </w:rPr>
              <w:t>佣金</w:t>
            </w:r>
          </w:p>
        </w:tc>
        <w:tc>
          <w:tcPr>
            <w:tcW w:w="1256" w:type="dxa"/>
            <w:shd w:val="clear" w:color="auto" w:fill="BFBFBF"/>
            <w:vAlign w:val="center"/>
          </w:tcPr>
          <w:p w14:paraId="6CEC00C9">
            <w:pPr>
              <w:jc w:val="center"/>
            </w:pPr>
            <w:r>
              <w:rPr>
                <w:rFonts w:hint="eastAsia"/>
                <w:b/>
              </w:rPr>
              <w:t>占当期佣金总量的比例</w:t>
            </w:r>
          </w:p>
        </w:tc>
        <w:tc>
          <w:tcPr>
            <w:tcW w:w="946" w:type="dxa"/>
            <w:vMerge w:val="continue"/>
            <w:vAlign w:val="center"/>
          </w:tcPr>
          <w:p w14:paraId="642C5D30"/>
        </w:tc>
      </w:tr>
      <w:tr w14:paraId="77491E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2FC7357B">
            <w:r>
              <w:rPr>
                <w:rFonts w:hint="eastAsia"/>
              </w:rPr>
              <w:t>广发证券</w:t>
            </w:r>
          </w:p>
        </w:tc>
        <w:tc>
          <w:tcPr>
            <w:tcW w:w="775" w:type="dxa"/>
            <w:vAlign w:val="center"/>
          </w:tcPr>
          <w:p w14:paraId="05736C4D">
            <w:pPr>
              <w:jc w:val="right"/>
            </w:pPr>
            <w:r>
              <w:rPr>
                <w:rFonts w:hint="eastAsia"/>
              </w:rPr>
              <w:t>2</w:t>
            </w:r>
          </w:p>
        </w:tc>
        <w:tc>
          <w:tcPr>
            <w:tcW w:w="1699" w:type="dxa"/>
            <w:vAlign w:val="center"/>
          </w:tcPr>
          <w:p w14:paraId="0533CBB1">
            <w:pPr>
              <w:jc w:val="right"/>
            </w:pPr>
            <w:r>
              <w:rPr>
                <w:rFonts w:hint="eastAsia"/>
              </w:rPr>
              <w:t>-</w:t>
            </w:r>
          </w:p>
        </w:tc>
        <w:tc>
          <w:tcPr>
            <w:tcW w:w="1201" w:type="dxa"/>
            <w:vAlign w:val="center"/>
          </w:tcPr>
          <w:p w14:paraId="2C89CA36">
            <w:pPr>
              <w:jc w:val="right"/>
            </w:pPr>
            <w:r>
              <w:rPr>
                <w:rFonts w:hint="eastAsia"/>
              </w:rPr>
              <w:t>-</w:t>
            </w:r>
          </w:p>
        </w:tc>
        <w:tc>
          <w:tcPr>
            <w:tcW w:w="1312" w:type="dxa"/>
            <w:vAlign w:val="center"/>
          </w:tcPr>
          <w:p w14:paraId="14E5222F">
            <w:pPr>
              <w:jc w:val="right"/>
            </w:pPr>
            <w:r>
              <w:rPr>
                <w:rFonts w:hint="eastAsia"/>
              </w:rPr>
              <w:t>-</w:t>
            </w:r>
          </w:p>
        </w:tc>
        <w:tc>
          <w:tcPr>
            <w:tcW w:w="1256" w:type="dxa"/>
            <w:vAlign w:val="center"/>
          </w:tcPr>
          <w:p w14:paraId="1D16268C">
            <w:pPr>
              <w:jc w:val="right"/>
            </w:pPr>
            <w:r>
              <w:rPr>
                <w:rFonts w:hint="eastAsia"/>
              </w:rPr>
              <w:t>-</w:t>
            </w:r>
          </w:p>
        </w:tc>
        <w:tc>
          <w:tcPr>
            <w:tcW w:w="946" w:type="dxa"/>
            <w:vAlign w:val="center"/>
          </w:tcPr>
          <w:p w14:paraId="036F468B">
            <w:pPr>
              <w:jc w:val="right"/>
            </w:pPr>
            <w:r>
              <w:rPr>
                <w:rFonts w:hint="eastAsia"/>
              </w:rPr>
              <w:t>-</w:t>
            </w:r>
          </w:p>
        </w:tc>
      </w:tr>
      <w:tr w14:paraId="6E0EA9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0B5B8F93">
            <w:r>
              <w:rPr>
                <w:rFonts w:hint="eastAsia"/>
              </w:rPr>
              <w:t>申万宏源</w:t>
            </w:r>
          </w:p>
        </w:tc>
        <w:tc>
          <w:tcPr>
            <w:tcW w:w="775" w:type="dxa"/>
            <w:vAlign w:val="center"/>
          </w:tcPr>
          <w:p w14:paraId="30AEFCF1">
            <w:pPr>
              <w:jc w:val="right"/>
            </w:pPr>
            <w:r>
              <w:rPr>
                <w:rFonts w:hint="eastAsia"/>
              </w:rPr>
              <w:t>2</w:t>
            </w:r>
          </w:p>
        </w:tc>
        <w:tc>
          <w:tcPr>
            <w:tcW w:w="1699" w:type="dxa"/>
            <w:vAlign w:val="center"/>
          </w:tcPr>
          <w:p w14:paraId="7F01E6B1">
            <w:pPr>
              <w:jc w:val="right"/>
            </w:pPr>
            <w:r>
              <w:rPr>
                <w:rFonts w:hint="eastAsia"/>
              </w:rPr>
              <w:t>-</w:t>
            </w:r>
          </w:p>
        </w:tc>
        <w:tc>
          <w:tcPr>
            <w:tcW w:w="1201" w:type="dxa"/>
            <w:vAlign w:val="center"/>
          </w:tcPr>
          <w:p w14:paraId="2B38A894">
            <w:pPr>
              <w:jc w:val="right"/>
            </w:pPr>
            <w:r>
              <w:rPr>
                <w:rFonts w:hint="eastAsia"/>
              </w:rPr>
              <w:t>-</w:t>
            </w:r>
          </w:p>
        </w:tc>
        <w:tc>
          <w:tcPr>
            <w:tcW w:w="1312" w:type="dxa"/>
            <w:vAlign w:val="center"/>
          </w:tcPr>
          <w:p w14:paraId="65E02CBF">
            <w:pPr>
              <w:jc w:val="right"/>
            </w:pPr>
            <w:r>
              <w:rPr>
                <w:rFonts w:hint="eastAsia"/>
              </w:rPr>
              <w:t>-</w:t>
            </w:r>
          </w:p>
        </w:tc>
        <w:tc>
          <w:tcPr>
            <w:tcW w:w="1256" w:type="dxa"/>
            <w:vAlign w:val="center"/>
          </w:tcPr>
          <w:p w14:paraId="6F1E5CA1">
            <w:pPr>
              <w:jc w:val="right"/>
            </w:pPr>
            <w:r>
              <w:rPr>
                <w:rFonts w:hint="eastAsia"/>
              </w:rPr>
              <w:t>-</w:t>
            </w:r>
          </w:p>
        </w:tc>
        <w:tc>
          <w:tcPr>
            <w:tcW w:w="946" w:type="dxa"/>
            <w:vAlign w:val="center"/>
          </w:tcPr>
          <w:p w14:paraId="0E4B652F">
            <w:pPr>
              <w:jc w:val="right"/>
            </w:pPr>
            <w:r>
              <w:rPr>
                <w:rFonts w:hint="eastAsia"/>
              </w:rPr>
              <w:t>-</w:t>
            </w:r>
          </w:p>
        </w:tc>
      </w:tr>
      <w:tr w14:paraId="1C43DC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4AE740BB">
            <w:r>
              <w:rPr>
                <w:rFonts w:hint="eastAsia"/>
              </w:rPr>
              <w:t>长江证券</w:t>
            </w:r>
          </w:p>
        </w:tc>
        <w:tc>
          <w:tcPr>
            <w:tcW w:w="775" w:type="dxa"/>
            <w:vAlign w:val="center"/>
          </w:tcPr>
          <w:p w14:paraId="3B118C4B">
            <w:pPr>
              <w:jc w:val="right"/>
            </w:pPr>
            <w:r>
              <w:rPr>
                <w:rFonts w:hint="eastAsia"/>
              </w:rPr>
              <w:t>1</w:t>
            </w:r>
          </w:p>
        </w:tc>
        <w:tc>
          <w:tcPr>
            <w:tcW w:w="1699" w:type="dxa"/>
            <w:vAlign w:val="center"/>
          </w:tcPr>
          <w:p w14:paraId="19CBA67C">
            <w:pPr>
              <w:jc w:val="right"/>
            </w:pPr>
            <w:r>
              <w:rPr>
                <w:rFonts w:hint="eastAsia"/>
              </w:rPr>
              <w:t>-</w:t>
            </w:r>
          </w:p>
        </w:tc>
        <w:tc>
          <w:tcPr>
            <w:tcW w:w="1201" w:type="dxa"/>
            <w:vAlign w:val="center"/>
          </w:tcPr>
          <w:p w14:paraId="551BC34F">
            <w:pPr>
              <w:jc w:val="right"/>
            </w:pPr>
            <w:r>
              <w:rPr>
                <w:rFonts w:hint="eastAsia"/>
              </w:rPr>
              <w:t>-</w:t>
            </w:r>
          </w:p>
        </w:tc>
        <w:tc>
          <w:tcPr>
            <w:tcW w:w="1312" w:type="dxa"/>
            <w:vAlign w:val="center"/>
          </w:tcPr>
          <w:p w14:paraId="77DA4657">
            <w:pPr>
              <w:jc w:val="right"/>
            </w:pPr>
            <w:r>
              <w:rPr>
                <w:rFonts w:hint="eastAsia"/>
              </w:rPr>
              <w:t>-</w:t>
            </w:r>
          </w:p>
        </w:tc>
        <w:tc>
          <w:tcPr>
            <w:tcW w:w="1256" w:type="dxa"/>
            <w:vAlign w:val="center"/>
          </w:tcPr>
          <w:p w14:paraId="5B749E49">
            <w:pPr>
              <w:jc w:val="right"/>
            </w:pPr>
            <w:r>
              <w:rPr>
                <w:rFonts w:hint="eastAsia"/>
              </w:rPr>
              <w:t>-</w:t>
            </w:r>
          </w:p>
        </w:tc>
        <w:tc>
          <w:tcPr>
            <w:tcW w:w="946" w:type="dxa"/>
            <w:vAlign w:val="center"/>
          </w:tcPr>
          <w:p w14:paraId="4B2DAED1">
            <w:pPr>
              <w:jc w:val="right"/>
            </w:pPr>
            <w:r>
              <w:rPr>
                <w:rFonts w:hint="eastAsia"/>
              </w:rPr>
              <w:t>-</w:t>
            </w:r>
          </w:p>
        </w:tc>
      </w:tr>
      <w:tr w14:paraId="24F6D3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1F6CA83D">
            <w:r>
              <w:rPr>
                <w:rFonts w:hint="eastAsia"/>
              </w:rPr>
              <w:t>东吴证券</w:t>
            </w:r>
          </w:p>
        </w:tc>
        <w:tc>
          <w:tcPr>
            <w:tcW w:w="775" w:type="dxa"/>
            <w:vAlign w:val="center"/>
          </w:tcPr>
          <w:p w14:paraId="1D91FA93">
            <w:pPr>
              <w:jc w:val="right"/>
            </w:pPr>
            <w:r>
              <w:rPr>
                <w:rFonts w:hint="eastAsia"/>
              </w:rPr>
              <w:t>1</w:t>
            </w:r>
          </w:p>
        </w:tc>
        <w:tc>
          <w:tcPr>
            <w:tcW w:w="1699" w:type="dxa"/>
            <w:vAlign w:val="center"/>
          </w:tcPr>
          <w:p w14:paraId="6863BAE7">
            <w:pPr>
              <w:jc w:val="right"/>
            </w:pPr>
            <w:r>
              <w:rPr>
                <w:rFonts w:hint="eastAsia"/>
              </w:rPr>
              <w:t>-</w:t>
            </w:r>
          </w:p>
        </w:tc>
        <w:tc>
          <w:tcPr>
            <w:tcW w:w="1201" w:type="dxa"/>
            <w:vAlign w:val="center"/>
          </w:tcPr>
          <w:p w14:paraId="7B450BE3">
            <w:pPr>
              <w:jc w:val="right"/>
            </w:pPr>
            <w:r>
              <w:rPr>
                <w:rFonts w:hint="eastAsia"/>
              </w:rPr>
              <w:t>-</w:t>
            </w:r>
          </w:p>
        </w:tc>
        <w:tc>
          <w:tcPr>
            <w:tcW w:w="1312" w:type="dxa"/>
            <w:vAlign w:val="center"/>
          </w:tcPr>
          <w:p w14:paraId="5BF1EEED">
            <w:pPr>
              <w:jc w:val="right"/>
            </w:pPr>
            <w:r>
              <w:rPr>
                <w:rFonts w:hint="eastAsia"/>
              </w:rPr>
              <w:t>-</w:t>
            </w:r>
          </w:p>
        </w:tc>
        <w:tc>
          <w:tcPr>
            <w:tcW w:w="1256" w:type="dxa"/>
            <w:vAlign w:val="center"/>
          </w:tcPr>
          <w:p w14:paraId="306B7A52">
            <w:pPr>
              <w:jc w:val="right"/>
            </w:pPr>
            <w:r>
              <w:rPr>
                <w:rFonts w:hint="eastAsia"/>
              </w:rPr>
              <w:t>-</w:t>
            </w:r>
          </w:p>
        </w:tc>
        <w:tc>
          <w:tcPr>
            <w:tcW w:w="946" w:type="dxa"/>
            <w:vAlign w:val="center"/>
          </w:tcPr>
          <w:p w14:paraId="22C4A706">
            <w:pPr>
              <w:jc w:val="right"/>
            </w:pPr>
            <w:r>
              <w:rPr>
                <w:rFonts w:hint="eastAsia"/>
              </w:rPr>
              <w:t>-</w:t>
            </w:r>
          </w:p>
        </w:tc>
      </w:tr>
      <w:tr w14:paraId="7A7C3B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21B0AD97">
            <w:r>
              <w:rPr>
                <w:rFonts w:hint="eastAsia"/>
              </w:rPr>
              <w:t>国泰海通</w:t>
            </w:r>
          </w:p>
        </w:tc>
        <w:tc>
          <w:tcPr>
            <w:tcW w:w="775" w:type="dxa"/>
            <w:vAlign w:val="center"/>
          </w:tcPr>
          <w:p w14:paraId="5CC7AADF">
            <w:pPr>
              <w:jc w:val="right"/>
            </w:pPr>
            <w:r>
              <w:rPr>
                <w:rFonts w:hint="eastAsia"/>
              </w:rPr>
              <w:t>1</w:t>
            </w:r>
          </w:p>
        </w:tc>
        <w:tc>
          <w:tcPr>
            <w:tcW w:w="1699" w:type="dxa"/>
            <w:vAlign w:val="center"/>
          </w:tcPr>
          <w:p w14:paraId="23F07E60">
            <w:pPr>
              <w:jc w:val="right"/>
            </w:pPr>
            <w:r>
              <w:rPr>
                <w:rFonts w:hint="eastAsia"/>
              </w:rPr>
              <w:t>-</w:t>
            </w:r>
          </w:p>
        </w:tc>
        <w:tc>
          <w:tcPr>
            <w:tcW w:w="1201" w:type="dxa"/>
            <w:vAlign w:val="center"/>
          </w:tcPr>
          <w:p w14:paraId="7BC3CF08">
            <w:pPr>
              <w:jc w:val="right"/>
            </w:pPr>
            <w:r>
              <w:rPr>
                <w:rFonts w:hint="eastAsia"/>
              </w:rPr>
              <w:t>-</w:t>
            </w:r>
          </w:p>
        </w:tc>
        <w:tc>
          <w:tcPr>
            <w:tcW w:w="1312" w:type="dxa"/>
            <w:vAlign w:val="center"/>
          </w:tcPr>
          <w:p w14:paraId="7489FD33">
            <w:pPr>
              <w:jc w:val="right"/>
            </w:pPr>
            <w:r>
              <w:rPr>
                <w:rFonts w:hint="eastAsia"/>
              </w:rPr>
              <w:t>-</w:t>
            </w:r>
          </w:p>
        </w:tc>
        <w:tc>
          <w:tcPr>
            <w:tcW w:w="1256" w:type="dxa"/>
            <w:vAlign w:val="center"/>
          </w:tcPr>
          <w:p w14:paraId="4FC61277">
            <w:pPr>
              <w:jc w:val="right"/>
            </w:pPr>
            <w:r>
              <w:rPr>
                <w:rFonts w:hint="eastAsia"/>
              </w:rPr>
              <w:t>-</w:t>
            </w:r>
          </w:p>
        </w:tc>
        <w:tc>
          <w:tcPr>
            <w:tcW w:w="946" w:type="dxa"/>
            <w:vAlign w:val="center"/>
          </w:tcPr>
          <w:p w14:paraId="46FBD018">
            <w:pPr>
              <w:jc w:val="right"/>
            </w:pPr>
            <w:r>
              <w:rPr>
                <w:rFonts w:hint="eastAsia"/>
              </w:rPr>
              <w:t>-</w:t>
            </w:r>
          </w:p>
        </w:tc>
      </w:tr>
      <w:tr w14:paraId="627CD6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285A6A4D">
            <w:r>
              <w:rPr>
                <w:rFonts w:hint="eastAsia"/>
              </w:rPr>
              <w:t>华创证券</w:t>
            </w:r>
          </w:p>
        </w:tc>
        <w:tc>
          <w:tcPr>
            <w:tcW w:w="775" w:type="dxa"/>
            <w:vAlign w:val="center"/>
          </w:tcPr>
          <w:p w14:paraId="40CE690B">
            <w:pPr>
              <w:jc w:val="right"/>
            </w:pPr>
            <w:r>
              <w:rPr>
                <w:rFonts w:hint="eastAsia"/>
              </w:rPr>
              <w:t>1</w:t>
            </w:r>
          </w:p>
        </w:tc>
        <w:tc>
          <w:tcPr>
            <w:tcW w:w="1699" w:type="dxa"/>
            <w:vAlign w:val="center"/>
          </w:tcPr>
          <w:p w14:paraId="3C1DCF0B">
            <w:pPr>
              <w:jc w:val="right"/>
            </w:pPr>
            <w:r>
              <w:rPr>
                <w:rFonts w:hint="eastAsia"/>
              </w:rPr>
              <w:t>-</w:t>
            </w:r>
          </w:p>
        </w:tc>
        <w:tc>
          <w:tcPr>
            <w:tcW w:w="1201" w:type="dxa"/>
            <w:vAlign w:val="center"/>
          </w:tcPr>
          <w:p w14:paraId="55F5274D">
            <w:pPr>
              <w:jc w:val="right"/>
            </w:pPr>
            <w:r>
              <w:rPr>
                <w:rFonts w:hint="eastAsia"/>
              </w:rPr>
              <w:t>-</w:t>
            </w:r>
          </w:p>
        </w:tc>
        <w:tc>
          <w:tcPr>
            <w:tcW w:w="1312" w:type="dxa"/>
            <w:vAlign w:val="center"/>
          </w:tcPr>
          <w:p w14:paraId="6426C6FE">
            <w:pPr>
              <w:jc w:val="right"/>
            </w:pPr>
            <w:r>
              <w:rPr>
                <w:rFonts w:hint="eastAsia"/>
              </w:rPr>
              <w:t>-</w:t>
            </w:r>
          </w:p>
        </w:tc>
        <w:tc>
          <w:tcPr>
            <w:tcW w:w="1256" w:type="dxa"/>
            <w:vAlign w:val="center"/>
          </w:tcPr>
          <w:p w14:paraId="07E131F7">
            <w:pPr>
              <w:jc w:val="right"/>
            </w:pPr>
            <w:r>
              <w:rPr>
                <w:rFonts w:hint="eastAsia"/>
              </w:rPr>
              <w:t>-</w:t>
            </w:r>
          </w:p>
        </w:tc>
        <w:tc>
          <w:tcPr>
            <w:tcW w:w="946" w:type="dxa"/>
            <w:vAlign w:val="center"/>
          </w:tcPr>
          <w:p w14:paraId="5B888620">
            <w:pPr>
              <w:jc w:val="right"/>
            </w:pPr>
            <w:r>
              <w:rPr>
                <w:rFonts w:hint="eastAsia"/>
              </w:rPr>
              <w:t>-</w:t>
            </w:r>
          </w:p>
        </w:tc>
      </w:tr>
      <w:tr w14:paraId="3E86F1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028716FE">
            <w:r>
              <w:rPr>
                <w:rFonts w:hint="eastAsia"/>
              </w:rPr>
              <w:t>华泰证券</w:t>
            </w:r>
          </w:p>
        </w:tc>
        <w:tc>
          <w:tcPr>
            <w:tcW w:w="775" w:type="dxa"/>
            <w:vAlign w:val="center"/>
          </w:tcPr>
          <w:p w14:paraId="22F737FC">
            <w:pPr>
              <w:jc w:val="right"/>
            </w:pPr>
            <w:r>
              <w:rPr>
                <w:rFonts w:hint="eastAsia"/>
              </w:rPr>
              <w:t>1</w:t>
            </w:r>
          </w:p>
        </w:tc>
        <w:tc>
          <w:tcPr>
            <w:tcW w:w="1699" w:type="dxa"/>
            <w:vAlign w:val="center"/>
          </w:tcPr>
          <w:p w14:paraId="2FF9C27B">
            <w:pPr>
              <w:jc w:val="right"/>
            </w:pPr>
            <w:r>
              <w:rPr>
                <w:rFonts w:hint="eastAsia"/>
              </w:rPr>
              <w:t>-</w:t>
            </w:r>
          </w:p>
        </w:tc>
        <w:tc>
          <w:tcPr>
            <w:tcW w:w="1201" w:type="dxa"/>
            <w:vAlign w:val="center"/>
          </w:tcPr>
          <w:p w14:paraId="73A36F41">
            <w:pPr>
              <w:jc w:val="right"/>
            </w:pPr>
            <w:r>
              <w:rPr>
                <w:rFonts w:hint="eastAsia"/>
              </w:rPr>
              <w:t>-</w:t>
            </w:r>
          </w:p>
        </w:tc>
        <w:tc>
          <w:tcPr>
            <w:tcW w:w="1312" w:type="dxa"/>
            <w:vAlign w:val="center"/>
          </w:tcPr>
          <w:p w14:paraId="60A263B0">
            <w:pPr>
              <w:jc w:val="right"/>
            </w:pPr>
            <w:r>
              <w:rPr>
                <w:rFonts w:hint="eastAsia"/>
              </w:rPr>
              <w:t>-</w:t>
            </w:r>
          </w:p>
        </w:tc>
        <w:tc>
          <w:tcPr>
            <w:tcW w:w="1256" w:type="dxa"/>
            <w:vAlign w:val="center"/>
          </w:tcPr>
          <w:p w14:paraId="1F70C300">
            <w:pPr>
              <w:jc w:val="right"/>
            </w:pPr>
            <w:r>
              <w:rPr>
                <w:rFonts w:hint="eastAsia"/>
              </w:rPr>
              <w:t>-</w:t>
            </w:r>
          </w:p>
        </w:tc>
        <w:tc>
          <w:tcPr>
            <w:tcW w:w="946" w:type="dxa"/>
            <w:vAlign w:val="center"/>
          </w:tcPr>
          <w:p w14:paraId="5DE09AAF">
            <w:pPr>
              <w:jc w:val="right"/>
            </w:pPr>
            <w:r>
              <w:rPr>
                <w:rFonts w:hint="eastAsia"/>
              </w:rPr>
              <w:t>-</w:t>
            </w:r>
          </w:p>
        </w:tc>
      </w:tr>
      <w:tr w14:paraId="08BAEB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3CBC19C7">
            <w:r>
              <w:rPr>
                <w:rFonts w:hint="eastAsia"/>
              </w:rPr>
              <w:t>中信证券</w:t>
            </w:r>
          </w:p>
        </w:tc>
        <w:tc>
          <w:tcPr>
            <w:tcW w:w="775" w:type="dxa"/>
            <w:vAlign w:val="center"/>
          </w:tcPr>
          <w:p w14:paraId="45808E9A">
            <w:pPr>
              <w:jc w:val="right"/>
            </w:pPr>
            <w:r>
              <w:rPr>
                <w:rFonts w:hint="eastAsia"/>
              </w:rPr>
              <w:t>1</w:t>
            </w:r>
          </w:p>
        </w:tc>
        <w:tc>
          <w:tcPr>
            <w:tcW w:w="1699" w:type="dxa"/>
            <w:vAlign w:val="center"/>
          </w:tcPr>
          <w:p w14:paraId="057680CD">
            <w:pPr>
              <w:jc w:val="right"/>
            </w:pPr>
            <w:r>
              <w:rPr>
                <w:rFonts w:hint="eastAsia"/>
              </w:rPr>
              <w:t>-</w:t>
            </w:r>
          </w:p>
        </w:tc>
        <w:tc>
          <w:tcPr>
            <w:tcW w:w="1201" w:type="dxa"/>
            <w:vAlign w:val="center"/>
          </w:tcPr>
          <w:p w14:paraId="711A9073">
            <w:pPr>
              <w:jc w:val="right"/>
            </w:pPr>
            <w:r>
              <w:rPr>
                <w:rFonts w:hint="eastAsia"/>
              </w:rPr>
              <w:t>-</w:t>
            </w:r>
          </w:p>
        </w:tc>
        <w:tc>
          <w:tcPr>
            <w:tcW w:w="1312" w:type="dxa"/>
            <w:vAlign w:val="center"/>
          </w:tcPr>
          <w:p w14:paraId="11A53B8B">
            <w:pPr>
              <w:jc w:val="right"/>
            </w:pPr>
            <w:r>
              <w:rPr>
                <w:rFonts w:hint="eastAsia"/>
              </w:rPr>
              <w:t>-</w:t>
            </w:r>
          </w:p>
        </w:tc>
        <w:tc>
          <w:tcPr>
            <w:tcW w:w="1256" w:type="dxa"/>
            <w:vAlign w:val="center"/>
          </w:tcPr>
          <w:p w14:paraId="5232F878">
            <w:pPr>
              <w:jc w:val="right"/>
            </w:pPr>
            <w:r>
              <w:rPr>
                <w:rFonts w:hint="eastAsia"/>
              </w:rPr>
              <w:t>-</w:t>
            </w:r>
          </w:p>
        </w:tc>
        <w:tc>
          <w:tcPr>
            <w:tcW w:w="946" w:type="dxa"/>
            <w:vAlign w:val="center"/>
          </w:tcPr>
          <w:p w14:paraId="6898E2A9">
            <w:pPr>
              <w:jc w:val="right"/>
            </w:pPr>
            <w:r>
              <w:rPr>
                <w:rFonts w:hint="eastAsia"/>
              </w:rPr>
              <w:t>-</w:t>
            </w:r>
          </w:p>
        </w:tc>
      </w:tr>
    </w:tbl>
    <w:p w14:paraId="5A2D34D8">
      <w:pPr>
        <w:pStyle w:val="47"/>
        <w:rPr>
          <w:rFonts w:hint="eastAsia"/>
        </w:rPr>
      </w:pPr>
      <w:r>
        <w:rPr>
          <w:rFonts w:hint="eastAsia"/>
        </w:rPr>
        <w:t>注：根据2024年7月1日起施行的《公开募集证券投资基金证券交易费用管理规定》（证监会公告〔2024〕3号），基金管理人制定了证券公司交易单元的选择标准和程序：</w:t>
      </w:r>
    </w:p>
    <w:p w14:paraId="15E43803">
      <w:pPr>
        <w:pStyle w:val="47"/>
        <w:rPr>
          <w:rFonts w:hint="eastAsia"/>
        </w:rPr>
      </w:pPr>
      <w:r>
        <w:tab/>
      </w:r>
      <w:r>
        <w:rPr>
          <w:rFonts w:hint="eastAsia"/>
        </w:rPr>
        <w:t>1、选择标准</w:t>
      </w:r>
    </w:p>
    <w:p w14:paraId="176467CE">
      <w:pPr>
        <w:pStyle w:val="47"/>
        <w:rPr>
          <w:rFonts w:hint="eastAsia"/>
        </w:rPr>
      </w:pPr>
      <w:r>
        <w:tab/>
      </w:r>
      <w:r>
        <w:rPr>
          <w:rFonts w:hint="eastAsia"/>
        </w:rPr>
        <w:t>基金管理人建立了选择机制，选择财务状况良好、经营行为规范、合规风控能力和交易、研究等服务能力较强的证券公司参与证券交易，并制定了定性与定量相结合的具体标准。</w:t>
      </w:r>
    </w:p>
    <w:p w14:paraId="5688667F">
      <w:pPr>
        <w:pStyle w:val="47"/>
        <w:rPr>
          <w:rFonts w:hint="eastAsia"/>
        </w:rPr>
      </w:pPr>
      <w:r>
        <w:tab/>
      </w:r>
      <w:r>
        <w:rPr>
          <w:rFonts w:hint="eastAsia"/>
        </w:rPr>
        <w:t>2、选择程序</w:t>
      </w:r>
    </w:p>
    <w:p w14:paraId="641E13E7">
      <w:pPr>
        <w:pStyle w:val="47"/>
        <w:rPr>
          <w:rFonts w:hint="eastAsia"/>
        </w:rPr>
      </w:pPr>
      <w:r>
        <w:tab/>
      </w:r>
      <w:r>
        <w:rPr>
          <w:rFonts w:hint="eastAsia"/>
        </w:rPr>
        <w:t>（1）基金管理人根据上述标准对证券公司进行评估，与符合标准的证券公司签订证券综合研究服务协议后将其入库，并对入库的证券公司开展动态管理，定期检视其是否持续符合选择标准；</w:t>
      </w:r>
    </w:p>
    <w:p w14:paraId="51314FA6">
      <w:pPr>
        <w:pStyle w:val="47"/>
        <w:rPr>
          <w:rFonts w:hint="eastAsia"/>
        </w:rPr>
      </w:pPr>
      <w:r>
        <w:tab/>
      </w:r>
      <w:r>
        <w:rPr>
          <w:rFonts w:hint="eastAsia"/>
        </w:rPr>
        <w:t>（2）基金管理人根据其建立的服务评价及交易量分配机制，定期对证券公司开展评价后，根据评价结果进行交易量的分配。</w:t>
      </w:r>
    </w:p>
    <w:p w14:paraId="58CF2AC9">
      <w:pPr>
        <w:pStyle w:val="47"/>
        <w:rPr>
          <w:rFonts w:hint="eastAsia"/>
        </w:rPr>
      </w:pPr>
      <w:r>
        <w:tab/>
      </w:r>
      <w:r>
        <w:rPr>
          <w:rFonts w:hint="eastAsia"/>
        </w:rPr>
        <w:t>3、报告期内基金租用券商交易单元的变更情况：新增交易单元：无；减少交易单元：国投证券。</w:t>
      </w:r>
    </w:p>
    <w:p w14:paraId="52100A17">
      <w:pPr>
        <w:pStyle w:val="28"/>
      </w:pPr>
      <w:bookmarkStart w:id="195" w:name="_Toc195"/>
      <w:r>
        <w:t>基金租用证券公司交易单元进行其他证券投资的情况</w:t>
      </w:r>
      <w:bookmarkEnd w:id="195"/>
    </w:p>
    <w:p w14:paraId="479ADA31">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0"/>
        <w:gridCol w:w="1508"/>
        <w:gridCol w:w="895"/>
        <w:gridCol w:w="1697"/>
        <w:gridCol w:w="895"/>
        <w:gridCol w:w="1508"/>
        <w:gridCol w:w="900"/>
      </w:tblGrid>
      <w:tr w14:paraId="6E5A24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Merge w:val="restart"/>
            <w:shd w:val="clear" w:color="auto" w:fill="BFBFBF"/>
            <w:vAlign w:val="center"/>
          </w:tcPr>
          <w:p w14:paraId="1B1541F5">
            <w:pPr>
              <w:jc w:val="center"/>
            </w:pPr>
            <w:r>
              <w:rPr>
                <w:rFonts w:hint="eastAsia"/>
                <w:b/>
              </w:rPr>
              <w:t>券商名称</w:t>
            </w:r>
          </w:p>
        </w:tc>
        <w:tc>
          <w:tcPr>
            <w:tcW w:w="1508" w:type="dxa"/>
            <w:gridSpan w:val="2"/>
            <w:shd w:val="clear" w:color="auto" w:fill="BFBFBF"/>
            <w:vAlign w:val="center"/>
          </w:tcPr>
          <w:p w14:paraId="49199116">
            <w:pPr>
              <w:jc w:val="center"/>
            </w:pPr>
            <w:r>
              <w:rPr>
                <w:rFonts w:hint="eastAsia"/>
                <w:b/>
              </w:rPr>
              <w:t>债券交易</w:t>
            </w:r>
          </w:p>
        </w:tc>
        <w:tc>
          <w:tcPr>
            <w:tcW w:w="1697" w:type="dxa"/>
            <w:gridSpan w:val="2"/>
            <w:shd w:val="clear" w:color="auto" w:fill="BFBFBF"/>
            <w:vAlign w:val="center"/>
          </w:tcPr>
          <w:p w14:paraId="3B6C8FFD">
            <w:pPr>
              <w:jc w:val="center"/>
            </w:pPr>
            <w:r>
              <w:rPr>
                <w:rFonts w:hint="eastAsia"/>
                <w:b/>
              </w:rPr>
              <w:t>债券回购交易</w:t>
            </w:r>
          </w:p>
        </w:tc>
        <w:tc>
          <w:tcPr>
            <w:tcW w:w="1508" w:type="dxa"/>
            <w:gridSpan w:val="2"/>
            <w:shd w:val="clear" w:color="auto" w:fill="BFBFBF"/>
            <w:vAlign w:val="center"/>
          </w:tcPr>
          <w:p w14:paraId="15A7AF57">
            <w:pPr>
              <w:jc w:val="center"/>
            </w:pPr>
            <w:r>
              <w:rPr>
                <w:rFonts w:hint="eastAsia"/>
                <w:b/>
              </w:rPr>
              <w:t>权证交易</w:t>
            </w:r>
          </w:p>
        </w:tc>
      </w:tr>
      <w:tr w14:paraId="580347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Merge w:val="continue"/>
            <w:vAlign w:val="center"/>
          </w:tcPr>
          <w:p w14:paraId="313CF226"/>
        </w:tc>
        <w:tc>
          <w:tcPr>
            <w:tcW w:w="1508" w:type="dxa"/>
            <w:shd w:val="clear" w:color="auto" w:fill="BFBFBF"/>
            <w:vAlign w:val="center"/>
          </w:tcPr>
          <w:p w14:paraId="52CDE531">
            <w:pPr>
              <w:jc w:val="center"/>
            </w:pPr>
            <w:r>
              <w:rPr>
                <w:rFonts w:hint="eastAsia"/>
                <w:b/>
              </w:rPr>
              <w:t>成交金额</w:t>
            </w:r>
          </w:p>
        </w:tc>
        <w:tc>
          <w:tcPr>
            <w:tcW w:w="895" w:type="dxa"/>
            <w:shd w:val="clear" w:color="auto" w:fill="BFBFBF"/>
            <w:vAlign w:val="center"/>
          </w:tcPr>
          <w:p w14:paraId="35E4D866">
            <w:pPr>
              <w:jc w:val="center"/>
            </w:pPr>
            <w:r>
              <w:rPr>
                <w:rFonts w:hint="eastAsia"/>
                <w:b/>
              </w:rPr>
              <w:t>占当期债券成交总额的比例</w:t>
            </w:r>
          </w:p>
        </w:tc>
        <w:tc>
          <w:tcPr>
            <w:tcW w:w="1697" w:type="dxa"/>
            <w:shd w:val="clear" w:color="auto" w:fill="BFBFBF"/>
            <w:vAlign w:val="center"/>
          </w:tcPr>
          <w:p w14:paraId="219F9EF9">
            <w:pPr>
              <w:jc w:val="center"/>
            </w:pPr>
            <w:r>
              <w:rPr>
                <w:rFonts w:hint="eastAsia"/>
                <w:b/>
              </w:rPr>
              <w:t>成交金额</w:t>
            </w:r>
          </w:p>
        </w:tc>
        <w:tc>
          <w:tcPr>
            <w:tcW w:w="895" w:type="dxa"/>
            <w:shd w:val="clear" w:color="auto" w:fill="BFBFBF"/>
            <w:vAlign w:val="center"/>
          </w:tcPr>
          <w:p w14:paraId="3E7ECC77">
            <w:pPr>
              <w:jc w:val="center"/>
            </w:pPr>
            <w:r>
              <w:rPr>
                <w:rFonts w:hint="eastAsia"/>
                <w:b/>
              </w:rPr>
              <w:t>占当期债券回购成交总额的比例</w:t>
            </w:r>
          </w:p>
        </w:tc>
        <w:tc>
          <w:tcPr>
            <w:tcW w:w="1508" w:type="dxa"/>
            <w:shd w:val="clear" w:color="auto" w:fill="BFBFBF"/>
            <w:vAlign w:val="center"/>
          </w:tcPr>
          <w:p w14:paraId="45720B35">
            <w:pPr>
              <w:jc w:val="center"/>
            </w:pPr>
            <w:r>
              <w:rPr>
                <w:rFonts w:hint="eastAsia"/>
                <w:b/>
              </w:rPr>
              <w:t>成交金额</w:t>
            </w:r>
          </w:p>
        </w:tc>
        <w:tc>
          <w:tcPr>
            <w:tcW w:w="900" w:type="dxa"/>
            <w:shd w:val="clear" w:color="auto" w:fill="BFBFBF"/>
            <w:vAlign w:val="center"/>
          </w:tcPr>
          <w:p w14:paraId="5AD31211">
            <w:pPr>
              <w:jc w:val="center"/>
            </w:pPr>
            <w:r>
              <w:rPr>
                <w:rFonts w:hint="eastAsia"/>
                <w:b/>
              </w:rPr>
              <w:t>占当期权证成交总额的比例</w:t>
            </w:r>
          </w:p>
        </w:tc>
      </w:tr>
      <w:tr w14:paraId="16E3A5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6CE2B3A7">
            <w:r>
              <w:rPr>
                <w:rFonts w:hint="eastAsia"/>
              </w:rPr>
              <w:t>广发证券</w:t>
            </w:r>
          </w:p>
        </w:tc>
        <w:tc>
          <w:tcPr>
            <w:tcW w:w="1508" w:type="dxa"/>
            <w:vAlign w:val="center"/>
          </w:tcPr>
          <w:p w14:paraId="12EE4163">
            <w:pPr>
              <w:jc w:val="right"/>
            </w:pPr>
            <w:r>
              <w:rPr>
                <w:rFonts w:hint="eastAsia"/>
              </w:rPr>
              <w:t>160,687,796.00</w:t>
            </w:r>
          </w:p>
        </w:tc>
        <w:tc>
          <w:tcPr>
            <w:tcW w:w="895" w:type="dxa"/>
            <w:vAlign w:val="center"/>
          </w:tcPr>
          <w:p w14:paraId="4A2252A6">
            <w:pPr>
              <w:jc w:val="right"/>
            </w:pPr>
            <w:r>
              <w:rPr>
                <w:rFonts w:hint="eastAsia"/>
              </w:rPr>
              <w:t>100.00%</w:t>
            </w:r>
          </w:p>
        </w:tc>
        <w:tc>
          <w:tcPr>
            <w:tcW w:w="1697" w:type="dxa"/>
            <w:vAlign w:val="center"/>
          </w:tcPr>
          <w:p w14:paraId="28AECF62">
            <w:pPr>
              <w:jc w:val="right"/>
            </w:pPr>
            <w:r>
              <w:rPr>
                <w:rFonts w:hint="eastAsia"/>
              </w:rPr>
              <w:t>-</w:t>
            </w:r>
          </w:p>
        </w:tc>
        <w:tc>
          <w:tcPr>
            <w:tcW w:w="895" w:type="dxa"/>
            <w:vAlign w:val="center"/>
          </w:tcPr>
          <w:p w14:paraId="5624D1A2">
            <w:pPr>
              <w:jc w:val="right"/>
            </w:pPr>
            <w:r>
              <w:rPr>
                <w:rFonts w:hint="eastAsia"/>
              </w:rPr>
              <w:t>-</w:t>
            </w:r>
          </w:p>
        </w:tc>
        <w:tc>
          <w:tcPr>
            <w:tcW w:w="1508" w:type="dxa"/>
            <w:vAlign w:val="center"/>
          </w:tcPr>
          <w:p w14:paraId="3DA6FE1C">
            <w:pPr>
              <w:jc w:val="right"/>
            </w:pPr>
            <w:r>
              <w:rPr>
                <w:rFonts w:hint="eastAsia"/>
              </w:rPr>
              <w:t>-</w:t>
            </w:r>
          </w:p>
        </w:tc>
        <w:tc>
          <w:tcPr>
            <w:tcW w:w="900" w:type="dxa"/>
            <w:vAlign w:val="center"/>
          </w:tcPr>
          <w:p w14:paraId="3EDA6186">
            <w:pPr>
              <w:jc w:val="right"/>
            </w:pPr>
            <w:r>
              <w:rPr>
                <w:rFonts w:hint="eastAsia"/>
              </w:rPr>
              <w:t>-</w:t>
            </w:r>
          </w:p>
        </w:tc>
      </w:tr>
      <w:tr w14:paraId="139C38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0F6F89AE">
            <w:r>
              <w:rPr>
                <w:rFonts w:hint="eastAsia"/>
              </w:rPr>
              <w:t>申万宏源</w:t>
            </w:r>
          </w:p>
        </w:tc>
        <w:tc>
          <w:tcPr>
            <w:tcW w:w="1508" w:type="dxa"/>
            <w:vAlign w:val="center"/>
          </w:tcPr>
          <w:p w14:paraId="0DCCBC44">
            <w:pPr>
              <w:jc w:val="right"/>
            </w:pPr>
            <w:r>
              <w:rPr>
                <w:rFonts w:hint="eastAsia"/>
              </w:rPr>
              <w:t>-</w:t>
            </w:r>
          </w:p>
        </w:tc>
        <w:tc>
          <w:tcPr>
            <w:tcW w:w="895" w:type="dxa"/>
            <w:vAlign w:val="center"/>
          </w:tcPr>
          <w:p w14:paraId="3E1F5FD9">
            <w:pPr>
              <w:jc w:val="right"/>
            </w:pPr>
            <w:r>
              <w:rPr>
                <w:rFonts w:hint="eastAsia"/>
              </w:rPr>
              <w:t>-</w:t>
            </w:r>
          </w:p>
        </w:tc>
        <w:tc>
          <w:tcPr>
            <w:tcW w:w="1697" w:type="dxa"/>
            <w:vAlign w:val="center"/>
          </w:tcPr>
          <w:p w14:paraId="20BC3D65">
            <w:pPr>
              <w:jc w:val="right"/>
            </w:pPr>
            <w:r>
              <w:rPr>
                <w:rFonts w:hint="eastAsia"/>
              </w:rPr>
              <w:t>-</w:t>
            </w:r>
          </w:p>
        </w:tc>
        <w:tc>
          <w:tcPr>
            <w:tcW w:w="895" w:type="dxa"/>
            <w:vAlign w:val="center"/>
          </w:tcPr>
          <w:p w14:paraId="3EB85784">
            <w:pPr>
              <w:jc w:val="right"/>
            </w:pPr>
            <w:r>
              <w:rPr>
                <w:rFonts w:hint="eastAsia"/>
              </w:rPr>
              <w:t>-</w:t>
            </w:r>
          </w:p>
        </w:tc>
        <w:tc>
          <w:tcPr>
            <w:tcW w:w="1508" w:type="dxa"/>
            <w:vAlign w:val="center"/>
          </w:tcPr>
          <w:p w14:paraId="0DFC7A4F">
            <w:pPr>
              <w:jc w:val="right"/>
            </w:pPr>
            <w:r>
              <w:rPr>
                <w:rFonts w:hint="eastAsia"/>
              </w:rPr>
              <w:t>-</w:t>
            </w:r>
          </w:p>
        </w:tc>
        <w:tc>
          <w:tcPr>
            <w:tcW w:w="900" w:type="dxa"/>
            <w:vAlign w:val="center"/>
          </w:tcPr>
          <w:p w14:paraId="307A71DC">
            <w:pPr>
              <w:jc w:val="right"/>
            </w:pPr>
            <w:r>
              <w:rPr>
                <w:rFonts w:hint="eastAsia"/>
              </w:rPr>
              <w:t>-</w:t>
            </w:r>
          </w:p>
        </w:tc>
      </w:tr>
      <w:tr w14:paraId="5DA10F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6E29CEEB">
            <w:r>
              <w:rPr>
                <w:rFonts w:hint="eastAsia"/>
              </w:rPr>
              <w:t>长江证券</w:t>
            </w:r>
          </w:p>
        </w:tc>
        <w:tc>
          <w:tcPr>
            <w:tcW w:w="1508" w:type="dxa"/>
            <w:vAlign w:val="center"/>
          </w:tcPr>
          <w:p w14:paraId="554564C6">
            <w:pPr>
              <w:jc w:val="right"/>
            </w:pPr>
            <w:r>
              <w:rPr>
                <w:rFonts w:hint="eastAsia"/>
              </w:rPr>
              <w:t>-</w:t>
            </w:r>
          </w:p>
        </w:tc>
        <w:tc>
          <w:tcPr>
            <w:tcW w:w="895" w:type="dxa"/>
            <w:vAlign w:val="center"/>
          </w:tcPr>
          <w:p w14:paraId="28213B6B">
            <w:pPr>
              <w:jc w:val="right"/>
            </w:pPr>
            <w:r>
              <w:rPr>
                <w:rFonts w:hint="eastAsia"/>
              </w:rPr>
              <w:t>-</w:t>
            </w:r>
          </w:p>
        </w:tc>
        <w:tc>
          <w:tcPr>
            <w:tcW w:w="1697" w:type="dxa"/>
            <w:vAlign w:val="center"/>
          </w:tcPr>
          <w:p w14:paraId="6779850B">
            <w:pPr>
              <w:jc w:val="right"/>
            </w:pPr>
            <w:r>
              <w:rPr>
                <w:rFonts w:hint="eastAsia"/>
              </w:rPr>
              <w:t>-</w:t>
            </w:r>
          </w:p>
        </w:tc>
        <w:tc>
          <w:tcPr>
            <w:tcW w:w="895" w:type="dxa"/>
            <w:vAlign w:val="center"/>
          </w:tcPr>
          <w:p w14:paraId="17E34563">
            <w:pPr>
              <w:jc w:val="right"/>
            </w:pPr>
            <w:r>
              <w:rPr>
                <w:rFonts w:hint="eastAsia"/>
              </w:rPr>
              <w:t>-</w:t>
            </w:r>
          </w:p>
        </w:tc>
        <w:tc>
          <w:tcPr>
            <w:tcW w:w="1508" w:type="dxa"/>
            <w:vAlign w:val="center"/>
          </w:tcPr>
          <w:p w14:paraId="3437B69E">
            <w:pPr>
              <w:jc w:val="right"/>
            </w:pPr>
            <w:r>
              <w:rPr>
                <w:rFonts w:hint="eastAsia"/>
              </w:rPr>
              <w:t>-</w:t>
            </w:r>
          </w:p>
        </w:tc>
        <w:tc>
          <w:tcPr>
            <w:tcW w:w="900" w:type="dxa"/>
            <w:vAlign w:val="center"/>
          </w:tcPr>
          <w:p w14:paraId="2404CD89">
            <w:pPr>
              <w:jc w:val="right"/>
            </w:pPr>
            <w:r>
              <w:rPr>
                <w:rFonts w:hint="eastAsia"/>
              </w:rPr>
              <w:t>-</w:t>
            </w:r>
          </w:p>
        </w:tc>
      </w:tr>
      <w:tr w14:paraId="7BA6EE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523CFB27">
            <w:r>
              <w:rPr>
                <w:rFonts w:hint="eastAsia"/>
              </w:rPr>
              <w:t>东吴证券</w:t>
            </w:r>
          </w:p>
        </w:tc>
        <w:tc>
          <w:tcPr>
            <w:tcW w:w="1508" w:type="dxa"/>
            <w:vAlign w:val="center"/>
          </w:tcPr>
          <w:p w14:paraId="55D036E9">
            <w:pPr>
              <w:jc w:val="right"/>
            </w:pPr>
            <w:r>
              <w:rPr>
                <w:rFonts w:hint="eastAsia"/>
              </w:rPr>
              <w:t>-</w:t>
            </w:r>
          </w:p>
        </w:tc>
        <w:tc>
          <w:tcPr>
            <w:tcW w:w="895" w:type="dxa"/>
            <w:vAlign w:val="center"/>
          </w:tcPr>
          <w:p w14:paraId="07ABF89D">
            <w:pPr>
              <w:jc w:val="right"/>
            </w:pPr>
            <w:r>
              <w:rPr>
                <w:rFonts w:hint="eastAsia"/>
              </w:rPr>
              <w:t>-</w:t>
            </w:r>
          </w:p>
        </w:tc>
        <w:tc>
          <w:tcPr>
            <w:tcW w:w="1697" w:type="dxa"/>
            <w:vAlign w:val="center"/>
          </w:tcPr>
          <w:p w14:paraId="4081217A">
            <w:pPr>
              <w:jc w:val="right"/>
            </w:pPr>
            <w:r>
              <w:rPr>
                <w:rFonts w:hint="eastAsia"/>
              </w:rPr>
              <w:t>-</w:t>
            </w:r>
          </w:p>
        </w:tc>
        <w:tc>
          <w:tcPr>
            <w:tcW w:w="895" w:type="dxa"/>
            <w:vAlign w:val="center"/>
          </w:tcPr>
          <w:p w14:paraId="1E5814FE">
            <w:pPr>
              <w:jc w:val="right"/>
            </w:pPr>
            <w:r>
              <w:rPr>
                <w:rFonts w:hint="eastAsia"/>
              </w:rPr>
              <w:t>-</w:t>
            </w:r>
          </w:p>
        </w:tc>
        <w:tc>
          <w:tcPr>
            <w:tcW w:w="1508" w:type="dxa"/>
            <w:vAlign w:val="center"/>
          </w:tcPr>
          <w:p w14:paraId="14546892">
            <w:pPr>
              <w:jc w:val="right"/>
            </w:pPr>
            <w:r>
              <w:rPr>
                <w:rFonts w:hint="eastAsia"/>
              </w:rPr>
              <w:t>-</w:t>
            </w:r>
          </w:p>
        </w:tc>
        <w:tc>
          <w:tcPr>
            <w:tcW w:w="900" w:type="dxa"/>
            <w:vAlign w:val="center"/>
          </w:tcPr>
          <w:p w14:paraId="0671D5ED">
            <w:pPr>
              <w:jc w:val="right"/>
            </w:pPr>
            <w:r>
              <w:rPr>
                <w:rFonts w:hint="eastAsia"/>
              </w:rPr>
              <w:t>-</w:t>
            </w:r>
          </w:p>
        </w:tc>
      </w:tr>
      <w:tr w14:paraId="5F3D5F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5AAD9BA2">
            <w:r>
              <w:rPr>
                <w:rFonts w:hint="eastAsia"/>
              </w:rPr>
              <w:t>国泰海通</w:t>
            </w:r>
          </w:p>
        </w:tc>
        <w:tc>
          <w:tcPr>
            <w:tcW w:w="1508" w:type="dxa"/>
            <w:vAlign w:val="center"/>
          </w:tcPr>
          <w:p w14:paraId="077148BC">
            <w:pPr>
              <w:jc w:val="right"/>
            </w:pPr>
            <w:r>
              <w:rPr>
                <w:rFonts w:hint="eastAsia"/>
              </w:rPr>
              <w:t>-</w:t>
            </w:r>
          </w:p>
        </w:tc>
        <w:tc>
          <w:tcPr>
            <w:tcW w:w="895" w:type="dxa"/>
            <w:vAlign w:val="center"/>
          </w:tcPr>
          <w:p w14:paraId="61985646">
            <w:pPr>
              <w:jc w:val="right"/>
            </w:pPr>
            <w:r>
              <w:rPr>
                <w:rFonts w:hint="eastAsia"/>
              </w:rPr>
              <w:t>-</w:t>
            </w:r>
          </w:p>
        </w:tc>
        <w:tc>
          <w:tcPr>
            <w:tcW w:w="1697" w:type="dxa"/>
            <w:vAlign w:val="center"/>
          </w:tcPr>
          <w:p w14:paraId="2739CDBD">
            <w:pPr>
              <w:jc w:val="right"/>
            </w:pPr>
            <w:r>
              <w:rPr>
                <w:rFonts w:hint="eastAsia"/>
              </w:rPr>
              <w:t>-</w:t>
            </w:r>
          </w:p>
        </w:tc>
        <w:tc>
          <w:tcPr>
            <w:tcW w:w="895" w:type="dxa"/>
            <w:vAlign w:val="center"/>
          </w:tcPr>
          <w:p w14:paraId="2BF3E550">
            <w:pPr>
              <w:jc w:val="right"/>
            </w:pPr>
            <w:r>
              <w:rPr>
                <w:rFonts w:hint="eastAsia"/>
              </w:rPr>
              <w:t>-</w:t>
            </w:r>
          </w:p>
        </w:tc>
        <w:tc>
          <w:tcPr>
            <w:tcW w:w="1508" w:type="dxa"/>
            <w:vAlign w:val="center"/>
          </w:tcPr>
          <w:p w14:paraId="60B547C2">
            <w:pPr>
              <w:jc w:val="right"/>
            </w:pPr>
            <w:r>
              <w:rPr>
                <w:rFonts w:hint="eastAsia"/>
              </w:rPr>
              <w:t>-</w:t>
            </w:r>
          </w:p>
        </w:tc>
        <w:tc>
          <w:tcPr>
            <w:tcW w:w="900" w:type="dxa"/>
            <w:vAlign w:val="center"/>
          </w:tcPr>
          <w:p w14:paraId="0C43D116">
            <w:pPr>
              <w:jc w:val="right"/>
            </w:pPr>
            <w:r>
              <w:rPr>
                <w:rFonts w:hint="eastAsia"/>
              </w:rPr>
              <w:t>-</w:t>
            </w:r>
          </w:p>
        </w:tc>
      </w:tr>
      <w:tr w14:paraId="1F1A18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56494F5E">
            <w:r>
              <w:rPr>
                <w:rFonts w:hint="eastAsia"/>
              </w:rPr>
              <w:t>华创证券</w:t>
            </w:r>
          </w:p>
        </w:tc>
        <w:tc>
          <w:tcPr>
            <w:tcW w:w="1508" w:type="dxa"/>
            <w:vAlign w:val="center"/>
          </w:tcPr>
          <w:p w14:paraId="56417A8F">
            <w:pPr>
              <w:jc w:val="right"/>
            </w:pPr>
            <w:r>
              <w:rPr>
                <w:rFonts w:hint="eastAsia"/>
              </w:rPr>
              <w:t>-</w:t>
            </w:r>
          </w:p>
        </w:tc>
        <w:tc>
          <w:tcPr>
            <w:tcW w:w="895" w:type="dxa"/>
            <w:vAlign w:val="center"/>
          </w:tcPr>
          <w:p w14:paraId="29780685">
            <w:pPr>
              <w:jc w:val="right"/>
            </w:pPr>
            <w:r>
              <w:rPr>
                <w:rFonts w:hint="eastAsia"/>
              </w:rPr>
              <w:t>-</w:t>
            </w:r>
          </w:p>
        </w:tc>
        <w:tc>
          <w:tcPr>
            <w:tcW w:w="1697" w:type="dxa"/>
            <w:vAlign w:val="center"/>
          </w:tcPr>
          <w:p w14:paraId="71CB1850">
            <w:pPr>
              <w:jc w:val="right"/>
            </w:pPr>
            <w:r>
              <w:rPr>
                <w:rFonts w:hint="eastAsia"/>
              </w:rPr>
              <w:t>-</w:t>
            </w:r>
          </w:p>
        </w:tc>
        <w:tc>
          <w:tcPr>
            <w:tcW w:w="895" w:type="dxa"/>
            <w:vAlign w:val="center"/>
          </w:tcPr>
          <w:p w14:paraId="5CB34F25">
            <w:pPr>
              <w:jc w:val="right"/>
            </w:pPr>
            <w:r>
              <w:rPr>
                <w:rFonts w:hint="eastAsia"/>
              </w:rPr>
              <w:t>-</w:t>
            </w:r>
          </w:p>
        </w:tc>
        <w:tc>
          <w:tcPr>
            <w:tcW w:w="1508" w:type="dxa"/>
            <w:vAlign w:val="center"/>
          </w:tcPr>
          <w:p w14:paraId="381BFBB6">
            <w:pPr>
              <w:jc w:val="right"/>
            </w:pPr>
            <w:r>
              <w:rPr>
                <w:rFonts w:hint="eastAsia"/>
              </w:rPr>
              <w:t>-</w:t>
            </w:r>
          </w:p>
        </w:tc>
        <w:tc>
          <w:tcPr>
            <w:tcW w:w="900" w:type="dxa"/>
            <w:vAlign w:val="center"/>
          </w:tcPr>
          <w:p w14:paraId="66E93627">
            <w:pPr>
              <w:jc w:val="right"/>
            </w:pPr>
            <w:r>
              <w:rPr>
                <w:rFonts w:hint="eastAsia"/>
              </w:rPr>
              <w:t>-</w:t>
            </w:r>
          </w:p>
        </w:tc>
      </w:tr>
      <w:tr w14:paraId="11151C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4365E1F2">
            <w:r>
              <w:rPr>
                <w:rFonts w:hint="eastAsia"/>
              </w:rPr>
              <w:t>华泰证券</w:t>
            </w:r>
          </w:p>
        </w:tc>
        <w:tc>
          <w:tcPr>
            <w:tcW w:w="1508" w:type="dxa"/>
            <w:vAlign w:val="center"/>
          </w:tcPr>
          <w:p w14:paraId="145A4983">
            <w:pPr>
              <w:jc w:val="right"/>
            </w:pPr>
            <w:r>
              <w:rPr>
                <w:rFonts w:hint="eastAsia"/>
              </w:rPr>
              <w:t>-</w:t>
            </w:r>
          </w:p>
        </w:tc>
        <w:tc>
          <w:tcPr>
            <w:tcW w:w="895" w:type="dxa"/>
            <w:vAlign w:val="center"/>
          </w:tcPr>
          <w:p w14:paraId="27BD9379">
            <w:pPr>
              <w:jc w:val="right"/>
            </w:pPr>
            <w:r>
              <w:rPr>
                <w:rFonts w:hint="eastAsia"/>
              </w:rPr>
              <w:t>-</w:t>
            </w:r>
          </w:p>
        </w:tc>
        <w:tc>
          <w:tcPr>
            <w:tcW w:w="1697" w:type="dxa"/>
            <w:vAlign w:val="center"/>
          </w:tcPr>
          <w:p w14:paraId="738A9FDF">
            <w:pPr>
              <w:jc w:val="right"/>
            </w:pPr>
            <w:r>
              <w:rPr>
                <w:rFonts w:hint="eastAsia"/>
              </w:rPr>
              <w:t>-</w:t>
            </w:r>
          </w:p>
        </w:tc>
        <w:tc>
          <w:tcPr>
            <w:tcW w:w="895" w:type="dxa"/>
            <w:vAlign w:val="center"/>
          </w:tcPr>
          <w:p w14:paraId="048536C4">
            <w:pPr>
              <w:jc w:val="right"/>
            </w:pPr>
            <w:r>
              <w:rPr>
                <w:rFonts w:hint="eastAsia"/>
              </w:rPr>
              <w:t>-</w:t>
            </w:r>
          </w:p>
        </w:tc>
        <w:tc>
          <w:tcPr>
            <w:tcW w:w="1508" w:type="dxa"/>
            <w:vAlign w:val="center"/>
          </w:tcPr>
          <w:p w14:paraId="00449752">
            <w:pPr>
              <w:jc w:val="right"/>
            </w:pPr>
            <w:r>
              <w:rPr>
                <w:rFonts w:hint="eastAsia"/>
              </w:rPr>
              <w:t>-</w:t>
            </w:r>
          </w:p>
        </w:tc>
        <w:tc>
          <w:tcPr>
            <w:tcW w:w="900" w:type="dxa"/>
            <w:vAlign w:val="center"/>
          </w:tcPr>
          <w:p w14:paraId="427C9AC1">
            <w:pPr>
              <w:jc w:val="right"/>
            </w:pPr>
            <w:r>
              <w:rPr>
                <w:rFonts w:hint="eastAsia"/>
              </w:rPr>
              <w:t>-</w:t>
            </w:r>
          </w:p>
        </w:tc>
      </w:tr>
      <w:tr w14:paraId="1D5B5D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334978DC">
            <w:r>
              <w:rPr>
                <w:rFonts w:hint="eastAsia"/>
              </w:rPr>
              <w:t>中信证券</w:t>
            </w:r>
          </w:p>
        </w:tc>
        <w:tc>
          <w:tcPr>
            <w:tcW w:w="1508" w:type="dxa"/>
            <w:vAlign w:val="center"/>
          </w:tcPr>
          <w:p w14:paraId="15E7E8E1">
            <w:pPr>
              <w:jc w:val="right"/>
            </w:pPr>
            <w:r>
              <w:rPr>
                <w:rFonts w:hint="eastAsia"/>
              </w:rPr>
              <w:t>-</w:t>
            </w:r>
          </w:p>
        </w:tc>
        <w:tc>
          <w:tcPr>
            <w:tcW w:w="895" w:type="dxa"/>
            <w:vAlign w:val="center"/>
          </w:tcPr>
          <w:p w14:paraId="7E7BE4F7">
            <w:pPr>
              <w:jc w:val="right"/>
            </w:pPr>
            <w:r>
              <w:rPr>
                <w:rFonts w:hint="eastAsia"/>
              </w:rPr>
              <w:t>-</w:t>
            </w:r>
          </w:p>
        </w:tc>
        <w:tc>
          <w:tcPr>
            <w:tcW w:w="1697" w:type="dxa"/>
            <w:vAlign w:val="center"/>
          </w:tcPr>
          <w:p w14:paraId="66E9C6B4">
            <w:pPr>
              <w:jc w:val="right"/>
            </w:pPr>
            <w:r>
              <w:rPr>
                <w:rFonts w:hint="eastAsia"/>
              </w:rPr>
              <w:t>-</w:t>
            </w:r>
          </w:p>
        </w:tc>
        <w:tc>
          <w:tcPr>
            <w:tcW w:w="895" w:type="dxa"/>
            <w:vAlign w:val="center"/>
          </w:tcPr>
          <w:p w14:paraId="12E8B9DF">
            <w:pPr>
              <w:jc w:val="right"/>
            </w:pPr>
            <w:r>
              <w:rPr>
                <w:rFonts w:hint="eastAsia"/>
              </w:rPr>
              <w:t>-</w:t>
            </w:r>
          </w:p>
        </w:tc>
        <w:tc>
          <w:tcPr>
            <w:tcW w:w="1508" w:type="dxa"/>
            <w:vAlign w:val="center"/>
          </w:tcPr>
          <w:p w14:paraId="6141B0EC">
            <w:pPr>
              <w:jc w:val="right"/>
            </w:pPr>
            <w:r>
              <w:rPr>
                <w:rFonts w:hint="eastAsia"/>
              </w:rPr>
              <w:t>-</w:t>
            </w:r>
          </w:p>
        </w:tc>
        <w:tc>
          <w:tcPr>
            <w:tcW w:w="900" w:type="dxa"/>
            <w:vAlign w:val="center"/>
          </w:tcPr>
          <w:p w14:paraId="57368621">
            <w:pPr>
              <w:jc w:val="right"/>
            </w:pPr>
            <w:r>
              <w:rPr>
                <w:rFonts w:hint="eastAsia"/>
              </w:rPr>
              <w:t>-</w:t>
            </w:r>
          </w:p>
        </w:tc>
      </w:tr>
    </w:tbl>
    <w:p w14:paraId="5038210E">
      <w:pPr>
        <w:pStyle w:val="23"/>
      </w:pPr>
      <w:bookmarkStart w:id="196" w:name="_Toc18823"/>
      <w:r>
        <w:t>其他重大事件</w:t>
      </w:r>
      <w:bookmarkEnd w:id="196"/>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2"/>
        <w:gridCol w:w="4319"/>
        <w:gridCol w:w="2076"/>
        <w:gridCol w:w="1218"/>
      </w:tblGrid>
      <w:tr w14:paraId="5ACE93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shd w:val="clear" w:color="auto" w:fill="BFBFBF"/>
            <w:vAlign w:val="center"/>
          </w:tcPr>
          <w:p w14:paraId="75C5F054">
            <w:pPr>
              <w:jc w:val="center"/>
            </w:pPr>
            <w:r>
              <w:rPr>
                <w:rFonts w:hint="eastAsia"/>
                <w:b/>
              </w:rPr>
              <w:t>序号</w:t>
            </w:r>
          </w:p>
        </w:tc>
        <w:tc>
          <w:tcPr>
            <w:tcW w:w="4319" w:type="dxa"/>
            <w:shd w:val="clear" w:color="auto" w:fill="BFBFBF"/>
            <w:vAlign w:val="center"/>
          </w:tcPr>
          <w:p w14:paraId="502D566E">
            <w:pPr>
              <w:jc w:val="center"/>
            </w:pPr>
            <w:r>
              <w:rPr>
                <w:rFonts w:hint="eastAsia"/>
                <w:b/>
              </w:rPr>
              <w:t>公告事项</w:t>
            </w:r>
          </w:p>
        </w:tc>
        <w:tc>
          <w:tcPr>
            <w:tcW w:w="2076" w:type="dxa"/>
            <w:shd w:val="clear" w:color="auto" w:fill="BFBFBF"/>
            <w:vAlign w:val="center"/>
          </w:tcPr>
          <w:p w14:paraId="0604F520">
            <w:pPr>
              <w:jc w:val="center"/>
            </w:pPr>
            <w:r>
              <w:rPr>
                <w:rFonts w:hint="eastAsia"/>
                <w:b/>
              </w:rPr>
              <w:t>法定披露方式</w:t>
            </w:r>
          </w:p>
        </w:tc>
        <w:tc>
          <w:tcPr>
            <w:tcW w:w="1218" w:type="dxa"/>
            <w:shd w:val="clear" w:color="auto" w:fill="BFBFBF"/>
            <w:vAlign w:val="center"/>
          </w:tcPr>
          <w:p w14:paraId="63955741">
            <w:pPr>
              <w:jc w:val="center"/>
            </w:pPr>
            <w:r>
              <w:rPr>
                <w:rFonts w:hint="eastAsia"/>
                <w:b/>
              </w:rPr>
              <w:t>法定披露日期</w:t>
            </w:r>
          </w:p>
        </w:tc>
      </w:tr>
      <w:tr w14:paraId="27C060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03291C9A">
            <w:pPr>
              <w:jc w:val="center"/>
            </w:pPr>
            <w:r>
              <w:rPr>
                <w:rFonts w:hint="eastAsia"/>
              </w:rPr>
              <w:t>1</w:t>
            </w:r>
          </w:p>
        </w:tc>
        <w:tc>
          <w:tcPr>
            <w:tcW w:w="4319" w:type="dxa"/>
            <w:vAlign w:val="center"/>
          </w:tcPr>
          <w:p w14:paraId="66575A0D">
            <w:r>
              <w:rPr>
                <w:rFonts w:hint="eastAsia"/>
              </w:rPr>
              <w:t>南方基金关于直销平台相关业务费率优惠的公告</w:t>
            </w:r>
          </w:p>
        </w:tc>
        <w:tc>
          <w:tcPr>
            <w:tcW w:w="2076" w:type="dxa"/>
            <w:vAlign w:val="center"/>
          </w:tcPr>
          <w:p w14:paraId="09F48FCC">
            <w:r>
              <w:rPr>
                <w:rFonts w:hint="eastAsia"/>
              </w:rPr>
              <w:t>上海证券报、基金管理人网站、中国证监会基金电子披露网站</w:t>
            </w:r>
          </w:p>
        </w:tc>
        <w:tc>
          <w:tcPr>
            <w:tcW w:w="1218" w:type="dxa"/>
            <w:vAlign w:val="center"/>
          </w:tcPr>
          <w:p w14:paraId="5688B15E">
            <w:r>
              <w:rPr>
                <w:rFonts w:hint="eastAsia"/>
              </w:rPr>
              <w:t>2025-01-01</w:t>
            </w:r>
          </w:p>
        </w:tc>
      </w:tr>
      <w:tr w14:paraId="1B6DBD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3228F40F">
            <w:pPr>
              <w:jc w:val="center"/>
            </w:pPr>
            <w:r>
              <w:rPr>
                <w:rFonts w:hint="eastAsia"/>
              </w:rPr>
              <w:t>2</w:t>
            </w:r>
          </w:p>
        </w:tc>
        <w:tc>
          <w:tcPr>
            <w:tcW w:w="4319" w:type="dxa"/>
            <w:vAlign w:val="center"/>
          </w:tcPr>
          <w:p w14:paraId="6D044792">
            <w:r>
              <w:rPr>
                <w:rFonts w:hint="eastAsia"/>
              </w:rPr>
              <w:t>南方中证同业存单AAA指数7天持有期证券投资基金2025年春节前暂停申购和转换转入业务的公告</w:t>
            </w:r>
          </w:p>
        </w:tc>
        <w:tc>
          <w:tcPr>
            <w:tcW w:w="2076" w:type="dxa"/>
            <w:vAlign w:val="center"/>
          </w:tcPr>
          <w:p w14:paraId="23508510">
            <w:r>
              <w:rPr>
                <w:rFonts w:hint="eastAsia"/>
              </w:rPr>
              <w:t>上海证券报、基金管理人网站、中国证监会基金电子披露网站</w:t>
            </w:r>
          </w:p>
        </w:tc>
        <w:tc>
          <w:tcPr>
            <w:tcW w:w="1218" w:type="dxa"/>
            <w:vAlign w:val="center"/>
          </w:tcPr>
          <w:p w14:paraId="6E0CA5EC">
            <w:r>
              <w:rPr>
                <w:rFonts w:hint="eastAsia"/>
              </w:rPr>
              <w:t>2025-01-17</w:t>
            </w:r>
          </w:p>
        </w:tc>
      </w:tr>
      <w:tr w14:paraId="3249AA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5CF83741">
            <w:pPr>
              <w:jc w:val="center"/>
            </w:pPr>
            <w:r>
              <w:rPr>
                <w:rFonts w:hint="eastAsia"/>
              </w:rPr>
              <w:t>3</w:t>
            </w:r>
          </w:p>
        </w:tc>
        <w:tc>
          <w:tcPr>
            <w:tcW w:w="4319" w:type="dxa"/>
            <w:vAlign w:val="center"/>
          </w:tcPr>
          <w:p w14:paraId="5E41DA94">
            <w:r>
              <w:rPr>
                <w:rFonts w:hint="eastAsia"/>
              </w:rPr>
              <w:t>南方中证同业存单AAA指数7天持有期证券投资基金2025年清明节前暂停申购和转换转入业务的公告</w:t>
            </w:r>
          </w:p>
        </w:tc>
        <w:tc>
          <w:tcPr>
            <w:tcW w:w="2076" w:type="dxa"/>
            <w:vAlign w:val="center"/>
          </w:tcPr>
          <w:p w14:paraId="50AD05F6">
            <w:r>
              <w:rPr>
                <w:rFonts w:hint="eastAsia"/>
              </w:rPr>
              <w:t>上海证券报、基金管理人网站、中国证监会基金电子披露网站</w:t>
            </w:r>
          </w:p>
        </w:tc>
        <w:tc>
          <w:tcPr>
            <w:tcW w:w="1218" w:type="dxa"/>
            <w:vAlign w:val="center"/>
          </w:tcPr>
          <w:p w14:paraId="655516B3">
            <w:r>
              <w:rPr>
                <w:rFonts w:hint="eastAsia"/>
              </w:rPr>
              <w:t>2025-03-26</w:t>
            </w:r>
          </w:p>
        </w:tc>
      </w:tr>
      <w:tr w14:paraId="10229B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2D98F571">
            <w:pPr>
              <w:jc w:val="center"/>
            </w:pPr>
            <w:r>
              <w:rPr>
                <w:rFonts w:hint="eastAsia"/>
              </w:rPr>
              <w:t>4</w:t>
            </w:r>
          </w:p>
        </w:tc>
        <w:tc>
          <w:tcPr>
            <w:tcW w:w="4319" w:type="dxa"/>
            <w:vAlign w:val="center"/>
          </w:tcPr>
          <w:p w14:paraId="5E3441A4">
            <w:r>
              <w:rPr>
                <w:rFonts w:hint="eastAsia"/>
              </w:rPr>
              <w:t>南方基金管理股份有限公司旗下公募基金通过证券公司证券交易及佣金支付情况（2024年度）</w:t>
            </w:r>
          </w:p>
        </w:tc>
        <w:tc>
          <w:tcPr>
            <w:tcW w:w="2076" w:type="dxa"/>
            <w:vAlign w:val="center"/>
          </w:tcPr>
          <w:p w14:paraId="33D32DC2">
            <w:r>
              <w:rPr>
                <w:rFonts w:hint="eastAsia"/>
              </w:rPr>
              <w:t>上海证券报、基金管理人网站、中国证监会基金电子披露网站</w:t>
            </w:r>
          </w:p>
        </w:tc>
        <w:tc>
          <w:tcPr>
            <w:tcW w:w="1218" w:type="dxa"/>
            <w:vAlign w:val="center"/>
          </w:tcPr>
          <w:p w14:paraId="1DB9684E">
            <w:r>
              <w:rPr>
                <w:rFonts w:hint="eastAsia"/>
              </w:rPr>
              <w:t>2025-03-31</w:t>
            </w:r>
          </w:p>
        </w:tc>
      </w:tr>
      <w:tr w14:paraId="205F23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6821678A">
            <w:pPr>
              <w:jc w:val="center"/>
            </w:pPr>
            <w:r>
              <w:rPr>
                <w:rFonts w:hint="eastAsia"/>
              </w:rPr>
              <w:t>5</w:t>
            </w:r>
          </w:p>
        </w:tc>
        <w:tc>
          <w:tcPr>
            <w:tcW w:w="4319" w:type="dxa"/>
            <w:vAlign w:val="center"/>
          </w:tcPr>
          <w:p w14:paraId="7A9A94BA">
            <w:r>
              <w:rPr>
                <w:rFonts w:hint="eastAsia"/>
              </w:rPr>
              <w:t>南方中证同业存单AAA指数7天持有期证券投资基金2025年五一劳动节前暂停申购和转换转入业务的公告</w:t>
            </w:r>
          </w:p>
        </w:tc>
        <w:tc>
          <w:tcPr>
            <w:tcW w:w="2076" w:type="dxa"/>
            <w:vAlign w:val="center"/>
          </w:tcPr>
          <w:p w14:paraId="06A74B80">
            <w:r>
              <w:rPr>
                <w:rFonts w:hint="eastAsia"/>
              </w:rPr>
              <w:t>上海证券报、基金管理人网站、中国证监会基金电子披露网站</w:t>
            </w:r>
          </w:p>
        </w:tc>
        <w:tc>
          <w:tcPr>
            <w:tcW w:w="1218" w:type="dxa"/>
            <w:vAlign w:val="center"/>
          </w:tcPr>
          <w:p w14:paraId="2E370B5C">
            <w:r>
              <w:rPr>
                <w:rFonts w:hint="eastAsia"/>
              </w:rPr>
              <w:t>2025-04-22</w:t>
            </w:r>
          </w:p>
        </w:tc>
      </w:tr>
      <w:tr w14:paraId="70C65F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52B88C43">
            <w:pPr>
              <w:jc w:val="center"/>
            </w:pPr>
            <w:r>
              <w:rPr>
                <w:rFonts w:hint="eastAsia"/>
              </w:rPr>
              <w:t>6</w:t>
            </w:r>
          </w:p>
        </w:tc>
        <w:tc>
          <w:tcPr>
            <w:tcW w:w="4319" w:type="dxa"/>
            <w:vAlign w:val="center"/>
          </w:tcPr>
          <w:p w14:paraId="5D0D8C94">
            <w:r>
              <w:rPr>
                <w:rFonts w:hint="eastAsia"/>
              </w:rPr>
              <w:t>南方中证同业存单AAA指数7天持有期证券投资基金2025年端午节前暂停申购和转换转入业务的公告</w:t>
            </w:r>
          </w:p>
        </w:tc>
        <w:tc>
          <w:tcPr>
            <w:tcW w:w="2076" w:type="dxa"/>
            <w:vAlign w:val="center"/>
          </w:tcPr>
          <w:p w14:paraId="5B5F8DDC">
            <w:r>
              <w:rPr>
                <w:rFonts w:hint="eastAsia"/>
              </w:rPr>
              <w:t>上海证券报、基金管理人网站、中国证监会基金电子披露网站</w:t>
            </w:r>
          </w:p>
        </w:tc>
        <w:tc>
          <w:tcPr>
            <w:tcW w:w="1218" w:type="dxa"/>
            <w:vAlign w:val="center"/>
          </w:tcPr>
          <w:p w14:paraId="3172AC4D">
            <w:r>
              <w:rPr>
                <w:rFonts w:hint="eastAsia"/>
              </w:rPr>
              <w:t>2025-05-22</w:t>
            </w:r>
          </w:p>
        </w:tc>
      </w:tr>
      <w:tr w14:paraId="7FB18A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2D4422F4">
            <w:pPr>
              <w:jc w:val="center"/>
            </w:pPr>
            <w:r>
              <w:rPr>
                <w:rFonts w:hint="eastAsia"/>
              </w:rPr>
              <w:t>7</w:t>
            </w:r>
          </w:p>
        </w:tc>
        <w:tc>
          <w:tcPr>
            <w:tcW w:w="4319" w:type="dxa"/>
            <w:vAlign w:val="center"/>
          </w:tcPr>
          <w:p w14:paraId="7F2D13C4">
            <w:r>
              <w:rPr>
                <w:rFonts w:hint="eastAsia"/>
              </w:rPr>
              <w:t>南方中证同业存单AAA指数7天持有期证券投资基金2025年国庆节、中秋节前暂停申购和转换转入业务的公告</w:t>
            </w:r>
          </w:p>
        </w:tc>
        <w:tc>
          <w:tcPr>
            <w:tcW w:w="2076" w:type="dxa"/>
            <w:vAlign w:val="center"/>
          </w:tcPr>
          <w:p w14:paraId="466855D5">
            <w:r>
              <w:rPr>
                <w:rFonts w:hint="eastAsia"/>
              </w:rPr>
              <w:t>上海证券报、基金管理人网站、中国证监会基金电子披露网站</w:t>
            </w:r>
          </w:p>
        </w:tc>
        <w:tc>
          <w:tcPr>
            <w:tcW w:w="1218" w:type="dxa"/>
            <w:vAlign w:val="center"/>
          </w:tcPr>
          <w:p w14:paraId="7E70D89D">
            <w:r>
              <w:rPr>
                <w:rFonts w:hint="eastAsia"/>
              </w:rPr>
              <w:t>2025-09-22</w:t>
            </w:r>
          </w:p>
        </w:tc>
      </w:tr>
      <w:tr w14:paraId="29D3D2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62763A7B">
            <w:pPr>
              <w:jc w:val="center"/>
            </w:pPr>
            <w:r>
              <w:rPr>
                <w:rFonts w:hint="eastAsia"/>
              </w:rPr>
              <w:t>8</w:t>
            </w:r>
          </w:p>
        </w:tc>
        <w:tc>
          <w:tcPr>
            <w:tcW w:w="4319" w:type="dxa"/>
            <w:vAlign w:val="center"/>
          </w:tcPr>
          <w:p w14:paraId="4456BC89">
            <w:r>
              <w:rPr>
                <w:rFonts w:hint="eastAsia"/>
              </w:rPr>
              <w:t>南方中证同业存单AAA指数7天持有期证券投资基金2025年国庆节、中秋节前限制大额申购、定投和转换转入业务的公告</w:t>
            </w:r>
          </w:p>
        </w:tc>
        <w:tc>
          <w:tcPr>
            <w:tcW w:w="2076" w:type="dxa"/>
            <w:vAlign w:val="center"/>
          </w:tcPr>
          <w:p w14:paraId="1E2660D1">
            <w:r>
              <w:rPr>
                <w:rFonts w:hint="eastAsia"/>
              </w:rPr>
              <w:t>上海证券报、基金管理人网站、中国证监会基金电子披露网站</w:t>
            </w:r>
          </w:p>
        </w:tc>
        <w:tc>
          <w:tcPr>
            <w:tcW w:w="1218" w:type="dxa"/>
            <w:vAlign w:val="center"/>
          </w:tcPr>
          <w:p w14:paraId="7CF0F64F">
            <w:r>
              <w:rPr>
                <w:rFonts w:hint="eastAsia"/>
              </w:rPr>
              <w:t>2025-09-25</w:t>
            </w:r>
          </w:p>
        </w:tc>
      </w:tr>
      <w:tr w14:paraId="5E284B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2C36D44B">
            <w:pPr>
              <w:jc w:val="center"/>
            </w:pPr>
            <w:r>
              <w:rPr>
                <w:rFonts w:hint="eastAsia"/>
              </w:rPr>
              <w:t>9</w:t>
            </w:r>
          </w:p>
        </w:tc>
        <w:tc>
          <w:tcPr>
            <w:tcW w:w="4319" w:type="dxa"/>
            <w:vAlign w:val="center"/>
          </w:tcPr>
          <w:p w14:paraId="25582AE9">
            <w:r>
              <w:rPr>
                <w:rFonts w:hint="eastAsia"/>
              </w:rPr>
              <w:t>关于调整南方中证同业存单AAA指数7天持有期证券投资基金申购、定投和转换准入金额限制的公告</w:t>
            </w:r>
          </w:p>
        </w:tc>
        <w:tc>
          <w:tcPr>
            <w:tcW w:w="2076" w:type="dxa"/>
            <w:vAlign w:val="center"/>
          </w:tcPr>
          <w:p w14:paraId="135D64BC">
            <w:r>
              <w:rPr>
                <w:rFonts w:hint="eastAsia"/>
              </w:rPr>
              <w:t>上海证券报、基金管理人网站、中国证监会基金电子披露网站</w:t>
            </w:r>
          </w:p>
        </w:tc>
        <w:tc>
          <w:tcPr>
            <w:tcW w:w="1218" w:type="dxa"/>
            <w:vAlign w:val="center"/>
          </w:tcPr>
          <w:p w14:paraId="0504B384">
            <w:r>
              <w:rPr>
                <w:rFonts w:hint="eastAsia"/>
              </w:rPr>
              <w:t>2025-10-20</w:t>
            </w:r>
          </w:p>
        </w:tc>
      </w:tr>
      <w:tr w14:paraId="460067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3F53B13E">
            <w:pPr>
              <w:jc w:val="center"/>
            </w:pPr>
            <w:r>
              <w:rPr>
                <w:rFonts w:hint="eastAsia"/>
              </w:rPr>
              <w:t>10</w:t>
            </w:r>
          </w:p>
        </w:tc>
        <w:tc>
          <w:tcPr>
            <w:tcW w:w="4319" w:type="dxa"/>
            <w:vAlign w:val="center"/>
          </w:tcPr>
          <w:p w14:paraId="4868321C">
            <w:r>
              <w:rPr>
                <w:rFonts w:hint="eastAsia"/>
              </w:rPr>
              <w:t>关于调整南方中证同业存单AAA指数7天持有期证券投资基金申购、定投和转换转入金额限制的公告</w:t>
            </w:r>
          </w:p>
        </w:tc>
        <w:tc>
          <w:tcPr>
            <w:tcW w:w="2076" w:type="dxa"/>
            <w:vAlign w:val="center"/>
          </w:tcPr>
          <w:p w14:paraId="7B6235B4">
            <w:r>
              <w:rPr>
                <w:rFonts w:hint="eastAsia"/>
              </w:rPr>
              <w:t>上海证券报、基金管理人网站、中国证监会基金电子披露网站</w:t>
            </w:r>
          </w:p>
        </w:tc>
        <w:tc>
          <w:tcPr>
            <w:tcW w:w="1218" w:type="dxa"/>
            <w:vAlign w:val="center"/>
          </w:tcPr>
          <w:p w14:paraId="1D58348E">
            <w:r>
              <w:rPr>
                <w:rFonts w:hint="eastAsia"/>
              </w:rPr>
              <w:t>2025-11-04</w:t>
            </w:r>
          </w:p>
        </w:tc>
      </w:tr>
      <w:tr w14:paraId="2AF64F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37AC3E39">
            <w:pPr>
              <w:jc w:val="center"/>
            </w:pPr>
            <w:r>
              <w:rPr>
                <w:rFonts w:hint="eastAsia"/>
              </w:rPr>
              <w:t>11</w:t>
            </w:r>
          </w:p>
        </w:tc>
        <w:tc>
          <w:tcPr>
            <w:tcW w:w="4319" w:type="dxa"/>
            <w:vAlign w:val="center"/>
          </w:tcPr>
          <w:p w14:paraId="438C3ADF">
            <w:r>
              <w:rPr>
                <w:rFonts w:hint="eastAsia"/>
              </w:rPr>
              <w:t>南方中证同业存单AAA指数7天持有期证券投资基金2026年元旦前暂停申购和转换转入业务的公告</w:t>
            </w:r>
          </w:p>
        </w:tc>
        <w:tc>
          <w:tcPr>
            <w:tcW w:w="2076" w:type="dxa"/>
            <w:vAlign w:val="center"/>
          </w:tcPr>
          <w:p w14:paraId="540CCE98">
            <w:r>
              <w:rPr>
                <w:rFonts w:hint="eastAsia"/>
              </w:rPr>
              <w:t>上海证券报、基金管理人网站、中国证监会基金电子披露网站</w:t>
            </w:r>
          </w:p>
        </w:tc>
        <w:tc>
          <w:tcPr>
            <w:tcW w:w="1218" w:type="dxa"/>
            <w:vAlign w:val="center"/>
          </w:tcPr>
          <w:p w14:paraId="2C3B200C">
            <w:r>
              <w:rPr>
                <w:rFonts w:hint="eastAsia"/>
              </w:rPr>
              <w:t>2025-12-24</w:t>
            </w:r>
          </w:p>
        </w:tc>
      </w:tr>
    </w:tbl>
    <w:p w14:paraId="6AD11F93">
      <w:pPr>
        <w:pStyle w:val="26"/>
      </w:pPr>
      <w:bookmarkStart w:id="197" w:name="_Toc2954"/>
      <w:r>
        <w:t>影响投资者决策的其他重要信息</w:t>
      </w:r>
      <w:bookmarkEnd w:id="197"/>
    </w:p>
    <w:p w14:paraId="63AE1366">
      <w:pPr>
        <w:pStyle w:val="23"/>
      </w:pPr>
      <w:bookmarkStart w:id="198" w:name="_Toc21323"/>
      <w:r>
        <w:t>报告期内单一投资者持有基金份额比例达到或超过20%的情况</w:t>
      </w:r>
      <w:bookmarkEnd w:id="198"/>
    </w:p>
    <w:p w14:paraId="72B29E55">
      <w:pPr>
        <w:pStyle w:val="18"/>
        <w:rPr>
          <w:rFonts w:hint="eastAsia"/>
        </w:rPr>
      </w:pPr>
      <w:r>
        <w:rPr>
          <w:rFonts w:hint="eastAsia"/>
        </w:rPr>
        <w:t>报告期内单一投资者持有基金份额比例不存在达到或超过20%的情况。</w:t>
      </w:r>
    </w:p>
    <w:p w14:paraId="7A5B87A1">
      <w:pPr>
        <w:pStyle w:val="23"/>
      </w:pPr>
      <w:bookmarkStart w:id="199" w:name="_Toc32732"/>
      <w:r>
        <w:t>影响投资者决策的其他重要信息</w:t>
      </w:r>
      <w:bookmarkEnd w:id="199"/>
    </w:p>
    <w:p w14:paraId="695FE96E">
      <w:pPr>
        <w:pStyle w:val="18"/>
        <w:rPr>
          <w:rFonts w:hint="eastAsia"/>
        </w:rPr>
      </w:pPr>
      <w:r>
        <w:rPr>
          <w:rFonts w:hint="eastAsia"/>
        </w:rPr>
        <w:t>无。</w:t>
      </w:r>
    </w:p>
    <w:p w14:paraId="3533DE97">
      <w:pPr>
        <w:pStyle w:val="26"/>
      </w:pPr>
      <w:bookmarkStart w:id="200" w:name="_Toc10015"/>
      <w:r>
        <w:t>备查文件目录</w:t>
      </w:r>
      <w:bookmarkEnd w:id="200"/>
    </w:p>
    <w:p w14:paraId="6BA450C2">
      <w:pPr>
        <w:pStyle w:val="23"/>
      </w:pPr>
      <w:bookmarkStart w:id="201" w:name="_Toc16677"/>
      <w:r>
        <w:t>备查文件目录</w:t>
      </w:r>
      <w:bookmarkEnd w:id="201"/>
    </w:p>
    <w:p w14:paraId="529E990E">
      <w:pPr>
        <w:pStyle w:val="18"/>
        <w:rPr>
          <w:rFonts w:hint="eastAsia"/>
        </w:rPr>
      </w:pPr>
      <w:r>
        <w:rPr>
          <w:rFonts w:hint="eastAsia"/>
        </w:rPr>
        <w:t>1、中国证监会批准设立南方中证同业存单AAA指数7天持有期证券投资基金的文件；</w:t>
      </w:r>
    </w:p>
    <w:p w14:paraId="557A5FEB">
      <w:pPr>
        <w:pStyle w:val="18"/>
        <w:rPr>
          <w:rFonts w:hint="eastAsia"/>
        </w:rPr>
      </w:pPr>
      <w:r>
        <w:rPr>
          <w:rFonts w:hint="eastAsia"/>
        </w:rPr>
        <w:t>2、《南方中证同业存单AAA指数7天持有期证券投资基金基金合同》；</w:t>
      </w:r>
    </w:p>
    <w:p w14:paraId="4FD32A22">
      <w:pPr>
        <w:pStyle w:val="18"/>
        <w:rPr>
          <w:rFonts w:hint="eastAsia"/>
        </w:rPr>
      </w:pPr>
      <w:r>
        <w:rPr>
          <w:rFonts w:hint="eastAsia"/>
        </w:rPr>
        <w:t>3、《南方中证同业存单AAA指数7天持有期证券投资基金托管协议》；</w:t>
      </w:r>
    </w:p>
    <w:p w14:paraId="5070FA1E">
      <w:pPr>
        <w:pStyle w:val="18"/>
        <w:rPr>
          <w:rFonts w:hint="eastAsia"/>
        </w:rPr>
      </w:pPr>
      <w:r>
        <w:rPr>
          <w:rFonts w:hint="eastAsia"/>
        </w:rPr>
        <w:t>4、基金管理人业务资格批件、营业执照；</w:t>
      </w:r>
    </w:p>
    <w:p w14:paraId="2782A7BE">
      <w:pPr>
        <w:pStyle w:val="18"/>
        <w:rPr>
          <w:rFonts w:hint="eastAsia"/>
        </w:rPr>
      </w:pPr>
      <w:r>
        <w:rPr>
          <w:rFonts w:hint="eastAsia"/>
        </w:rPr>
        <w:t>5、报告期内在选定报刊上披露的各项公告；</w:t>
      </w:r>
    </w:p>
    <w:p w14:paraId="4F566C05">
      <w:pPr>
        <w:pStyle w:val="18"/>
        <w:rPr>
          <w:rFonts w:hint="eastAsia"/>
        </w:rPr>
      </w:pPr>
      <w:r>
        <w:rPr>
          <w:rFonts w:hint="eastAsia"/>
        </w:rPr>
        <w:t>6、《南方中证同业存单AAA指数7天持有期证券投资基金2025年年度报告》原文。</w:t>
      </w:r>
    </w:p>
    <w:p w14:paraId="7F5222F4">
      <w:pPr>
        <w:pStyle w:val="23"/>
      </w:pPr>
      <w:bookmarkStart w:id="202" w:name="_Toc16280"/>
      <w:r>
        <w:t>存放地点</w:t>
      </w:r>
      <w:bookmarkEnd w:id="202"/>
    </w:p>
    <w:p w14:paraId="34FF17A1">
      <w:pPr>
        <w:pStyle w:val="18"/>
        <w:rPr>
          <w:rFonts w:hint="eastAsia"/>
        </w:rPr>
      </w:pPr>
      <w:r>
        <w:rPr>
          <w:rFonts w:hint="eastAsia"/>
        </w:rPr>
        <w:t>深圳市福田区莲花街道益田路5999号基金大厦32-42楼。</w:t>
      </w:r>
    </w:p>
    <w:p w14:paraId="658D07A9">
      <w:pPr>
        <w:pStyle w:val="23"/>
      </w:pPr>
      <w:bookmarkStart w:id="203" w:name="_Toc10974"/>
      <w:r>
        <w:t>查阅方式</w:t>
      </w:r>
      <w:bookmarkEnd w:id="203"/>
    </w:p>
    <w:p w14:paraId="522C6820">
      <w:pPr>
        <w:pStyle w:val="18"/>
        <w:rPr>
          <w:rFonts w:hint="eastAsia"/>
        </w:rPr>
      </w:pPr>
      <w:r>
        <w:rPr>
          <w:rFonts w:hint="eastAsia"/>
        </w:rPr>
        <w:t>网站：http://www.nffund.com</w:t>
      </w:r>
    </w:p>
    <w:sectPr>
      <w:headerReference r:id="rId4" w:type="first"/>
      <w:headerReference r:id="rId3" w:type="default"/>
      <w:footerReference r:id="rId5" w:type="default"/>
      <w:pgSz w:w="11906" w:h="16838"/>
      <w:pgMar w:top="1440" w:right="1800" w:bottom="1440" w:left="1800" w:header="851" w:footer="992" w:gutter="0"/>
      <w:pgNumType w:start="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swiss"/>
    <w:pitch w:val="default"/>
    <w:sig w:usb0="A00002EF" w:usb1="4000207B" w:usb2="00000000" w:usb3="00000000" w:csb0="2000019F" w:csb1="00000000"/>
  </w:font>
  <w:font w:name="Cambria">
    <w:panose1 w:val="02040503050406030204"/>
    <w:charset w:val="00"/>
    <w:family w:val="roman"/>
    <w:pitch w:val="default"/>
    <w:sig w:usb0="E00002FF" w:usb1="400004FF" w:usb2="00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2EA398">
    <w:pPr>
      <w:pStyle w:val="6"/>
      <w:jc w:val="center"/>
      <w:rPr>
        <w:rFonts w:ascii="宋体" w:hAnsi="宋体"/>
      </w:rPr>
    </w:pPr>
    <w:r>
      <w:rPr>
        <w:rFonts w:hint="eastAsia" w:ascii="宋体" w:hAnsi="宋体"/>
        <w:bCs/>
      </w:rPr>
      <w:t>第</w:t>
    </w:r>
    <w:r>
      <w:rPr>
        <w:rFonts w:ascii="宋体" w:hAnsi="宋体"/>
        <w:bCs/>
      </w:rPr>
      <w:t xml:space="preserve"> </w:t>
    </w:r>
    <w:r>
      <w:rPr>
        <w:rFonts w:ascii="宋体" w:hAnsi="宋体"/>
        <w:bCs/>
      </w:rPr>
      <w:fldChar w:fldCharType="begin"/>
    </w:r>
    <w:r>
      <w:rPr>
        <w:rFonts w:ascii="宋体" w:hAnsi="宋体"/>
        <w:bCs/>
      </w:rPr>
      <w:instrText xml:space="preserve">PAGE  \* Arabic  \* MERGEFORMAT</w:instrText>
    </w:r>
    <w:r>
      <w:rPr>
        <w:rFonts w:ascii="宋体" w:hAnsi="宋体"/>
        <w:bCs/>
      </w:rPr>
      <w:fldChar w:fldCharType="separate"/>
    </w:r>
    <w:r>
      <w:rPr>
        <w:rFonts w:ascii="宋体" w:hAnsi="宋体"/>
        <w:bCs/>
        <w:lang w:val="zh-CN"/>
      </w:rPr>
      <w:t>2</w:t>
    </w:r>
    <w:r>
      <w:rPr>
        <w:rFonts w:ascii="宋体" w:hAnsi="宋体"/>
        <w:bCs/>
      </w:rPr>
      <w:fldChar w:fldCharType="end"/>
    </w:r>
    <w:r>
      <w:rPr>
        <w:rFonts w:ascii="宋体" w:hAnsi="宋体"/>
        <w:bCs/>
      </w:rPr>
      <w:t xml:space="preserve"> </w:t>
    </w:r>
    <w:r>
      <w:rPr>
        <w:rFonts w:hint="eastAsia" w:ascii="宋体" w:hAnsi="宋体"/>
        <w:bCs/>
      </w:rPr>
      <w:t>页</w:t>
    </w:r>
    <w:r>
      <w:rPr>
        <w:rFonts w:ascii="宋体" w:hAnsi="宋体"/>
        <w:lang w:val="zh-CN"/>
      </w:rPr>
      <w:t xml:space="preserve"> </w:t>
    </w:r>
    <w:r>
      <w:rPr>
        <w:rFonts w:hint="eastAsia" w:ascii="宋体" w:hAnsi="宋体"/>
        <w:lang w:val="zh-CN"/>
      </w:rPr>
      <w:t xml:space="preserve">共 </w:t>
    </w:r>
    <w:r>
      <w:rPr>
        <w:rFonts w:ascii="宋体" w:hAnsi="宋体"/>
        <w:bCs/>
      </w:rPr>
      <w:fldChar w:fldCharType="begin"/>
    </w:r>
    <w:r>
      <w:rPr>
        <w:rFonts w:hint="eastAsia" w:ascii="宋体" w:hAnsi="宋体"/>
        <w:bCs/>
      </w:rPr>
      <w:instrText xml:space="preserve">=</w:instrText>
    </w:r>
    <w:r>
      <w:rPr>
        <w:rFonts w:ascii="宋体" w:hAnsi="宋体"/>
        <w:bCs/>
      </w:rPr>
      <w:fldChar w:fldCharType="begin"/>
    </w:r>
    <w:r>
      <w:rPr>
        <w:rFonts w:ascii="宋体" w:hAnsi="宋体"/>
        <w:bCs/>
      </w:rPr>
      <w:instrText xml:space="preserve"> NUMPAGES </w:instrText>
    </w:r>
    <w:r>
      <w:rPr>
        <w:rFonts w:ascii="宋体" w:hAnsi="宋体"/>
        <w:bCs/>
      </w:rPr>
      <w:fldChar w:fldCharType="separate"/>
    </w:r>
    <w:r>
      <w:rPr>
        <w:rFonts w:ascii="宋体" w:hAnsi="宋体"/>
        <w:bCs/>
      </w:rPr>
      <w:instrText xml:space="preserve">3</w:instrText>
    </w:r>
    <w:r>
      <w:rPr>
        <w:rFonts w:ascii="宋体" w:hAnsi="宋体"/>
        <w:bCs/>
      </w:rPr>
      <w:fldChar w:fldCharType="end"/>
    </w:r>
    <w:r>
      <w:rPr>
        <w:rFonts w:hint="eastAsia" w:ascii="宋体" w:hAnsi="宋体"/>
        <w:bCs/>
      </w:rPr>
      <w:instrText xml:space="preserve">-1</w:instrText>
    </w:r>
    <w:r>
      <w:rPr>
        <w:rFonts w:ascii="宋体" w:hAnsi="宋体"/>
        <w:bCs/>
      </w:rPr>
      <w:instrText xml:space="preserve">  \* Arabic  \* MERGEFORMAT</w:instrText>
    </w:r>
    <w:r>
      <w:rPr>
        <w:rFonts w:ascii="宋体" w:hAnsi="宋体"/>
        <w:bCs/>
      </w:rPr>
      <w:fldChar w:fldCharType="separate"/>
    </w:r>
    <w:r>
      <w:rPr>
        <w:rFonts w:ascii="宋体" w:hAnsi="宋体"/>
        <w:bCs/>
      </w:rPr>
      <w:t>2</w:t>
    </w:r>
    <w:r>
      <w:rPr>
        <w:rFonts w:ascii="宋体" w:hAnsi="宋体"/>
        <w:bCs/>
      </w:rPr>
      <w:fldChar w:fldCharType="end"/>
    </w:r>
    <w:r>
      <w:rPr>
        <w:rFonts w:ascii="宋体" w:hAnsi="宋体"/>
        <w:bCs/>
      </w:rPr>
      <w:t xml:space="preserve"> </w:t>
    </w:r>
    <w:r>
      <w:rPr>
        <w:rFonts w:hint="eastAsia" w:ascii="宋体" w:hAnsi="宋体"/>
        <w:bCs/>
      </w:rPr>
      <w:t>页</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C47937">
    <w:pPr>
      <w:pStyle w:val="7"/>
      <w:pBdr>
        <w:bottom w:val="single" w:color="auto" w:sz="4" w:space="1"/>
      </w:pBdr>
      <w:jc w:val="right"/>
    </w:pPr>
    <w:r>
      <w:t>南方中证同业存单AAA指数7天持有期证券投资基金2025年年度报告</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1C1BF1">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3E9778E"/>
    <w:multiLevelType w:val="multilevel"/>
    <w:tmpl w:val="13E9778E"/>
    <w:lvl w:ilvl="0" w:tentative="0">
      <w:start w:val="1"/>
      <w:numFmt w:val="decimal"/>
      <w:pStyle w:val="26"/>
      <w:suff w:val="space"/>
      <w:lvlText w:val="§%1"/>
      <w:lvlJc w:val="center"/>
      <w:pPr>
        <w:ind w:left="425" w:hanging="425"/>
      </w:pPr>
      <w:rPr>
        <w:rFonts w:hint="eastAsia"/>
      </w:rPr>
    </w:lvl>
    <w:lvl w:ilvl="1" w:tentative="0">
      <w:start w:val="1"/>
      <w:numFmt w:val="decimal"/>
      <w:pStyle w:val="23"/>
      <w:suff w:val="space"/>
      <w:lvlText w:val="%1.%2"/>
      <w:lvlJc w:val="left"/>
      <w:pPr>
        <w:ind w:left="992" w:hanging="992"/>
      </w:pPr>
      <w:rPr>
        <w:rFonts w:hint="eastAsia"/>
      </w:rPr>
    </w:lvl>
    <w:lvl w:ilvl="2" w:tentative="0">
      <w:start w:val="1"/>
      <w:numFmt w:val="decimal"/>
      <w:pStyle w:val="28"/>
      <w:suff w:val="space"/>
      <w:lvlText w:val="%1.%2.%3"/>
      <w:lvlJc w:val="left"/>
      <w:pPr>
        <w:ind w:left="1418" w:hanging="1418"/>
      </w:pPr>
      <w:rPr>
        <w:rFonts w:hint="eastAsia"/>
      </w:rPr>
    </w:lvl>
    <w:lvl w:ilvl="3" w:tentative="0">
      <w:start w:val="1"/>
      <w:numFmt w:val="decimal"/>
      <w:pStyle w:val="35"/>
      <w:suff w:val="space"/>
      <w:lvlText w:val="%1.%2.%3.%4"/>
      <w:lvlJc w:val="left"/>
      <w:pPr>
        <w:ind w:left="1984" w:hanging="1984"/>
      </w:pPr>
      <w:rPr>
        <w:rFonts w:hint="eastAsia"/>
      </w:rPr>
    </w:lvl>
    <w:lvl w:ilvl="4" w:tentative="0">
      <w:start w:val="1"/>
      <w:numFmt w:val="decimal"/>
      <w:pStyle w:val="36"/>
      <w:suff w:val="space"/>
      <w:lvlText w:val="%1.%2.%3.%4.%5"/>
      <w:lvlJc w:val="left"/>
      <w:pPr>
        <w:ind w:left="2551" w:hanging="2551"/>
      </w:pPr>
      <w:rPr>
        <w:rFonts w:hint="eastAsia"/>
      </w:rPr>
    </w:lvl>
    <w:lvl w:ilvl="5" w:tentative="0">
      <w:start w:val="1"/>
      <w:numFmt w:val="decimal"/>
      <w:pStyle w:val="37"/>
      <w:suff w:val="space"/>
      <w:lvlText w:val="%1.%2.%3.%4.%5.%6"/>
      <w:lvlJc w:val="left"/>
      <w:pPr>
        <w:ind w:left="3260" w:hanging="3260"/>
      </w:pPr>
      <w:rPr>
        <w:rFonts w:hint="eastAsia"/>
      </w:rPr>
    </w:lvl>
    <w:lvl w:ilvl="6" w:tentative="0">
      <w:start w:val="1"/>
      <w:numFmt w:val="decimal"/>
      <w:suff w:val="space"/>
      <w:lvlText w:val="%1.%2.%3.%4.%5.%6.%7"/>
      <w:lvlJc w:val="left"/>
      <w:pPr>
        <w:ind w:left="3827" w:hanging="3827"/>
      </w:pPr>
      <w:rPr>
        <w:rFonts w:hint="eastAsia"/>
      </w:rPr>
    </w:lvl>
    <w:lvl w:ilvl="7" w:tentative="0">
      <w:start w:val="1"/>
      <w:numFmt w:val="decimal"/>
      <w:suff w:val="space"/>
      <w:lvlText w:val="%1.%2.%3.%4.%5.%6.%7.%8"/>
      <w:lvlJc w:val="left"/>
      <w:pPr>
        <w:ind w:left="4394" w:hanging="4394"/>
      </w:pPr>
      <w:rPr>
        <w:rFonts w:hint="eastAsia"/>
      </w:rPr>
    </w:lvl>
    <w:lvl w:ilvl="8" w:tentative="0">
      <w:start w:val="1"/>
      <w:numFmt w:val="decimal"/>
      <w:suff w:val="space"/>
      <w:lvlText w:val="%1.%2.%3.%4.%5.%6.%7.%8.%9"/>
      <w:lvlJc w:val="left"/>
      <w:pPr>
        <w:ind w:left="5102" w:hanging="5102"/>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 w:val="7EC716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semiHidden="0" w:name="toc 1"/>
    <w:lsdException w:uiPriority="39" w:semiHidden="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unhideWhenUsed="0" w:uiPriority="0" w:semiHidden="0" w:name="header"/>
    <w:lsdException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99"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nhideWhenUsed="0" w:uiPriority="0" w:semiHidden="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5"/>
    <w:qFormat/>
    <w:uiPriority w:val="9"/>
    <w:pPr>
      <w:keepNext/>
      <w:keepLines/>
      <w:spacing w:before="340" w:after="330" w:line="578" w:lineRule="auto"/>
      <w:outlineLvl w:val="0"/>
    </w:pPr>
    <w:rPr>
      <w:b/>
      <w:bCs/>
      <w:kern w:val="44"/>
      <w:sz w:val="44"/>
      <w:szCs w:val="44"/>
      <w:lang w:val="zh-CN" w:eastAsia="zh-CN"/>
    </w:rPr>
  </w:style>
  <w:style w:type="paragraph" w:styleId="3">
    <w:name w:val="heading 2"/>
    <w:basedOn w:val="1"/>
    <w:link w:val="19"/>
    <w:qFormat/>
    <w:uiPriority w:val="9"/>
    <w:pPr>
      <w:widowControl/>
      <w:spacing w:before="100" w:beforeAutospacing="1" w:after="100" w:afterAutospacing="1"/>
      <w:jc w:val="left"/>
      <w:outlineLvl w:val="1"/>
    </w:pPr>
    <w:rPr>
      <w:rFonts w:ascii="宋体" w:hAnsi="宋体"/>
      <w:b/>
      <w:bCs/>
      <w:kern w:val="0"/>
      <w:sz w:val="18"/>
      <w:szCs w:val="18"/>
      <w:lang w:val="zh-CN" w:eastAsia="zh-CN"/>
    </w:rPr>
  </w:style>
  <w:style w:type="paragraph" w:styleId="4">
    <w:name w:val="heading 4"/>
    <w:basedOn w:val="1"/>
    <w:next w:val="1"/>
    <w:link w:val="43"/>
    <w:semiHidden/>
    <w:unhideWhenUsed/>
    <w:qFormat/>
    <w:uiPriority w:val="0"/>
    <w:pPr>
      <w:keepNext/>
      <w:keepLines/>
      <w:spacing w:before="280" w:after="290" w:line="376" w:lineRule="auto"/>
      <w:outlineLvl w:val="3"/>
    </w:pPr>
    <w:rPr>
      <w:rFonts w:ascii="Calibri Light" w:hAnsi="Calibri Light"/>
      <w:b/>
      <w:bCs/>
      <w:sz w:val="28"/>
      <w:szCs w:val="28"/>
    </w:rPr>
  </w:style>
  <w:style w:type="character" w:default="1" w:styleId="16">
    <w:name w:val="Default Paragraph Font"/>
    <w:semiHidden/>
    <w:unhideWhenUsed/>
    <w:uiPriority w:val="1"/>
  </w:style>
  <w:style w:type="table" w:default="1" w:styleId="13">
    <w:name w:val="Normal Table"/>
    <w:semiHidden/>
    <w:unhideWhenUsed/>
    <w:uiPriority w:val="99"/>
    <w:tblPr>
      <w:tblCellMar>
        <w:top w:w="0" w:type="dxa"/>
        <w:left w:w="108" w:type="dxa"/>
        <w:bottom w:w="0" w:type="dxa"/>
        <w:right w:w="108" w:type="dxa"/>
      </w:tblCellMar>
    </w:tblPr>
  </w:style>
  <w:style w:type="paragraph" w:styleId="5">
    <w:name w:val="toc 3"/>
    <w:basedOn w:val="1"/>
    <w:next w:val="1"/>
    <w:link w:val="50"/>
    <w:autoRedefine/>
    <w:semiHidden/>
    <w:unhideWhenUsed/>
    <w:uiPriority w:val="0"/>
    <w:pPr>
      <w:ind w:left="840" w:leftChars="400"/>
    </w:pPr>
  </w:style>
  <w:style w:type="paragraph" w:styleId="6">
    <w:name w:val="footer"/>
    <w:basedOn w:val="1"/>
    <w:link w:val="32"/>
    <w:uiPriority w:val="99"/>
    <w:pPr>
      <w:tabs>
        <w:tab w:val="center" w:pos="4153"/>
        <w:tab w:val="right" w:pos="8306"/>
      </w:tabs>
      <w:snapToGrid w:val="0"/>
      <w:jc w:val="left"/>
    </w:pPr>
    <w:rPr>
      <w:sz w:val="18"/>
      <w:szCs w:val="18"/>
    </w:rPr>
  </w:style>
  <w:style w:type="paragraph" w:styleId="7">
    <w:name w:val="header"/>
    <w:basedOn w:val="1"/>
    <w:link w:val="31"/>
    <w:uiPriority w:val="0"/>
    <w:pPr>
      <w:pBdr>
        <w:bottom w:val="single" w:color="auto" w:sz="6" w:space="1"/>
      </w:pBdr>
      <w:tabs>
        <w:tab w:val="center" w:pos="4153"/>
        <w:tab w:val="right" w:pos="8306"/>
      </w:tabs>
      <w:snapToGrid w:val="0"/>
      <w:jc w:val="center"/>
    </w:pPr>
    <w:rPr>
      <w:sz w:val="18"/>
      <w:szCs w:val="18"/>
    </w:rPr>
  </w:style>
  <w:style w:type="paragraph" w:styleId="8">
    <w:name w:val="toc 1"/>
    <w:basedOn w:val="1"/>
    <w:next w:val="1"/>
    <w:autoRedefine/>
    <w:unhideWhenUsed/>
    <w:uiPriority w:val="39"/>
  </w:style>
  <w:style w:type="paragraph" w:styleId="9">
    <w:name w:val="Subtitle"/>
    <w:basedOn w:val="1"/>
    <w:next w:val="1"/>
    <w:link w:val="42"/>
    <w:qFormat/>
    <w:uiPriority w:val="0"/>
    <w:pPr>
      <w:spacing w:before="240" w:after="60" w:line="312" w:lineRule="auto"/>
      <w:jc w:val="center"/>
      <w:outlineLvl w:val="1"/>
    </w:pPr>
    <w:rPr>
      <w:rFonts w:ascii="Calibri Light" w:hAnsi="Calibri Light"/>
      <w:b/>
      <w:bCs/>
      <w:kern w:val="28"/>
      <w:sz w:val="32"/>
      <w:szCs w:val="32"/>
    </w:rPr>
  </w:style>
  <w:style w:type="paragraph" w:styleId="10">
    <w:name w:val="toc 2"/>
    <w:basedOn w:val="1"/>
    <w:next w:val="1"/>
    <w:autoRedefine/>
    <w:unhideWhenUsed/>
    <w:uiPriority w:val="39"/>
    <w:pPr>
      <w:ind w:left="420" w:leftChars="200"/>
    </w:pPr>
  </w:style>
  <w:style w:type="paragraph" w:styleId="11">
    <w:name w:val="Normal (Web)"/>
    <w:basedOn w:val="1"/>
    <w:link w:val="20"/>
    <w:unhideWhenUsed/>
    <w:uiPriority w:val="99"/>
    <w:pPr>
      <w:widowControl/>
      <w:spacing w:before="100" w:beforeAutospacing="1" w:after="100" w:afterAutospacing="1"/>
      <w:jc w:val="left"/>
    </w:pPr>
    <w:rPr>
      <w:rFonts w:ascii="宋体" w:hAnsi="宋体"/>
      <w:kern w:val="0"/>
      <w:sz w:val="24"/>
      <w:lang w:val="zh-CN" w:eastAsia="zh-CN"/>
    </w:rPr>
  </w:style>
  <w:style w:type="paragraph" w:styleId="12">
    <w:name w:val="Title"/>
    <w:basedOn w:val="1"/>
    <w:next w:val="1"/>
    <w:link w:val="33"/>
    <w:qFormat/>
    <w:uiPriority w:val="0"/>
    <w:pPr>
      <w:spacing w:before="240" w:after="60"/>
      <w:jc w:val="center"/>
      <w:outlineLvl w:val="0"/>
    </w:pPr>
    <w:rPr>
      <w:rFonts w:ascii="Cambria" w:hAnsi="Cambria"/>
      <w:b/>
      <w:bCs/>
      <w:sz w:val="32"/>
      <w:szCs w:val="32"/>
    </w:rPr>
  </w:style>
  <w:style w:type="table" w:styleId="14">
    <w:name w:val="Table Grid"/>
    <w:basedOn w:val="13"/>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15">
    <w:name w:val="Table Colorful 2"/>
    <w:basedOn w:val="13"/>
    <w:uiPriority w:val="0"/>
    <w:pPr>
      <w:widowControl w:val="0"/>
      <w:jc w:val="both"/>
    </w:pPr>
    <w:tblPr>
      <w:tblBorders>
        <w:bottom w:val="single" w:color="000000" w:sz="12" w:space="0"/>
      </w:tblBorders>
    </w:tblPr>
    <w:tcPr>
      <w:shd w:val="pct20" w:color="FFFF00" w:fill="FFFFFF"/>
    </w:tcPr>
    <w:tblStylePr w:type="firstRow">
      <w:rPr>
        <w:b/>
        <w:bCs/>
        <w:i/>
        <w:iCs/>
        <w:color w:val="FFFFFF"/>
      </w:rPr>
      <w:tblPr/>
      <w:tcPr>
        <w:tcBorders>
          <w:bottom w:val="single" w:color="000000" w:sz="12" w:space="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character" w:styleId="17">
    <w:name w:val="Hyperlink"/>
    <w:unhideWhenUsed/>
    <w:uiPriority w:val="99"/>
    <w:rPr>
      <w:color w:val="0000FF"/>
      <w:u w:val="single"/>
    </w:rPr>
  </w:style>
  <w:style w:type="paragraph" w:customStyle="1" w:styleId="18">
    <w:name w:val="模板-正文"/>
    <w:basedOn w:val="11"/>
    <w:link w:val="21"/>
    <w:qFormat/>
    <w:uiPriority w:val="0"/>
    <w:pPr>
      <w:snapToGrid w:val="0"/>
      <w:spacing w:before="0" w:beforeAutospacing="0" w:after="0" w:afterAutospacing="0" w:line="360" w:lineRule="auto"/>
      <w:ind w:firstLine="200" w:firstLineChars="200"/>
      <w:jc w:val="both"/>
    </w:pPr>
    <w:rPr>
      <w:color w:val="222222"/>
      <w:sz w:val="21"/>
      <w:szCs w:val="21"/>
    </w:rPr>
  </w:style>
  <w:style w:type="character" w:customStyle="1" w:styleId="19">
    <w:name w:val="标题 2 字符"/>
    <w:link w:val="3"/>
    <w:uiPriority w:val="9"/>
    <w:rPr>
      <w:rFonts w:ascii="宋体" w:hAnsi="宋体" w:cs="宋体"/>
      <w:b/>
      <w:bCs/>
      <w:sz w:val="18"/>
      <w:szCs w:val="18"/>
    </w:rPr>
  </w:style>
  <w:style w:type="character" w:customStyle="1" w:styleId="20">
    <w:name w:val="普通(网站) 字符"/>
    <w:link w:val="11"/>
    <w:uiPriority w:val="99"/>
    <w:rPr>
      <w:rFonts w:ascii="宋体" w:hAnsi="宋体" w:cs="宋体"/>
      <w:sz w:val="24"/>
      <w:szCs w:val="24"/>
    </w:rPr>
  </w:style>
  <w:style w:type="character" w:customStyle="1" w:styleId="21">
    <w:name w:val="模板-正文 Char"/>
    <w:link w:val="18"/>
    <w:uiPriority w:val="0"/>
    <w:rPr>
      <w:rFonts w:ascii="宋体" w:hAnsi="宋体"/>
      <w:color w:val="222222"/>
      <w:sz w:val="21"/>
      <w:szCs w:val="21"/>
      <w:lang w:val="zh-CN" w:eastAsia="zh-CN"/>
    </w:rPr>
  </w:style>
  <w:style w:type="character" w:customStyle="1" w:styleId="22">
    <w:name w:val="doc_order_no"/>
    <w:uiPriority w:val="0"/>
  </w:style>
  <w:style w:type="paragraph" w:customStyle="1" w:styleId="23">
    <w:name w:val="模板-标题 2"/>
    <w:basedOn w:val="3"/>
    <w:link w:val="24"/>
    <w:qFormat/>
    <w:uiPriority w:val="0"/>
    <w:pPr>
      <w:numPr>
        <w:ilvl w:val="1"/>
        <w:numId w:val="1"/>
      </w:numPr>
      <w:spacing w:beforeLines="100" w:beforeAutospacing="0"/>
      <w:ind w:left="0" w:firstLine="0"/>
      <w:jc w:val="both"/>
    </w:pPr>
    <w:rPr>
      <w:color w:val="222222"/>
      <w:sz w:val="24"/>
    </w:rPr>
  </w:style>
  <w:style w:type="character" w:customStyle="1" w:styleId="24">
    <w:name w:val="模板-标题 2 Char"/>
    <w:link w:val="23"/>
    <w:uiPriority w:val="0"/>
    <w:rPr>
      <w:rFonts w:ascii="宋体" w:hAnsi="宋体"/>
      <w:b/>
      <w:bCs/>
      <w:color w:val="222222"/>
      <w:sz w:val="24"/>
      <w:szCs w:val="18"/>
      <w:lang w:val="zh-CN" w:eastAsia="zh-CN"/>
    </w:rPr>
  </w:style>
  <w:style w:type="character" w:customStyle="1" w:styleId="25">
    <w:name w:val="标题 1 字符"/>
    <w:link w:val="2"/>
    <w:uiPriority w:val="9"/>
    <w:rPr>
      <w:b/>
      <w:bCs/>
      <w:kern w:val="44"/>
      <w:sz w:val="44"/>
      <w:szCs w:val="44"/>
    </w:rPr>
  </w:style>
  <w:style w:type="paragraph" w:customStyle="1" w:styleId="26">
    <w:name w:val="模板-标题 1"/>
    <w:basedOn w:val="2"/>
    <w:link w:val="27"/>
    <w:qFormat/>
    <w:uiPriority w:val="0"/>
    <w:pPr>
      <w:keepNext w:val="0"/>
      <w:keepLines w:val="0"/>
      <w:widowControl/>
      <w:numPr>
        <w:ilvl w:val="0"/>
        <w:numId w:val="1"/>
      </w:numPr>
      <w:adjustRightInd w:val="0"/>
      <w:spacing w:before="100" w:beforeAutospacing="1" w:after="100" w:afterAutospacing="1" w:line="240" w:lineRule="auto"/>
      <w:ind w:left="100" w:hanging="100" w:hangingChars="100"/>
      <w:jc w:val="center"/>
    </w:pPr>
    <w:rPr>
      <w:rFonts w:ascii="宋体" w:hAnsi="宋体"/>
      <w:color w:val="222222"/>
      <w:kern w:val="36"/>
      <w:sz w:val="28"/>
      <w:szCs w:val="24"/>
    </w:rPr>
  </w:style>
  <w:style w:type="character" w:customStyle="1" w:styleId="27">
    <w:name w:val="模板-标题 1 Char"/>
    <w:link w:val="26"/>
    <w:uiPriority w:val="0"/>
    <w:rPr>
      <w:rFonts w:ascii="宋体" w:hAnsi="宋体"/>
      <w:b/>
      <w:bCs/>
      <w:color w:val="222222"/>
      <w:kern w:val="36"/>
      <w:sz w:val="28"/>
      <w:szCs w:val="24"/>
      <w:lang w:val="zh-CN" w:eastAsia="zh-CN"/>
    </w:rPr>
  </w:style>
  <w:style w:type="paragraph" w:customStyle="1" w:styleId="28">
    <w:name w:val="模板-标题 3"/>
    <w:basedOn w:val="1"/>
    <w:link w:val="29"/>
    <w:qFormat/>
    <w:uiPriority w:val="0"/>
    <w:pPr>
      <w:numPr>
        <w:ilvl w:val="2"/>
        <w:numId w:val="1"/>
      </w:numPr>
      <w:spacing w:before="50" w:beforeLines="50" w:after="50" w:afterLines="50"/>
      <w:ind w:left="0" w:firstLine="0"/>
      <w:outlineLvl w:val="2"/>
    </w:pPr>
    <w:rPr>
      <w:b/>
      <w:color w:val="222222"/>
      <w:sz w:val="24"/>
      <w:szCs w:val="18"/>
      <w:lang w:val="zh-CN" w:eastAsia="zh-CN"/>
    </w:rPr>
  </w:style>
  <w:style w:type="character" w:customStyle="1" w:styleId="29">
    <w:name w:val="模板-标题 3 Char"/>
    <w:link w:val="28"/>
    <w:uiPriority w:val="0"/>
    <w:rPr>
      <w:b/>
      <w:color w:val="222222"/>
      <w:kern w:val="2"/>
      <w:sz w:val="24"/>
      <w:szCs w:val="18"/>
      <w:lang w:val="zh-CN" w:eastAsia="zh-CN"/>
    </w:rPr>
  </w:style>
  <w:style w:type="table" w:customStyle="1" w:styleId="30">
    <w:name w:val="模板-表格"/>
    <w:basedOn w:val="13"/>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tblStylePr w:type="firstRow">
      <w:pPr>
        <w:jc w:val="center"/>
      </w:pPr>
      <w:tblPr/>
      <w:tcPr>
        <w:shd w:val="clear" w:color="auto" w:fill="BFBFBF"/>
      </w:tcPr>
    </w:tblStylePr>
  </w:style>
  <w:style w:type="character" w:customStyle="1" w:styleId="31">
    <w:name w:val="页眉 字符"/>
    <w:link w:val="7"/>
    <w:uiPriority w:val="0"/>
    <w:rPr>
      <w:kern w:val="2"/>
      <w:sz w:val="18"/>
      <w:szCs w:val="18"/>
    </w:rPr>
  </w:style>
  <w:style w:type="character" w:customStyle="1" w:styleId="32">
    <w:name w:val="页脚 字符"/>
    <w:link w:val="6"/>
    <w:uiPriority w:val="99"/>
    <w:rPr>
      <w:kern w:val="2"/>
      <w:sz w:val="18"/>
      <w:szCs w:val="18"/>
    </w:rPr>
  </w:style>
  <w:style w:type="character" w:customStyle="1" w:styleId="33">
    <w:name w:val="标题 字符"/>
    <w:link w:val="12"/>
    <w:uiPriority w:val="0"/>
    <w:rPr>
      <w:rFonts w:ascii="Cambria" w:hAnsi="Cambria" w:cs="Times New Roman"/>
      <w:b/>
      <w:bCs/>
      <w:kern w:val="2"/>
      <w:sz w:val="32"/>
      <w:szCs w:val="32"/>
    </w:rPr>
  </w:style>
  <w:style w:type="paragraph" w:customStyle="1" w:styleId="34">
    <w:name w:val="模板-标题"/>
    <w:basedOn w:val="12"/>
    <w:qFormat/>
    <w:uiPriority w:val="0"/>
    <w:pPr>
      <w:outlineLvl w:val="9"/>
    </w:pPr>
  </w:style>
  <w:style w:type="paragraph" w:customStyle="1" w:styleId="35">
    <w:name w:val="模板-标题 4"/>
    <w:basedOn w:val="1"/>
    <w:qFormat/>
    <w:uiPriority w:val="0"/>
    <w:pPr>
      <w:numPr>
        <w:ilvl w:val="3"/>
        <w:numId w:val="1"/>
      </w:numPr>
      <w:spacing w:before="50" w:beforeLines="50" w:after="50" w:afterLines="50"/>
      <w:ind w:left="0" w:firstLine="0"/>
    </w:pPr>
    <w:rPr>
      <w:b/>
      <w:sz w:val="24"/>
    </w:rPr>
  </w:style>
  <w:style w:type="paragraph" w:customStyle="1" w:styleId="36">
    <w:name w:val="模板-标题 5"/>
    <w:basedOn w:val="35"/>
    <w:qFormat/>
    <w:uiPriority w:val="0"/>
    <w:pPr>
      <w:numPr>
        <w:ilvl w:val="4"/>
      </w:numPr>
      <w:ind w:left="0" w:firstLine="0"/>
    </w:pPr>
  </w:style>
  <w:style w:type="paragraph" w:customStyle="1" w:styleId="37">
    <w:name w:val="模板-标题 6"/>
    <w:basedOn w:val="36"/>
    <w:qFormat/>
    <w:uiPriority w:val="0"/>
    <w:pPr>
      <w:numPr>
        <w:ilvl w:val="5"/>
      </w:numPr>
      <w:ind w:left="0" w:firstLine="0"/>
    </w:pPr>
  </w:style>
  <w:style w:type="table" w:customStyle="1" w:styleId="38">
    <w:name w:val="模板-表格_noheader"/>
    <w:basedOn w:val="13"/>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style>
  <w:style w:type="paragraph" w:customStyle="1" w:styleId="39">
    <w:name w:val="XBRLTitle1"/>
    <w:basedOn w:val="2"/>
    <w:next w:val="3"/>
    <w:qFormat/>
    <w:uiPriority w:val="0"/>
    <w:pPr>
      <w:spacing w:before="0" w:after="0" w:line="360" w:lineRule="auto"/>
      <w:ind w:left="425" w:hanging="425"/>
      <w:jc w:val="center"/>
    </w:pPr>
    <w:rPr>
      <w:sz w:val="28"/>
    </w:rPr>
  </w:style>
  <w:style w:type="paragraph" w:customStyle="1" w:styleId="40">
    <w:name w:val="XBRLTitle2"/>
    <w:basedOn w:val="9"/>
    <w:next w:val="4"/>
    <w:qFormat/>
    <w:uiPriority w:val="0"/>
    <w:pPr>
      <w:spacing w:before="0" w:after="0" w:line="360" w:lineRule="auto"/>
      <w:jc w:val="left"/>
    </w:pPr>
    <w:rPr>
      <w:sz w:val="24"/>
    </w:rPr>
  </w:style>
  <w:style w:type="paragraph" w:customStyle="1" w:styleId="41">
    <w:name w:val="XBRLTitle3"/>
    <w:basedOn w:val="9"/>
    <w:next w:val="4"/>
    <w:qFormat/>
    <w:uiPriority w:val="0"/>
    <w:pPr>
      <w:spacing w:before="0" w:after="0" w:line="360" w:lineRule="auto"/>
      <w:ind w:left="624" w:hanging="624"/>
      <w:jc w:val="left"/>
      <w:outlineLvl w:val="9"/>
    </w:pPr>
    <w:rPr>
      <w:sz w:val="24"/>
    </w:rPr>
  </w:style>
  <w:style w:type="character" w:customStyle="1" w:styleId="42">
    <w:name w:val="副标题 字符"/>
    <w:link w:val="9"/>
    <w:uiPriority w:val="0"/>
    <w:rPr>
      <w:rFonts w:ascii="Calibri Light" w:hAnsi="Calibri Light" w:cs="Times New Roman"/>
      <w:b/>
      <w:bCs/>
      <w:kern w:val="28"/>
      <w:sz w:val="32"/>
      <w:szCs w:val="32"/>
    </w:rPr>
  </w:style>
  <w:style w:type="character" w:customStyle="1" w:styleId="43">
    <w:name w:val="标题 4 字符"/>
    <w:link w:val="4"/>
    <w:semiHidden/>
    <w:uiPriority w:val="0"/>
    <w:rPr>
      <w:rFonts w:ascii="Calibri Light" w:hAnsi="Calibri Light" w:eastAsia="宋体" w:cs="Times New Roman"/>
      <w:b/>
      <w:bCs/>
      <w:kern w:val="2"/>
      <w:sz w:val="28"/>
      <w:szCs w:val="28"/>
    </w:rPr>
  </w:style>
  <w:style w:type="paragraph" w:customStyle="1" w:styleId="44">
    <w:name w:val="XBRLTitle4"/>
    <w:basedOn w:val="9"/>
    <w:next w:val="4"/>
    <w:qFormat/>
    <w:uiPriority w:val="0"/>
    <w:pPr>
      <w:spacing w:before="50" w:beforeLines="50" w:after="50" w:afterLines="50" w:line="240" w:lineRule="auto"/>
      <w:ind w:left="794" w:hanging="794"/>
      <w:jc w:val="left"/>
      <w:outlineLvl w:val="9"/>
    </w:pPr>
    <w:rPr>
      <w:sz w:val="24"/>
    </w:rPr>
  </w:style>
  <w:style w:type="paragraph" w:customStyle="1" w:styleId="45">
    <w:name w:val="XBRLTitle5"/>
    <w:basedOn w:val="9"/>
    <w:next w:val="4"/>
    <w:qFormat/>
    <w:uiPriority w:val="0"/>
    <w:pPr>
      <w:spacing w:before="50" w:beforeLines="50" w:after="50" w:afterLines="50" w:line="240" w:lineRule="auto"/>
      <w:ind w:left="1021" w:hanging="1021"/>
      <w:jc w:val="left"/>
      <w:outlineLvl w:val="9"/>
    </w:pPr>
  </w:style>
  <w:style w:type="paragraph" w:customStyle="1" w:styleId="46">
    <w:name w:val="XBRLTitle6"/>
    <w:basedOn w:val="9"/>
    <w:next w:val="4"/>
    <w:qFormat/>
    <w:uiPriority w:val="0"/>
    <w:pPr>
      <w:spacing w:before="50" w:beforeLines="50" w:after="50" w:afterLines="50" w:line="240" w:lineRule="auto"/>
      <w:ind w:left="1021" w:hanging="1021"/>
      <w:jc w:val="left"/>
      <w:outlineLvl w:val="9"/>
    </w:pPr>
    <w:rPr>
      <w:sz w:val="24"/>
    </w:rPr>
  </w:style>
  <w:style w:type="paragraph" w:customStyle="1" w:styleId="47">
    <w:name w:val="模板-正文无缩进"/>
    <w:basedOn w:val="18"/>
    <w:link w:val="48"/>
    <w:qFormat/>
    <w:uiPriority w:val="0"/>
    <w:pPr>
      <w:ind w:firstLine="0" w:firstLineChars="0"/>
    </w:pPr>
    <w:rPr>
      <w:bCs/>
      <w:szCs w:val="30"/>
    </w:rPr>
  </w:style>
  <w:style w:type="character" w:customStyle="1" w:styleId="48">
    <w:name w:val="模板-正文无缩进 Char"/>
    <w:link w:val="47"/>
    <w:uiPriority w:val="0"/>
    <w:rPr>
      <w:rFonts w:ascii="宋体" w:hAnsi="宋体"/>
      <w:bCs/>
      <w:color w:val="222222"/>
      <w:sz w:val="21"/>
      <w:szCs w:val="30"/>
      <w:lang w:val="zh-CN" w:eastAsia="zh-CN"/>
    </w:rPr>
  </w:style>
  <w:style w:type="paragraph" w:customStyle="1" w:styleId="49">
    <w:name w:val="模板-目录"/>
    <w:basedOn w:val="5"/>
    <w:link w:val="51"/>
    <w:autoRedefine/>
    <w:qFormat/>
    <w:uiPriority w:val="0"/>
    <w:pPr>
      <w:snapToGrid w:val="0"/>
      <w:jc w:val="right"/>
    </w:pPr>
  </w:style>
  <w:style w:type="character" w:customStyle="1" w:styleId="50">
    <w:name w:val="目录 3 字符"/>
    <w:basedOn w:val="16"/>
    <w:link w:val="5"/>
    <w:semiHidden/>
    <w:uiPriority w:val="0"/>
    <w:rPr>
      <w:kern w:val="2"/>
      <w:sz w:val="21"/>
      <w:szCs w:val="24"/>
    </w:rPr>
  </w:style>
  <w:style w:type="character" w:customStyle="1" w:styleId="51">
    <w:name w:val="模板-目录 Char"/>
    <w:basedOn w:val="50"/>
    <w:link w:val="49"/>
    <w:uiPriority w:val="0"/>
    <w:rPr>
      <w:kern w:val="2"/>
      <w:sz w:val="21"/>
      <w:szCs w:val="24"/>
    </w:rPr>
  </w:style>
  <w:style w:type="paragraph" w:customStyle="1" w:styleId="52">
    <w:name w:val="Normal0"/>
    <w:qFormat/>
    <w:uiPriority w:val="0"/>
    <w:pPr>
      <w:widowControl w:val="0"/>
      <w:jc w:val="both"/>
    </w:pPr>
    <w:rPr>
      <w:rFonts w:ascii="Times New Roman" w:hAnsi="Times New Roman" w:eastAsia="宋体" w:cs="Times New Roman"/>
      <w:lang w:val="en-US" w:eastAsia="zh-CN" w:bidi="ar-SA"/>
    </w:rPr>
  </w:style>
  <w:style w:type="character" w:customStyle="1" w:styleId="53">
    <w:name w:val="Default Paragraph Font0"/>
    <w:semiHidden/>
    <w:unhideWhenUsed/>
    <w:uiPriority w:val="1"/>
  </w:style>
  <w:style w:type="table" w:customStyle="1" w:styleId="54">
    <w:name w:val="Normal Table0"/>
    <w:semiHidden/>
    <w:unhideWhenUsed/>
    <w:uiPriority w:val="99"/>
    <w:tblPr>
      <w:tblCellMar>
        <w:top w:w="0" w:type="dxa"/>
        <w:left w:w="108" w:type="dxa"/>
        <w:bottom w:w="0" w:type="dxa"/>
        <w:right w:w="108" w:type="dxa"/>
      </w:tblCellMar>
    </w:tblPr>
  </w:style>
  <w:style w:type="paragraph" w:customStyle="1" w:styleId="55">
    <w:name w:val="Normal (Web)0"/>
    <w:basedOn w:val="52"/>
    <w:semiHidden/>
    <w:unhideWhenUsed/>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56">
    <w:name w:val="element-name"/>
    <w:basedOn w:val="53"/>
    <w:uiPriority w:val="0"/>
  </w:style>
  <w:style w:type="paragraph" w:customStyle="1" w:styleId="57">
    <w:name w:val="header0"/>
    <w:basedOn w:val="52"/>
    <w:link w:val="58"/>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58">
    <w:name w:val="页眉 字符0"/>
    <w:basedOn w:val="53"/>
    <w:link w:val="57"/>
    <w:uiPriority w:val="99"/>
    <w:rPr>
      <w:sz w:val="18"/>
      <w:szCs w:val="18"/>
    </w:rPr>
  </w:style>
  <w:style w:type="paragraph" w:customStyle="1" w:styleId="59">
    <w:name w:val="footer0"/>
    <w:basedOn w:val="52"/>
    <w:link w:val="60"/>
    <w:unhideWhenUsed/>
    <w:uiPriority w:val="99"/>
    <w:pPr>
      <w:tabs>
        <w:tab w:val="center" w:pos="4153"/>
        <w:tab w:val="right" w:pos="8306"/>
      </w:tabs>
      <w:snapToGrid w:val="0"/>
      <w:jc w:val="left"/>
    </w:pPr>
    <w:rPr>
      <w:sz w:val="18"/>
      <w:szCs w:val="18"/>
    </w:rPr>
  </w:style>
  <w:style w:type="character" w:customStyle="1" w:styleId="60">
    <w:name w:val="页脚 字符0"/>
    <w:basedOn w:val="53"/>
    <w:link w:val="59"/>
    <w:uiPriority w:val="99"/>
    <w:rPr>
      <w:sz w:val="18"/>
      <w:szCs w:val="18"/>
    </w:rPr>
  </w:style>
  <w:style w:type="paragraph" w:customStyle="1" w:styleId="61">
    <w:name w:val="TOC Heading"/>
    <w:basedOn w:val="2"/>
    <w:next w:val="1"/>
    <w:unhideWhenUsed/>
    <w:qFormat/>
    <w:uiPriority w:val="39"/>
    <w:pPr>
      <w:spacing w:before="240" w:line="259" w:lineRule="auto"/>
      <w:outlineLvl w:val="9"/>
    </w:pPr>
    <w:rPr>
      <w:b w:val="0"/>
      <w:bCs w:val="0"/>
      <w:sz w:val="32"/>
      <w:szCs w:val="32"/>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BAB901-8450-4A5A-A3CB-0D87E1BFAAF7}">
  <ds:schemaRefs/>
</ds:datastoreItem>
</file>

<file path=docProps/app.xml><?xml version="1.0" encoding="utf-8"?>
<Properties xmlns="http://schemas.openxmlformats.org/officeDocument/2006/extended-properties" xmlns:vt="http://schemas.openxmlformats.org/officeDocument/2006/docPropsVTypes">
  <Template>Normal.dotm</Template>
  <Company>MC SYSTEM</Company>
  <Pages>56</Pages>
  <Words>70</Words>
  <Characters>403</Characters>
  <Lines>3</Lines>
  <Paragraphs>1</Paragraphs>
  <TotalTime>0</TotalTime>
  <ScaleCrop>false</ScaleCrop>
  <LinksUpToDate>false</LinksUpToDate>
  <CharactersWithSpaces>472</CharactersWithSpaces>
  <Application>WPS Office_12.8.2.21177_F1E327BC-269C-435d-A152-05C5408002CA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2025-09-04T06:02:00Z</dcterms:created>
  <dc:creator>MC SYSTEM</dc:creator>
  <cp:lastModifiedBy>nfuser</cp:lastModifiedBy>
  <dcterms:modified xsi:type="dcterms:W3CDTF">2026-03-28T02:17:51Z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2052-12.8.2.21177</vt:lpwstr>
  </property>
  <property fmtid="{D5CDD505-2E9C-101B-9397-08002B2CF9AE}" pid="3" name="ICV">
    <vt:lpwstr>844AFCC5C9734B91A61FF24CB59C6C98_12</vt:lpwstr>
  </property>
</Properties>
</file>