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D2DB70">
      <w:pPr>
        <w:pStyle w:val="18"/>
        <w:ind w:firstLine="420"/>
      </w:pPr>
      <w:bookmarkStart w:id="205" w:name="_GoBack"/>
      <w:bookmarkEnd w:id="205"/>
    </w:p>
    <w:p w14:paraId="39B2D63D">
      <w:pPr>
        <w:jc w:val="center"/>
        <w:rPr>
          <w:rFonts w:ascii="宋体" w:hAnsi="宋体"/>
          <w:b/>
          <w:bCs/>
          <w:sz w:val="28"/>
          <w:szCs w:val="30"/>
        </w:rPr>
      </w:pPr>
    </w:p>
    <w:p w14:paraId="7B72E7C9">
      <w:pPr>
        <w:jc w:val="center"/>
        <w:rPr>
          <w:rFonts w:ascii="宋体" w:hAnsi="宋体"/>
          <w:b/>
          <w:bCs/>
          <w:sz w:val="48"/>
          <w:szCs w:val="30"/>
        </w:rPr>
      </w:pPr>
      <w:r>
        <w:rPr>
          <w:rFonts w:ascii="宋体" w:hAnsi="宋体"/>
          <w:b/>
          <w:bCs/>
          <w:sz w:val="48"/>
          <w:szCs w:val="30"/>
        </w:rPr>
        <w:t>南方得利一年定期开放债券型发起式证券投资基金2025年年度报告</w:t>
      </w:r>
    </w:p>
    <w:p w14:paraId="2F8BDAFD">
      <w:pPr>
        <w:jc w:val="center"/>
        <w:rPr>
          <w:rFonts w:ascii="宋体" w:hAnsi="宋体"/>
          <w:b/>
          <w:bCs/>
          <w:sz w:val="48"/>
          <w:szCs w:val="30"/>
        </w:rPr>
      </w:pPr>
      <w:bookmarkStart w:id="0" w:name="OLE_LINK1"/>
      <w:bookmarkStart w:id="1" w:name="OLE_LINK2"/>
    </w:p>
    <w:p w14:paraId="787CDEB4">
      <w:pPr>
        <w:jc w:val="center"/>
        <w:rPr>
          <w:rFonts w:ascii="宋体" w:hAnsi="宋体"/>
          <w:b/>
          <w:bCs/>
          <w:sz w:val="28"/>
          <w:szCs w:val="30"/>
        </w:rPr>
      </w:pPr>
    </w:p>
    <w:bookmarkEnd w:id="0"/>
    <w:bookmarkEnd w:id="1"/>
    <w:p w14:paraId="79396F09">
      <w:pPr>
        <w:jc w:val="center"/>
        <w:rPr>
          <w:rFonts w:ascii="宋体" w:hAnsi="宋体"/>
          <w:b/>
          <w:bCs/>
          <w:sz w:val="28"/>
          <w:szCs w:val="30"/>
        </w:rPr>
      </w:pPr>
      <w:r>
        <w:rPr>
          <w:rFonts w:ascii="宋体" w:hAnsi="宋体"/>
          <w:b/>
          <w:bCs/>
          <w:sz w:val="28"/>
          <w:szCs w:val="30"/>
        </w:rPr>
        <w:t>2025年12月31日</w:t>
      </w:r>
    </w:p>
    <w:p w14:paraId="399A4043">
      <w:pPr>
        <w:jc w:val="center"/>
        <w:rPr>
          <w:rFonts w:ascii="宋体" w:hAnsi="宋体"/>
          <w:sz w:val="28"/>
          <w:szCs w:val="30"/>
        </w:rPr>
      </w:pPr>
    </w:p>
    <w:p w14:paraId="6A66F9AB">
      <w:pPr>
        <w:jc w:val="center"/>
        <w:rPr>
          <w:rFonts w:ascii="宋体" w:hAnsi="宋体"/>
          <w:sz w:val="28"/>
          <w:szCs w:val="30"/>
        </w:rPr>
      </w:pPr>
    </w:p>
    <w:p w14:paraId="70B67901">
      <w:pPr>
        <w:jc w:val="center"/>
        <w:rPr>
          <w:rFonts w:ascii="宋体" w:hAnsi="宋体"/>
          <w:sz w:val="28"/>
          <w:szCs w:val="30"/>
        </w:rPr>
      </w:pPr>
    </w:p>
    <w:p w14:paraId="70355BA5">
      <w:pPr>
        <w:jc w:val="center"/>
        <w:rPr>
          <w:rFonts w:ascii="宋体" w:hAnsi="宋体"/>
          <w:sz w:val="28"/>
          <w:szCs w:val="30"/>
        </w:rPr>
      </w:pPr>
    </w:p>
    <w:p w14:paraId="4346019F">
      <w:pPr>
        <w:jc w:val="center"/>
        <w:rPr>
          <w:rFonts w:ascii="宋体" w:hAnsi="宋体"/>
          <w:sz w:val="28"/>
          <w:szCs w:val="30"/>
        </w:rPr>
      </w:pPr>
    </w:p>
    <w:p w14:paraId="465F4AD4">
      <w:pPr>
        <w:jc w:val="center"/>
        <w:rPr>
          <w:rFonts w:ascii="宋体" w:hAnsi="宋体"/>
          <w:sz w:val="28"/>
          <w:szCs w:val="30"/>
        </w:rPr>
      </w:pPr>
    </w:p>
    <w:p w14:paraId="661BDD6B">
      <w:pPr>
        <w:jc w:val="center"/>
        <w:rPr>
          <w:rFonts w:ascii="宋体" w:hAnsi="宋体"/>
          <w:sz w:val="28"/>
          <w:szCs w:val="30"/>
        </w:rPr>
      </w:pPr>
    </w:p>
    <w:p w14:paraId="575CC5F7">
      <w:pPr>
        <w:jc w:val="center"/>
        <w:rPr>
          <w:rFonts w:ascii="宋体" w:hAnsi="宋体"/>
          <w:sz w:val="28"/>
          <w:szCs w:val="30"/>
        </w:rPr>
      </w:pPr>
    </w:p>
    <w:p w14:paraId="14A456FD">
      <w:pPr>
        <w:jc w:val="center"/>
        <w:rPr>
          <w:rFonts w:ascii="宋体" w:hAnsi="宋体"/>
          <w:sz w:val="28"/>
          <w:szCs w:val="30"/>
        </w:rPr>
      </w:pPr>
    </w:p>
    <w:p w14:paraId="7DABC8BE">
      <w:pPr>
        <w:jc w:val="center"/>
        <w:rPr>
          <w:rFonts w:ascii="宋体" w:hAnsi="宋体"/>
          <w:sz w:val="28"/>
          <w:szCs w:val="30"/>
        </w:rPr>
      </w:pPr>
    </w:p>
    <w:p w14:paraId="6C5495B5">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2618626F">
      <w:pPr>
        <w:ind w:firstLine="1687" w:firstLineChars="600"/>
        <w:rPr>
          <w:rFonts w:ascii="宋体" w:hAnsi="宋体"/>
          <w:b/>
          <w:bCs/>
          <w:sz w:val="28"/>
          <w:szCs w:val="30"/>
        </w:rPr>
      </w:pPr>
      <w:r>
        <w:rPr>
          <w:rFonts w:hint="eastAsia" w:ascii="宋体" w:hAnsi="宋体"/>
          <w:b/>
          <w:bCs/>
          <w:sz w:val="28"/>
          <w:szCs w:val="30"/>
        </w:rPr>
        <w:t>基金托管人：招商银行股份有限公司</w:t>
      </w:r>
    </w:p>
    <w:p w14:paraId="079519DB">
      <w:pPr>
        <w:ind w:firstLine="1687" w:firstLineChars="600"/>
        <w:rPr>
          <w:rFonts w:ascii="宋体" w:hAnsi="宋体"/>
          <w:b/>
          <w:bCs/>
          <w:sz w:val="28"/>
          <w:szCs w:val="30"/>
        </w:rPr>
      </w:pPr>
      <w:r>
        <w:rPr>
          <w:rFonts w:hint="eastAsia" w:ascii="宋体" w:hAnsi="宋体"/>
          <w:b/>
          <w:bCs/>
          <w:sz w:val="28"/>
          <w:szCs w:val="30"/>
        </w:rPr>
        <w:t>送出日期：2026年3月31日</w:t>
      </w:r>
    </w:p>
    <w:p w14:paraId="670DD8F0">
      <w:pPr>
        <w:ind w:firstLine="1687" w:firstLineChars="600"/>
        <w:rPr>
          <w:rFonts w:ascii="宋体" w:hAnsi="宋体"/>
          <w:b/>
          <w:bCs/>
          <w:sz w:val="28"/>
          <w:szCs w:val="30"/>
        </w:rPr>
      </w:pPr>
    </w:p>
    <w:p w14:paraId="05BAB53D">
      <w:pPr>
        <w:snapToGrid w:val="0"/>
        <w:spacing w:line="360" w:lineRule="auto"/>
        <w:jc w:val="left"/>
      </w:pPr>
      <w:r>
        <w:br w:type="page"/>
      </w:r>
    </w:p>
    <w:p w14:paraId="0B59A4E5"/>
    <w:p w14:paraId="59F79C7E">
      <w:pPr>
        <w:pStyle w:val="26"/>
      </w:pPr>
      <w:bookmarkStart w:id="2" w:name="_Toc4445"/>
      <w:r>
        <w:t>重要提示及目录</w:t>
      </w:r>
      <w:bookmarkEnd w:id="2"/>
    </w:p>
    <w:p w14:paraId="419B0A55">
      <w:pPr>
        <w:pStyle w:val="23"/>
      </w:pPr>
      <w:bookmarkStart w:id="3" w:name="_Toc7997"/>
      <w:r>
        <w:t>重要提示</w:t>
      </w:r>
      <w:bookmarkEnd w:id="3"/>
    </w:p>
    <w:p w14:paraId="0A4CF02B">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7A32446B">
      <w:pPr>
        <w:pStyle w:val="18"/>
        <w:rPr>
          <w:rFonts w:hint="eastAsia"/>
        </w:rPr>
      </w:pPr>
      <w:r>
        <w:rPr>
          <w:rFonts w:hint="eastAsia"/>
        </w:rPr>
        <w:t>本年度报告已经三分之二以上独立董事签字同意，并由董事长签发。</w:t>
      </w:r>
    </w:p>
    <w:p w14:paraId="0D824B2B">
      <w:pPr>
        <w:pStyle w:val="18"/>
        <w:rPr>
          <w:rFonts w:hint="eastAsia"/>
        </w:rPr>
      </w:pPr>
      <w:r>
        <w:rPr>
          <w:rFonts w:hint="eastAsia"/>
        </w:rPr>
        <w:t>基金托管人招商银行股份有限公司根据本基金合同规定，于2026年3月27日复核了本报告中的财务指标、净值表现、利润分配情况、财务会计报告、投资组合报告等内容，保证复核内容不存在虚假记载、误导性陈述或者重大遗漏。</w:t>
      </w:r>
    </w:p>
    <w:p w14:paraId="479FDFFF">
      <w:pPr>
        <w:pStyle w:val="18"/>
        <w:rPr>
          <w:rFonts w:hint="eastAsia"/>
        </w:rPr>
      </w:pPr>
      <w:r>
        <w:rPr>
          <w:rFonts w:hint="eastAsia"/>
        </w:rPr>
        <w:t>基金管理人承诺以诚实信用、勤勉尽责的原则管理和运用基金资产，但不保证基金一定盈利。</w:t>
      </w:r>
    </w:p>
    <w:p w14:paraId="545850CE">
      <w:pPr>
        <w:pStyle w:val="18"/>
        <w:rPr>
          <w:rFonts w:hint="eastAsia"/>
        </w:rPr>
      </w:pPr>
      <w:r>
        <w:rPr>
          <w:rFonts w:hint="eastAsia"/>
        </w:rPr>
        <w:t>基金的过往业绩并不代表其未来表现。投资有风险，投资者在作出投资决策前应仔细阅读本基金的招募说明书及其更新。</w:t>
      </w:r>
    </w:p>
    <w:p w14:paraId="0D82AAF6">
      <w:pPr>
        <w:pStyle w:val="18"/>
        <w:rPr>
          <w:rFonts w:hint="eastAsia"/>
        </w:rPr>
      </w:pPr>
      <w:r>
        <w:rPr>
          <w:rFonts w:hint="eastAsia"/>
        </w:rPr>
        <w:t>本报告期自2025年1月1日起至12月31日止。</w:t>
      </w:r>
    </w:p>
    <w:p w14:paraId="1C36C688">
      <w:pPr>
        <w:pStyle w:val="23"/>
        <w:pageBreakBefore/>
      </w:pPr>
      <w:bookmarkStart w:id="4" w:name="_Toc20581"/>
      <w:r>
        <w:t>目录</w:t>
      </w:r>
      <w:bookmarkEnd w:id="4"/>
    </w:p>
    <w:sdt>
      <w:sdtPr>
        <w:rPr>
          <w:rFonts w:ascii="宋体" w:hAnsi="宋体" w:eastAsia="宋体"/>
          <w:color w:val="DBDBDB"/>
          <w:sz w:val="21"/>
          <w:szCs w:val="24"/>
          <w:lang w:val="en-US" w:eastAsia="zh-CN" w:bidi="ar-SA"/>
        </w:rPr>
        <w:id w:val="41155"/>
        <w:docPartObj>
          <w:docPartGallery w:val="Table of Contents"/>
          <w:docPartUnique/>
        </w:docPartObj>
      </w:sdtPr>
      <w:sdtEndPr>
        <w:rPr>
          <w:rFonts w:ascii="宋体" w:hAnsi="宋体" w:eastAsia="宋体"/>
          <w:b/>
          <w:color w:val="DBDBDB"/>
          <w:sz w:val="21"/>
          <w:szCs w:val="24"/>
          <w:lang w:val="en-US" w:eastAsia="zh-CN" w:bidi="ar-SA"/>
        </w:rPr>
      </w:sdtEndPr>
      <w:sdtContent>
        <w:p w14:paraId="2A6D3EF1">
          <w:pPr>
            <w:pStyle w:val="61"/>
            <w:spacing w:before="0" w:beforeLines="0" w:after="0" w:afterLines="0" w:line="240" w:lineRule="auto"/>
            <w:ind w:left="0" w:leftChars="0" w:right="0" w:rightChars="0" w:firstLine="0" w:firstLineChars="0"/>
            <w:jc w:val="center"/>
            <w:rPr>
              <w:b/>
            </w:rPr>
          </w:pPr>
          <w:r>
            <w:rPr>
              <w:b/>
              <w:lang w:val="zh-CN"/>
            </w:rPr>
            <w:t>目录</w:t>
          </w:r>
        </w:p>
        <w:p w14:paraId="5A37A258">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_Toc4445 </w:instrText>
          </w:r>
          <w:r>
            <w:fldChar w:fldCharType="separate"/>
          </w:r>
          <w:r>
            <w:rPr>
              <w:rFonts w:hint="eastAsia"/>
            </w:rPr>
            <w:t xml:space="preserve">§1 </w:t>
          </w:r>
          <w:r>
            <w:t>重要提示及目录</w:t>
          </w:r>
          <w:r>
            <w:tab/>
          </w:r>
          <w:r>
            <w:fldChar w:fldCharType="begin"/>
          </w:r>
          <w:r>
            <w:instrText xml:space="preserve"> PAGEREF _Toc4445 \h </w:instrText>
          </w:r>
          <w:r>
            <w:fldChar w:fldCharType="separate"/>
          </w:r>
          <w:r>
            <w:t>1</w:t>
          </w:r>
          <w:r>
            <w:fldChar w:fldCharType="end"/>
          </w:r>
          <w:r>
            <w:fldChar w:fldCharType="end"/>
          </w:r>
        </w:p>
        <w:p w14:paraId="2DBDA55F">
          <w:pPr>
            <w:pStyle w:val="10"/>
            <w:tabs>
              <w:tab w:val="right" w:leader="dot" w:pos="8306"/>
            </w:tabs>
          </w:pPr>
          <w:r>
            <w:fldChar w:fldCharType="begin"/>
          </w:r>
          <w:r>
            <w:instrText xml:space="preserve"> HYPERLINK \l _Toc7997 </w:instrText>
          </w:r>
          <w:r>
            <w:fldChar w:fldCharType="separate"/>
          </w:r>
          <w:r>
            <w:rPr>
              <w:rFonts w:hint="eastAsia"/>
            </w:rPr>
            <w:t xml:space="preserve">1.1 </w:t>
          </w:r>
          <w:r>
            <w:t>重要提示</w:t>
          </w:r>
          <w:r>
            <w:tab/>
          </w:r>
          <w:r>
            <w:fldChar w:fldCharType="begin"/>
          </w:r>
          <w:r>
            <w:instrText xml:space="preserve"> PAGEREF _Toc7997 \h </w:instrText>
          </w:r>
          <w:r>
            <w:fldChar w:fldCharType="separate"/>
          </w:r>
          <w:r>
            <w:t>1</w:t>
          </w:r>
          <w:r>
            <w:fldChar w:fldCharType="end"/>
          </w:r>
          <w:r>
            <w:fldChar w:fldCharType="end"/>
          </w:r>
        </w:p>
        <w:p w14:paraId="0774F0B7">
          <w:pPr>
            <w:pStyle w:val="10"/>
            <w:tabs>
              <w:tab w:val="right" w:leader="dot" w:pos="8306"/>
            </w:tabs>
          </w:pPr>
          <w:r>
            <w:fldChar w:fldCharType="begin"/>
          </w:r>
          <w:r>
            <w:instrText xml:space="preserve"> HYPERLINK \l _Toc20581 </w:instrText>
          </w:r>
          <w:r>
            <w:fldChar w:fldCharType="separate"/>
          </w:r>
          <w:r>
            <w:rPr>
              <w:rFonts w:hint="eastAsia"/>
            </w:rPr>
            <w:t xml:space="preserve">1.2 </w:t>
          </w:r>
          <w:r>
            <w:t>目录</w:t>
          </w:r>
          <w:r>
            <w:tab/>
          </w:r>
          <w:r>
            <w:fldChar w:fldCharType="begin"/>
          </w:r>
          <w:r>
            <w:instrText xml:space="preserve"> PAGEREF _Toc20581 \h </w:instrText>
          </w:r>
          <w:r>
            <w:fldChar w:fldCharType="separate"/>
          </w:r>
          <w:r>
            <w:t>2</w:t>
          </w:r>
          <w:r>
            <w:fldChar w:fldCharType="end"/>
          </w:r>
          <w:r>
            <w:fldChar w:fldCharType="end"/>
          </w:r>
        </w:p>
        <w:p w14:paraId="5A4CB05C">
          <w:pPr>
            <w:pStyle w:val="8"/>
            <w:tabs>
              <w:tab w:val="right" w:leader="dot" w:pos="8306"/>
            </w:tabs>
          </w:pPr>
          <w:r>
            <w:fldChar w:fldCharType="begin"/>
          </w:r>
          <w:r>
            <w:instrText xml:space="preserve"> HYPERLINK \l _Toc12931 </w:instrText>
          </w:r>
          <w:r>
            <w:fldChar w:fldCharType="separate"/>
          </w:r>
          <w:r>
            <w:rPr>
              <w:rFonts w:hint="eastAsia"/>
            </w:rPr>
            <w:t xml:space="preserve">§2 </w:t>
          </w:r>
          <w:r>
            <w:t>基金简介</w:t>
          </w:r>
          <w:r>
            <w:tab/>
          </w:r>
          <w:r>
            <w:fldChar w:fldCharType="begin"/>
          </w:r>
          <w:r>
            <w:instrText xml:space="preserve"> PAGEREF _Toc12931 \h </w:instrText>
          </w:r>
          <w:r>
            <w:fldChar w:fldCharType="separate"/>
          </w:r>
          <w:r>
            <w:t>4</w:t>
          </w:r>
          <w:r>
            <w:fldChar w:fldCharType="end"/>
          </w:r>
          <w:r>
            <w:fldChar w:fldCharType="end"/>
          </w:r>
        </w:p>
        <w:p w14:paraId="53177475">
          <w:pPr>
            <w:pStyle w:val="10"/>
            <w:tabs>
              <w:tab w:val="right" w:leader="dot" w:pos="8306"/>
            </w:tabs>
          </w:pPr>
          <w:r>
            <w:fldChar w:fldCharType="begin"/>
          </w:r>
          <w:r>
            <w:instrText xml:space="preserve"> HYPERLINK \l _Toc22936 </w:instrText>
          </w:r>
          <w:r>
            <w:fldChar w:fldCharType="separate"/>
          </w:r>
          <w:r>
            <w:rPr>
              <w:rFonts w:hint="eastAsia"/>
            </w:rPr>
            <w:t xml:space="preserve">2.1 </w:t>
          </w:r>
          <w:r>
            <w:t>基金基本情况</w:t>
          </w:r>
          <w:r>
            <w:tab/>
          </w:r>
          <w:r>
            <w:fldChar w:fldCharType="begin"/>
          </w:r>
          <w:r>
            <w:instrText xml:space="preserve"> PAGEREF _Toc22936 \h </w:instrText>
          </w:r>
          <w:r>
            <w:fldChar w:fldCharType="separate"/>
          </w:r>
          <w:r>
            <w:t>4</w:t>
          </w:r>
          <w:r>
            <w:fldChar w:fldCharType="end"/>
          </w:r>
          <w:r>
            <w:fldChar w:fldCharType="end"/>
          </w:r>
        </w:p>
        <w:p w14:paraId="5CCC186F">
          <w:pPr>
            <w:pStyle w:val="10"/>
            <w:tabs>
              <w:tab w:val="right" w:leader="dot" w:pos="8306"/>
            </w:tabs>
          </w:pPr>
          <w:r>
            <w:fldChar w:fldCharType="begin"/>
          </w:r>
          <w:r>
            <w:instrText xml:space="preserve"> HYPERLINK \l _Toc12670 </w:instrText>
          </w:r>
          <w:r>
            <w:fldChar w:fldCharType="separate"/>
          </w:r>
          <w:r>
            <w:rPr>
              <w:rFonts w:hint="eastAsia"/>
            </w:rPr>
            <w:t xml:space="preserve">2.2 </w:t>
          </w:r>
          <w:r>
            <w:t>基金产品说明</w:t>
          </w:r>
          <w:r>
            <w:tab/>
          </w:r>
          <w:r>
            <w:fldChar w:fldCharType="begin"/>
          </w:r>
          <w:r>
            <w:instrText xml:space="preserve"> PAGEREF _Toc12670 \h </w:instrText>
          </w:r>
          <w:r>
            <w:fldChar w:fldCharType="separate"/>
          </w:r>
          <w:r>
            <w:t>4</w:t>
          </w:r>
          <w:r>
            <w:fldChar w:fldCharType="end"/>
          </w:r>
          <w:r>
            <w:fldChar w:fldCharType="end"/>
          </w:r>
        </w:p>
        <w:p w14:paraId="13133AA6">
          <w:pPr>
            <w:pStyle w:val="10"/>
            <w:tabs>
              <w:tab w:val="right" w:leader="dot" w:pos="8306"/>
            </w:tabs>
          </w:pPr>
          <w:r>
            <w:fldChar w:fldCharType="begin"/>
          </w:r>
          <w:r>
            <w:instrText xml:space="preserve"> HYPERLINK \l _Toc25103 </w:instrText>
          </w:r>
          <w:r>
            <w:fldChar w:fldCharType="separate"/>
          </w:r>
          <w:r>
            <w:rPr>
              <w:rFonts w:hint="eastAsia"/>
            </w:rPr>
            <w:t xml:space="preserve">2.3 </w:t>
          </w:r>
          <w:r>
            <w:t>基金管理人和基金托管人</w:t>
          </w:r>
          <w:r>
            <w:tab/>
          </w:r>
          <w:r>
            <w:fldChar w:fldCharType="begin"/>
          </w:r>
          <w:r>
            <w:instrText xml:space="preserve"> PAGEREF _Toc25103 \h </w:instrText>
          </w:r>
          <w:r>
            <w:fldChar w:fldCharType="separate"/>
          </w:r>
          <w:r>
            <w:t>4</w:t>
          </w:r>
          <w:r>
            <w:fldChar w:fldCharType="end"/>
          </w:r>
          <w:r>
            <w:fldChar w:fldCharType="end"/>
          </w:r>
        </w:p>
        <w:p w14:paraId="37B41A3D">
          <w:pPr>
            <w:pStyle w:val="10"/>
            <w:tabs>
              <w:tab w:val="right" w:leader="dot" w:pos="8306"/>
            </w:tabs>
          </w:pPr>
          <w:r>
            <w:fldChar w:fldCharType="begin"/>
          </w:r>
          <w:r>
            <w:instrText xml:space="preserve"> HYPERLINK \l _Toc2176 </w:instrText>
          </w:r>
          <w:r>
            <w:fldChar w:fldCharType="separate"/>
          </w:r>
          <w:r>
            <w:rPr>
              <w:rFonts w:hint="eastAsia"/>
            </w:rPr>
            <w:t xml:space="preserve">2.4 </w:t>
          </w:r>
          <w:r>
            <w:t>信息披露方式</w:t>
          </w:r>
          <w:r>
            <w:tab/>
          </w:r>
          <w:r>
            <w:fldChar w:fldCharType="begin"/>
          </w:r>
          <w:r>
            <w:instrText xml:space="preserve"> PAGEREF _Toc2176 \h </w:instrText>
          </w:r>
          <w:r>
            <w:fldChar w:fldCharType="separate"/>
          </w:r>
          <w:r>
            <w:t>5</w:t>
          </w:r>
          <w:r>
            <w:fldChar w:fldCharType="end"/>
          </w:r>
          <w:r>
            <w:fldChar w:fldCharType="end"/>
          </w:r>
        </w:p>
        <w:p w14:paraId="152A5618">
          <w:pPr>
            <w:pStyle w:val="10"/>
            <w:tabs>
              <w:tab w:val="right" w:leader="dot" w:pos="8306"/>
            </w:tabs>
          </w:pPr>
          <w:r>
            <w:fldChar w:fldCharType="begin"/>
          </w:r>
          <w:r>
            <w:instrText xml:space="preserve"> HYPERLINK \l _Toc2543 </w:instrText>
          </w:r>
          <w:r>
            <w:fldChar w:fldCharType="separate"/>
          </w:r>
          <w:r>
            <w:rPr>
              <w:rFonts w:hint="eastAsia"/>
            </w:rPr>
            <w:t xml:space="preserve">2.5 </w:t>
          </w:r>
          <w:r>
            <w:t>其他相关资料</w:t>
          </w:r>
          <w:r>
            <w:tab/>
          </w:r>
          <w:r>
            <w:fldChar w:fldCharType="begin"/>
          </w:r>
          <w:r>
            <w:instrText xml:space="preserve"> PAGEREF _Toc2543 \h </w:instrText>
          </w:r>
          <w:r>
            <w:fldChar w:fldCharType="separate"/>
          </w:r>
          <w:r>
            <w:t>5</w:t>
          </w:r>
          <w:r>
            <w:fldChar w:fldCharType="end"/>
          </w:r>
          <w:r>
            <w:fldChar w:fldCharType="end"/>
          </w:r>
        </w:p>
        <w:p w14:paraId="5037023B">
          <w:pPr>
            <w:pStyle w:val="8"/>
            <w:tabs>
              <w:tab w:val="right" w:leader="dot" w:pos="8306"/>
            </w:tabs>
          </w:pPr>
          <w:r>
            <w:fldChar w:fldCharType="begin"/>
          </w:r>
          <w:r>
            <w:instrText xml:space="preserve"> HYPERLINK \l _Toc4051 </w:instrText>
          </w:r>
          <w:r>
            <w:fldChar w:fldCharType="separate"/>
          </w:r>
          <w:r>
            <w:rPr>
              <w:rFonts w:hint="eastAsia"/>
            </w:rPr>
            <w:t xml:space="preserve">§3 </w:t>
          </w:r>
          <w:r>
            <w:t>主要财务指标、基金净值表现及利润分配情况</w:t>
          </w:r>
          <w:r>
            <w:tab/>
          </w:r>
          <w:r>
            <w:fldChar w:fldCharType="begin"/>
          </w:r>
          <w:r>
            <w:instrText xml:space="preserve"> PAGEREF _Toc4051 \h </w:instrText>
          </w:r>
          <w:r>
            <w:fldChar w:fldCharType="separate"/>
          </w:r>
          <w:r>
            <w:t>6</w:t>
          </w:r>
          <w:r>
            <w:fldChar w:fldCharType="end"/>
          </w:r>
          <w:r>
            <w:fldChar w:fldCharType="end"/>
          </w:r>
        </w:p>
        <w:p w14:paraId="232DDCE6">
          <w:pPr>
            <w:pStyle w:val="10"/>
            <w:tabs>
              <w:tab w:val="right" w:leader="dot" w:pos="8306"/>
            </w:tabs>
          </w:pPr>
          <w:r>
            <w:fldChar w:fldCharType="begin"/>
          </w:r>
          <w:r>
            <w:instrText xml:space="preserve"> HYPERLINK \l _Toc26176 </w:instrText>
          </w:r>
          <w:r>
            <w:fldChar w:fldCharType="separate"/>
          </w:r>
          <w:r>
            <w:rPr>
              <w:rFonts w:hint="eastAsia"/>
            </w:rPr>
            <w:t xml:space="preserve">3.1 </w:t>
          </w:r>
          <w:r>
            <w:t>主要会计数据和财务指标</w:t>
          </w:r>
          <w:r>
            <w:tab/>
          </w:r>
          <w:r>
            <w:fldChar w:fldCharType="begin"/>
          </w:r>
          <w:r>
            <w:instrText xml:space="preserve"> PAGEREF _Toc26176 \h </w:instrText>
          </w:r>
          <w:r>
            <w:fldChar w:fldCharType="separate"/>
          </w:r>
          <w:r>
            <w:t>6</w:t>
          </w:r>
          <w:r>
            <w:fldChar w:fldCharType="end"/>
          </w:r>
          <w:r>
            <w:fldChar w:fldCharType="end"/>
          </w:r>
        </w:p>
        <w:p w14:paraId="182ED496">
          <w:pPr>
            <w:pStyle w:val="10"/>
            <w:tabs>
              <w:tab w:val="right" w:leader="dot" w:pos="8306"/>
            </w:tabs>
          </w:pPr>
          <w:r>
            <w:fldChar w:fldCharType="begin"/>
          </w:r>
          <w:r>
            <w:instrText xml:space="preserve"> HYPERLINK \l _Toc22170 </w:instrText>
          </w:r>
          <w:r>
            <w:fldChar w:fldCharType="separate"/>
          </w:r>
          <w:r>
            <w:rPr>
              <w:rFonts w:hint="eastAsia"/>
            </w:rPr>
            <w:t xml:space="preserve">3.2 </w:t>
          </w:r>
          <w:r>
            <w:t>基金净值表现</w:t>
          </w:r>
          <w:r>
            <w:tab/>
          </w:r>
          <w:r>
            <w:fldChar w:fldCharType="begin"/>
          </w:r>
          <w:r>
            <w:instrText xml:space="preserve"> PAGEREF _Toc22170 \h </w:instrText>
          </w:r>
          <w:r>
            <w:fldChar w:fldCharType="separate"/>
          </w:r>
          <w:r>
            <w:t>6</w:t>
          </w:r>
          <w:r>
            <w:fldChar w:fldCharType="end"/>
          </w:r>
          <w:r>
            <w:fldChar w:fldCharType="end"/>
          </w:r>
        </w:p>
        <w:p w14:paraId="147113AF">
          <w:pPr>
            <w:pStyle w:val="10"/>
            <w:tabs>
              <w:tab w:val="right" w:leader="dot" w:pos="8306"/>
            </w:tabs>
          </w:pPr>
          <w:r>
            <w:fldChar w:fldCharType="begin"/>
          </w:r>
          <w:r>
            <w:instrText xml:space="preserve"> HYPERLINK \l _Toc26328 </w:instrText>
          </w:r>
          <w:r>
            <w:fldChar w:fldCharType="separate"/>
          </w:r>
          <w:r>
            <w:rPr>
              <w:rFonts w:hint="eastAsia"/>
            </w:rPr>
            <w:t xml:space="preserve">3.3 </w:t>
          </w:r>
          <w:r>
            <w:t>过去三年基金的利润分配情况</w:t>
          </w:r>
          <w:r>
            <w:tab/>
          </w:r>
          <w:r>
            <w:fldChar w:fldCharType="begin"/>
          </w:r>
          <w:r>
            <w:instrText xml:space="preserve"> PAGEREF _Toc26328 \h </w:instrText>
          </w:r>
          <w:r>
            <w:fldChar w:fldCharType="separate"/>
          </w:r>
          <w:r>
            <w:t>8</w:t>
          </w:r>
          <w:r>
            <w:fldChar w:fldCharType="end"/>
          </w:r>
          <w:r>
            <w:fldChar w:fldCharType="end"/>
          </w:r>
        </w:p>
        <w:p w14:paraId="20D6603A">
          <w:pPr>
            <w:pStyle w:val="8"/>
            <w:tabs>
              <w:tab w:val="right" w:leader="dot" w:pos="8306"/>
            </w:tabs>
          </w:pPr>
          <w:r>
            <w:fldChar w:fldCharType="begin"/>
          </w:r>
          <w:r>
            <w:instrText xml:space="preserve"> HYPERLINK \l _Toc7596 </w:instrText>
          </w:r>
          <w:r>
            <w:fldChar w:fldCharType="separate"/>
          </w:r>
          <w:r>
            <w:rPr>
              <w:rFonts w:hint="eastAsia"/>
            </w:rPr>
            <w:t xml:space="preserve">§4 </w:t>
          </w:r>
          <w:r>
            <w:t>管理人报告</w:t>
          </w:r>
          <w:r>
            <w:tab/>
          </w:r>
          <w:r>
            <w:fldChar w:fldCharType="begin"/>
          </w:r>
          <w:r>
            <w:instrText xml:space="preserve"> PAGEREF _Toc7596 \h </w:instrText>
          </w:r>
          <w:r>
            <w:fldChar w:fldCharType="separate"/>
          </w:r>
          <w:r>
            <w:t>8</w:t>
          </w:r>
          <w:r>
            <w:fldChar w:fldCharType="end"/>
          </w:r>
          <w:r>
            <w:fldChar w:fldCharType="end"/>
          </w:r>
        </w:p>
        <w:p w14:paraId="68B3C677">
          <w:pPr>
            <w:pStyle w:val="10"/>
            <w:tabs>
              <w:tab w:val="right" w:leader="dot" w:pos="8306"/>
            </w:tabs>
          </w:pPr>
          <w:r>
            <w:fldChar w:fldCharType="begin"/>
          </w:r>
          <w:r>
            <w:instrText xml:space="preserve"> HYPERLINK \l _Toc24637 </w:instrText>
          </w:r>
          <w:r>
            <w:fldChar w:fldCharType="separate"/>
          </w:r>
          <w:r>
            <w:rPr>
              <w:rFonts w:hint="eastAsia"/>
            </w:rPr>
            <w:t xml:space="preserve">4.1 </w:t>
          </w:r>
          <w:r>
            <w:t>基金管理人及基金经理情况</w:t>
          </w:r>
          <w:r>
            <w:tab/>
          </w:r>
          <w:r>
            <w:fldChar w:fldCharType="begin"/>
          </w:r>
          <w:r>
            <w:instrText xml:space="preserve"> PAGEREF _Toc24637 \h </w:instrText>
          </w:r>
          <w:r>
            <w:fldChar w:fldCharType="separate"/>
          </w:r>
          <w:r>
            <w:t>8</w:t>
          </w:r>
          <w:r>
            <w:fldChar w:fldCharType="end"/>
          </w:r>
          <w:r>
            <w:fldChar w:fldCharType="end"/>
          </w:r>
        </w:p>
        <w:p w14:paraId="73D03056">
          <w:pPr>
            <w:pStyle w:val="10"/>
            <w:tabs>
              <w:tab w:val="right" w:leader="dot" w:pos="8306"/>
            </w:tabs>
          </w:pPr>
          <w:r>
            <w:fldChar w:fldCharType="begin"/>
          </w:r>
          <w:r>
            <w:instrText xml:space="preserve"> HYPERLINK \l _Toc19027 </w:instrText>
          </w:r>
          <w:r>
            <w:fldChar w:fldCharType="separate"/>
          </w:r>
          <w:r>
            <w:rPr>
              <w:rFonts w:hint="eastAsia"/>
            </w:rPr>
            <w:t xml:space="preserve">4.2 </w:t>
          </w:r>
          <w:r>
            <w:t>管理人对报告期内本基金运作遵规守信情况的说明</w:t>
          </w:r>
          <w:r>
            <w:tab/>
          </w:r>
          <w:r>
            <w:fldChar w:fldCharType="begin"/>
          </w:r>
          <w:r>
            <w:instrText xml:space="preserve"> PAGEREF _Toc19027 \h </w:instrText>
          </w:r>
          <w:r>
            <w:fldChar w:fldCharType="separate"/>
          </w:r>
          <w:r>
            <w:t>10</w:t>
          </w:r>
          <w:r>
            <w:fldChar w:fldCharType="end"/>
          </w:r>
          <w:r>
            <w:fldChar w:fldCharType="end"/>
          </w:r>
        </w:p>
        <w:p w14:paraId="3EC4FE96">
          <w:pPr>
            <w:pStyle w:val="10"/>
            <w:tabs>
              <w:tab w:val="right" w:leader="dot" w:pos="8306"/>
            </w:tabs>
          </w:pPr>
          <w:r>
            <w:fldChar w:fldCharType="begin"/>
          </w:r>
          <w:r>
            <w:instrText xml:space="preserve"> HYPERLINK \l _Toc485 </w:instrText>
          </w:r>
          <w:r>
            <w:fldChar w:fldCharType="separate"/>
          </w:r>
          <w:r>
            <w:rPr>
              <w:rFonts w:hint="eastAsia"/>
            </w:rPr>
            <w:t xml:space="preserve">4.3 </w:t>
          </w:r>
          <w:r>
            <w:t>管理人对报告期内公平交易情况的专项说明</w:t>
          </w:r>
          <w:r>
            <w:tab/>
          </w:r>
          <w:r>
            <w:fldChar w:fldCharType="begin"/>
          </w:r>
          <w:r>
            <w:instrText xml:space="preserve"> PAGEREF _Toc485 \h </w:instrText>
          </w:r>
          <w:r>
            <w:fldChar w:fldCharType="separate"/>
          </w:r>
          <w:r>
            <w:t>10</w:t>
          </w:r>
          <w:r>
            <w:fldChar w:fldCharType="end"/>
          </w:r>
          <w:r>
            <w:fldChar w:fldCharType="end"/>
          </w:r>
        </w:p>
        <w:p w14:paraId="455DC974">
          <w:pPr>
            <w:pStyle w:val="10"/>
            <w:tabs>
              <w:tab w:val="right" w:leader="dot" w:pos="8306"/>
            </w:tabs>
          </w:pPr>
          <w:r>
            <w:fldChar w:fldCharType="begin"/>
          </w:r>
          <w:r>
            <w:instrText xml:space="preserve"> HYPERLINK \l _Toc6177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_Toc6177 \h </w:instrText>
          </w:r>
          <w:r>
            <w:fldChar w:fldCharType="separate"/>
          </w:r>
          <w:r>
            <w:t>11</w:t>
          </w:r>
          <w:r>
            <w:fldChar w:fldCharType="end"/>
          </w:r>
          <w:r>
            <w:fldChar w:fldCharType="end"/>
          </w:r>
        </w:p>
        <w:p w14:paraId="66D1F3EC">
          <w:pPr>
            <w:pStyle w:val="10"/>
            <w:tabs>
              <w:tab w:val="right" w:leader="dot" w:pos="8306"/>
            </w:tabs>
          </w:pPr>
          <w:r>
            <w:fldChar w:fldCharType="begin"/>
          </w:r>
          <w:r>
            <w:instrText xml:space="preserve"> HYPERLINK \l _Toc841 </w:instrText>
          </w:r>
          <w:r>
            <w:fldChar w:fldCharType="separate"/>
          </w:r>
          <w:r>
            <w:rPr>
              <w:rFonts w:hint="eastAsia"/>
            </w:rPr>
            <w:t xml:space="preserve">4.5 </w:t>
          </w:r>
          <w:r>
            <w:t>管理人对宏观经济、证券市场及行业走势的简要展望</w:t>
          </w:r>
          <w:r>
            <w:tab/>
          </w:r>
          <w:r>
            <w:fldChar w:fldCharType="begin"/>
          </w:r>
          <w:r>
            <w:instrText xml:space="preserve"> PAGEREF _Toc841 \h </w:instrText>
          </w:r>
          <w:r>
            <w:fldChar w:fldCharType="separate"/>
          </w:r>
          <w:r>
            <w:t>11</w:t>
          </w:r>
          <w:r>
            <w:fldChar w:fldCharType="end"/>
          </w:r>
          <w:r>
            <w:fldChar w:fldCharType="end"/>
          </w:r>
        </w:p>
        <w:p w14:paraId="5ACE90AF">
          <w:pPr>
            <w:pStyle w:val="10"/>
            <w:tabs>
              <w:tab w:val="right" w:leader="dot" w:pos="8306"/>
            </w:tabs>
          </w:pPr>
          <w:r>
            <w:fldChar w:fldCharType="begin"/>
          </w:r>
          <w:r>
            <w:instrText xml:space="preserve"> HYPERLINK \l _Toc18990 </w:instrText>
          </w:r>
          <w:r>
            <w:fldChar w:fldCharType="separate"/>
          </w:r>
          <w:r>
            <w:rPr>
              <w:rFonts w:hint="eastAsia"/>
            </w:rPr>
            <w:t xml:space="preserve">4.6 </w:t>
          </w:r>
          <w:r>
            <w:t>管理人内部有关本基金的监察稽核工作情况</w:t>
          </w:r>
          <w:r>
            <w:tab/>
          </w:r>
          <w:r>
            <w:fldChar w:fldCharType="begin"/>
          </w:r>
          <w:r>
            <w:instrText xml:space="preserve"> PAGEREF _Toc18990 \h </w:instrText>
          </w:r>
          <w:r>
            <w:fldChar w:fldCharType="separate"/>
          </w:r>
          <w:r>
            <w:t>11</w:t>
          </w:r>
          <w:r>
            <w:fldChar w:fldCharType="end"/>
          </w:r>
          <w:r>
            <w:fldChar w:fldCharType="end"/>
          </w:r>
        </w:p>
        <w:p w14:paraId="1C4A7087">
          <w:pPr>
            <w:pStyle w:val="10"/>
            <w:tabs>
              <w:tab w:val="right" w:leader="dot" w:pos="8306"/>
            </w:tabs>
          </w:pPr>
          <w:r>
            <w:fldChar w:fldCharType="begin"/>
          </w:r>
          <w:r>
            <w:instrText xml:space="preserve"> HYPERLINK \l _Toc26264 </w:instrText>
          </w:r>
          <w:r>
            <w:fldChar w:fldCharType="separate"/>
          </w:r>
          <w:r>
            <w:rPr>
              <w:rFonts w:hint="eastAsia"/>
            </w:rPr>
            <w:t xml:space="preserve">4.7 </w:t>
          </w:r>
          <w:r>
            <w:t>管理人对报告期内基金估值程序等事项的说明</w:t>
          </w:r>
          <w:r>
            <w:tab/>
          </w:r>
          <w:r>
            <w:fldChar w:fldCharType="begin"/>
          </w:r>
          <w:r>
            <w:instrText xml:space="preserve"> PAGEREF _Toc26264 \h </w:instrText>
          </w:r>
          <w:r>
            <w:fldChar w:fldCharType="separate"/>
          </w:r>
          <w:r>
            <w:t>13</w:t>
          </w:r>
          <w:r>
            <w:fldChar w:fldCharType="end"/>
          </w:r>
          <w:r>
            <w:fldChar w:fldCharType="end"/>
          </w:r>
        </w:p>
        <w:p w14:paraId="73ECC845">
          <w:pPr>
            <w:pStyle w:val="10"/>
            <w:tabs>
              <w:tab w:val="right" w:leader="dot" w:pos="8306"/>
            </w:tabs>
          </w:pPr>
          <w:r>
            <w:fldChar w:fldCharType="begin"/>
          </w:r>
          <w:r>
            <w:instrText xml:space="preserve"> HYPERLINK \l _Toc24443 </w:instrText>
          </w:r>
          <w:r>
            <w:fldChar w:fldCharType="separate"/>
          </w:r>
          <w:r>
            <w:rPr>
              <w:rFonts w:hint="eastAsia"/>
            </w:rPr>
            <w:t xml:space="preserve">4.8 </w:t>
          </w:r>
          <w:r>
            <w:t>管理人对报告期内基金利润分配情况的说明</w:t>
          </w:r>
          <w:r>
            <w:tab/>
          </w:r>
          <w:r>
            <w:fldChar w:fldCharType="begin"/>
          </w:r>
          <w:r>
            <w:instrText xml:space="preserve"> PAGEREF _Toc24443 \h </w:instrText>
          </w:r>
          <w:r>
            <w:fldChar w:fldCharType="separate"/>
          </w:r>
          <w:r>
            <w:t>13</w:t>
          </w:r>
          <w:r>
            <w:fldChar w:fldCharType="end"/>
          </w:r>
          <w:r>
            <w:fldChar w:fldCharType="end"/>
          </w:r>
        </w:p>
        <w:p w14:paraId="119A2C15">
          <w:pPr>
            <w:pStyle w:val="10"/>
            <w:tabs>
              <w:tab w:val="right" w:leader="dot" w:pos="8306"/>
            </w:tabs>
          </w:pPr>
          <w:r>
            <w:fldChar w:fldCharType="begin"/>
          </w:r>
          <w:r>
            <w:instrText xml:space="preserve"> HYPERLINK \l _Toc26138 </w:instrText>
          </w:r>
          <w:r>
            <w:fldChar w:fldCharType="separate"/>
          </w:r>
          <w:r>
            <w:rPr>
              <w:rFonts w:hint="eastAsia"/>
            </w:rPr>
            <w:t xml:space="preserve">4.9 </w:t>
          </w:r>
          <w:r>
            <w:t>报告期内基金持有人数或基金资产净值预警说明</w:t>
          </w:r>
          <w:r>
            <w:tab/>
          </w:r>
          <w:r>
            <w:fldChar w:fldCharType="begin"/>
          </w:r>
          <w:r>
            <w:instrText xml:space="preserve"> PAGEREF _Toc26138 \h </w:instrText>
          </w:r>
          <w:r>
            <w:fldChar w:fldCharType="separate"/>
          </w:r>
          <w:r>
            <w:t>13</w:t>
          </w:r>
          <w:r>
            <w:fldChar w:fldCharType="end"/>
          </w:r>
          <w:r>
            <w:fldChar w:fldCharType="end"/>
          </w:r>
        </w:p>
        <w:p w14:paraId="2D1F3947">
          <w:pPr>
            <w:pStyle w:val="8"/>
            <w:tabs>
              <w:tab w:val="right" w:leader="dot" w:pos="8306"/>
            </w:tabs>
          </w:pPr>
          <w:r>
            <w:fldChar w:fldCharType="begin"/>
          </w:r>
          <w:r>
            <w:instrText xml:space="preserve"> HYPERLINK \l _Toc11096 </w:instrText>
          </w:r>
          <w:r>
            <w:fldChar w:fldCharType="separate"/>
          </w:r>
          <w:r>
            <w:rPr>
              <w:rFonts w:hint="eastAsia"/>
            </w:rPr>
            <w:t xml:space="preserve">§5 </w:t>
          </w:r>
          <w:r>
            <w:t>托管人报告</w:t>
          </w:r>
          <w:r>
            <w:tab/>
          </w:r>
          <w:r>
            <w:fldChar w:fldCharType="begin"/>
          </w:r>
          <w:r>
            <w:instrText xml:space="preserve"> PAGEREF _Toc11096 \h </w:instrText>
          </w:r>
          <w:r>
            <w:fldChar w:fldCharType="separate"/>
          </w:r>
          <w:r>
            <w:t>13</w:t>
          </w:r>
          <w:r>
            <w:fldChar w:fldCharType="end"/>
          </w:r>
          <w:r>
            <w:fldChar w:fldCharType="end"/>
          </w:r>
        </w:p>
        <w:p w14:paraId="03AA9E30">
          <w:pPr>
            <w:pStyle w:val="10"/>
            <w:tabs>
              <w:tab w:val="right" w:leader="dot" w:pos="8306"/>
            </w:tabs>
          </w:pPr>
          <w:r>
            <w:fldChar w:fldCharType="begin"/>
          </w:r>
          <w:r>
            <w:instrText xml:space="preserve"> HYPERLINK \l _Toc2426 </w:instrText>
          </w:r>
          <w:r>
            <w:fldChar w:fldCharType="separate"/>
          </w:r>
          <w:r>
            <w:rPr>
              <w:rFonts w:hint="eastAsia"/>
            </w:rPr>
            <w:t xml:space="preserve">5.1 </w:t>
          </w:r>
          <w:r>
            <w:t>报告期内本基金托管人遵规守信情况声明</w:t>
          </w:r>
          <w:r>
            <w:tab/>
          </w:r>
          <w:r>
            <w:fldChar w:fldCharType="begin"/>
          </w:r>
          <w:r>
            <w:instrText xml:space="preserve"> PAGEREF _Toc2426 \h </w:instrText>
          </w:r>
          <w:r>
            <w:fldChar w:fldCharType="separate"/>
          </w:r>
          <w:r>
            <w:t>13</w:t>
          </w:r>
          <w:r>
            <w:fldChar w:fldCharType="end"/>
          </w:r>
          <w:r>
            <w:fldChar w:fldCharType="end"/>
          </w:r>
        </w:p>
        <w:p w14:paraId="0197DC66">
          <w:pPr>
            <w:pStyle w:val="10"/>
            <w:tabs>
              <w:tab w:val="right" w:leader="dot" w:pos="8306"/>
            </w:tabs>
          </w:pPr>
          <w:r>
            <w:fldChar w:fldCharType="begin"/>
          </w:r>
          <w:r>
            <w:instrText xml:space="preserve"> HYPERLINK \l _Toc31222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_Toc31222 \h </w:instrText>
          </w:r>
          <w:r>
            <w:fldChar w:fldCharType="separate"/>
          </w:r>
          <w:r>
            <w:t>14</w:t>
          </w:r>
          <w:r>
            <w:fldChar w:fldCharType="end"/>
          </w:r>
          <w:r>
            <w:fldChar w:fldCharType="end"/>
          </w:r>
        </w:p>
        <w:p w14:paraId="2E68C349">
          <w:pPr>
            <w:pStyle w:val="10"/>
            <w:tabs>
              <w:tab w:val="right" w:leader="dot" w:pos="8306"/>
            </w:tabs>
          </w:pPr>
          <w:r>
            <w:fldChar w:fldCharType="begin"/>
          </w:r>
          <w:r>
            <w:instrText xml:space="preserve"> HYPERLINK \l _Toc2702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_Toc2702 \h </w:instrText>
          </w:r>
          <w:r>
            <w:fldChar w:fldCharType="separate"/>
          </w:r>
          <w:r>
            <w:t>14</w:t>
          </w:r>
          <w:r>
            <w:fldChar w:fldCharType="end"/>
          </w:r>
          <w:r>
            <w:fldChar w:fldCharType="end"/>
          </w:r>
        </w:p>
        <w:p w14:paraId="2CBE6806">
          <w:pPr>
            <w:pStyle w:val="8"/>
            <w:tabs>
              <w:tab w:val="right" w:leader="dot" w:pos="8306"/>
            </w:tabs>
          </w:pPr>
          <w:r>
            <w:fldChar w:fldCharType="begin"/>
          </w:r>
          <w:r>
            <w:instrText xml:space="preserve"> HYPERLINK \l _Toc27277 </w:instrText>
          </w:r>
          <w:r>
            <w:fldChar w:fldCharType="separate"/>
          </w:r>
          <w:r>
            <w:rPr>
              <w:rFonts w:hint="eastAsia"/>
            </w:rPr>
            <w:t xml:space="preserve">§6 </w:t>
          </w:r>
          <w:r>
            <w:t>审计报告</w:t>
          </w:r>
          <w:r>
            <w:tab/>
          </w:r>
          <w:r>
            <w:fldChar w:fldCharType="begin"/>
          </w:r>
          <w:r>
            <w:instrText xml:space="preserve"> PAGEREF _Toc27277 \h </w:instrText>
          </w:r>
          <w:r>
            <w:fldChar w:fldCharType="separate"/>
          </w:r>
          <w:r>
            <w:t>14</w:t>
          </w:r>
          <w:r>
            <w:fldChar w:fldCharType="end"/>
          </w:r>
          <w:r>
            <w:fldChar w:fldCharType="end"/>
          </w:r>
        </w:p>
        <w:p w14:paraId="4E6E2F76">
          <w:pPr>
            <w:pStyle w:val="10"/>
            <w:tabs>
              <w:tab w:val="right" w:leader="dot" w:pos="8306"/>
            </w:tabs>
          </w:pPr>
          <w:r>
            <w:fldChar w:fldCharType="begin"/>
          </w:r>
          <w:r>
            <w:instrText xml:space="preserve"> HYPERLINK \l _Toc11623 </w:instrText>
          </w:r>
          <w:r>
            <w:fldChar w:fldCharType="separate"/>
          </w:r>
          <w:r>
            <w:rPr>
              <w:rFonts w:hint="eastAsia"/>
            </w:rPr>
            <w:t xml:space="preserve">6.1 </w:t>
          </w:r>
          <w:r>
            <w:t>审计报告基本信息</w:t>
          </w:r>
          <w:r>
            <w:tab/>
          </w:r>
          <w:r>
            <w:fldChar w:fldCharType="begin"/>
          </w:r>
          <w:r>
            <w:instrText xml:space="preserve"> PAGEREF _Toc11623 \h </w:instrText>
          </w:r>
          <w:r>
            <w:fldChar w:fldCharType="separate"/>
          </w:r>
          <w:r>
            <w:t>14</w:t>
          </w:r>
          <w:r>
            <w:fldChar w:fldCharType="end"/>
          </w:r>
          <w:r>
            <w:fldChar w:fldCharType="end"/>
          </w:r>
        </w:p>
        <w:p w14:paraId="0453C651">
          <w:pPr>
            <w:pStyle w:val="10"/>
            <w:tabs>
              <w:tab w:val="right" w:leader="dot" w:pos="8306"/>
            </w:tabs>
          </w:pPr>
          <w:r>
            <w:fldChar w:fldCharType="begin"/>
          </w:r>
          <w:r>
            <w:instrText xml:space="preserve"> HYPERLINK \l _Toc13253 </w:instrText>
          </w:r>
          <w:r>
            <w:fldChar w:fldCharType="separate"/>
          </w:r>
          <w:r>
            <w:rPr>
              <w:rFonts w:hint="eastAsia"/>
            </w:rPr>
            <w:t xml:space="preserve">6.2 </w:t>
          </w:r>
          <w:r>
            <w:t>审计报告的基本内容</w:t>
          </w:r>
          <w:r>
            <w:tab/>
          </w:r>
          <w:r>
            <w:fldChar w:fldCharType="begin"/>
          </w:r>
          <w:r>
            <w:instrText xml:space="preserve"> PAGEREF _Toc13253 \h </w:instrText>
          </w:r>
          <w:r>
            <w:fldChar w:fldCharType="separate"/>
          </w:r>
          <w:r>
            <w:t>14</w:t>
          </w:r>
          <w:r>
            <w:fldChar w:fldCharType="end"/>
          </w:r>
          <w:r>
            <w:fldChar w:fldCharType="end"/>
          </w:r>
        </w:p>
        <w:p w14:paraId="10A1711F">
          <w:pPr>
            <w:pStyle w:val="8"/>
            <w:tabs>
              <w:tab w:val="right" w:leader="dot" w:pos="8306"/>
            </w:tabs>
          </w:pPr>
          <w:r>
            <w:fldChar w:fldCharType="begin"/>
          </w:r>
          <w:r>
            <w:instrText xml:space="preserve"> HYPERLINK \l _Toc3483 </w:instrText>
          </w:r>
          <w:r>
            <w:fldChar w:fldCharType="separate"/>
          </w:r>
          <w:r>
            <w:rPr>
              <w:rFonts w:hint="eastAsia"/>
            </w:rPr>
            <w:t xml:space="preserve">§7 </w:t>
          </w:r>
          <w:r>
            <w:t>年度财务报表</w:t>
          </w:r>
          <w:r>
            <w:tab/>
          </w:r>
          <w:r>
            <w:fldChar w:fldCharType="begin"/>
          </w:r>
          <w:r>
            <w:instrText xml:space="preserve"> PAGEREF _Toc3483 \h </w:instrText>
          </w:r>
          <w:r>
            <w:fldChar w:fldCharType="separate"/>
          </w:r>
          <w:r>
            <w:t>16</w:t>
          </w:r>
          <w:r>
            <w:fldChar w:fldCharType="end"/>
          </w:r>
          <w:r>
            <w:fldChar w:fldCharType="end"/>
          </w:r>
        </w:p>
        <w:p w14:paraId="1105C97C">
          <w:pPr>
            <w:pStyle w:val="10"/>
            <w:tabs>
              <w:tab w:val="right" w:leader="dot" w:pos="8306"/>
            </w:tabs>
          </w:pPr>
          <w:r>
            <w:fldChar w:fldCharType="begin"/>
          </w:r>
          <w:r>
            <w:instrText xml:space="preserve"> HYPERLINK \l _Toc27706 </w:instrText>
          </w:r>
          <w:r>
            <w:fldChar w:fldCharType="separate"/>
          </w:r>
          <w:r>
            <w:rPr>
              <w:rFonts w:hint="eastAsia"/>
            </w:rPr>
            <w:t xml:space="preserve">7.1 </w:t>
          </w:r>
          <w:r>
            <w:t>资产负债表</w:t>
          </w:r>
          <w:r>
            <w:tab/>
          </w:r>
          <w:r>
            <w:fldChar w:fldCharType="begin"/>
          </w:r>
          <w:r>
            <w:instrText xml:space="preserve"> PAGEREF _Toc27706 \h </w:instrText>
          </w:r>
          <w:r>
            <w:fldChar w:fldCharType="separate"/>
          </w:r>
          <w:r>
            <w:t>16</w:t>
          </w:r>
          <w:r>
            <w:fldChar w:fldCharType="end"/>
          </w:r>
          <w:r>
            <w:fldChar w:fldCharType="end"/>
          </w:r>
        </w:p>
        <w:p w14:paraId="2ED3ACF4">
          <w:pPr>
            <w:pStyle w:val="10"/>
            <w:tabs>
              <w:tab w:val="right" w:leader="dot" w:pos="8306"/>
            </w:tabs>
          </w:pPr>
          <w:r>
            <w:fldChar w:fldCharType="begin"/>
          </w:r>
          <w:r>
            <w:instrText xml:space="preserve"> HYPERLINK \l _Toc13100 </w:instrText>
          </w:r>
          <w:r>
            <w:fldChar w:fldCharType="separate"/>
          </w:r>
          <w:r>
            <w:rPr>
              <w:rFonts w:hint="eastAsia"/>
            </w:rPr>
            <w:t xml:space="preserve">7.2 </w:t>
          </w:r>
          <w:r>
            <w:t>利润表</w:t>
          </w:r>
          <w:r>
            <w:tab/>
          </w:r>
          <w:r>
            <w:fldChar w:fldCharType="begin"/>
          </w:r>
          <w:r>
            <w:instrText xml:space="preserve"> PAGEREF _Toc13100 \h </w:instrText>
          </w:r>
          <w:r>
            <w:fldChar w:fldCharType="separate"/>
          </w:r>
          <w:r>
            <w:t>18</w:t>
          </w:r>
          <w:r>
            <w:fldChar w:fldCharType="end"/>
          </w:r>
          <w:r>
            <w:fldChar w:fldCharType="end"/>
          </w:r>
        </w:p>
        <w:p w14:paraId="0208F2D0">
          <w:pPr>
            <w:pStyle w:val="10"/>
            <w:tabs>
              <w:tab w:val="right" w:leader="dot" w:pos="8306"/>
            </w:tabs>
          </w:pPr>
          <w:r>
            <w:fldChar w:fldCharType="begin"/>
          </w:r>
          <w:r>
            <w:instrText xml:space="preserve"> HYPERLINK \l _Toc4996 </w:instrText>
          </w:r>
          <w:r>
            <w:fldChar w:fldCharType="separate"/>
          </w:r>
          <w:r>
            <w:rPr>
              <w:rFonts w:hint="eastAsia"/>
            </w:rPr>
            <w:t xml:space="preserve">7.3 </w:t>
          </w:r>
          <w:r>
            <w:t>净资产变动表</w:t>
          </w:r>
          <w:r>
            <w:tab/>
          </w:r>
          <w:r>
            <w:fldChar w:fldCharType="begin"/>
          </w:r>
          <w:r>
            <w:instrText xml:space="preserve"> PAGEREF _Toc4996 \h </w:instrText>
          </w:r>
          <w:r>
            <w:fldChar w:fldCharType="separate"/>
          </w:r>
          <w:r>
            <w:t>19</w:t>
          </w:r>
          <w:r>
            <w:fldChar w:fldCharType="end"/>
          </w:r>
          <w:r>
            <w:fldChar w:fldCharType="end"/>
          </w:r>
        </w:p>
        <w:p w14:paraId="7FC85E2A">
          <w:pPr>
            <w:pStyle w:val="10"/>
            <w:tabs>
              <w:tab w:val="right" w:leader="dot" w:pos="8306"/>
            </w:tabs>
          </w:pPr>
          <w:r>
            <w:fldChar w:fldCharType="begin"/>
          </w:r>
          <w:r>
            <w:instrText xml:space="preserve"> HYPERLINK \l _Toc2015 </w:instrText>
          </w:r>
          <w:r>
            <w:fldChar w:fldCharType="separate"/>
          </w:r>
          <w:r>
            <w:rPr>
              <w:rFonts w:hint="eastAsia"/>
            </w:rPr>
            <w:t xml:space="preserve">7.4 </w:t>
          </w:r>
          <w:r>
            <w:t>报表附注</w:t>
          </w:r>
          <w:r>
            <w:tab/>
          </w:r>
          <w:r>
            <w:fldChar w:fldCharType="begin"/>
          </w:r>
          <w:r>
            <w:instrText xml:space="preserve"> PAGEREF _Toc2015 \h </w:instrText>
          </w:r>
          <w:r>
            <w:fldChar w:fldCharType="separate"/>
          </w:r>
          <w:r>
            <w:t>21</w:t>
          </w:r>
          <w:r>
            <w:fldChar w:fldCharType="end"/>
          </w:r>
          <w:r>
            <w:fldChar w:fldCharType="end"/>
          </w:r>
        </w:p>
        <w:p w14:paraId="5C6CD17B">
          <w:pPr>
            <w:pStyle w:val="8"/>
            <w:tabs>
              <w:tab w:val="right" w:leader="dot" w:pos="8306"/>
            </w:tabs>
          </w:pPr>
          <w:r>
            <w:fldChar w:fldCharType="begin"/>
          </w:r>
          <w:r>
            <w:instrText xml:space="preserve"> HYPERLINK \l _Toc1876 </w:instrText>
          </w:r>
          <w:r>
            <w:fldChar w:fldCharType="separate"/>
          </w:r>
          <w:r>
            <w:rPr>
              <w:rFonts w:hint="eastAsia"/>
            </w:rPr>
            <w:t xml:space="preserve">§8 </w:t>
          </w:r>
          <w:r>
            <w:t>投资组合报告</w:t>
          </w:r>
          <w:r>
            <w:tab/>
          </w:r>
          <w:r>
            <w:fldChar w:fldCharType="begin"/>
          </w:r>
          <w:r>
            <w:instrText xml:space="preserve"> PAGEREF _Toc1876 \h </w:instrText>
          </w:r>
          <w:r>
            <w:fldChar w:fldCharType="separate"/>
          </w:r>
          <w:r>
            <w:t>46</w:t>
          </w:r>
          <w:r>
            <w:fldChar w:fldCharType="end"/>
          </w:r>
          <w:r>
            <w:fldChar w:fldCharType="end"/>
          </w:r>
        </w:p>
        <w:p w14:paraId="6C535FDA">
          <w:pPr>
            <w:pStyle w:val="10"/>
            <w:tabs>
              <w:tab w:val="right" w:leader="dot" w:pos="8306"/>
            </w:tabs>
          </w:pPr>
          <w:r>
            <w:fldChar w:fldCharType="begin"/>
          </w:r>
          <w:r>
            <w:instrText xml:space="preserve"> HYPERLINK \l _Toc217 </w:instrText>
          </w:r>
          <w:r>
            <w:fldChar w:fldCharType="separate"/>
          </w:r>
          <w:r>
            <w:rPr>
              <w:rFonts w:hint="eastAsia"/>
            </w:rPr>
            <w:t xml:space="preserve">8.1 </w:t>
          </w:r>
          <w:r>
            <w:t>期末基金资产组合情况</w:t>
          </w:r>
          <w:r>
            <w:tab/>
          </w:r>
          <w:r>
            <w:fldChar w:fldCharType="begin"/>
          </w:r>
          <w:r>
            <w:instrText xml:space="preserve"> PAGEREF _Toc217 \h </w:instrText>
          </w:r>
          <w:r>
            <w:fldChar w:fldCharType="separate"/>
          </w:r>
          <w:r>
            <w:t>46</w:t>
          </w:r>
          <w:r>
            <w:fldChar w:fldCharType="end"/>
          </w:r>
          <w:r>
            <w:fldChar w:fldCharType="end"/>
          </w:r>
        </w:p>
        <w:p w14:paraId="2A5C34C3">
          <w:pPr>
            <w:pStyle w:val="10"/>
            <w:tabs>
              <w:tab w:val="right" w:leader="dot" w:pos="8306"/>
            </w:tabs>
          </w:pPr>
          <w:r>
            <w:fldChar w:fldCharType="begin"/>
          </w:r>
          <w:r>
            <w:instrText xml:space="preserve"> HYPERLINK \l _Toc17491 </w:instrText>
          </w:r>
          <w:r>
            <w:fldChar w:fldCharType="separate"/>
          </w:r>
          <w:r>
            <w:rPr>
              <w:rFonts w:hint="eastAsia"/>
            </w:rPr>
            <w:t xml:space="preserve">8.2 </w:t>
          </w:r>
          <w:r>
            <w:t>报告期末按行业分类的股票投资组合</w:t>
          </w:r>
          <w:r>
            <w:tab/>
          </w:r>
          <w:r>
            <w:fldChar w:fldCharType="begin"/>
          </w:r>
          <w:r>
            <w:instrText xml:space="preserve"> PAGEREF _Toc17491 \h </w:instrText>
          </w:r>
          <w:r>
            <w:fldChar w:fldCharType="separate"/>
          </w:r>
          <w:r>
            <w:t>46</w:t>
          </w:r>
          <w:r>
            <w:fldChar w:fldCharType="end"/>
          </w:r>
          <w:r>
            <w:fldChar w:fldCharType="end"/>
          </w:r>
        </w:p>
        <w:p w14:paraId="56FB01FC">
          <w:pPr>
            <w:pStyle w:val="10"/>
            <w:tabs>
              <w:tab w:val="right" w:leader="dot" w:pos="8306"/>
            </w:tabs>
          </w:pPr>
          <w:r>
            <w:fldChar w:fldCharType="begin"/>
          </w:r>
          <w:r>
            <w:instrText xml:space="preserve"> HYPERLINK \l _Toc25272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_Toc25272 \h </w:instrText>
          </w:r>
          <w:r>
            <w:fldChar w:fldCharType="separate"/>
          </w:r>
          <w:r>
            <w:t>47</w:t>
          </w:r>
          <w:r>
            <w:fldChar w:fldCharType="end"/>
          </w:r>
          <w:r>
            <w:fldChar w:fldCharType="end"/>
          </w:r>
        </w:p>
        <w:p w14:paraId="71B0A396">
          <w:pPr>
            <w:pStyle w:val="10"/>
            <w:tabs>
              <w:tab w:val="right" w:leader="dot" w:pos="8306"/>
            </w:tabs>
          </w:pPr>
          <w:r>
            <w:fldChar w:fldCharType="begin"/>
          </w:r>
          <w:r>
            <w:instrText xml:space="preserve"> HYPERLINK \l _Toc8766 </w:instrText>
          </w:r>
          <w:r>
            <w:fldChar w:fldCharType="separate"/>
          </w:r>
          <w:r>
            <w:rPr>
              <w:rFonts w:hint="eastAsia"/>
            </w:rPr>
            <w:t xml:space="preserve">8.4 </w:t>
          </w:r>
          <w:r>
            <w:t>报告期内股票投资组合的重大变动</w:t>
          </w:r>
          <w:r>
            <w:tab/>
          </w:r>
          <w:r>
            <w:fldChar w:fldCharType="begin"/>
          </w:r>
          <w:r>
            <w:instrText xml:space="preserve"> PAGEREF _Toc8766 \h </w:instrText>
          </w:r>
          <w:r>
            <w:fldChar w:fldCharType="separate"/>
          </w:r>
          <w:r>
            <w:t>47</w:t>
          </w:r>
          <w:r>
            <w:fldChar w:fldCharType="end"/>
          </w:r>
          <w:r>
            <w:fldChar w:fldCharType="end"/>
          </w:r>
        </w:p>
        <w:p w14:paraId="7CE37BE7">
          <w:pPr>
            <w:pStyle w:val="10"/>
            <w:tabs>
              <w:tab w:val="right" w:leader="dot" w:pos="8306"/>
            </w:tabs>
          </w:pPr>
          <w:r>
            <w:fldChar w:fldCharType="begin"/>
          </w:r>
          <w:r>
            <w:instrText xml:space="preserve"> HYPERLINK \l _Toc21500 </w:instrText>
          </w:r>
          <w:r>
            <w:fldChar w:fldCharType="separate"/>
          </w:r>
          <w:r>
            <w:rPr>
              <w:rFonts w:hint="eastAsia"/>
            </w:rPr>
            <w:t xml:space="preserve">8.5 </w:t>
          </w:r>
          <w:r>
            <w:t>期末按债券品种分类的债券投资组合</w:t>
          </w:r>
          <w:r>
            <w:tab/>
          </w:r>
          <w:r>
            <w:fldChar w:fldCharType="begin"/>
          </w:r>
          <w:r>
            <w:instrText xml:space="preserve"> PAGEREF _Toc21500 \h </w:instrText>
          </w:r>
          <w:r>
            <w:fldChar w:fldCharType="separate"/>
          </w:r>
          <w:r>
            <w:t>47</w:t>
          </w:r>
          <w:r>
            <w:fldChar w:fldCharType="end"/>
          </w:r>
          <w:r>
            <w:fldChar w:fldCharType="end"/>
          </w:r>
        </w:p>
        <w:p w14:paraId="3FC26AEF">
          <w:pPr>
            <w:pStyle w:val="10"/>
            <w:tabs>
              <w:tab w:val="right" w:leader="dot" w:pos="8306"/>
            </w:tabs>
          </w:pPr>
          <w:r>
            <w:fldChar w:fldCharType="begin"/>
          </w:r>
          <w:r>
            <w:instrText xml:space="preserve"> HYPERLINK \l _Toc27779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_Toc27779 \h </w:instrText>
          </w:r>
          <w:r>
            <w:fldChar w:fldCharType="separate"/>
          </w:r>
          <w:r>
            <w:t>47</w:t>
          </w:r>
          <w:r>
            <w:fldChar w:fldCharType="end"/>
          </w:r>
          <w:r>
            <w:fldChar w:fldCharType="end"/>
          </w:r>
        </w:p>
        <w:p w14:paraId="785CC4A4">
          <w:pPr>
            <w:pStyle w:val="10"/>
            <w:tabs>
              <w:tab w:val="right" w:leader="dot" w:pos="8306"/>
            </w:tabs>
          </w:pPr>
          <w:r>
            <w:fldChar w:fldCharType="begin"/>
          </w:r>
          <w:r>
            <w:instrText xml:space="preserve"> HYPERLINK \l _Toc23964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_Toc23964 \h </w:instrText>
          </w:r>
          <w:r>
            <w:fldChar w:fldCharType="separate"/>
          </w:r>
          <w:r>
            <w:t>48</w:t>
          </w:r>
          <w:r>
            <w:fldChar w:fldCharType="end"/>
          </w:r>
          <w:r>
            <w:fldChar w:fldCharType="end"/>
          </w:r>
        </w:p>
        <w:p w14:paraId="3A9667D6">
          <w:pPr>
            <w:pStyle w:val="10"/>
            <w:tabs>
              <w:tab w:val="right" w:leader="dot" w:pos="8306"/>
            </w:tabs>
          </w:pPr>
          <w:r>
            <w:fldChar w:fldCharType="begin"/>
          </w:r>
          <w:r>
            <w:instrText xml:space="preserve"> HYPERLINK \l _Toc20083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_Toc20083 \h </w:instrText>
          </w:r>
          <w:r>
            <w:fldChar w:fldCharType="separate"/>
          </w:r>
          <w:r>
            <w:t>48</w:t>
          </w:r>
          <w:r>
            <w:fldChar w:fldCharType="end"/>
          </w:r>
          <w:r>
            <w:fldChar w:fldCharType="end"/>
          </w:r>
        </w:p>
        <w:p w14:paraId="191B83CB">
          <w:pPr>
            <w:pStyle w:val="10"/>
            <w:tabs>
              <w:tab w:val="right" w:leader="dot" w:pos="8306"/>
            </w:tabs>
          </w:pPr>
          <w:r>
            <w:fldChar w:fldCharType="begin"/>
          </w:r>
          <w:r>
            <w:instrText xml:space="preserve"> HYPERLINK \l _Toc4856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_Toc4856 \h </w:instrText>
          </w:r>
          <w:r>
            <w:fldChar w:fldCharType="separate"/>
          </w:r>
          <w:r>
            <w:t>48</w:t>
          </w:r>
          <w:r>
            <w:fldChar w:fldCharType="end"/>
          </w:r>
          <w:r>
            <w:fldChar w:fldCharType="end"/>
          </w:r>
        </w:p>
        <w:p w14:paraId="3607D26B">
          <w:pPr>
            <w:pStyle w:val="10"/>
            <w:tabs>
              <w:tab w:val="right" w:leader="dot" w:pos="8306"/>
            </w:tabs>
          </w:pPr>
          <w:r>
            <w:fldChar w:fldCharType="begin"/>
          </w:r>
          <w:r>
            <w:instrText xml:space="preserve"> HYPERLINK \l _Toc5629 </w:instrText>
          </w:r>
          <w:r>
            <w:fldChar w:fldCharType="separate"/>
          </w:r>
          <w:r>
            <w:rPr>
              <w:rFonts w:hint="eastAsia"/>
            </w:rPr>
            <w:t xml:space="preserve">8.10 </w:t>
          </w:r>
          <w:r>
            <w:t>本基金投资股指期货的投资政策</w:t>
          </w:r>
          <w:r>
            <w:tab/>
          </w:r>
          <w:r>
            <w:fldChar w:fldCharType="begin"/>
          </w:r>
          <w:r>
            <w:instrText xml:space="preserve"> PAGEREF _Toc5629 \h </w:instrText>
          </w:r>
          <w:r>
            <w:fldChar w:fldCharType="separate"/>
          </w:r>
          <w:r>
            <w:t>48</w:t>
          </w:r>
          <w:r>
            <w:fldChar w:fldCharType="end"/>
          </w:r>
          <w:r>
            <w:fldChar w:fldCharType="end"/>
          </w:r>
        </w:p>
        <w:p w14:paraId="7038A593">
          <w:pPr>
            <w:pStyle w:val="10"/>
            <w:tabs>
              <w:tab w:val="right" w:leader="dot" w:pos="8306"/>
            </w:tabs>
          </w:pPr>
          <w:r>
            <w:fldChar w:fldCharType="begin"/>
          </w:r>
          <w:r>
            <w:instrText xml:space="preserve"> HYPERLINK \l _Toc6693 </w:instrText>
          </w:r>
          <w:r>
            <w:fldChar w:fldCharType="separate"/>
          </w:r>
          <w:r>
            <w:rPr>
              <w:rFonts w:hint="eastAsia"/>
            </w:rPr>
            <w:t xml:space="preserve">8.11 </w:t>
          </w:r>
          <w:r>
            <w:t>报告期末本基金投资的国债期货交易情况说明</w:t>
          </w:r>
          <w:r>
            <w:tab/>
          </w:r>
          <w:r>
            <w:fldChar w:fldCharType="begin"/>
          </w:r>
          <w:r>
            <w:instrText xml:space="preserve"> PAGEREF _Toc6693 \h </w:instrText>
          </w:r>
          <w:r>
            <w:fldChar w:fldCharType="separate"/>
          </w:r>
          <w:r>
            <w:t>48</w:t>
          </w:r>
          <w:r>
            <w:fldChar w:fldCharType="end"/>
          </w:r>
          <w:r>
            <w:fldChar w:fldCharType="end"/>
          </w:r>
        </w:p>
        <w:p w14:paraId="71E6599F">
          <w:pPr>
            <w:pStyle w:val="10"/>
            <w:tabs>
              <w:tab w:val="right" w:leader="dot" w:pos="8306"/>
            </w:tabs>
          </w:pPr>
          <w:r>
            <w:fldChar w:fldCharType="begin"/>
          </w:r>
          <w:r>
            <w:instrText xml:space="preserve"> HYPERLINK \l _Toc10551 </w:instrText>
          </w:r>
          <w:r>
            <w:fldChar w:fldCharType="separate"/>
          </w:r>
          <w:r>
            <w:rPr>
              <w:rFonts w:hint="eastAsia"/>
            </w:rPr>
            <w:t xml:space="preserve">8.12 </w:t>
          </w:r>
          <w:r>
            <w:t>投资组合报告附注</w:t>
          </w:r>
          <w:r>
            <w:tab/>
          </w:r>
          <w:r>
            <w:fldChar w:fldCharType="begin"/>
          </w:r>
          <w:r>
            <w:instrText xml:space="preserve"> PAGEREF _Toc10551 \h </w:instrText>
          </w:r>
          <w:r>
            <w:fldChar w:fldCharType="separate"/>
          </w:r>
          <w:r>
            <w:t>48</w:t>
          </w:r>
          <w:r>
            <w:fldChar w:fldCharType="end"/>
          </w:r>
          <w:r>
            <w:fldChar w:fldCharType="end"/>
          </w:r>
        </w:p>
        <w:p w14:paraId="2E6C6358">
          <w:pPr>
            <w:pStyle w:val="8"/>
            <w:tabs>
              <w:tab w:val="right" w:leader="dot" w:pos="8306"/>
            </w:tabs>
          </w:pPr>
          <w:r>
            <w:fldChar w:fldCharType="begin"/>
          </w:r>
          <w:r>
            <w:instrText xml:space="preserve"> HYPERLINK \l _Toc8145 </w:instrText>
          </w:r>
          <w:r>
            <w:fldChar w:fldCharType="separate"/>
          </w:r>
          <w:r>
            <w:rPr>
              <w:rFonts w:hint="eastAsia"/>
            </w:rPr>
            <w:t xml:space="preserve">§9 </w:t>
          </w:r>
          <w:r>
            <w:t>基金份额持有人信息</w:t>
          </w:r>
          <w:r>
            <w:tab/>
          </w:r>
          <w:r>
            <w:fldChar w:fldCharType="begin"/>
          </w:r>
          <w:r>
            <w:instrText xml:space="preserve"> PAGEREF _Toc8145 \h </w:instrText>
          </w:r>
          <w:r>
            <w:fldChar w:fldCharType="separate"/>
          </w:r>
          <w:r>
            <w:t>49</w:t>
          </w:r>
          <w:r>
            <w:fldChar w:fldCharType="end"/>
          </w:r>
          <w:r>
            <w:fldChar w:fldCharType="end"/>
          </w:r>
        </w:p>
        <w:p w14:paraId="4B085C91">
          <w:pPr>
            <w:pStyle w:val="10"/>
            <w:tabs>
              <w:tab w:val="right" w:leader="dot" w:pos="8306"/>
            </w:tabs>
          </w:pPr>
          <w:r>
            <w:fldChar w:fldCharType="begin"/>
          </w:r>
          <w:r>
            <w:instrText xml:space="preserve"> HYPERLINK \l _Toc11590 </w:instrText>
          </w:r>
          <w:r>
            <w:fldChar w:fldCharType="separate"/>
          </w:r>
          <w:r>
            <w:rPr>
              <w:rFonts w:hint="eastAsia"/>
            </w:rPr>
            <w:t xml:space="preserve">9.1 </w:t>
          </w:r>
          <w:r>
            <w:t>期末基金份额持有人户数及持有人结构</w:t>
          </w:r>
          <w:r>
            <w:tab/>
          </w:r>
          <w:r>
            <w:fldChar w:fldCharType="begin"/>
          </w:r>
          <w:r>
            <w:instrText xml:space="preserve"> PAGEREF _Toc11590 \h </w:instrText>
          </w:r>
          <w:r>
            <w:fldChar w:fldCharType="separate"/>
          </w:r>
          <w:r>
            <w:t>49</w:t>
          </w:r>
          <w:r>
            <w:fldChar w:fldCharType="end"/>
          </w:r>
          <w:r>
            <w:fldChar w:fldCharType="end"/>
          </w:r>
        </w:p>
        <w:p w14:paraId="13878C75">
          <w:pPr>
            <w:pStyle w:val="10"/>
            <w:tabs>
              <w:tab w:val="right" w:leader="dot" w:pos="8306"/>
            </w:tabs>
          </w:pPr>
          <w:r>
            <w:fldChar w:fldCharType="begin"/>
          </w:r>
          <w:r>
            <w:instrText xml:space="preserve"> HYPERLINK \l _Toc23313 </w:instrText>
          </w:r>
          <w:r>
            <w:fldChar w:fldCharType="separate"/>
          </w:r>
          <w:r>
            <w:rPr>
              <w:rFonts w:hint="eastAsia"/>
            </w:rPr>
            <w:t xml:space="preserve">9.2 </w:t>
          </w:r>
          <w:r>
            <w:t>期末基金管理人的从业人员持有本基金的情况</w:t>
          </w:r>
          <w:r>
            <w:tab/>
          </w:r>
          <w:r>
            <w:fldChar w:fldCharType="begin"/>
          </w:r>
          <w:r>
            <w:instrText xml:space="preserve"> PAGEREF _Toc23313 \h </w:instrText>
          </w:r>
          <w:r>
            <w:fldChar w:fldCharType="separate"/>
          </w:r>
          <w:r>
            <w:t>49</w:t>
          </w:r>
          <w:r>
            <w:fldChar w:fldCharType="end"/>
          </w:r>
          <w:r>
            <w:fldChar w:fldCharType="end"/>
          </w:r>
        </w:p>
        <w:p w14:paraId="66AA418C">
          <w:pPr>
            <w:pStyle w:val="10"/>
            <w:tabs>
              <w:tab w:val="right" w:leader="dot" w:pos="8306"/>
            </w:tabs>
          </w:pPr>
          <w:r>
            <w:fldChar w:fldCharType="begin"/>
          </w:r>
          <w:r>
            <w:instrText xml:space="preserve"> HYPERLINK \l _Toc4446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_Toc4446 \h </w:instrText>
          </w:r>
          <w:r>
            <w:fldChar w:fldCharType="separate"/>
          </w:r>
          <w:r>
            <w:t>50</w:t>
          </w:r>
          <w:r>
            <w:fldChar w:fldCharType="end"/>
          </w:r>
          <w:r>
            <w:fldChar w:fldCharType="end"/>
          </w:r>
        </w:p>
        <w:p w14:paraId="777517CB">
          <w:pPr>
            <w:pStyle w:val="10"/>
            <w:tabs>
              <w:tab w:val="right" w:leader="dot" w:pos="8306"/>
            </w:tabs>
          </w:pPr>
          <w:r>
            <w:fldChar w:fldCharType="begin"/>
          </w:r>
          <w:r>
            <w:instrText xml:space="preserve"> HYPERLINK \l _Toc10456 </w:instrText>
          </w:r>
          <w:r>
            <w:fldChar w:fldCharType="separate"/>
          </w:r>
          <w:r>
            <w:rPr>
              <w:rFonts w:hint="eastAsia"/>
            </w:rPr>
            <w:t xml:space="preserve">9.4 </w:t>
          </w:r>
          <w:r>
            <w:t>发起式基金发起资金持有份额情况</w:t>
          </w:r>
          <w:r>
            <w:tab/>
          </w:r>
          <w:r>
            <w:fldChar w:fldCharType="begin"/>
          </w:r>
          <w:r>
            <w:instrText xml:space="preserve"> PAGEREF _Toc10456 \h </w:instrText>
          </w:r>
          <w:r>
            <w:fldChar w:fldCharType="separate"/>
          </w:r>
          <w:r>
            <w:t>50</w:t>
          </w:r>
          <w:r>
            <w:fldChar w:fldCharType="end"/>
          </w:r>
          <w:r>
            <w:fldChar w:fldCharType="end"/>
          </w:r>
        </w:p>
        <w:p w14:paraId="318622E5">
          <w:pPr>
            <w:pStyle w:val="8"/>
            <w:tabs>
              <w:tab w:val="right" w:leader="dot" w:pos="8306"/>
            </w:tabs>
          </w:pPr>
          <w:r>
            <w:fldChar w:fldCharType="begin"/>
          </w:r>
          <w:r>
            <w:instrText xml:space="preserve"> HYPERLINK \l _Toc1782 </w:instrText>
          </w:r>
          <w:r>
            <w:fldChar w:fldCharType="separate"/>
          </w:r>
          <w:r>
            <w:rPr>
              <w:rFonts w:hint="eastAsia"/>
            </w:rPr>
            <w:t xml:space="preserve">§10 </w:t>
          </w:r>
          <w:r>
            <w:t>开放式基金份额变动</w:t>
          </w:r>
          <w:r>
            <w:tab/>
          </w:r>
          <w:r>
            <w:fldChar w:fldCharType="begin"/>
          </w:r>
          <w:r>
            <w:instrText xml:space="preserve"> PAGEREF _Toc1782 \h </w:instrText>
          </w:r>
          <w:r>
            <w:fldChar w:fldCharType="separate"/>
          </w:r>
          <w:r>
            <w:t>50</w:t>
          </w:r>
          <w:r>
            <w:fldChar w:fldCharType="end"/>
          </w:r>
          <w:r>
            <w:fldChar w:fldCharType="end"/>
          </w:r>
        </w:p>
        <w:p w14:paraId="47C456D9">
          <w:pPr>
            <w:pStyle w:val="8"/>
            <w:tabs>
              <w:tab w:val="right" w:leader="dot" w:pos="8306"/>
            </w:tabs>
          </w:pPr>
          <w:r>
            <w:fldChar w:fldCharType="begin"/>
          </w:r>
          <w:r>
            <w:instrText xml:space="preserve"> HYPERLINK \l _Toc17384 </w:instrText>
          </w:r>
          <w:r>
            <w:fldChar w:fldCharType="separate"/>
          </w:r>
          <w:r>
            <w:rPr>
              <w:rFonts w:hint="eastAsia"/>
            </w:rPr>
            <w:t xml:space="preserve">§11 </w:t>
          </w:r>
          <w:r>
            <w:t>重大事件揭示</w:t>
          </w:r>
          <w:r>
            <w:tab/>
          </w:r>
          <w:r>
            <w:fldChar w:fldCharType="begin"/>
          </w:r>
          <w:r>
            <w:instrText xml:space="preserve"> PAGEREF _Toc17384 \h </w:instrText>
          </w:r>
          <w:r>
            <w:fldChar w:fldCharType="separate"/>
          </w:r>
          <w:r>
            <w:t>50</w:t>
          </w:r>
          <w:r>
            <w:fldChar w:fldCharType="end"/>
          </w:r>
          <w:r>
            <w:fldChar w:fldCharType="end"/>
          </w:r>
        </w:p>
        <w:p w14:paraId="30312577">
          <w:pPr>
            <w:pStyle w:val="10"/>
            <w:tabs>
              <w:tab w:val="right" w:leader="dot" w:pos="8306"/>
            </w:tabs>
          </w:pPr>
          <w:r>
            <w:fldChar w:fldCharType="begin"/>
          </w:r>
          <w:r>
            <w:instrText xml:space="preserve"> HYPERLINK \l _Toc30817 </w:instrText>
          </w:r>
          <w:r>
            <w:fldChar w:fldCharType="separate"/>
          </w:r>
          <w:r>
            <w:rPr>
              <w:rFonts w:hint="eastAsia"/>
            </w:rPr>
            <w:t xml:space="preserve">11.1 </w:t>
          </w:r>
          <w:r>
            <w:t>基金份额持有人大会决议</w:t>
          </w:r>
          <w:r>
            <w:tab/>
          </w:r>
          <w:r>
            <w:fldChar w:fldCharType="begin"/>
          </w:r>
          <w:r>
            <w:instrText xml:space="preserve"> PAGEREF _Toc30817 \h </w:instrText>
          </w:r>
          <w:r>
            <w:fldChar w:fldCharType="separate"/>
          </w:r>
          <w:r>
            <w:t>51</w:t>
          </w:r>
          <w:r>
            <w:fldChar w:fldCharType="end"/>
          </w:r>
          <w:r>
            <w:fldChar w:fldCharType="end"/>
          </w:r>
        </w:p>
        <w:p w14:paraId="02B3A12B">
          <w:pPr>
            <w:pStyle w:val="10"/>
            <w:tabs>
              <w:tab w:val="right" w:leader="dot" w:pos="8306"/>
            </w:tabs>
          </w:pPr>
          <w:r>
            <w:fldChar w:fldCharType="begin"/>
          </w:r>
          <w:r>
            <w:instrText xml:space="preserve"> HYPERLINK \l _Toc1398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_Toc1398 \h </w:instrText>
          </w:r>
          <w:r>
            <w:fldChar w:fldCharType="separate"/>
          </w:r>
          <w:r>
            <w:t>51</w:t>
          </w:r>
          <w:r>
            <w:fldChar w:fldCharType="end"/>
          </w:r>
          <w:r>
            <w:fldChar w:fldCharType="end"/>
          </w:r>
        </w:p>
        <w:p w14:paraId="035CA5AC">
          <w:pPr>
            <w:pStyle w:val="10"/>
            <w:tabs>
              <w:tab w:val="right" w:leader="dot" w:pos="8306"/>
            </w:tabs>
          </w:pPr>
          <w:r>
            <w:fldChar w:fldCharType="begin"/>
          </w:r>
          <w:r>
            <w:instrText xml:space="preserve"> HYPERLINK \l _Toc22892 </w:instrText>
          </w:r>
          <w:r>
            <w:fldChar w:fldCharType="separate"/>
          </w:r>
          <w:r>
            <w:rPr>
              <w:rFonts w:hint="eastAsia"/>
            </w:rPr>
            <w:t xml:space="preserve">11.3 </w:t>
          </w:r>
          <w:r>
            <w:t>涉及基金管理人、基金财产、基金托管业务的诉讼</w:t>
          </w:r>
          <w:r>
            <w:tab/>
          </w:r>
          <w:r>
            <w:fldChar w:fldCharType="begin"/>
          </w:r>
          <w:r>
            <w:instrText xml:space="preserve"> PAGEREF _Toc22892 \h </w:instrText>
          </w:r>
          <w:r>
            <w:fldChar w:fldCharType="separate"/>
          </w:r>
          <w:r>
            <w:t>51</w:t>
          </w:r>
          <w:r>
            <w:fldChar w:fldCharType="end"/>
          </w:r>
          <w:r>
            <w:fldChar w:fldCharType="end"/>
          </w:r>
        </w:p>
        <w:p w14:paraId="202056FF">
          <w:pPr>
            <w:pStyle w:val="10"/>
            <w:tabs>
              <w:tab w:val="right" w:leader="dot" w:pos="8306"/>
            </w:tabs>
          </w:pPr>
          <w:r>
            <w:fldChar w:fldCharType="begin"/>
          </w:r>
          <w:r>
            <w:instrText xml:space="preserve"> HYPERLINK \l _Toc15327 </w:instrText>
          </w:r>
          <w:r>
            <w:fldChar w:fldCharType="separate"/>
          </w:r>
          <w:r>
            <w:rPr>
              <w:rFonts w:hint="eastAsia"/>
            </w:rPr>
            <w:t xml:space="preserve">11.4 </w:t>
          </w:r>
          <w:r>
            <w:t>基金投资策略的改变</w:t>
          </w:r>
          <w:r>
            <w:tab/>
          </w:r>
          <w:r>
            <w:fldChar w:fldCharType="begin"/>
          </w:r>
          <w:r>
            <w:instrText xml:space="preserve"> PAGEREF _Toc15327 \h </w:instrText>
          </w:r>
          <w:r>
            <w:fldChar w:fldCharType="separate"/>
          </w:r>
          <w:r>
            <w:t>51</w:t>
          </w:r>
          <w:r>
            <w:fldChar w:fldCharType="end"/>
          </w:r>
          <w:r>
            <w:fldChar w:fldCharType="end"/>
          </w:r>
        </w:p>
        <w:p w14:paraId="15147430">
          <w:pPr>
            <w:pStyle w:val="10"/>
            <w:tabs>
              <w:tab w:val="right" w:leader="dot" w:pos="8306"/>
            </w:tabs>
          </w:pPr>
          <w:r>
            <w:fldChar w:fldCharType="begin"/>
          </w:r>
          <w:r>
            <w:instrText xml:space="preserve"> HYPERLINK \l _Toc18865 </w:instrText>
          </w:r>
          <w:r>
            <w:fldChar w:fldCharType="separate"/>
          </w:r>
          <w:r>
            <w:rPr>
              <w:rFonts w:hint="eastAsia"/>
            </w:rPr>
            <w:t xml:space="preserve">11.5 </w:t>
          </w:r>
          <w:r>
            <w:t>为基金进行审计的会计师事务所情况</w:t>
          </w:r>
          <w:r>
            <w:tab/>
          </w:r>
          <w:r>
            <w:fldChar w:fldCharType="begin"/>
          </w:r>
          <w:r>
            <w:instrText xml:space="preserve"> PAGEREF _Toc18865 \h </w:instrText>
          </w:r>
          <w:r>
            <w:fldChar w:fldCharType="separate"/>
          </w:r>
          <w:r>
            <w:t>51</w:t>
          </w:r>
          <w:r>
            <w:fldChar w:fldCharType="end"/>
          </w:r>
          <w:r>
            <w:fldChar w:fldCharType="end"/>
          </w:r>
        </w:p>
        <w:p w14:paraId="4D06C10D">
          <w:pPr>
            <w:pStyle w:val="10"/>
            <w:tabs>
              <w:tab w:val="right" w:leader="dot" w:pos="8306"/>
            </w:tabs>
          </w:pPr>
          <w:r>
            <w:fldChar w:fldCharType="begin"/>
          </w:r>
          <w:r>
            <w:instrText xml:space="preserve"> HYPERLINK \l _Toc20517 </w:instrText>
          </w:r>
          <w:r>
            <w:fldChar w:fldCharType="separate"/>
          </w:r>
          <w:r>
            <w:rPr>
              <w:rFonts w:hint="eastAsia"/>
            </w:rPr>
            <w:t xml:space="preserve">11.6 </w:t>
          </w:r>
          <w:r>
            <w:t>管理人、托管人及相关从业人员受调查或处罚等情况</w:t>
          </w:r>
          <w:r>
            <w:tab/>
          </w:r>
          <w:r>
            <w:fldChar w:fldCharType="begin"/>
          </w:r>
          <w:r>
            <w:instrText xml:space="preserve"> PAGEREF _Toc20517 \h </w:instrText>
          </w:r>
          <w:r>
            <w:fldChar w:fldCharType="separate"/>
          </w:r>
          <w:r>
            <w:t>51</w:t>
          </w:r>
          <w:r>
            <w:fldChar w:fldCharType="end"/>
          </w:r>
          <w:r>
            <w:fldChar w:fldCharType="end"/>
          </w:r>
        </w:p>
        <w:p w14:paraId="3C27686E">
          <w:pPr>
            <w:pStyle w:val="10"/>
            <w:tabs>
              <w:tab w:val="right" w:leader="dot" w:pos="8306"/>
            </w:tabs>
          </w:pPr>
          <w:r>
            <w:fldChar w:fldCharType="begin"/>
          </w:r>
          <w:r>
            <w:instrText xml:space="preserve"> HYPERLINK \l _Toc32448 </w:instrText>
          </w:r>
          <w:r>
            <w:fldChar w:fldCharType="separate"/>
          </w:r>
          <w:r>
            <w:rPr>
              <w:rFonts w:hint="eastAsia"/>
            </w:rPr>
            <w:t xml:space="preserve">11.7 </w:t>
          </w:r>
          <w:r>
            <w:t>基金租用证券公司交易单元的有关情况</w:t>
          </w:r>
          <w:r>
            <w:tab/>
          </w:r>
          <w:r>
            <w:fldChar w:fldCharType="begin"/>
          </w:r>
          <w:r>
            <w:instrText xml:space="preserve"> PAGEREF _Toc32448 \h </w:instrText>
          </w:r>
          <w:r>
            <w:fldChar w:fldCharType="separate"/>
          </w:r>
          <w:r>
            <w:t>52</w:t>
          </w:r>
          <w:r>
            <w:fldChar w:fldCharType="end"/>
          </w:r>
          <w:r>
            <w:fldChar w:fldCharType="end"/>
          </w:r>
        </w:p>
        <w:p w14:paraId="648AC361">
          <w:pPr>
            <w:pStyle w:val="10"/>
            <w:tabs>
              <w:tab w:val="right" w:leader="dot" w:pos="8306"/>
            </w:tabs>
          </w:pPr>
          <w:r>
            <w:fldChar w:fldCharType="begin"/>
          </w:r>
          <w:r>
            <w:instrText xml:space="preserve"> HYPERLINK \l _Toc30717 </w:instrText>
          </w:r>
          <w:r>
            <w:fldChar w:fldCharType="separate"/>
          </w:r>
          <w:r>
            <w:rPr>
              <w:rFonts w:hint="eastAsia"/>
            </w:rPr>
            <w:t xml:space="preserve">11.8 </w:t>
          </w:r>
          <w:r>
            <w:t>其他重大事件</w:t>
          </w:r>
          <w:r>
            <w:tab/>
          </w:r>
          <w:r>
            <w:fldChar w:fldCharType="begin"/>
          </w:r>
          <w:r>
            <w:instrText xml:space="preserve"> PAGEREF _Toc30717 \h </w:instrText>
          </w:r>
          <w:r>
            <w:fldChar w:fldCharType="separate"/>
          </w:r>
          <w:r>
            <w:t>53</w:t>
          </w:r>
          <w:r>
            <w:fldChar w:fldCharType="end"/>
          </w:r>
          <w:r>
            <w:fldChar w:fldCharType="end"/>
          </w:r>
        </w:p>
        <w:p w14:paraId="0C2795D7">
          <w:pPr>
            <w:pStyle w:val="8"/>
            <w:tabs>
              <w:tab w:val="right" w:leader="dot" w:pos="8306"/>
            </w:tabs>
          </w:pPr>
          <w:r>
            <w:fldChar w:fldCharType="begin"/>
          </w:r>
          <w:r>
            <w:instrText xml:space="preserve"> HYPERLINK \l _Toc23627 </w:instrText>
          </w:r>
          <w:r>
            <w:fldChar w:fldCharType="separate"/>
          </w:r>
          <w:r>
            <w:rPr>
              <w:rFonts w:hint="eastAsia"/>
            </w:rPr>
            <w:t xml:space="preserve">§12 </w:t>
          </w:r>
          <w:r>
            <w:t>影响投资者决策的其他重要信息</w:t>
          </w:r>
          <w:r>
            <w:tab/>
          </w:r>
          <w:r>
            <w:fldChar w:fldCharType="begin"/>
          </w:r>
          <w:r>
            <w:instrText xml:space="preserve"> PAGEREF _Toc23627 \h </w:instrText>
          </w:r>
          <w:r>
            <w:fldChar w:fldCharType="separate"/>
          </w:r>
          <w:r>
            <w:t>54</w:t>
          </w:r>
          <w:r>
            <w:fldChar w:fldCharType="end"/>
          </w:r>
          <w:r>
            <w:fldChar w:fldCharType="end"/>
          </w:r>
        </w:p>
        <w:p w14:paraId="309D3EE8">
          <w:pPr>
            <w:pStyle w:val="10"/>
            <w:tabs>
              <w:tab w:val="right" w:leader="dot" w:pos="8306"/>
            </w:tabs>
          </w:pPr>
          <w:r>
            <w:fldChar w:fldCharType="begin"/>
          </w:r>
          <w:r>
            <w:instrText xml:space="preserve"> HYPERLINK \l _Toc25023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_Toc25023 \h </w:instrText>
          </w:r>
          <w:r>
            <w:fldChar w:fldCharType="separate"/>
          </w:r>
          <w:r>
            <w:t>54</w:t>
          </w:r>
          <w:r>
            <w:fldChar w:fldCharType="end"/>
          </w:r>
          <w:r>
            <w:fldChar w:fldCharType="end"/>
          </w:r>
        </w:p>
        <w:p w14:paraId="75882748">
          <w:pPr>
            <w:pStyle w:val="10"/>
            <w:tabs>
              <w:tab w:val="right" w:leader="dot" w:pos="8306"/>
            </w:tabs>
          </w:pPr>
          <w:r>
            <w:fldChar w:fldCharType="begin"/>
          </w:r>
          <w:r>
            <w:instrText xml:space="preserve"> HYPERLINK \l _Toc4857 </w:instrText>
          </w:r>
          <w:r>
            <w:fldChar w:fldCharType="separate"/>
          </w:r>
          <w:r>
            <w:rPr>
              <w:rFonts w:hint="eastAsia"/>
            </w:rPr>
            <w:t xml:space="preserve">12.2 </w:t>
          </w:r>
          <w:r>
            <w:t>影响投资者决策的其他重要信息</w:t>
          </w:r>
          <w:r>
            <w:tab/>
          </w:r>
          <w:r>
            <w:fldChar w:fldCharType="begin"/>
          </w:r>
          <w:r>
            <w:instrText xml:space="preserve"> PAGEREF _Toc4857 \h </w:instrText>
          </w:r>
          <w:r>
            <w:fldChar w:fldCharType="separate"/>
          </w:r>
          <w:r>
            <w:t>54</w:t>
          </w:r>
          <w:r>
            <w:fldChar w:fldCharType="end"/>
          </w:r>
          <w:r>
            <w:fldChar w:fldCharType="end"/>
          </w:r>
        </w:p>
        <w:p w14:paraId="7A73BE3B">
          <w:pPr>
            <w:pStyle w:val="8"/>
            <w:tabs>
              <w:tab w:val="right" w:leader="dot" w:pos="8306"/>
            </w:tabs>
          </w:pPr>
          <w:r>
            <w:fldChar w:fldCharType="begin"/>
          </w:r>
          <w:r>
            <w:instrText xml:space="preserve"> HYPERLINK \l _Toc28796 </w:instrText>
          </w:r>
          <w:r>
            <w:fldChar w:fldCharType="separate"/>
          </w:r>
          <w:r>
            <w:rPr>
              <w:rFonts w:hint="eastAsia"/>
            </w:rPr>
            <w:t xml:space="preserve">§13 </w:t>
          </w:r>
          <w:r>
            <w:t>备查文件目录</w:t>
          </w:r>
          <w:r>
            <w:tab/>
          </w:r>
          <w:r>
            <w:fldChar w:fldCharType="begin"/>
          </w:r>
          <w:r>
            <w:instrText xml:space="preserve"> PAGEREF _Toc28796 \h </w:instrText>
          </w:r>
          <w:r>
            <w:fldChar w:fldCharType="separate"/>
          </w:r>
          <w:r>
            <w:t>54</w:t>
          </w:r>
          <w:r>
            <w:fldChar w:fldCharType="end"/>
          </w:r>
          <w:r>
            <w:fldChar w:fldCharType="end"/>
          </w:r>
        </w:p>
        <w:p w14:paraId="28000C8E">
          <w:pPr>
            <w:pStyle w:val="10"/>
            <w:tabs>
              <w:tab w:val="right" w:leader="dot" w:pos="8306"/>
            </w:tabs>
          </w:pPr>
          <w:r>
            <w:fldChar w:fldCharType="begin"/>
          </w:r>
          <w:r>
            <w:instrText xml:space="preserve"> HYPERLINK \l _Toc8845 </w:instrText>
          </w:r>
          <w:r>
            <w:fldChar w:fldCharType="separate"/>
          </w:r>
          <w:r>
            <w:rPr>
              <w:rFonts w:hint="eastAsia"/>
            </w:rPr>
            <w:t xml:space="preserve">13.1 </w:t>
          </w:r>
          <w:r>
            <w:t>备查文件目录</w:t>
          </w:r>
          <w:r>
            <w:tab/>
          </w:r>
          <w:r>
            <w:fldChar w:fldCharType="begin"/>
          </w:r>
          <w:r>
            <w:instrText xml:space="preserve"> PAGEREF _Toc8845 \h </w:instrText>
          </w:r>
          <w:r>
            <w:fldChar w:fldCharType="separate"/>
          </w:r>
          <w:r>
            <w:t>54</w:t>
          </w:r>
          <w:r>
            <w:fldChar w:fldCharType="end"/>
          </w:r>
          <w:r>
            <w:fldChar w:fldCharType="end"/>
          </w:r>
        </w:p>
        <w:p w14:paraId="00026C34">
          <w:pPr>
            <w:pStyle w:val="10"/>
            <w:tabs>
              <w:tab w:val="right" w:leader="dot" w:pos="8306"/>
            </w:tabs>
          </w:pPr>
          <w:r>
            <w:fldChar w:fldCharType="begin"/>
          </w:r>
          <w:r>
            <w:instrText xml:space="preserve"> HYPERLINK \l _Toc4603 </w:instrText>
          </w:r>
          <w:r>
            <w:fldChar w:fldCharType="separate"/>
          </w:r>
          <w:r>
            <w:rPr>
              <w:rFonts w:hint="eastAsia"/>
            </w:rPr>
            <w:t xml:space="preserve">13.2 </w:t>
          </w:r>
          <w:r>
            <w:t>存放地点</w:t>
          </w:r>
          <w:r>
            <w:tab/>
          </w:r>
          <w:r>
            <w:fldChar w:fldCharType="begin"/>
          </w:r>
          <w:r>
            <w:instrText xml:space="preserve"> PAGEREF _Toc4603 \h </w:instrText>
          </w:r>
          <w:r>
            <w:fldChar w:fldCharType="separate"/>
          </w:r>
          <w:r>
            <w:t>55</w:t>
          </w:r>
          <w:r>
            <w:fldChar w:fldCharType="end"/>
          </w:r>
          <w:r>
            <w:fldChar w:fldCharType="end"/>
          </w:r>
        </w:p>
        <w:p w14:paraId="765474C2">
          <w:pPr>
            <w:pStyle w:val="10"/>
            <w:tabs>
              <w:tab w:val="right" w:leader="dot" w:pos="8306"/>
            </w:tabs>
          </w:pPr>
          <w:r>
            <w:fldChar w:fldCharType="begin"/>
          </w:r>
          <w:r>
            <w:instrText xml:space="preserve"> HYPERLINK \l _Toc17024 </w:instrText>
          </w:r>
          <w:r>
            <w:fldChar w:fldCharType="separate"/>
          </w:r>
          <w:r>
            <w:rPr>
              <w:rFonts w:hint="eastAsia"/>
            </w:rPr>
            <w:t xml:space="preserve">13.3 </w:t>
          </w:r>
          <w:r>
            <w:t>查阅方式</w:t>
          </w:r>
          <w:r>
            <w:tab/>
          </w:r>
          <w:r>
            <w:fldChar w:fldCharType="begin"/>
          </w:r>
          <w:r>
            <w:instrText xml:space="preserve"> PAGEREF _Toc17024 \h </w:instrText>
          </w:r>
          <w:r>
            <w:fldChar w:fldCharType="separate"/>
          </w:r>
          <w:r>
            <w:t>55</w:t>
          </w:r>
          <w:r>
            <w:fldChar w:fldCharType="end"/>
          </w:r>
          <w:r>
            <w:fldChar w:fldCharType="end"/>
          </w:r>
        </w:p>
        <w:p w14:paraId="5A94B9FC">
          <w:r>
            <w:fldChar w:fldCharType="end"/>
          </w:r>
        </w:p>
      </w:sdtContent>
    </w:sdt>
    <w:p w14:paraId="2A6FE9C9">
      <w:pPr>
        <w:pStyle w:val="26"/>
        <w:pageBreakBefore/>
      </w:pPr>
      <w:r>
        <w:t xml:space="preserve">  </w:t>
      </w:r>
      <w:bookmarkStart w:id="5" w:name="_Toc12931"/>
      <w:r>
        <w:t>基金简介</w:t>
      </w:r>
      <w:bookmarkEnd w:id="5"/>
      <w:r>
        <w:t xml:space="preserve"> </w:t>
      </w:r>
    </w:p>
    <w:p w14:paraId="5531A499">
      <w:pPr>
        <w:pStyle w:val="23"/>
      </w:pPr>
      <w:bookmarkStart w:id="6" w:name="_Toc22936"/>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15"/>
        <w:gridCol w:w="4590"/>
      </w:tblGrid>
      <w:tr w14:paraId="4624A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7A5FBB1D">
            <w:r>
              <w:rPr>
                <w:rFonts w:hint="eastAsia"/>
              </w:rPr>
              <w:t>基金名称</w:t>
            </w:r>
          </w:p>
        </w:tc>
        <w:tc>
          <w:tcPr>
            <w:tcW w:w="4590" w:type="dxa"/>
            <w:vAlign w:val="center"/>
          </w:tcPr>
          <w:p w14:paraId="37FDB2DE">
            <w:r>
              <w:rPr>
                <w:rFonts w:hint="eastAsia"/>
              </w:rPr>
              <w:t>南方得利一年定期开放债券型发起式证券投资基金</w:t>
            </w:r>
          </w:p>
        </w:tc>
      </w:tr>
      <w:tr w14:paraId="1CDEC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6CB2FB93">
            <w:r>
              <w:rPr>
                <w:rFonts w:hint="eastAsia"/>
              </w:rPr>
              <w:t>基金简称</w:t>
            </w:r>
          </w:p>
        </w:tc>
        <w:tc>
          <w:tcPr>
            <w:tcW w:w="4590" w:type="dxa"/>
            <w:vAlign w:val="center"/>
          </w:tcPr>
          <w:p w14:paraId="4A1A14DC">
            <w:r>
              <w:rPr>
                <w:rFonts w:hint="eastAsia"/>
              </w:rPr>
              <w:t>南方得利一年定开债券发起</w:t>
            </w:r>
          </w:p>
        </w:tc>
      </w:tr>
      <w:tr w14:paraId="26695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1DB4CEA0">
            <w:r>
              <w:rPr>
                <w:rFonts w:hint="eastAsia"/>
              </w:rPr>
              <w:t>基金主代码</w:t>
            </w:r>
          </w:p>
        </w:tc>
        <w:tc>
          <w:tcPr>
            <w:tcW w:w="4590" w:type="dxa"/>
            <w:vAlign w:val="center"/>
          </w:tcPr>
          <w:p w14:paraId="1F89BDA7">
            <w:r>
              <w:rPr>
                <w:rFonts w:hint="eastAsia"/>
              </w:rPr>
              <w:t>008509</w:t>
            </w:r>
          </w:p>
        </w:tc>
      </w:tr>
      <w:tr w14:paraId="59BCD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79BF2C26">
            <w:r>
              <w:rPr>
                <w:rFonts w:hint="eastAsia"/>
              </w:rPr>
              <w:t>交易代码</w:t>
            </w:r>
          </w:p>
        </w:tc>
        <w:tc>
          <w:tcPr>
            <w:tcW w:w="4590" w:type="dxa"/>
            <w:vAlign w:val="center"/>
          </w:tcPr>
          <w:p w14:paraId="2ED28895">
            <w:r>
              <w:rPr>
                <w:rFonts w:hint="eastAsia"/>
              </w:rPr>
              <w:t>008509</w:t>
            </w:r>
          </w:p>
        </w:tc>
      </w:tr>
      <w:tr w14:paraId="59765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18B60E48">
            <w:r>
              <w:rPr>
                <w:rFonts w:hint="eastAsia"/>
              </w:rPr>
              <w:t>基金运作方式</w:t>
            </w:r>
          </w:p>
        </w:tc>
        <w:tc>
          <w:tcPr>
            <w:tcW w:w="4590" w:type="dxa"/>
            <w:vAlign w:val="center"/>
          </w:tcPr>
          <w:p w14:paraId="5A722320">
            <w:r>
              <w:rPr>
                <w:rFonts w:hint="eastAsia"/>
              </w:rPr>
              <w:t>契约型开放式</w:t>
            </w:r>
          </w:p>
        </w:tc>
      </w:tr>
      <w:tr w14:paraId="19FE4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087EF281">
            <w:r>
              <w:rPr>
                <w:rFonts w:hint="eastAsia"/>
              </w:rPr>
              <w:t>基金合同生效日</w:t>
            </w:r>
          </w:p>
        </w:tc>
        <w:tc>
          <w:tcPr>
            <w:tcW w:w="4590" w:type="dxa"/>
            <w:vAlign w:val="center"/>
          </w:tcPr>
          <w:p w14:paraId="214A3835">
            <w:r>
              <w:rPr>
                <w:rFonts w:hint="eastAsia"/>
              </w:rPr>
              <w:t>2020年3月26日</w:t>
            </w:r>
          </w:p>
        </w:tc>
      </w:tr>
      <w:tr w14:paraId="08BD2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7D132890">
            <w:r>
              <w:rPr>
                <w:rFonts w:hint="eastAsia"/>
              </w:rPr>
              <w:t>基金管理人</w:t>
            </w:r>
          </w:p>
        </w:tc>
        <w:tc>
          <w:tcPr>
            <w:tcW w:w="4590" w:type="dxa"/>
            <w:vAlign w:val="center"/>
          </w:tcPr>
          <w:p w14:paraId="6E22114B">
            <w:r>
              <w:rPr>
                <w:rFonts w:hint="eastAsia"/>
              </w:rPr>
              <w:t>南方基金管理股份有限公司</w:t>
            </w:r>
          </w:p>
        </w:tc>
      </w:tr>
      <w:tr w14:paraId="25324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63C68E66">
            <w:r>
              <w:rPr>
                <w:rFonts w:hint="eastAsia"/>
              </w:rPr>
              <w:t>基金托管人</w:t>
            </w:r>
          </w:p>
        </w:tc>
        <w:tc>
          <w:tcPr>
            <w:tcW w:w="4590" w:type="dxa"/>
            <w:vAlign w:val="center"/>
          </w:tcPr>
          <w:p w14:paraId="2A93A6C4">
            <w:r>
              <w:rPr>
                <w:rFonts w:hint="eastAsia"/>
              </w:rPr>
              <w:t>招商银行股份有限公司</w:t>
            </w:r>
          </w:p>
        </w:tc>
      </w:tr>
      <w:tr w14:paraId="73966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04DDFE09">
            <w:r>
              <w:rPr>
                <w:rFonts w:hint="eastAsia"/>
              </w:rPr>
              <w:t>报告期末基金份额总额</w:t>
            </w:r>
          </w:p>
        </w:tc>
        <w:tc>
          <w:tcPr>
            <w:tcW w:w="4590" w:type="dxa"/>
            <w:vAlign w:val="center"/>
          </w:tcPr>
          <w:p w14:paraId="58D716BE">
            <w:r>
              <w:rPr>
                <w:rFonts w:hint="eastAsia"/>
              </w:rPr>
              <w:t>956,607,978.89份</w:t>
            </w:r>
          </w:p>
        </w:tc>
      </w:tr>
      <w:tr w14:paraId="0D0BE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0643FBA9">
            <w:r>
              <w:rPr>
                <w:rFonts w:hint="eastAsia"/>
              </w:rPr>
              <w:t>基金合同存续期</w:t>
            </w:r>
          </w:p>
        </w:tc>
        <w:tc>
          <w:tcPr>
            <w:tcW w:w="4590" w:type="dxa"/>
            <w:vAlign w:val="center"/>
          </w:tcPr>
          <w:p w14:paraId="1324B35A">
            <w:r>
              <w:rPr>
                <w:rFonts w:hint="eastAsia"/>
              </w:rPr>
              <w:t>不定期</w:t>
            </w:r>
          </w:p>
        </w:tc>
      </w:tr>
    </w:tbl>
    <w:p w14:paraId="53722279">
      <w:pPr>
        <w:pStyle w:val="23"/>
      </w:pPr>
      <w:bookmarkStart w:id="7" w:name="_Toc12670"/>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52A59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7DBB66E">
            <w:r>
              <w:rPr>
                <w:rFonts w:hint="eastAsia"/>
              </w:rPr>
              <w:t>投资目标</w:t>
            </w:r>
          </w:p>
        </w:tc>
        <w:tc>
          <w:tcPr>
            <w:tcW w:w="6644" w:type="dxa"/>
            <w:vAlign w:val="center"/>
          </w:tcPr>
          <w:p w14:paraId="497677FB">
            <w:r>
              <w:rPr>
                <w:rFonts w:hint="eastAsia"/>
              </w:rPr>
              <w:t>本基金在严格控制风险的前提下，力争获得长期稳定的投资收益。</w:t>
            </w:r>
          </w:p>
        </w:tc>
      </w:tr>
      <w:tr w14:paraId="1A7BA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FE92373">
            <w:r>
              <w:rPr>
                <w:rFonts w:hint="eastAsia"/>
              </w:rPr>
              <w:t>投资策略</w:t>
            </w:r>
          </w:p>
        </w:tc>
        <w:tc>
          <w:tcPr>
            <w:tcW w:w="6644" w:type="dxa"/>
            <w:vAlign w:val="center"/>
          </w:tcPr>
          <w:p w14:paraId="7B9D5A24">
            <w:r>
              <w:rPr>
                <w:rFonts w:hint="eastAsia"/>
              </w:rPr>
              <w:t>1、封闭期投资策略（主要包括：信用债投资策略、收益率曲线策略、放大策略、资产支持证券投资策略）；2、开放期投资策略。</w:t>
            </w:r>
          </w:p>
        </w:tc>
      </w:tr>
      <w:tr w14:paraId="5D772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79636BA">
            <w:r>
              <w:rPr>
                <w:rFonts w:hint="eastAsia"/>
              </w:rPr>
              <w:t>业绩比较基准</w:t>
            </w:r>
          </w:p>
        </w:tc>
        <w:tc>
          <w:tcPr>
            <w:tcW w:w="6644" w:type="dxa"/>
            <w:vAlign w:val="center"/>
          </w:tcPr>
          <w:p w14:paraId="5FB47AC3">
            <w:r>
              <w:rPr>
                <w:rFonts w:hint="eastAsia"/>
              </w:rPr>
              <w:t>中债信用债总指数收益率</w:t>
            </w:r>
          </w:p>
        </w:tc>
      </w:tr>
      <w:tr w14:paraId="3B6D6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4A0CB4A">
            <w:r>
              <w:rPr>
                <w:rFonts w:hint="eastAsia"/>
              </w:rPr>
              <w:t>风险收益特征</w:t>
            </w:r>
          </w:p>
        </w:tc>
        <w:tc>
          <w:tcPr>
            <w:tcW w:w="6644" w:type="dxa"/>
            <w:vAlign w:val="center"/>
          </w:tcPr>
          <w:p w14:paraId="00D791A0">
            <w:r>
              <w:rPr>
                <w:rFonts w:hint="eastAsia"/>
              </w:rPr>
              <w:t>本基金为债券型基金，一般而言，其长期平均风险和预期收益率低于股票型基金、混合型基金，高于货币市场基金。</w:t>
            </w:r>
          </w:p>
        </w:tc>
      </w:tr>
    </w:tbl>
    <w:p w14:paraId="3E2B7C08">
      <w:pPr>
        <w:pStyle w:val="23"/>
      </w:pPr>
      <w:bookmarkStart w:id="8" w:name="_Toc25103"/>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44C01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09C8009">
            <w:r>
              <w:rPr>
                <w:rFonts w:hint="eastAsia"/>
              </w:rPr>
              <w:t>项目</w:t>
            </w:r>
          </w:p>
        </w:tc>
        <w:tc>
          <w:tcPr>
            <w:tcW w:w="2270" w:type="dxa"/>
            <w:vAlign w:val="center"/>
          </w:tcPr>
          <w:p w14:paraId="5D33A13F">
            <w:r>
              <w:rPr>
                <w:rFonts w:hint="eastAsia"/>
              </w:rPr>
              <w:t>基金管理人</w:t>
            </w:r>
          </w:p>
        </w:tc>
        <w:tc>
          <w:tcPr>
            <w:tcW w:w="2990" w:type="dxa"/>
            <w:vAlign w:val="center"/>
          </w:tcPr>
          <w:p w14:paraId="2488EF7A">
            <w:r>
              <w:rPr>
                <w:rFonts w:hint="eastAsia"/>
              </w:rPr>
              <w:t>基金托管人</w:t>
            </w:r>
          </w:p>
        </w:tc>
      </w:tr>
      <w:tr w14:paraId="00CD4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D9FA2EA">
            <w:r>
              <w:rPr>
                <w:rFonts w:hint="eastAsia"/>
              </w:rPr>
              <w:t>名称</w:t>
            </w:r>
          </w:p>
        </w:tc>
        <w:tc>
          <w:tcPr>
            <w:tcW w:w="2270" w:type="dxa"/>
            <w:vAlign w:val="center"/>
          </w:tcPr>
          <w:p w14:paraId="134F5D2E">
            <w:r>
              <w:rPr>
                <w:rFonts w:hint="eastAsia"/>
              </w:rPr>
              <w:t>南方基金管理股份有限公司</w:t>
            </w:r>
          </w:p>
        </w:tc>
        <w:tc>
          <w:tcPr>
            <w:tcW w:w="2990" w:type="dxa"/>
            <w:vAlign w:val="center"/>
          </w:tcPr>
          <w:p w14:paraId="7D339C95">
            <w:r>
              <w:rPr>
                <w:rFonts w:hint="eastAsia"/>
              </w:rPr>
              <w:t>招商银行股份有限公司</w:t>
            </w:r>
          </w:p>
        </w:tc>
      </w:tr>
      <w:tr w14:paraId="3CB40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A3C07A8">
            <w:r>
              <w:rPr>
                <w:rFonts w:hint="eastAsia"/>
              </w:rPr>
              <w:t>信息披露负责人</w:t>
            </w:r>
          </w:p>
        </w:tc>
        <w:tc>
          <w:tcPr>
            <w:tcW w:w="1384" w:type="dxa"/>
            <w:vAlign w:val="center"/>
          </w:tcPr>
          <w:p w14:paraId="1B0DB8D6">
            <w:r>
              <w:rPr>
                <w:rFonts w:hint="eastAsia"/>
              </w:rPr>
              <w:t>姓名</w:t>
            </w:r>
          </w:p>
        </w:tc>
        <w:tc>
          <w:tcPr>
            <w:tcW w:w="2270" w:type="dxa"/>
            <w:vAlign w:val="center"/>
          </w:tcPr>
          <w:p w14:paraId="59EDB246">
            <w:r>
              <w:rPr>
                <w:rFonts w:hint="eastAsia"/>
              </w:rPr>
              <w:t>鲍文革</w:t>
            </w:r>
          </w:p>
        </w:tc>
        <w:tc>
          <w:tcPr>
            <w:tcW w:w="2990" w:type="dxa"/>
            <w:vAlign w:val="center"/>
          </w:tcPr>
          <w:p w14:paraId="3AB4D1A4">
            <w:r>
              <w:rPr>
                <w:rFonts w:hint="eastAsia"/>
              </w:rPr>
              <w:t>张姗</w:t>
            </w:r>
          </w:p>
        </w:tc>
      </w:tr>
      <w:tr w14:paraId="6C5EC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993945B"/>
        </w:tc>
        <w:tc>
          <w:tcPr>
            <w:tcW w:w="1384" w:type="dxa"/>
            <w:vAlign w:val="center"/>
          </w:tcPr>
          <w:p w14:paraId="130C0ECD">
            <w:r>
              <w:rPr>
                <w:rFonts w:hint="eastAsia"/>
              </w:rPr>
              <w:t>联系电话</w:t>
            </w:r>
          </w:p>
        </w:tc>
        <w:tc>
          <w:tcPr>
            <w:tcW w:w="2270" w:type="dxa"/>
            <w:vAlign w:val="center"/>
          </w:tcPr>
          <w:p w14:paraId="2F893816">
            <w:r>
              <w:rPr>
                <w:rFonts w:hint="eastAsia"/>
              </w:rPr>
              <w:t>0755-82763888</w:t>
            </w:r>
          </w:p>
        </w:tc>
        <w:tc>
          <w:tcPr>
            <w:tcW w:w="2990" w:type="dxa"/>
            <w:vAlign w:val="center"/>
          </w:tcPr>
          <w:p w14:paraId="01E1E03B">
            <w:r>
              <w:rPr>
                <w:rFonts w:hint="eastAsia"/>
              </w:rPr>
              <w:t>400-61-95555</w:t>
            </w:r>
          </w:p>
        </w:tc>
      </w:tr>
      <w:tr w14:paraId="4456C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CF3E0FB"/>
        </w:tc>
        <w:tc>
          <w:tcPr>
            <w:tcW w:w="1384" w:type="dxa"/>
            <w:vAlign w:val="center"/>
          </w:tcPr>
          <w:p w14:paraId="41C385B5">
            <w:r>
              <w:rPr>
                <w:rFonts w:hint="eastAsia"/>
              </w:rPr>
              <w:t>电子邮箱</w:t>
            </w:r>
          </w:p>
        </w:tc>
        <w:tc>
          <w:tcPr>
            <w:tcW w:w="2270" w:type="dxa"/>
            <w:vAlign w:val="center"/>
          </w:tcPr>
          <w:p w14:paraId="19D8D1FA">
            <w:r>
              <w:rPr>
                <w:rFonts w:hint="eastAsia"/>
              </w:rPr>
              <w:t>manager@southernfund.com</w:t>
            </w:r>
          </w:p>
        </w:tc>
        <w:tc>
          <w:tcPr>
            <w:tcW w:w="2990" w:type="dxa"/>
            <w:vAlign w:val="center"/>
          </w:tcPr>
          <w:p w14:paraId="17E792AF">
            <w:r>
              <w:rPr>
                <w:rFonts w:hint="eastAsia"/>
              </w:rPr>
              <w:t>zhangshan_1027@cmbchina.com</w:t>
            </w:r>
          </w:p>
        </w:tc>
      </w:tr>
      <w:tr w14:paraId="20C69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C22E9E7">
            <w:r>
              <w:rPr>
                <w:rFonts w:hint="eastAsia"/>
              </w:rPr>
              <w:t>客户服务电话</w:t>
            </w:r>
          </w:p>
        </w:tc>
        <w:tc>
          <w:tcPr>
            <w:tcW w:w="2270" w:type="dxa"/>
            <w:vAlign w:val="center"/>
          </w:tcPr>
          <w:p w14:paraId="76311FEA">
            <w:r>
              <w:rPr>
                <w:rFonts w:hint="eastAsia"/>
              </w:rPr>
              <w:t>400-889-8899</w:t>
            </w:r>
          </w:p>
        </w:tc>
        <w:tc>
          <w:tcPr>
            <w:tcW w:w="2990" w:type="dxa"/>
            <w:vAlign w:val="center"/>
          </w:tcPr>
          <w:p w14:paraId="54ABCAF7">
            <w:r>
              <w:rPr>
                <w:rFonts w:hint="eastAsia"/>
              </w:rPr>
              <w:t>400-61-95555</w:t>
            </w:r>
          </w:p>
        </w:tc>
      </w:tr>
      <w:tr w14:paraId="5AD17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6B74BB3">
            <w:r>
              <w:rPr>
                <w:rFonts w:hint="eastAsia"/>
              </w:rPr>
              <w:t>传真</w:t>
            </w:r>
          </w:p>
        </w:tc>
        <w:tc>
          <w:tcPr>
            <w:tcW w:w="2270" w:type="dxa"/>
            <w:vAlign w:val="center"/>
          </w:tcPr>
          <w:p w14:paraId="669CE64C">
            <w:r>
              <w:rPr>
                <w:rFonts w:hint="eastAsia"/>
              </w:rPr>
              <w:t>0755-82763889</w:t>
            </w:r>
          </w:p>
        </w:tc>
        <w:tc>
          <w:tcPr>
            <w:tcW w:w="2990" w:type="dxa"/>
            <w:vAlign w:val="center"/>
          </w:tcPr>
          <w:p w14:paraId="5779D8DD">
            <w:r>
              <w:rPr>
                <w:rFonts w:hint="eastAsia"/>
              </w:rPr>
              <w:t>0755-83195201</w:t>
            </w:r>
          </w:p>
        </w:tc>
      </w:tr>
      <w:tr w14:paraId="1D10E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8EC1F80">
            <w:r>
              <w:rPr>
                <w:rFonts w:hint="eastAsia"/>
              </w:rPr>
              <w:t>注册地址</w:t>
            </w:r>
          </w:p>
        </w:tc>
        <w:tc>
          <w:tcPr>
            <w:tcW w:w="2270" w:type="dxa"/>
            <w:vAlign w:val="center"/>
          </w:tcPr>
          <w:p w14:paraId="5353FD45">
            <w:r>
              <w:rPr>
                <w:rFonts w:hint="eastAsia"/>
              </w:rPr>
              <w:t>深圳市福田区莲花街道益田路5999号基金大厦32-42楼</w:t>
            </w:r>
          </w:p>
        </w:tc>
        <w:tc>
          <w:tcPr>
            <w:tcW w:w="2990" w:type="dxa"/>
            <w:vAlign w:val="center"/>
          </w:tcPr>
          <w:p w14:paraId="5E327647">
            <w:r>
              <w:rPr>
                <w:rFonts w:hint="eastAsia"/>
              </w:rPr>
              <w:t>深圳市深南大道7088号招商银行大厦</w:t>
            </w:r>
          </w:p>
        </w:tc>
      </w:tr>
      <w:tr w14:paraId="16DC8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590A447">
            <w:r>
              <w:rPr>
                <w:rFonts w:hint="eastAsia"/>
              </w:rPr>
              <w:t>办公地址</w:t>
            </w:r>
          </w:p>
        </w:tc>
        <w:tc>
          <w:tcPr>
            <w:tcW w:w="2270" w:type="dxa"/>
            <w:vAlign w:val="center"/>
          </w:tcPr>
          <w:p w14:paraId="62207125">
            <w:r>
              <w:rPr>
                <w:rFonts w:hint="eastAsia"/>
              </w:rPr>
              <w:t>深圳市福田区莲花街道益田路5999号基金大厦32-42楼</w:t>
            </w:r>
          </w:p>
        </w:tc>
        <w:tc>
          <w:tcPr>
            <w:tcW w:w="2990" w:type="dxa"/>
            <w:vAlign w:val="center"/>
          </w:tcPr>
          <w:p w14:paraId="621DA01E">
            <w:r>
              <w:rPr>
                <w:rFonts w:hint="eastAsia"/>
              </w:rPr>
              <w:t>深圳市深南大道7088号招商银行大厦</w:t>
            </w:r>
          </w:p>
        </w:tc>
      </w:tr>
      <w:tr w14:paraId="795D4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969EDEB">
            <w:r>
              <w:rPr>
                <w:rFonts w:hint="eastAsia"/>
              </w:rPr>
              <w:t>邮政编码</w:t>
            </w:r>
          </w:p>
        </w:tc>
        <w:tc>
          <w:tcPr>
            <w:tcW w:w="2270" w:type="dxa"/>
            <w:vAlign w:val="center"/>
          </w:tcPr>
          <w:p w14:paraId="489807CB">
            <w:r>
              <w:rPr>
                <w:rFonts w:hint="eastAsia"/>
              </w:rPr>
              <w:t>518017</w:t>
            </w:r>
          </w:p>
        </w:tc>
        <w:tc>
          <w:tcPr>
            <w:tcW w:w="2990" w:type="dxa"/>
            <w:vAlign w:val="center"/>
          </w:tcPr>
          <w:p w14:paraId="2D01D49F">
            <w:r>
              <w:rPr>
                <w:rFonts w:hint="eastAsia"/>
              </w:rPr>
              <w:t>518040</w:t>
            </w:r>
          </w:p>
        </w:tc>
      </w:tr>
      <w:tr w14:paraId="7FE69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BDD435F">
            <w:r>
              <w:rPr>
                <w:rFonts w:hint="eastAsia"/>
              </w:rPr>
              <w:t>法定代表人</w:t>
            </w:r>
          </w:p>
        </w:tc>
        <w:tc>
          <w:tcPr>
            <w:tcW w:w="2270" w:type="dxa"/>
            <w:vAlign w:val="center"/>
          </w:tcPr>
          <w:p w14:paraId="7AF9D34E">
            <w:r>
              <w:rPr>
                <w:rFonts w:hint="eastAsia"/>
              </w:rPr>
              <w:t>周易</w:t>
            </w:r>
          </w:p>
        </w:tc>
        <w:tc>
          <w:tcPr>
            <w:tcW w:w="2990" w:type="dxa"/>
            <w:vAlign w:val="center"/>
          </w:tcPr>
          <w:p w14:paraId="7E3D8B8B">
            <w:r>
              <w:rPr>
                <w:rFonts w:hint="eastAsia"/>
              </w:rPr>
              <w:t>缪建民</w:t>
            </w:r>
          </w:p>
        </w:tc>
      </w:tr>
    </w:tbl>
    <w:p w14:paraId="44096775">
      <w:pPr>
        <w:pStyle w:val="23"/>
      </w:pPr>
      <w:bookmarkStart w:id="9" w:name="_Toc2176"/>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4A087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3BF0E4B">
            <w:r>
              <w:rPr>
                <w:rFonts w:hint="eastAsia"/>
              </w:rPr>
              <w:t>本基金选定的信息披露报纸名称</w:t>
            </w:r>
          </w:p>
        </w:tc>
        <w:tc>
          <w:tcPr>
            <w:tcW w:w="3322" w:type="dxa"/>
            <w:vAlign w:val="center"/>
          </w:tcPr>
          <w:p w14:paraId="0D3B92DA">
            <w:r>
              <w:rPr>
                <w:rFonts w:hint="eastAsia"/>
              </w:rPr>
              <w:t>证券时报</w:t>
            </w:r>
          </w:p>
        </w:tc>
      </w:tr>
      <w:tr w14:paraId="7FBCE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45852E4">
            <w:r>
              <w:rPr>
                <w:rFonts w:hint="eastAsia"/>
              </w:rPr>
              <w:t>登载基金年度报告正文的管理人互联网网址</w:t>
            </w:r>
          </w:p>
        </w:tc>
        <w:tc>
          <w:tcPr>
            <w:tcW w:w="3322" w:type="dxa"/>
            <w:vAlign w:val="center"/>
          </w:tcPr>
          <w:p w14:paraId="0D735F8D">
            <w:r>
              <w:rPr>
                <w:rFonts w:hint="eastAsia"/>
              </w:rPr>
              <w:t>http://www.nffund.com</w:t>
            </w:r>
          </w:p>
        </w:tc>
      </w:tr>
      <w:tr w14:paraId="23459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1E6195C">
            <w:r>
              <w:rPr>
                <w:rFonts w:hint="eastAsia"/>
              </w:rPr>
              <w:t>基金年度报告备置地点</w:t>
            </w:r>
          </w:p>
        </w:tc>
        <w:tc>
          <w:tcPr>
            <w:tcW w:w="3322" w:type="dxa"/>
            <w:vAlign w:val="center"/>
          </w:tcPr>
          <w:p w14:paraId="03C7E0FB">
            <w:r>
              <w:rPr>
                <w:rFonts w:hint="eastAsia"/>
              </w:rPr>
              <w:t>基金管理人、基金托管人的办公地址、基金上市交易的证券交易所（如有）</w:t>
            </w:r>
          </w:p>
        </w:tc>
      </w:tr>
    </w:tbl>
    <w:p w14:paraId="369DA98E">
      <w:pPr>
        <w:pStyle w:val="23"/>
      </w:pPr>
      <w:r>
        <w:t xml:space="preserve"> </w:t>
      </w:r>
      <w:bookmarkStart w:id="10" w:name="_Toc2543"/>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590C1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75206A12">
            <w:pPr>
              <w:jc w:val="center"/>
            </w:pPr>
            <w:r>
              <w:rPr>
                <w:rFonts w:hint="eastAsia"/>
                <w:b/>
              </w:rPr>
              <w:t>项目</w:t>
            </w:r>
          </w:p>
        </w:tc>
        <w:tc>
          <w:tcPr>
            <w:tcW w:w="2907" w:type="dxa"/>
            <w:shd w:val="clear" w:color="auto" w:fill="BFBFBF"/>
            <w:vAlign w:val="center"/>
          </w:tcPr>
          <w:p w14:paraId="7C37CBD4">
            <w:pPr>
              <w:jc w:val="center"/>
            </w:pPr>
            <w:r>
              <w:rPr>
                <w:rFonts w:hint="eastAsia"/>
                <w:b/>
              </w:rPr>
              <w:t>名称</w:t>
            </w:r>
          </w:p>
        </w:tc>
        <w:tc>
          <w:tcPr>
            <w:tcW w:w="3876" w:type="dxa"/>
            <w:shd w:val="clear" w:color="auto" w:fill="BFBFBF"/>
            <w:vAlign w:val="center"/>
          </w:tcPr>
          <w:p w14:paraId="68EA1162">
            <w:pPr>
              <w:jc w:val="center"/>
            </w:pPr>
            <w:r>
              <w:rPr>
                <w:rFonts w:hint="eastAsia"/>
                <w:b/>
              </w:rPr>
              <w:t>办公地址</w:t>
            </w:r>
          </w:p>
        </w:tc>
      </w:tr>
      <w:tr w14:paraId="42C70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3C10C854">
            <w:r>
              <w:rPr>
                <w:rFonts w:hint="eastAsia"/>
              </w:rPr>
              <w:t>会计师事务所</w:t>
            </w:r>
          </w:p>
        </w:tc>
        <w:tc>
          <w:tcPr>
            <w:tcW w:w="2907" w:type="dxa"/>
            <w:vAlign w:val="center"/>
          </w:tcPr>
          <w:p w14:paraId="3AA59C5F">
            <w:r>
              <w:rPr>
                <w:rFonts w:hint="eastAsia"/>
              </w:rPr>
              <w:t>安永华明会计师事务所（特殊普通合伙）</w:t>
            </w:r>
          </w:p>
        </w:tc>
        <w:tc>
          <w:tcPr>
            <w:tcW w:w="3876" w:type="dxa"/>
            <w:vAlign w:val="center"/>
          </w:tcPr>
          <w:p w14:paraId="6227D184">
            <w:r>
              <w:rPr>
                <w:rFonts w:hint="eastAsia"/>
              </w:rPr>
              <w:t>北京市东城区东长安街1号东方广场安永大楼17层</w:t>
            </w:r>
          </w:p>
        </w:tc>
      </w:tr>
      <w:tr w14:paraId="1E66A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2762F6E3">
            <w:r>
              <w:rPr>
                <w:rFonts w:hint="eastAsia"/>
              </w:rPr>
              <w:t>注册登记机构</w:t>
            </w:r>
          </w:p>
        </w:tc>
        <w:tc>
          <w:tcPr>
            <w:tcW w:w="2907" w:type="dxa"/>
            <w:vAlign w:val="center"/>
          </w:tcPr>
          <w:p w14:paraId="43853099">
            <w:r>
              <w:rPr>
                <w:rFonts w:hint="eastAsia"/>
              </w:rPr>
              <w:t>南方基金管理股份有限公司</w:t>
            </w:r>
          </w:p>
        </w:tc>
        <w:tc>
          <w:tcPr>
            <w:tcW w:w="3876" w:type="dxa"/>
            <w:vAlign w:val="center"/>
          </w:tcPr>
          <w:p w14:paraId="3A4D038F">
            <w:r>
              <w:rPr>
                <w:rFonts w:hint="eastAsia"/>
              </w:rPr>
              <w:t>深圳市福田区莲花街道益田路5999号基金大厦32-42楼</w:t>
            </w:r>
          </w:p>
        </w:tc>
      </w:tr>
    </w:tbl>
    <w:p w14:paraId="5187AD1D">
      <w:pPr>
        <w:pStyle w:val="26"/>
        <w:pageBreakBefore/>
      </w:pPr>
      <w:bookmarkStart w:id="11" w:name="_Toc4051"/>
      <w:r>
        <w:t>主要财务指标、基金净值表现及利润分配情况</w:t>
      </w:r>
      <w:bookmarkEnd w:id="11"/>
    </w:p>
    <w:p w14:paraId="5591FE1C">
      <w:pPr>
        <w:pStyle w:val="23"/>
      </w:pPr>
      <w:bookmarkStart w:id="12" w:name="_Toc26176"/>
      <w:r>
        <w:t>主要会计数据和财务指标</w:t>
      </w:r>
      <w:bookmarkEnd w:id="12"/>
    </w:p>
    <w:p w14:paraId="548863B0">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00CD8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33AA540">
            <w:r>
              <w:rPr>
                <w:rFonts w:hint="eastAsia"/>
              </w:rPr>
              <w:t>3.1.1 期间数据和指标</w:t>
            </w:r>
          </w:p>
        </w:tc>
        <w:tc>
          <w:tcPr>
            <w:tcW w:w="1771" w:type="dxa"/>
            <w:vAlign w:val="center"/>
          </w:tcPr>
          <w:p w14:paraId="788082F3">
            <w:r>
              <w:rPr>
                <w:rFonts w:hint="eastAsia"/>
              </w:rPr>
              <w:t>2025年</w:t>
            </w:r>
          </w:p>
        </w:tc>
        <w:tc>
          <w:tcPr>
            <w:tcW w:w="1949" w:type="dxa"/>
            <w:vAlign w:val="center"/>
          </w:tcPr>
          <w:p w14:paraId="001A223F">
            <w:r>
              <w:rPr>
                <w:rFonts w:hint="eastAsia"/>
              </w:rPr>
              <w:t>2024年</w:t>
            </w:r>
          </w:p>
        </w:tc>
        <w:tc>
          <w:tcPr>
            <w:tcW w:w="1827" w:type="dxa"/>
            <w:vAlign w:val="center"/>
          </w:tcPr>
          <w:p w14:paraId="678FF4DD">
            <w:r>
              <w:rPr>
                <w:rFonts w:hint="eastAsia"/>
              </w:rPr>
              <w:t>2023年</w:t>
            </w:r>
          </w:p>
        </w:tc>
      </w:tr>
      <w:tr w14:paraId="7A8B0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1F9DABA">
            <w:r>
              <w:rPr>
                <w:rFonts w:hint="eastAsia"/>
              </w:rPr>
              <w:t>本期已实现收益</w:t>
            </w:r>
          </w:p>
        </w:tc>
        <w:tc>
          <w:tcPr>
            <w:tcW w:w="1771" w:type="dxa"/>
            <w:vAlign w:val="center"/>
          </w:tcPr>
          <w:p w14:paraId="7D051604">
            <w:pPr>
              <w:jc w:val="right"/>
            </w:pPr>
            <w:r>
              <w:rPr>
                <w:rFonts w:hint="eastAsia"/>
              </w:rPr>
              <w:t>22,778,870.03</w:t>
            </w:r>
          </w:p>
        </w:tc>
        <w:tc>
          <w:tcPr>
            <w:tcW w:w="1949" w:type="dxa"/>
            <w:vAlign w:val="center"/>
          </w:tcPr>
          <w:p w14:paraId="7BDC25C1">
            <w:pPr>
              <w:jc w:val="right"/>
            </w:pPr>
            <w:r>
              <w:rPr>
                <w:rFonts w:hint="eastAsia"/>
              </w:rPr>
              <w:t>49,861,556.18</w:t>
            </w:r>
          </w:p>
        </w:tc>
        <w:tc>
          <w:tcPr>
            <w:tcW w:w="1827" w:type="dxa"/>
            <w:vAlign w:val="center"/>
          </w:tcPr>
          <w:p w14:paraId="1D99EC08">
            <w:pPr>
              <w:jc w:val="right"/>
            </w:pPr>
            <w:r>
              <w:rPr>
                <w:rFonts w:hint="eastAsia"/>
              </w:rPr>
              <w:t>33,389,664.15</w:t>
            </w:r>
          </w:p>
        </w:tc>
      </w:tr>
      <w:tr w14:paraId="1A880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153EB60">
            <w:r>
              <w:rPr>
                <w:rFonts w:hint="eastAsia"/>
              </w:rPr>
              <w:t>本期利润</w:t>
            </w:r>
          </w:p>
        </w:tc>
        <w:tc>
          <w:tcPr>
            <w:tcW w:w="1771" w:type="dxa"/>
            <w:vAlign w:val="center"/>
          </w:tcPr>
          <w:p w14:paraId="628547AD">
            <w:pPr>
              <w:jc w:val="right"/>
            </w:pPr>
            <w:r>
              <w:rPr>
                <w:rFonts w:hint="eastAsia"/>
              </w:rPr>
              <w:t>12,035,205.59</w:t>
            </w:r>
          </w:p>
        </w:tc>
        <w:tc>
          <w:tcPr>
            <w:tcW w:w="1949" w:type="dxa"/>
            <w:vAlign w:val="center"/>
          </w:tcPr>
          <w:p w14:paraId="433DA1B9">
            <w:pPr>
              <w:jc w:val="right"/>
            </w:pPr>
            <w:r>
              <w:rPr>
                <w:rFonts w:hint="eastAsia"/>
              </w:rPr>
              <w:t>59,259,463.55</w:t>
            </w:r>
          </w:p>
        </w:tc>
        <w:tc>
          <w:tcPr>
            <w:tcW w:w="1827" w:type="dxa"/>
            <w:vAlign w:val="center"/>
          </w:tcPr>
          <w:p w14:paraId="578BEC44">
            <w:pPr>
              <w:jc w:val="right"/>
            </w:pPr>
            <w:r>
              <w:rPr>
                <w:rFonts w:hint="eastAsia"/>
              </w:rPr>
              <w:t>35,408,036.18</w:t>
            </w:r>
          </w:p>
        </w:tc>
      </w:tr>
      <w:tr w14:paraId="19392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1E6742B">
            <w:r>
              <w:rPr>
                <w:rFonts w:hint="eastAsia"/>
              </w:rPr>
              <w:t>加权平均基金份额本期利润</w:t>
            </w:r>
          </w:p>
        </w:tc>
        <w:tc>
          <w:tcPr>
            <w:tcW w:w="1771" w:type="dxa"/>
            <w:vAlign w:val="center"/>
          </w:tcPr>
          <w:p w14:paraId="6B6CA276">
            <w:pPr>
              <w:jc w:val="right"/>
            </w:pPr>
            <w:r>
              <w:rPr>
                <w:rFonts w:hint="eastAsia"/>
              </w:rPr>
              <w:t>0.0126</w:t>
            </w:r>
          </w:p>
        </w:tc>
        <w:tc>
          <w:tcPr>
            <w:tcW w:w="1949" w:type="dxa"/>
            <w:vAlign w:val="center"/>
          </w:tcPr>
          <w:p w14:paraId="37A1EFA4">
            <w:pPr>
              <w:jc w:val="right"/>
            </w:pPr>
            <w:r>
              <w:rPr>
                <w:rFonts w:hint="eastAsia"/>
              </w:rPr>
              <w:t>0.0620</w:t>
            </w:r>
          </w:p>
        </w:tc>
        <w:tc>
          <w:tcPr>
            <w:tcW w:w="1827" w:type="dxa"/>
            <w:vAlign w:val="center"/>
          </w:tcPr>
          <w:p w14:paraId="1F270995">
            <w:pPr>
              <w:jc w:val="right"/>
            </w:pPr>
            <w:r>
              <w:rPr>
                <w:rFonts w:hint="eastAsia"/>
              </w:rPr>
              <w:t>0.0370</w:t>
            </w:r>
          </w:p>
        </w:tc>
      </w:tr>
      <w:tr w14:paraId="5DC19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EF3C5FF">
            <w:r>
              <w:rPr>
                <w:rFonts w:hint="eastAsia"/>
              </w:rPr>
              <w:t>本期加权平均净值利润率</w:t>
            </w:r>
          </w:p>
        </w:tc>
        <w:tc>
          <w:tcPr>
            <w:tcW w:w="1771" w:type="dxa"/>
            <w:vAlign w:val="center"/>
          </w:tcPr>
          <w:p w14:paraId="4BBFA018">
            <w:pPr>
              <w:jc w:val="right"/>
            </w:pPr>
            <w:r>
              <w:rPr>
                <w:rFonts w:hint="eastAsia"/>
              </w:rPr>
              <w:t>1.10%</w:t>
            </w:r>
          </w:p>
        </w:tc>
        <w:tc>
          <w:tcPr>
            <w:tcW w:w="1949" w:type="dxa"/>
            <w:vAlign w:val="center"/>
          </w:tcPr>
          <w:p w14:paraId="46B36B70">
            <w:pPr>
              <w:jc w:val="right"/>
            </w:pPr>
            <w:r>
              <w:rPr>
                <w:rFonts w:hint="eastAsia"/>
              </w:rPr>
              <w:t>5.61%</w:t>
            </w:r>
          </w:p>
        </w:tc>
        <w:tc>
          <w:tcPr>
            <w:tcW w:w="1827" w:type="dxa"/>
            <w:vAlign w:val="center"/>
          </w:tcPr>
          <w:p w14:paraId="54C31EC2">
            <w:pPr>
              <w:jc w:val="right"/>
            </w:pPr>
            <w:r>
              <w:rPr>
                <w:rFonts w:hint="eastAsia"/>
              </w:rPr>
              <w:t>3.49%</w:t>
            </w:r>
          </w:p>
        </w:tc>
      </w:tr>
      <w:tr w14:paraId="79B06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D63E8A7">
            <w:r>
              <w:rPr>
                <w:rFonts w:hint="eastAsia"/>
              </w:rPr>
              <w:t>本期基金份额净值增长率</w:t>
            </w:r>
          </w:p>
        </w:tc>
        <w:tc>
          <w:tcPr>
            <w:tcW w:w="1771" w:type="dxa"/>
            <w:vAlign w:val="center"/>
          </w:tcPr>
          <w:p w14:paraId="426E946A">
            <w:pPr>
              <w:jc w:val="right"/>
            </w:pPr>
            <w:r>
              <w:rPr>
                <w:rFonts w:hint="eastAsia"/>
              </w:rPr>
              <w:t>1.10%</w:t>
            </w:r>
          </w:p>
        </w:tc>
        <w:tc>
          <w:tcPr>
            <w:tcW w:w="1949" w:type="dxa"/>
            <w:vAlign w:val="center"/>
          </w:tcPr>
          <w:p w14:paraId="74968C30">
            <w:pPr>
              <w:jc w:val="right"/>
            </w:pPr>
            <w:r>
              <w:rPr>
                <w:rFonts w:hint="eastAsia"/>
              </w:rPr>
              <w:t>5.74%</w:t>
            </w:r>
          </w:p>
        </w:tc>
        <w:tc>
          <w:tcPr>
            <w:tcW w:w="1827" w:type="dxa"/>
            <w:vAlign w:val="center"/>
          </w:tcPr>
          <w:p w14:paraId="62ABAB94">
            <w:pPr>
              <w:jc w:val="right"/>
            </w:pPr>
            <w:r>
              <w:rPr>
                <w:rFonts w:hint="eastAsia"/>
              </w:rPr>
              <w:t>3.55%</w:t>
            </w:r>
          </w:p>
        </w:tc>
      </w:tr>
      <w:tr w14:paraId="56AF9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BCF6F2E">
            <w:r>
              <w:rPr>
                <w:rFonts w:hint="eastAsia"/>
              </w:rPr>
              <w:t>3.1.2 期末数据和指标</w:t>
            </w:r>
          </w:p>
        </w:tc>
        <w:tc>
          <w:tcPr>
            <w:tcW w:w="1771" w:type="dxa"/>
            <w:vAlign w:val="center"/>
          </w:tcPr>
          <w:p w14:paraId="4B6830CF">
            <w:r>
              <w:rPr>
                <w:rFonts w:hint="eastAsia"/>
              </w:rPr>
              <w:t>2025年末</w:t>
            </w:r>
          </w:p>
        </w:tc>
        <w:tc>
          <w:tcPr>
            <w:tcW w:w="1949" w:type="dxa"/>
            <w:vAlign w:val="center"/>
          </w:tcPr>
          <w:p w14:paraId="0183AB5C">
            <w:r>
              <w:rPr>
                <w:rFonts w:hint="eastAsia"/>
              </w:rPr>
              <w:t>2024年末</w:t>
            </w:r>
          </w:p>
        </w:tc>
        <w:tc>
          <w:tcPr>
            <w:tcW w:w="1827" w:type="dxa"/>
            <w:vAlign w:val="center"/>
          </w:tcPr>
          <w:p w14:paraId="72DA5750">
            <w:r>
              <w:rPr>
                <w:rFonts w:hint="eastAsia"/>
              </w:rPr>
              <w:t>2023年末</w:t>
            </w:r>
          </w:p>
        </w:tc>
      </w:tr>
      <w:tr w14:paraId="6CB7A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82D6D83">
            <w:r>
              <w:rPr>
                <w:rFonts w:hint="eastAsia"/>
              </w:rPr>
              <w:t>期末可供分配利润</w:t>
            </w:r>
          </w:p>
        </w:tc>
        <w:tc>
          <w:tcPr>
            <w:tcW w:w="1771" w:type="dxa"/>
            <w:vAlign w:val="center"/>
          </w:tcPr>
          <w:p w14:paraId="02B11226">
            <w:pPr>
              <w:jc w:val="right"/>
            </w:pPr>
            <w:r>
              <w:rPr>
                <w:rFonts w:hint="eastAsia"/>
              </w:rPr>
              <w:t>130,261,600.49</w:t>
            </w:r>
          </w:p>
        </w:tc>
        <w:tc>
          <w:tcPr>
            <w:tcW w:w="1949" w:type="dxa"/>
            <w:vAlign w:val="center"/>
          </w:tcPr>
          <w:p w14:paraId="16F9EA4B">
            <w:pPr>
              <w:jc w:val="right"/>
            </w:pPr>
            <w:r>
              <w:rPr>
                <w:rFonts w:hint="eastAsia"/>
              </w:rPr>
              <w:t>107,461,239.53</w:t>
            </w:r>
          </w:p>
        </w:tc>
        <w:tc>
          <w:tcPr>
            <w:tcW w:w="1827" w:type="dxa"/>
            <w:vAlign w:val="center"/>
          </w:tcPr>
          <w:p w14:paraId="0848D149">
            <w:pPr>
              <w:jc w:val="right"/>
            </w:pPr>
            <w:r>
              <w:rPr>
                <w:rFonts w:hint="eastAsia"/>
              </w:rPr>
              <w:t>57,599,683.84</w:t>
            </w:r>
          </w:p>
        </w:tc>
      </w:tr>
      <w:tr w14:paraId="7D047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8D52EF3">
            <w:r>
              <w:rPr>
                <w:rFonts w:hint="eastAsia"/>
              </w:rPr>
              <w:t>期末可供分配基金份额利润</w:t>
            </w:r>
          </w:p>
        </w:tc>
        <w:tc>
          <w:tcPr>
            <w:tcW w:w="1771" w:type="dxa"/>
            <w:vAlign w:val="center"/>
          </w:tcPr>
          <w:p w14:paraId="397A8DAC">
            <w:pPr>
              <w:jc w:val="right"/>
            </w:pPr>
            <w:r>
              <w:rPr>
                <w:rFonts w:hint="eastAsia"/>
              </w:rPr>
              <w:t>0.1361</w:t>
            </w:r>
          </w:p>
        </w:tc>
        <w:tc>
          <w:tcPr>
            <w:tcW w:w="1949" w:type="dxa"/>
            <w:vAlign w:val="center"/>
          </w:tcPr>
          <w:p w14:paraId="362B3DC9">
            <w:pPr>
              <w:jc w:val="right"/>
            </w:pPr>
            <w:r>
              <w:rPr>
                <w:rFonts w:hint="eastAsia"/>
              </w:rPr>
              <w:t>0.1123</w:t>
            </w:r>
          </w:p>
        </w:tc>
        <w:tc>
          <w:tcPr>
            <w:tcW w:w="1827" w:type="dxa"/>
            <w:vAlign w:val="center"/>
          </w:tcPr>
          <w:p w14:paraId="2D31E1DF">
            <w:pPr>
              <w:jc w:val="right"/>
            </w:pPr>
            <w:r>
              <w:rPr>
                <w:rFonts w:hint="eastAsia"/>
              </w:rPr>
              <w:t>0.0602</w:t>
            </w:r>
          </w:p>
        </w:tc>
      </w:tr>
      <w:tr w14:paraId="57AB9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C8E7C20">
            <w:r>
              <w:rPr>
                <w:rFonts w:hint="eastAsia"/>
              </w:rPr>
              <w:t>期末基金资产净值</w:t>
            </w:r>
          </w:p>
        </w:tc>
        <w:tc>
          <w:tcPr>
            <w:tcW w:w="1771" w:type="dxa"/>
            <w:vAlign w:val="center"/>
          </w:tcPr>
          <w:p w14:paraId="2D9F9217">
            <w:pPr>
              <w:jc w:val="right"/>
            </w:pPr>
            <w:r>
              <w:rPr>
                <w:rFonts w:hint="eastAsia"/>
              </w:rPr>
              <w:t>1,104,286,329.52</w:t>
            </w:r>
          </w:p>
        </w:tc>
        <w:tc>
          <w:tcPr>
            <w:tcW w:w="1949" w:type="dxa"/>
            <w:vAlign w:val="center"/>
          </w:tcPr>
          <w:p w14:paraId="5AD9C118">
            <w:pPr>
              <w:jc w:val="right"/>
            </w:pPr>
            <w:r>
              <w:rPr>
                <w:rFonts w:hint="eastAsia"/>
              </w:rPr>
              <w:t>1,092,051,144.25</w:t>
            </w:r>
          </w:p>
        </w:tc>
        <w:tc>
          <w:tcPr>
            <w:tcW w:w="1827" w:type="dxa"/>
            <w:vAlign w:val="center"/>
          </w:tcPr>
          <w:p w14:paraId="590A9F7F">
            <w:pPr>
              <w:jc w:val="right"/>
            </w:pPr>
            <w:r>
              <w:rPr>
                <w:rFonts w:hint="eastAsia"/>
              </w:rPr>
              <w:t>1,032,791,687.98</w:t>
            </w:r>
          </w:p>
        </w:tc>
      </w:tr>
      <w:tr w14:paraId="22A72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A350FF5">
            <w:r>
              <w:rPr>
                <w:rFonts w:hint="eastAsia"/>
              </w:rPr>
              <w:t>期末基金份额净值</w:t>
            </w:r>
          </w:p>
        </w:tc>
        <w:tc>
          <w:tcPr>
            <w:tcW w:w="1771" w:type="dxa"/>
            <w:vAlign w:val="center"/>
          </w:tcPr>
          <w:p w14:paraId="12898F2E">
            <w:pPr>
              <w:jc w:val="right"/>
            </w:pPr>
            <w:r>
              <w:rPr>
                <w:rFonts w:hint="eastAsia"/>
              </w:rPr>
              <w:t>1.1544</w:t>
            </w:r>
          </w:p>
        </w:tc>
        <w:tc>
          <w:tcPr>
            <w:tcW w:w="1949" w:type="dxa"/>
            <w:vAlign w:val="center"/>
          </w:tcPr>
          <w:p w14:paraId="02CABC62">
            <w:pPr>
              <w:jc w:val="right"/>
            </w:pPr>
            <w:r>
              <w:rPr>
                <w:rFonts w:hint="eastAsia"/>
              </w:rPr>
              <w:t>1.1418</w:t>
            </w:r>
          </w:p>
        </w:tc>
        <w:tc>
          <w:tcPr>
            <w:tcW w:w="1827" w:type="dxa"/>
            <w:vAlign w:val="center"/>
          </w:tcPr>
          <w:p w14:paraId="03C74E75">
            <w:pPr>
              <w:jc w:val="right"/>
            </w:pPr>
            <w:r>
              <w:rPr>
                <w:rFonts w:hint="eastAsia"/>
              </w:rPr>
              <w:t>1.0798</w:t>
            </w:r>
          </w:p>
        </w:tc>
      </w:tr>
      <w:tr w14:paraId="15609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C8A11D5">
            <w:r>
              <w:rPr>
                <w:rFonts w:hint="eastAsia"/>
              </w:rPr>
              <w:t>3.1.3 累计期末指标</w:t>
            </w:r>
          </w:p>
        </w:tc>
        <w:tc>
          <w:tcPr>
            <w:tcW w:w="1771" w:type="dxa"/>
            <w:vAlign w:val="center"/>
          </w:tcPr>
          <w:p w14:paraId="5417A6F2">
            <w:r>
              <w:rPr>
                <w:rFonts w:hint="eastAsia"/>
              </w:rPr>
              <w:t>2025年末</w:t>
            </w:r>
          </w:p>
        </w:tc>
        <w:tc>
          <w:tcPr>
            <w:tcW w:w="1949" w:type="dxa"/>
            <w:vAlign w:val="center"/>
          </w:tcPr>
          <w:p w14:paraId="480574B2">
            <w:r>
              <w:rPr>
                <w:rFonts w:hint="eastAsia"/>
              </w:rPr>
              <w:t>2024年末</w:t>
            </w:r>
          </w:p>
        </w:tc>
        <w:tc>
          <w:tcPr>
            <w:tcW w:w="1827" w:type="dxa"/>
            <w:vAlign w:val="center"/>
          </w:tcPr>
          <w:p w14:paraId="0BCA2892">
            <w:r>
              <w:rPr>
                <w:rFonts w:hint="eastAsia"/>
              </w:rPr>
              <w:t>2023年末</w:t>
            </w:r>
          </w:p>
        </w:tc>
      </w:tr>
      <w:tr w14:paraId="63476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DCF0550">
            <w:r>
              <w:rPr>
                <w:rFonts w:hint="eastAsia"/>
              </w:rPr>
              <w:t>基金份额累计净值增长率</w:t>
            </w:r>
          </w:p>
        </w:tc>
        <w:tc>
          <w:tcPr>
            <w:tcW w:w="1771" w:type="dxa"/>
            <w:vAlign w:val="center"/>
          </w:tcPr>
          <w:p w14:paraId="09F0BCE2">
            <w:pPr>
              <w:jc w:val="right"/>
            </w:pPr>
            <w:r>
              <w:rPr>
                <w:rFonts w:hint="eastAsia"/>
              </w:rPr>
              <w:t>24.68%</w:t>
            </w:r>
          </w:p>
        </w:tc>
        <w:tc>
          <w:tcPr>
            <w:tcW w:w="1949" w:type="dxa"/>
            <w:vAlign w:val="center"/>
          </w:tcPr>
          <w:p w14:paraId="5C1A71FE">
            <w:pPr>
              <w:jc w:val="right"/>
            </w:pPr>
            <w:r>
              <w:rPr>
                <w:rFonts w:hint="eastAsia"/>
              </w:rPr>
              <w:t>23.32%</w:t>
            </w:r>
          </w:p>
        </w:tc>
        <w:tc>
          <w:tcPr>
            <w:tcW w:w="1827" w:type="dxa"/>
            <w:vAlign w:val="center"/>
          </w:tcPr>
          <w:p w14:paraId="30BD47A0">
            <w:pPr>
              <w:jc w:val="right"/>
            </w:pPr>
            <w:r>
              <w:rPr>
                <w:rFonts w:hint="eastAsia"/>
              </w:rPr>
              <w:t>16.62%</w:t>
            </w:r>
          </w:p>
        </w:tc>
      </w:tr>
    </w:tbl>
    <w:p w14:paraId="13E812B5">
      <w:pPr>
        <w:pStyle w:val="47"/>
        <w:rPr>
          <w:rFonts w:hint="eastAsia"/>
        </w:rPr>
      </w:pPr>
      <w:r>
        <w:rPr>
          <w:rFonts w:hint="eastAsia"/>
        </w:rPr>
        <w:t>注：基金业绩指标不包括持有人认（申）购或交易基金的各项费用，计入费用后实际收益水平要低于所列数字；</w:t>
      </w:r>
    </w:p>
    <w:p w14:paraId="289C1EBC">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5F5E8266">
      <w:pPr>
        <w:pStyle w:val="47"/>
        <w:rPr>
          <w:rFonts w:hint="eastAsia"/>
        </w:rPr>
      </w:pPr>
      <w:r>
        <w:tab/>
      </w:r>
      <w:r>
        <w:rPr>
          <w:rFonts w:hint="eastAsia"/>
        </w:rPr>
        <w:t>对期末可供分配利润，采用期末资产负债表中未分配利润与未分配利润中已实现部分的孰低数。</w:t>
      </w:r>
    </w:p>
    <w:p w14:paraId="25E62029">
      <w:pPr>
        <w:pStyle w:val="23"/>
      </w:pPr>
      <w:bookmarkStart w:id="13" w:name="_Toc22170"/>
      <w:r>
        <w:t>基金净值表现</w:t>
      </w:r>
      <w:bookmarkEnd w:id="13"/>
      <w:r>
        <w:t xml:space="preserve"> </w:t>
      </w:r>
    </w:p>
    <w:p w14:paraId="792838EB">
      <w:pPr>
        <w:pStyle w:val="28"/>
      </w:pPr>
      <w:bookmarkStart w:id="14" w:name="_Toc14"/>
      <w:r>
        <w:t xml:space="preserve">基金份额净值增长率及其与同期业绩比较基准收益率的比较 </w:t>
      </w:r>
      <w:bookmarkEnd w:id="1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0ADAE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2652D8FD">
            <w:pPr>
              <w:jc w:val="center"/>
            </w:pPr>
            <w:r>
              <w:rPr>
                <w:rFonts w:hint="eastAsia"/>
                <w:b/>
              </w:rPr>
              <w:t>阶段</w:t>
            </w:r>
          </w:p>
        </w:tc>
        <w:tc>
          <w:tcPr>
            <w:tcW w:w="1101" w:type="dxa"/>
            <w:shd w:val="clear" w:color="auto" w:fill="BFBFBF"/>
            <w:vAlign w:val="center"/>
          </w:tcPr>
          <w:p w14:paraId="7DA86CAA">
            <w:pPr>
              <w:jc w:val="center"/>
            </w:pPr>
            <w:r>
              <w:rPr>
                <w:rFonts w:hint="eastAsia"/>
                <w:b/>
              </w:rPr>
              <w:t>份额净值增长率①</w:t>
            </w:r>
          </w:p>
        </w:tc>
        <w:tc>
          <w:tcPr>
            <w:tcW w:w="1101" w:type="dxa"/>
            <w:shd w:val="clear" w:color="auto" w:fill="BFBFBF"/>
            <w:vAlign w:val="center"/>
          </w:tcPr>
          <w:p w14:paraId="0A36A80F">
            <w:pPr>
              <w:jc w:val="center"/>
            </w:pPr>
            <w:r>
              <w:rPr>
                <w:rFonts w:hint="eastAsia"/>
                <w:b/>
              </w:rPr>
              <w:t>份额净值增长率标准差②</w:t>
            </w:r>
          </w:p>
        </w:tc>
        <w:tc>
          <w:tcPr>
            <w:tcW w:w="1101" w:type="dxa"/>
            <w:shd w:val="clear" w:color="auto" w:fill="BFBFBF"/>
            <w:vAlign w:val="center"/>
          </w:tcPr>
          <w:p w14:paraId="28AAA451">
            <w:pPr>
              <w:jc w:val="center"/>
            </w:pPr>
            <w:r>
              <w:rPr>
                <w:rFonts w:hint="eastAsia"/>
                <w:b/>
              </w:rPr>
              <w:t>业绩比较基准收益率③</w:t>
            </w:r>
          </w:p>
        </w:tc>
        <w:tc>
          <w:tcPr>
            <w:tcW w:w="1207" w:type="dxa"/>
            <w:shd w:val="clear" w:color="auto" w:fill="BFBFBF"/>
            <w:vAlign w:val="center"/>
          </w:tcPr>
          <w:p w14:paraId="19B21B72">
            <w:pPr>
              <w:jc w:val="center"/>
            </w:pPr>
            <w:r>
              <w:rPr>
                <w:rFonts w:hint="eastAsia"/>
                <w:b/>
              </w:rPr>
              <w:t>业绩比较基准收益率标准差④</w:t>
            </w:r>
          </w:p>
        </w:tc>
        <w:tc>
          <w:tcPr>
            <w:tcW w:w="1251" w:type="dxa"/>
            <w:shd w:val="clear" w:color="auto" w:fill="BFBFBF"/>
            <w:vAlign w:val="center"/>
          </w:tcPr>
          <w:p w14:paraId="671B9750">
            <w:pPr>
              <w:jc w:val="center"/>
            </w:pPr>
            <w:r>
              <w:rPr>
                <w:rFonts w:hint="eastAsia"/>
                <w:b/>
              </w:rPr>
              <w:t>①-③</w:t>
            </w:r>
          </w:p>
        </w:tc>
        <w:tc>
          <w:tcPr>
            <w:tcW w:w="1218" w:type="dxa"/>
            <w:shd w:val="clear" w:color="auto" w:fill="BFBFBF"/>
            <w:vAlign w:val="center"/>
          </w:tcPr>
          <w:p w14:paraId="4037A49F">
            <w:pPr>
              <w:jc w:val="center"/>
            </w:pPr>
            <w:r>
              <w:rPr>
                <w:rFonts w:hint="eastAsia"/>
                <w:b/>
              </w:rPr>
              <w:t>②-④</w:t>
            </w:r>
          </w:p>
        </w:tc>
      </w:tr>
      <w:tr w14:paraId="24ED6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98357A9">
            <w:r>
              <w:rPr>
                <w:rFonts w:hint="eastAsia"/>
              </w:rPr>
              <w:t>过去三个月</w:t>
            </w:r>
          </w:p>
        </w:tc>
        <w:tc>
          <w:tcPr>
            <w:tcW w:w="1101" w:type="dxa"/>
            <w:vAlign w:val="center"/>
          </w:tcPr>
          <w:p w14:paraId="567991C2">
            <w:pPr>
              <w:jc w:val="right"/>
            </w:pPr>
            <w:r>
              <w:rPr>
                <w:rFonts w:hint="eastAsia"/>
              </w:rPr>
              <w:t>0.52%</w:t>
            </w:r>
          </w:p>
        </w:tc>
        <w:tc>
          <w:tcPr>
            <w:tcW w:w="1101" w:type="dxa"/>
            <w:vAlign w:val="center"/>
          </w:tcPr>
          <w:p w14:paraId="7A8B9420">
            <w:pPr>
              <w:jc w:val="right"/>
            </w:pPr>
            <w:r>
              <w:rPr>
                <w:rFonts w:hint="eastAsia"/>
              </w:rPr>
              <w:t>0.04%</w:t>
            </w:r>
          </w:p>
        </w:tc>
        <w:tc>
          <w:tcPr>
            <w:tcW w:w="1101" w:type="dxa"/>
            <w:vAlign w:val="center"/>
          </w:tcPr>
          <w:p w14:paraId="38388BB8">
            <w:pPr>
              <w:jc w:val="right"/>
            </w:pPr>
            <w:r>
              <w:rPr>
                <w:rFonts w:hint="eastAsia"/>
              </w:rPr>
              <w:t>0.31%</w:t>
            </w:r>
          </w:p>
        </w:tc>
        <w:tc>
          <w:tcPr>
            <w:tcW w:w="1207" w:type="dxa"/>
            <w:vAlign w:val="center"/>
          </w:tcPr>
          <w:p w14:paraId="30FA96AB">
            <w:pPr>
              <w:jc w:val="right"/>
            </w:pPr>
            <w:r>
              <w:rPr>
                <w:rFonts w:hint="eastAsia"/>
              </w:rPr>
              <w:t>0.02%</w:t>
            </w:r>
          </w:p>
        </w:tc>
        <w:tc>
          <w:tcPr>
            <w:tcW w:w="1251" w:type="dxa"/>
            <w:vAlign w:val="center"/>
          </w:tcPr>
          <w:p w14:paraId="1C3C1CD2">
            <w:pPr>
              <w:jc w:val="right"/>
            </w:pPr>
            <w:r>
              <w:rPr>
                <w:rFonts w:hint="eastAsia"/>
              </w:rPr>
              <w:t>0.21%</w:t>
            </w:r>
          </w:p>
        </w:tc>
        <w:tc>
          <w:tcPr>
            <w:tcW w:w="1218" w:type="dxa"/>
            <w:vAlign w:val="center"/>
          </w:tcPr>
          <w:p w14:paraId="14C30F30">
            <w:pPr>
              <w:jc w:val="right"/>
            </w:pPr>
            <w:r>
              <w:rPr>
                <w:rFonts w:hint="eastAsia"/>
              </w:rPr>
              <w:t>0.02%</w:t>
            </w:r>
          </w:p>
        </w:tc>
      </w:tr>
      <w:tr w14:paraId="7F6CA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85C56C4">
            <w:r>
              <w:rPr>
                <w:rFonts w:hint="eastAsia"/>
              </w:rPr>
              <w:t>过去六个月</w:t>
            </w:r>
          </w:p>
        </w:tc>
        <w:tc>
          <w:tcPr>
            <w:tcW w:w="1101" w:type="dxa"/>
            <w:vAlign w:val="center"/>
          </w:tcPr>
          <w:p w14:paraId="41C5D00D">
            <w:pPr>
              <w:jc w:val="right"/>
            </w:pPr>
            <w:r>
              <w:rPr>
                <w:rFonts w:hint="eastAsia"/>
              </w:rPr>
              <w:t>0.47%</w:t>
            </w:r>
          </w:p>
        </w:tc>
        <w:tc>
          <w:tcPr>
            <w:tcW w:w="1101" w:type="dxa"/>
            <w:vAlign w:val="center"/>
          </w:tcPr>
          <w:p w14:paraId="1277A88B">
            <w:pPr>
              <w:jc w:val="right"/>
            </w:pPr>
            <w:r>
              <w:rPr>
                <w:rFonts w:hint="eastAsia"/>
              </w:rPr>
              <w:t>0.04%</w:t>
            </w:r>
          </w:p>
        </w:tc>
        <w:tc>
          <w:tcPr>
            <w:tcW w:w="1101" w:type="dxa"/>
            <w:vAlign w:val="center"/>
          </w:tcPr>
          <w:p w14:paraId="5A395F56">
            <w:pPr>
              <w:jc w:val="right"/>
            </w:pPr>
            <w:r>
              <w:rPr>
                <w:rFonts w:hint="eastAsia"/>
              </w:rPr>
              <w:t>-0.26%</w:t>
            </w:r>
          </w:p>
        </w:tc>
        <w:tc>
          <w:tcPr>
            <w:tcW w:w="1207" w:type="dxa"/>
            <w:vAlign w:val="center"/>
          </w:tcPr>
          <w:p w14:paraId="642A4218">
            <w:pPr>
              <w:jc w:val="right"/>
            </w:pPr>
            <w:r>
              <w:rPr>
                <w:rFonts w:hint="eastAsia"/>
              </w:rPr>
              <w:t>0.03%</w:t>
            </w:r>
          </w:p>
        </w:tc>
        <w:tc>
          <w:tcPr>
            <w:tcW w:w="1251" w:type="dxa"/>
            <w:vAlign w:val="center"/>
          </w:tcPr>
          <w:p w14:paraId="68AA50AE">
            <w:pPr>
              <w:jc w:val="right"/>
            </w:pPr>
            <w:r>
              <w:rPr>
                <w:rFonts w:hint="eastAsia"/>
              </w:rPr>
              <w:t>0.73%</w:t>
            </w:r>
          </w:p>
        </w:tc>
        <w:tc>
          <w:tcPr>
            <w:tcW w:w="1218" w:type="dxa"/>
            <w:vAlign w:val="center"/>
          </w:tcPr>
          <w:p w14:paraId="1C5E142B">
            <w:pPr>
              <w:jc w:val="right"/>
            </w:pPr>
            <w:r>
              <w:rPr>
                <w:rFonts w:hint="eastAsia"/>
              </w:rPr>
              <w:t>0.01%</w:t>
            </w:r>
          </w:p>
        </w:tc>
      </w:tr>
      <w:tr w14:paraId="19264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85A7792">
            <w:r>
              <w:rPr>
                <w:rFonts w:hint="eastAsia"/>
              </w:rPr>
              <w:t>过去一年</w:t>
            </w:r>
          </w:p>
        </w:tc>
        <w:tc>
          <w:tcPr>
            <w:tcW w:w="1101" w:type="dxa"/>
            <w:vAlign w:val="center"/>
          </w:tcPr>
          <w:p w14:paraId="1E8D55BF">
            <w:pPr>
              <w:jc w:val="right"/>
            </w:pPr>
            <w:r>
              <w:rPr>
                <w:rFonts w:hint="eastAsia"/>
              </w:rPr>
              <w:t>1.10%</w:t>
            </w:r>
          </w:p>
        </w:tc>
        <w:tc>
          <w:tcPr>
            <w:tcW w:w="1101" w:type="dxa"/>
            <w:vAlign w:val="center"/>
          </w:tcPr>
          <w:p w14:paraId="6D3F77CB">
            <w:pPr>
              <w:jc w:val="right"/>
            </w:pPr>
            <w:r>
              <w:rPr>
                <w:rFonts w:hint="eastAsia"/>
              </w:rPr>
              <w:t>0.05%</w:t>
            </w:r>
          </w:p>
        </w:tc>
        <w:tc>
          <w:tcPr>
            <w:tcW w:w="1101" w:type="dxa"/>
            <w:vAlign w:val="center"/>
          </w:tcPr>
          <w:p w14:paraId="797C46D5">
            <w:pPr>
              <w:jc w:val="right"/>
            </w:pPr>
            <w:r>
              <w:rPr>
                <w:rFonts w:hint="eastAsia"/>
              </w:rPr>
              <w:t>-0.03%</w:t>
            </w:r>
          </w:p>
        </w:tc>
        <w:tc>
          <w:tcPr>
            <w:tcW w:w="1207" w:type="dxa"/>
            <w:vAlign w:val="center"/>
          </w:tcPr>
          <w:p w14:paraId="6B10934D">
            <w:pPr>
              <w:jc w:val="right"/>
            </w:pPr>
            <w:r>
              <w:rPr>
                <w:rFonts w:hint="eastAsia"/>
              </w:rPr>
              <w:t>0.03%</w:t>
            </w:r>
          </w:p>
        </w:tc>
        <w:tc>
          <w:tcPr>
            <w:tcW w:w="1251" w:type="dxa"/>
            <w:vAlign w:val="center"/>
          </w:tcPr>
          <w:p w14:paraId="5FB8EC5A">
            <w:pPr>
              <w:jc w:val="right"/>
            </w:pPr>
            <w:r>
              <w:rPr>
                <w:rFonts w:hint="eastAsia"/>
              </w:rPr>
              <w:t>1.13%</w:t>
            </w:r>
          </w:p>
        </w:tc>
        <w:tc>
          <w:tcPr>
            <w:tcW w:w="1218" w:type="dxa"/>
            <w:vAlign w:val="center"/>
          </w:tcPr>
          <w:p w14:paraId="0319BA3D">
            <w:pPr>
              <w:jc w:val="right"/>
            </w:pPr>
            <w:r>
              <w:rPr>
                <w:rFonts w:hint="eastAsia"/>
              </w:rPr>
              <w:t>0.02%</w:t>
            </w:r>
          </w:p>
        </w:tc>
      </w:tr>
      <w:tr w14:paraId="313A1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F426136">
            <w:r>
              <w:rPr>
                <w:rFonts w:hint="eastAsia"/>
              </w:rPr>
              <w:t>过去三年</w:t>
            </w:r>
          </w:p>
        </w:tc>
        <w:tc>
          <w:tcPr>
            <w:tcW w:w="1101" w:type="dxa"/>
            <w:vAlign w:val="center"/>
          </w:tcPr>
          <w:p w14:paraId="6EA6FA90">
            <w:pPr>
              <w:jc w:val="right"/>
            </w:pPr>
            <w:r>
              <w:rPr>
                <w:rFonts w:hint="eastAsia"/>
              </w:rPr>
              <w:t>10.70%</w:t>
            </w:r>
          </w:p>
        </w:tc>
        <w:tc>
          <w:tcPr>
            <w:tcW w:w="1101" w:type="dxa"/>
            <w:vAlign w:val="center"/>
          </w:tcPr>
          <w:p w14:paraId="6DE5A7CE">
            <w:pPr>
              <w:jc w:val="right"/>
            </w:pPr>
            <w:r>
              <w:rPr>
                <w:rFonts w:hint="eastAsia"/>
              </w:rPr>
              <w:t>0.05%</w:t>
            </w:r>
          </w:p>
        </w:tc>
        <w:tc>
          <w:tcPr>
            <w:tcW w:w="1101" w:type="dxa"/>
            <w:vAlign w:val="center"/>
          </w:tcPr>
          <w:p w14:paraId="10EF0EF6">
            <w:pPr>
              <w:jc w:val="right"/>
            </w:pPr>
            <w:r>
              <w:rPr>
                <w:rFonts w:hint="eastAsia"/>
              </w:rPr>
              <w:t>4.38%</w:t>
            </w:r>
          </w:p>
        </w:tc>
        <w:tc>
          <w:tcPr>
            <w:tcW w:w="1207" w:type="dxa"/>
            <w:vAlign w:val="center"/>
          </w:tcPr>
          <w:p w14:paraId="65A0EE5F">
            <w:pPr>
              <w:jc w:val="right"/>
            </w:pPr>
            <w:r>
              <w:rPr>
                <w:rFonts w:hint="eastAsia"/>
              </w:rPr>
              <w:t>0.03%</w:t>
            </w:r>
          </w:p>
        </w:tc>
        <w:tc>
          <w:tcPr>
            <w:tcW w:w="1251" w:type="dxa"/>
            <w:vAlign w:val="center"/>
          </w:tcPr>
          <w:p w14:paraId="144CF662">
            <w:pPr>
              <w:jc w:val="right"/>
            </w:pPr>
            <w:r>
              <w:rPr>
                <w:rFonts w:hint="eastAsia"/>
              </w:rPr>
              <w:t>6.32%</w:t>
            </w:r>
          </w:p>
        </w:tc>
        <w:tc>
          <w:tcPr>
            <w:tcW w:w="1218" w:type="dxa"/>
            <w:vAlign w:val="center"/>
          </w:tcPr>
          <w:p w14:paraId="3FC0D039">
            <w:pPr>
              <w:jc w:val="right"/>
            </w:pPr>
            <w:r>
              <w:rPr>
                <w:rFonts w:hint="eastAsia"/>
              </w:rPr>
              <w:t>0.02%</w:t>
            </w:r>
          </w:p>
        </w:tc>
      </w:tr>
      <w:tr w14:paraId="4A8FF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ADC0C65">
            <w:r>
              <w:rPr>
                <w:rFonts w:hint="eastAsia"/>
              </w:rPr>
              <w:t>过去五年</w:t>
            </w:r>
          </w:p>
        </w:tc>
        <w:tc>
          <w:tcPr>
            <w:tcW w:w="1101" w:type="dxa"/>
            <w:vAlign w:val="center"/>
          </w:tcPr>
          <w:p w14:paraId="750FFB13">
            <w:pPr>
              <w:jc w:val="right"/>
            </w:pPr>
            <w:r>
              <w:rPr>
                <w:rFonts w:hint="eastAsia"/>
              </w:rPr>
              <w:t>23.98%</w:t>
            </w:r>
          </w:p>
        </w:tc>
        <w:tc>
          <w:tcPr>
            <w:tcW w:w="1101" w:type="dxa"/>
            <w:vAlign w:val="center"/>
          </w:tcPr>
          <w:p w14:paraId="203674E3">
            <w:pPr>
              <w:jc w:val="right"/>
            </w:pPr>
            <w:r>
              <w:rPr>
                <w:rFonts w:hint="eastAsia"/>
              </w:rPr>
              <w:t>0.12%</w:t>
            </w:r>
          </w:p>
        </w:tc>
        <w:tc>
          <w:tcPr>
            <w:tcW w:w="1101" w:type="dxa"/>
            <w:vAlign w:val="center"/>
          </w:tcPr>
          <w:p w14:paraId="79DB3F2E">
            <w:pPr>
              <w:jc w:val="right"/>
            </w:pPr>
            <w:r>
              <w:rPr>
                <w:rFonts w:hint="eastAsia"/>
              </w:rPr>
              <w:t>5.87%</w:t>
            </w:r>
          </w:p>
        </w:tc>
        <w:tc>
          <w:tcPr>
            <w:tcW w:w="1207" w:type="dxa"/>
            <w:vAlign w:val="center"/>
          </w:tcPr>
          <w:p w14:paraId="72C1ABCA">
            <w:pPr>
              <w:jc w:val="right"/>
            </w:pPr>
            <w:r>
              <w:rPr>
                <w:rFonts w:hint="eastAsia"/>
              </w:rPr>
              <w:t>0.03%</w:t>
            </w:r>
          </w:p>
        </w:tc>
        <w:tc>
          <w:tcPr>
            <w:tcW w:w="1251" w:type="dxa"/>
            <w:vAlign w:val="center"/>
          </w:tcPr>
          <w:p w14:paraId="784CC7E0">
            <w:pPr>
              <w:jc w:val="right"/>
            </w:pPr>
            <w:r>
              <w:rPr>
                <w:rFonts w:hint="eastAsia"/>
              </w:rPr>
              <w:t>18.11%</w:t>
            </w:r>
          </w:p>
        </w:tc>
        <w:tc>
          <w:tcPr>
            <w:tcW w:w="1218" w:type="dxa"/>
            <w:vAlign w:val="center"/>
          </w:tcPr>
          <w:p w14:paraId="05720861">
            <w:pPr>
              <w:jc w:val="right"/>
            </w:pPr>
            <w:r>
              <w:rPr>
                <w:rFonts w:hint="eastAsia"/>
              </w:rPr>
              <w:t>0.09%</w:t>
            </w:r>
          </w:p>
        </w:tc>
      </w:tr>
      <w:tr w14:paraId="69BEC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4B174DA">
            <w:r>
              <w:rPr>
                <w:rFonts w:hint="eastAsia"/>
              </w:rPr>
              <w:t>自基金合同生效起至今</w:t>
            </w:r>
          </w:p>
        </w:tc>
        <w:tc>
          <w:tcPr>
            <w:tcW w:w="1101" w:type="dxa"/>
            <w:vAlign w:val="center"/>
          </w:tcPr>
          <w:p w14:paraId="667EFA26">
            <w:pPr>
              <w:jc w:val="right"/>
            </w:pPr>
            <w:r>
              <w:rPr>
                <w:rFonts w:hint="eastAsia"/>
              </w:rPr>
              <w:t>24.68%</w:t>
            </w:r>
          </w:p>
        </w:tc>
        <w:tc>
          <w:tcPr>
            <w:tcW w:w="1101" w:type="dxa"/>
            <w:vAlign w:val="center"/>
          </w:tcPr>
          <w:p w14:paraId="4D3104E8">
            <w:pPr>
              <w:jc w:val="right"/>
            </w:pPr>
            <w:r>
              <w:rPr>
                <w:rFonts w:hint="eastAsia"/>
              </w:rPr>
              <w:t>0.11%</w:t>
            </w:r>
          </w:p>
        </w:tc>
        <w:tc>
          <w:tcPr>
            <w:tcW w:w="1101" w:type="dxa"/>
            <w:vAlign w:val="center"/>
          </w:tcPr>
          <w:p w14:paraId="52B0D38B">
            <w:pPr>
              <w:jc w:val="right"/>
            </w:pPr>
            <w:r>
              <w:rPr>
                <w:rFonts w:hint="eastAsia"/>
              </w:rPr>
              <w:t>5.00%</w:t>
            </w:r>
          </w:p>
        </w:tc>
        <w:tc>
          <w:tcPr>
            <w:tcW w:w="1207" w:type="dxa"/>
            <w:vAlign w:val="center"/>
          </w:tcPr>
          <w:p w14:paraId="191741FD">
            <w:pPr>
              <w:jc w:val="right"/>
            </w:pPr>
            <w:r>
              <w:rPr>
                <w:rFonts w:hint="eastAsia"/>
              </w:rPr>
              <w:t>0.03%</w:t>
            </w:r>
          </w:p>
        </w:tc>
        <w:tc>
          <w:tcPr>
            <w:tcW w:w="1251" w:type="dxa"/>
            <w:vAlign w:val="center"/>
          </w:tcPr>
          <w:p w14:paraId="2A1B009A">
            <w:pPr>
              <w:jc w:val="right"/>
            </w:pPr>
            <w:r>
              <w:rPr>
                <w:rFonts w:hint="eastAsia"/>
              </w:rPr>
              <w:t>19.68%</w:t>
            </w:r>
          </w:p>
        </w:tc>
        <w:tc>
          <w:tcPr>
            <w:tcW w:w="1218" w:type="dxa"/>
            <w:vAlign w:val="center"/>
          </w:tcPr>
          <w:p w14:paraId="29AFB7AE">
            <w:pPr>
              <w:jc w:val="right"/>
            </w:pPr>
            <w:r>
              <w:rPr>
                <w:rFonts w:hint="eastAsia"/>
              </w:rPr>
              <w:t>0.08%</w:t>
            </w:r>
          </w:p>
        </w:tc>
      </w:tr>
    </w:tbl>
    <w:p w14:paraId="0601BB28">
      <w:pPr>
        <w:pStyle w:val="28"/>
      </w:pPr>
      <w:bookmarkStart w:id="15" w:name="_Toc15"/>
      <w:r>
        <w:t>自基金合同生效以来基金份额累计净值增长率变动及其与同期业绩比较基准收益率变动的比较</w:t>
      </w:r>
      <w:bookmarkEnd w:id="15"/>
    </w:p>
    <w:p w14:paraId="7149AE72">
      <w:pPr>
        <w:jc w:val="center"/>
      </w:pPr>
      <w:r>
        <w:drawing>
          <wp:inline distT="0" distB="0" distL="114300" distR="114300">
            <wp:extent cx="5274310" cy="3632200"/>
            <wp:effectExtent l="0" t="0" r="254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632236"/>
                    </a:xfrm>
                    <a:prstGeom prst="rect">
                      <a:avLst/>
                    </a:prstGeom>
                  </pic:spPr>
                </pic:pic>
              </a:graphicData>
            </a:graphic>
          </wp:inline>
        </w:drawing>
      </w:r>
    </w:p>
    <w:p w14:paraId="5F5E50D5">
      <w:pPr>
        <w:pStyle w:val="28"/>
      </w:pPr>
      <w:bookmarkStart w:id="16" w:name="_Toc16"/>
      <w:r>
        <w:t>过去五年以来基金每年净值增长率及其与同期业绩比较基准收益率的比较</w:t>
      </w:r>
      <w:bookmarkEnd w:id="16"/>
    </w:p>
    <w:p w14:paraId="39810634">
      <w:pPr>
        <w:jc w:val="center"/>
      </w:pPr>
      <w:r>
        <w:drawing>
          <wp:inline distT="0" distB="0" distL="114300" distR="114300">
            <wp:extent cx="5274310" cy="3720465"/>
            <wp:effectExtent l="0" t="0" r="2540" b="1333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720572"/>
                    </a:xfrm>
                    <a:prstGeom prst="rect">
                      <a:avLst/>
                    </a:prstGeom>
                  </pic:spPr>
                </pic:pic>
              </a:graphicData>
            </a:graphic>
          </wp:inline>
        </w:drawing>
      </w:r>
    </w:p>
    <w:p w14:paraId="43BD191C">
      <w:pPr>
        <w:pStyle w:val="23"/>
      </w:pPr>
      <w:bookmarkStart w:id="17" w:name="_Toc26328"/>
      <w:r>
        <w:t>过去三年基金的利润分配情况</w:t>
      </w:r>
      <w:bookmarkEnd w:id="17"/>
    </w:p>
    <w:p w14:paraId="202E54D3">
      <w:pPr>
        <w:pStyle w:val="18"/>
        <w:rPr>
          <w:rFonts w:hint="eastAsia"/>
        </w:rPr>
      </w:pPr>
      <w:r>
        <w:rPr>
          <w:rFonts w:hint="eastAsia"/>
        </w:rPr>
        <w:t>本基金过去三年未进行利润分配。</w:t>
      </w:r>
    </w:p>
    <w:p w14:paraId="0EAF99A0">
      <w:pPr>
        <w:pStyle w:val="26"/>
      </w:pPr>
      <w:bookmarkStart w:id="18" w:name="_Toc7596"/>
      <w:r>
        <w:t>管理人报告</w:t>
      </w:r>
      <w:bookmarkEnd w:id="18"/>
    </w:p>
    <w:p w14:paraId="7C71BD32">
      <w:pPr>
        <w:pStyle w:val="23"/>
      </w:pPr>
      <w:bookmarkStart w:id="19" w:name="_Toc24637"/>
      <w:r>
        <w:t>基金管理人及基金经理情况</w:t>
      </w:r>
      <w:bookmarkEnd w:id="19"/>
    </w:p>
    <w:p w14:paraId="3784C59B">
      <w:pPr>
        <w:pStyle w:val="28"/>
      </w:pPr>
      <w:bookmarkStart w:id="20" w:name="_Toc20"/>
      <w:r>
        <w:t>基金管理人及其管理基金的经验</w:t>
      </w:r>
      <w:bookmarkEnd w:id="20"/>
    </w:p>
    <w:p w14:paraId="27AAB465">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4B6C16E9">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66170F5A">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41D9DEAF">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34A20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5729DA1E">
            <w:pPr>
              <w:jc w:val="center"/>
            </w:pPr>
            <w:r>
              <w:rPr>
                <w:rFonts w:hint="eastAsia"/>
                <w:b/>
              </w:rPr>
              <w:t>姓名</w:t>
            </w:r>
          </w:p>
        </w:tc>
        <w:tc>
          <w:tcPr>
            <w:tcW w:w="830" w:type="dxa"/>
            <w:vMerge w:val="restart"/>
            <w:shd w:val="clear" w:color="auto" w:fill="BFBFBF"/>
            <w:vAlign w:val="center"/>
          </w:tcPr>
          <w:p w14:paraId="4BC48C40">
            <w:pPr>
              <w:jc w:val="center"/>
            </w:pPr>
            <w:r>
              <w:rPr>
                <w:rFonts w:hint="eastAsia"/>
                <w:b/>
              </w:rPr>
              <w:t>职务</w:t>
            </w:r>
          </w:p>
        </w:tc>
        <w:tc>
          <w:tcPr>
            <w:tcW w:w="1090" w:type="dxa"/>
            <w:gridSpan w:val="2"/>
            <w:shd w:val="clear" w:color="auto" w:fill="BFBFBF"/>
            <w:vAlign w:val="center"/>
          </w:tcPr>
          <w:p w14:paraId="3196DFD4">
            <w:pPr>
              <w:jc w:val="center"/>
            </w:pPr>
            <w:r>
              <w:rPr>
                <w:rFonts w:hint="eastAsia"/>
                <w:b/>
              </w:rPr>
              <w:t>任本基金的基金经理（助理）期限</w:t>
            </w:r>
          </w:p>
        </w:tc>
        <w:tc>
          <w:tcPr>
            <w:tcW w:w="686" w:type="dxa"/>
            <w:vMerge w:val="restart"/>
            <w:shd w:val="clear" w:color="auto" w:fill="BFBFBF"/>
            <w:vAlign w:val="center"/>
          </w:tcPr>
          <w:p w14:paraId="6EA94AF9">
            <w:pPr>
              <w:jc w:val="center"/>
            </w:pPr>
            <w:r>
              <w:rPr>
                <w:rFonts w:hint="eastAsia"/>
                <w:b/>
              </w:rPr>
              <w:t>证券从业年限</w:t>
            </w:r>
          </w:p>
        </w:tc>
        <w:tc>
          <w:tcPr>
            <w:tcW w:w="3765" w:type="dxa"/>
            <w:vMerge w:val="restart"/>
            <w:shd w:val="clear" w:color="auto" w:fill="BFBFBF"/>
            <w:vAlign w:val="center"/>
          </w:tcPr>
          <w:p w14:paraId="57F958A3">
            <w:pPr>
              <w:jc w:val="center"/>
            </w:pPr>
            <w:r>
              <w:rPr>
                <w:rFonts w:hint="eastAsia"/>
                <w:b/>
              </w:rPr>
              <w:t>说明</w:t>
            </w:r>
          </w:p>
        </w:tc>
      </w:tr>
      <w:tr w14:paraId="628C9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128C834A"/>
        </w:tc>
        <w:tc>
          <w:tcPr>
            <w:tcW w:w="830" w:type="dxa"/>
            <w:vMerge w:val="continue"/>
            <w:vAlign w:val="center"/>
          </w:tcPr>
          <w:p w14:paraId="491FF2A4"/>
        </w:tc>
        <w:tc>
          <w:tcPr>
            <w:tcW w:w="1090" w:type="dxa"/>
            <w:shd w:val="clear" w:color="auto" w:fill="BFBFBF"/>
            <w:vAlign w:val="center"/>
          </w:tcPr>
          <w:p w14:paraId="4282EB68">
            <w:pPr>
              <w:jc w:val="center"/>
            </w:pPr>
            <w:r>
              <w:rPr>
                <w:rFonts w:hint="eastAsia"/>
                <w:b/>
              </w:rPr>
              <w:t>任职日期</w:t>
            </w:r>
          </w:p>
        </w:tc>
        <w:tc>
          <w:tcPr>
            <w:tcW w:w="1090" w:type="dxa"/>
            <w:shd w:val="clear" w:color="auto" w:fill="BFBFBF"/>
            <w:vAlign w:val="center"/>
          </w:tcPr>
          <w:p w14:paraId="15B18BC4">
            <w:pPr>
              <w:jc w:val="center"/>
            </w:pPr>
            <w:r>
              <w:rPr>
                <w:rFonts w:hint="eastAsia"/>
                <w:b/>
              </w:rPr>
              <w:t>离任日期</w:t>
            </w:r>
          </w:p>
        </w:tc>
        <w:tc>
          <w:tcPr>
            <w:tcW w:w="686" w:type="dxa"/>
            <w:vMerge w:val="continue"/>
            <w:vAlign w:val="center"/>
          </w:tcPr>
          <w:p w14:paraId="18C1DD62"/>
        </w:tc>
        <w:tc>
          <w:tcPr>
            <w:tcW w:w="3765" w:type="dxa"/>
            <w:vMerge w:val="continue"/>
            <w:vAlign w:val="center"/>
          </w:tcPr>
          <w:p w14:paraId="7F1C6CB2"/>
        </w:tc>
      </w:tr>
      <w:tr w14:paraId="562E8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6F931C69">
            <w:r>
              <w:rPr>
                <w:rFonts w:hint="eastAsia"/>
              </w:rPr>
              <w:t>江佳骏</w:t>
            </w:r>
          </w:p>
        </w:tc>
        <w:tc>
          <w:tcPr>
            <w:tcW w:w="830" w:type="dxa"/>
            <w:vAlign w:val="center"/>
          </w:tcPr>
          <w:p w14:paraId="2BAD4C11">
            <w:r>
              <w:rPr>
                <w:rFonts w:hint="eastAsia"/>
              </w:rPr>
              <w:t>本基金基金经理</w:t>
            </w:r>
          </w:p>
        </w:tc>
        <w:tc>
          <w:tcPr>
            <w:tcW w:w="1090" w:type="dxa"/>
            <w:vAlign w:val="center"/>
          </w:tcPr>
          <w:p w14:paraId="65F2A1ED">
            <w:r>
              <w:rPr>
                <w:rFonts w:hint="eastAsia"/>
              </w:rPr>
              <w:t>2024年11月1日</w:t>
            </w:r>
          </w:p>
        </w:tc>
        <w:tc>
          <w:tcPr>
            <w:tcW w:w="1090" w:type="dxa"/>
            <w:vAlign w:val="center"/>
          </w:tcPr>
          <w:p w14:paraId="7F6E0C63">
            <w:pPr>
              <w:jc w:val="right"/>
            </w:pPr>
            <w:r>
              <w:rPr>
                <w:rFonts w:hint="eastAsia"/>
              </w:rPr>
              <w:t>-</w:t>
            </w:r>
          </w:p>
        </w:tc>
        <w:tc>
          <w:tcPr>
            <w:tcW w:w="686" w:type="dxa"/>
            <w:vAlign w:val="center"/>
          </w:tcPr>
          <w:p w14:paraId="79A84E67">
            <w:r>
              <w:rPr>
                <w:rFonts w:hint="eastAsia"/>
              </w:rPr>
              <w:t>9年</w:t>
            </w:r>
          </w:p>
        </w:tc>
        <w:tc>
          <w:tcPr>
            <w:tcW w:w="3765" w:type="dxa"/>
            <w:vAlign w:val="center"/>
          </w:tcPr>
          <w:p w14:paraId="1F33A3CB">
            <w:pPr>
              <w:jc w:val="both"/>
            </w:pPr>
            <w:r>
              <w:rPr>
                <w:rFonts w:hint="eastAsia"/>
              </w:rPr>
              <w:t>中国国籍，英国布里斯托大学金融投资硕士，具有基金从业资格。曾就职于山西证券股份有限公司，任利率做市交易经理。2018年6月加入南方基金，任固定收益投资部账户助理；2022年10月27日至2024年11月1日，任南方得利一年定开债券发起基金经理助理；2024年11月1日至今，任南方卓利3个月定开债券发起、南方宁元债券、南方得利一年定开债券发起基金经理；2024年12月20日至今，任南方亨元债券发起基金经理；2025年6月27日至今，任南方振元债券发起基金经理。</w:t>
            </w:r>
          </w:p>
        </w:tc>
      </w:tr>
      <w:tr w14:paraId="25583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539429F3">
            <w:r>
              <w:rPr>
                <w:rFonts w:hint="eastAsia"/>
              </w:rPr>
              <w:t>黄斌斌</w:t>
            </w:r>
          </w:p>
        </w:tc>
        <w:tc>
          <w:tcPr>
            <w:tcW w:w="830" w:type="dxa"/>
            <w:vAlign w:val="center"/>
          </w:tcPr>
          <w:p w14:paraId="7B97E6AB">
            <w:r>
              <w:rPr>
                <w:rFonts w:hint="eastAsia"/>
              </w:rPr>
              <w:t>本基金基金经理（已离任）</w:t>
            </w:r>
          </w:p>
        </w:tc>
        <w:tc>
          <w:tcPr>
            <w:tcW w:w="1090" w:type="dxa"/>
            <w:vAlign w:val="center"/>
          </w:tcPr>
          <w:p w14:paraId="11D08B1C">
            <w:r>
              <w:rPr>
                <w:rFonts w:hint="eastAsia"/>
              </w:rPr>
              <w:t>2020年3月26日</w:t>
            </w:r>
          </w:p>
        </w:tc>
        <w:tc>
          <w:tcPr>
            <w:tcW w:w="1090" w:type="dxa"/>
            <w:vAlign w:val="center"/>
          </w:tcPr>
          <w:p w14:paraId="1FD60285">
            <w:r>
              <w:rPr>
                <w:rFonts w:hint="eastAsia"/>
              </w:rPr>
              <w:t>2025年7月11日</w:t>
            </w:r>
          </w:p>
        </w:tc>
        <w:tc>
          <w:tcPr>
            <w:tcW w:w="686" w:type="dxa"/>
            <w:vAlign w:val="center"/>
          </w:tcPr>
          <w:p w14:paraId="042AC5FC">
            <w:r>
              <w:rPr>
                <w:rFonts w:hint="eastAsia"/>
              </w:rPr>
              <w:t>15年</w:t>
            </w:r>
          </w:p>
        </w:tc>
        <w:tc>
          <w:tcPr>
            <w:tcW w:w="3765" w:type="dxa"/>
            <w:vAlign w:val="center"/>
          </w:tcPr>
          <w:p w14:paraId="0E85191D">
            <w:pPr>
              <w:jc w:val="both"/>
            </w:pPr>
            <w:r>
              <w:rPr>
                <w:rFonts w:hint="eastAsia"/>
              </w:rPr>
              <w:t>中国国籍，清华大学工学学士、新加坡管理大学经济学硕士，具有基金从业资格。曾先后就职于招商银行合肥分行、浦发银行金融市场部、华夏基金机构债券投资部，历任产品经理、交易员、投资经理。2017年7月加入南方基金；2019年6月17日至2020年7月31日，任南方初元中短债基金经理；2020年2月27日至2021年6月18日，任南方骏元中短利率债基金经理；2018年2月9日至2021年10月22日，任南方荣年基金经理；2020年2月26日至2022年6月24日，任南方尊利一年债券基金经理；2018年4月12日至2023年2月10日，任南方乾利基金经理；2022年11月4日至2025年6月27日，任南方振元债券发起基金经理；2023年5月30日至2025年6月27日，任南方贤元一年持有债券基金经理；2018年2月9日至2025年7月11日，任南方和元债券、南方祥元债券基金经理；2018年4月12日至2025年7月11日，任南方浙利定开债券发起基金经理；2019年1月18日至2025年7月11日，任南方畅利定开债券发起基金经理；2019年3月1日至2025年7月11日，任南方亨元债券发起基金经理；2019年9月2日至2025年7月11日，任南方聪元债券发起基金经理；2020年3月26日至2025年7月11日，任南方得利一年定开债券发起基金经理；2023年3月3日至2025年7月11日，任南方吉元短债债券基金经理；2023年5月26日至2025年7月11日，任南方骏元中短期利率债债券基金经理；2024年2月2日至2025年7月11日，任南方恩元债券发起基金经理。</w:t>
            </w:r>
          </w:p>
        </w:tc>
      </w:tr>
    </w:tbl>
    <w:p w14:paraId="55637D4B">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4EAAEAB3">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7EBC4E6A">
      <w:pPr>
        <w:pStyle w:val="28"/>
      </w:pPr>
      <w:bookmarkStart w:id="22" w:name="_Toc22"/>
      <w:r>
        <w:t>基金经理薪酬机制</w:t>
      </w:r>
      <w:bookmarkEnd w:id="22"/>
    </w:p>
    <w:p w14:paraId="2E2A984C">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6A68E6F2">
      <w:pPr>
        <w:pStyle w:val="23"/>
      </w:pPr>
      <w:bookmarkStart w:id="23" w:name="_Toc19027"/>
      <w:r>
        <w:t>管理人对报告期内本基金运作遵规守信情况的说明</w:t>
      </w:r>
      <w:bookmarkEnd w:id="23"/>
      <w:r>
        <w:t xml:space="preserve"> </w:t>
      </w:r>
    </w:p>
    <w:p w14:paraId="161CE0F5">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7B9EAA48">
      <w:pPr>
        <w:pStyle w:val="23"/>
      </w:pPr>
      <w:bookmarkStart w:id="24" w:name="_Toc485"/>
      <w:r>
        <w:t>管理人对报告期内公平交易情况的专项说明</w:t>
      </w:r>
      <w:bookmarkEnd w:id="24"/>
    </w:p>
    <w:p w14:paraId="5F759D01">
      <w:pPr>
        <w:pStyle w:val="28"/>
      </w:pPr>
      <w:bookmarkStart w:id="25" w:name="_Toc25"/>
      <w:r>
        <w:t>公平交易制度和控制方法</w:t>
      </w:r>
      <w:bookmarkEnd w:id="25"/>
    </w:p>
    <w:p w14:paraId="3F8AED31">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2CAA185D">
      <w:pPr>
        <w:pStyle w:val="28"/>
      </w:pPr>
      <w:bookmarkStart w:id="26" w:name="_Toc26"/>
      <w:r>
        <w:t>公平交易制度的执行情况</w:t>
      </w:r>
      <w:bookmarkEnd w:id="26"/>
    </w:p>
    <w:p w14:paraId="1E182E2C">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0A25B106">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40CE21E8">
      <w:pPr>
        <w:pStyle w:val="35"/>
      </w:pPr>
      <w:bookmarkStart w:id="27" w:name="_Toc27"/>
      <w:r>
        <w:t>增加执行的基金经理公平交易制度执行情况及公平交易管理情况</w:t>
      </w:r>
      <w:bookmarkEnd w:id="27"/>
    </w:p>
    <w:p w14:paraId="0ADE252D">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7E3D1087">
      <w:pPr>
        <w:pStyle w:val="28"/>
      </w:pPr>
      <w:bookmarkStart w:id="28" w:name="_Toc28"/>
      <w:r>
        <w:t>异常交易行为的专项说明</w:t>
      </w:r>
      <w:bookmarkEnd w:id="28"/>
    </w:p>
    <w:p w14:paraId="259ADE52">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216DBD8E">
      <w:pPr>
        <w:pStyle w:val="23"/>
      </w:pPr>
      <w:bookmarkStart w:id="29" w:name="_Toc6177"/>
      <w:r>
        <w:t>管理人对报告期内基金的投资策略和业绩表现的说明</w:t>
      </w:r>
      <w:bookmarkEnd w:id="29"/>
    </w:p>
    <w:p w14:paraId="766C8D3B">
      <w:pPr>
        <w:pStyle w:val="28"/>
      </w:pPr>
      <w:bookmarkStart w:id="30" w:name="_Toc30"/>
      <w:r>
        <w:t>报告期内基金投资策略和运作分析</w:t>
      </w:r>
      <w:bookmarkEnd w:id="30"/>
    </w:p>
    <w:p w14:paraId="0500A6E1">
      <w:pPr>
        <w:pStyle w:val="18"/>
        <w:rPr>
          <w:rFonts w:hint="eastAsia"/>
        </w:rPr>
      </w:pPr>
      <w:r>
        <w:rPr>
          <w:rFonts w:hint="eastAsia"/>
        </w:rPr>
        <w:t>2025年全年经济维持温和复苏态势，结构呈现分化特征。国内方面，生产端受出口拉动表现优于需求端，内需恢复相对偏弱，产需缺口年内有所扩大，价格指标于年内触底后企稳回升；政策端积极发力、稳步落地，财政政策加力提效，地方债前置发行对上半年经济形成支撑，四季度政策性金融工具等接续落地、有效发力；货币政策延续“适度宽松”的基调，央行保持流动性合理充裕，并于5月实施降准降息操作，对冲关税冲击助力实体经济。海外方面，美联储9月、10月、12月连续三次降息，累计降幅达75bp，外部流动性环境边际改善。市场方面，2025年债市终结单边牛市格局，整体震荡走弱、波动显著加大，10年期国债收益率全年上行约24bp，年末收于1.85%；收益率曲线受通胀预期升温、市场风险偏好回升等影响，下半年大幅走陡；信用利差受资金面及配置需求影响，年初阶段性走阔后持续压缩，全年维度上多数品种利差呈下行态势。</w:t>
      </w:r>
    </w:p>
    <w:p w14:paraId="4E405EF6">
      <w:pPr>
        <w:pStyle w:val="18"/>
        <w:rPr>
          <w:rFonts w:hint="eastAsia"/>
        </w:rPr>
      </w:pPr>
      <w:r>
        <w:rPr>
          <w:rFonts w:hint="eastAsia"/>
        </w:rPr>
        <w:t>投资运作上，南方得利以信用债策略为主，择机进行利率债波段操作增厚组合收益。</w:t>
      </w:r>
    </w:p>
    <w:p w14:paraId="012B9401">
      <w:pPr>
        <w:pStyle w:val="28"/>
      </w:pPr>
      <w:bookmarkStart w:id="31" w:name="_Toc31"/>
      <w:r>
        <w:t>报告期内基金的业绩表现</w:t>
      </w:r>
      <w:bookmarkEnd w:id="31"/>
    </w:p>
    <w:p w14:paraId="0FC20FB0">
      <w:pPr>
        <w:pStyle w:val="18"/>
        <w:rPr>
          <w:rFonts w:hint="eastAsia"/>
        </w:rPr>
      </w:pPr>
      <w:r>
        <w:rPr>
          <w:rFonts w:hint="eastAsia"/>
        </w:rPr>
        <w:t>截至报告期末，本基金份额净值为1.1544元，报告期内，份额净值增长率为1.10%，同期业绩基准增长率为-0.03%。</w:t>
      </w:r>
    </w:p>
    <w:p w14:paraId="3F4E076F">
      <w:pPr>
        <w:pStyle w:val="23"/>
      </w:pPr>
      <w:bookmarkStart w:id="32" w:name="_Toc841"/>
      <w:r>
        <w:t>管理人对宏观经济、证券市场及行业走势的简要展望</w:t>
      </w:r>
      <w:bookmarkEnd w:id="32"/>
    </w:p>
    <w:p w14:paraId="20CAEBC7">
      <w:pPr>
        <w:pStyle w:val="18"/>
        <w:rPr>
          <w:rFonts w:hint="eastAsia"/>
        </w:rPr>
      </w:pPr>
      <w:r>
        <w:rPr>
          <w:rFonts w:hint="eastAsia"/>
        </w:rPr>
        <w:t>展望未来，预计2026年经济延续稳中有进的发展态势。海外方面，美联储仍处降息周期内，主要经济体均有宽财政预期，有望支撑我国出口保持韧性；国内方面，当前微观出现一定回暖迹象，但供强需弱矛盾仍较为突出，经济企稳回升进程仍存挑战，政策端定调积极，开年央行结构性降息率先落地，财政端国补资金提前下达助力消费回暖，央行持续将流动性维持在合理充裕的水平；债市方面，当前多空因素交织，预计仍将延续震荡格局且波动有所加大，长期限利率品种仍具备交易性机会，在资金面偏宽松的背景下，中短期限信用品种仍具备较优的配置及套息价值。</w:t>
      </w:r>
    </w:p>
    <w:p w14:paraId="44FAC7ED">
      <w:pPr>
        <w:pStyle w:val="23"/>
      </w:pPr>
      <w:bookmarkStart w:id="33" w:name="_Toc18990"/>
      <w:r>
        <w:t>管理人内部有关本基金的监察稽核工作情况</w:t>
      </w:r>
      <w:bookmarkEnd w:id="33"/>
      <w:r>
        <w:t xml:space="preserve"> </w:t>
      </w:r>
    </w:p>
    <w:p w14:paraId="0CC09325">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2074F7E3">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0ADC3B85">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40EDC9E5">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0169794C">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4C40BB9B">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240E09AB">
      <w:pPr>
        <w:pStyle w:val="23"/>
      </w:pPr>
      <w:bookmarkStart w:id="34" w:name="_Toc26264"/>
      <w:r>
        <w:t>管理人对报告期内基金估值程序等事项的说明</w:t>
      </w:r>
      <w:bookmarkEnd w:id="34"/>
    </w:p>
    <w:p w14:paraId="6831543F">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327DA6CF">
      <w:pPr>
        <w:pStyle w:val="23"/>
      </w:pPr>
      <w:bookmarkStart w:id="35" w:name="_Toc24443"/>
      <w:r>
        <w:t>管理人对报告期内基金利润分配情况的说明</w:t>
      </w:r>
      <w:bookmarkEnd w:id="35"/>
      <w:r>
        <w:t xml:space="preserve"> </w:t>
      </w:r>
    </w:p>
    <w:p w14:paraId="3B61E373">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61ED2047">
      <w:pPr>
        <w:pStyle w:val="23"/>
      </w:pPr>
      <w:bookmarkStart w:id="36" w:name="_Toc26138"/>
      <w:r>
        <w:t>报告期内基金持有人数或基金资产净值预警说明</w:t>
      </w:r>
      <w:bookmarkEnd w:id="36"/>
    </w:p>
    <w:p w14:paraId="1ED96DBD">
      <w:pPr>
        <w:pStyle w:val="18"/>
        <w:rPr>
          <w:rFonts w:hint="eastAsia"/>
        </w:rPr>
      </w:pPr>
      <w:r>
        <w:rPr>
          <w:rFonts w:hint="eastAsia"/>
        </w:rPr>
        <w:t>报告期内，本基金未出现连续二十个交易日基金份额持有人数量不满二百人或者基金资产净值低于五千万元的情形。</w:t>
      </w:r>
    </w:p>
    <w:p w14:paraId="2C786AA7">
      <w:pPr>
        <w:pStyle w:val="26"/>
      </w:pPr>
      <w:r>
        <w:t xml:space="preserve"> </w:t>
      </w:r>
      <w:bookmarkStart w:id="37" w:name="_Toc11096"/>
      <w:r>
        <w:t>托管人报告</w:t>
      </w:r>
      <w:bookmarkEnd w:id="37"/>
    </w:p>
    <w:p w14:paraId="59B4B4FA">
      <w:pPr>
        <w:pStyle w:val="23"/>
      </w:pPr>
      <w:bookmarkStart w:id="38" w:name="_Toc2426"/>
      <w:r>
        <w:t>报告期内本基金托管人遵规守信情况声明</w:t>
      </w:r>
      <w:bookmarkEnd w:id="38"/>
    </w:p>
    <w:p w14:paraId="38DFCD3D">
      <w:pPr>
        <w:pStyle w:val="18"/>
        <w:rPr>
          <w:rFonts w:hint="eastAsia"/>
        </w:rPr>
      </w:pPr>
      <w:r>
        <w:rPr>
          <w:rFonts w:hint="eastAsia"/>
        </w:rPr>
        <w:t>托管人声明:</w:t>
      </w:r>
    </w:p>
    <w:p w14:paraId="6F08E4C8">
      <w:pPr>
        <w:pStyle w:val="18"/>
        <w:rPr>
          <w:rFonts w:hint="eastAsia"/>
        </w:rPr>
      </w:pPr>
      <w:r>
        <w:rPr>
          <w:rFonts w:hint="eastAsia"/>
        </w:rPr>
        <w:t>招商银行具备完善的公司治理结构、内部稽核监控制度和风险控制制度，我行在履行托管职责中，严格遵守有关法律法规、托管协议的规定，尽职尽责地履行托管义务并安全保管托管资产。</w:t>
      </w:r>
    </w:p>
    <w:p w14:paraId="00A1799D">
      <w:pPr>
        <w:pStyle w:val="23"/>
      </w:pPr>
      <w:bookmarkStart w:id="39" w:name="_Toc31222"/>
      <w:r>
        <w:t>托管人对报告期内本基金投资运作遵规守信、净值计算、利润分配等情况的说明</w:t>
      </w:r>
      <w:bookmarkEnd w:id="39"/>
      <w:r>
        <w:t xml:space="preserve"> </w:t>
      </w:r>
    </w:p>
    <w:p w14:paraId="0C48B48D">
      <w:pPr>
        <w:pStyle w:val="18"/>
        <w:rPr>
          <w:rFonts w:hint="eastAsia"/>
        </w:rPr>
      </w:pPr>
      <w:r>
        <w:rPr>
          <w:rFonts w:hint="eastAsia"/>
        </w:rPr>
        <w:t>招商银行根据法律法规、托管协议约定的投资监督条款，对托管产品的投资行为进行监督，并根据监管要求履行报告义务。</w:t>
      </w:r>
    </w:p>
    <w:p w14:paraId="0F458A5C">
      <w:pPr>
        <w:pStyle w:val="18"/>
        <w:rPr>
          <w:rFonts w:hint="eastAsia"/>
        </w:rPr>
      </w:pPr>
      <w:r>
        <w:rPr>
          <w:rFonts w:hint="eastAsia"/>
        </w:rPr>
        <w:t>招商银行按照托管协议约定的统一记账方法和会计处理原则，独立地设置、登录和保管本产品的全套账册，进行会计核算和资产估值并与管理人建立对账机制。</w:t>
      </w:r>
    </w:p>
    <w:p w14:paraId="5D60B2F1">
      <w:pPr>
        <w:pStyle w:val="18"/>
        <w:rPr>
          <w:rFonts w:hint="eastAsia"/>
        </w:rPr>
      </w:pPr>
      <w:r>
        <w:rPr>
          <w:rFonts w:hint="eastAsia"/>
        </w:rPr>
        <w:t>本年度报告中利润分配情况真实、准确。</w:t>
      </w:r>
    </w:p>
    <w:p w14:paraId="23D1F28A">
      <w:pPr>
        <w:pStyle w:val="23"/>
      </w:pPr>
      <w:bookmarkStart w:id="40" w:name="_Toc2702"/>
      <w:r>
        <w:t>托管人对本年度报告中财务信息等内容的真实、准确和完整发表意见</w:t>
      </w:r>
      <w:bookmarkEnd w:id="40"/>
    </w:p>
    <w:p w14:paraId="7D0283B5">
      <w:pPr>
        <w:pStyle w:val="18"/>
        <w:rPr>
          <w:rFonts w:hint="eastAsia"/>
        </w:rPr>
      </w:pPr>
      <w:r>
        <w:rPr>
          <w:rFonts w:hint="eastAsia"/>
        </w:rPr>
        <w:t>本年度报告中财务指标、净值表现、财务会计报告、投资组合报告内容真实、准确，不存在虚假记载、误导性陈述或者重大遗漏。</w:t>
      </w:r>
    </w:p>
    <w:p w14:paraId="0F63C003">
      <w:pPr>
        <w:pStyle w:val="26"/>
      </w:pPr>
      <w:r>
        <w:t xml:space="preserve"> </w:t>
      </w:r>
      <w:bookmarkStart w:id="41" w:name="_Toc27277"/>
      <w:r>
        <w:t>审计报告</w:t>
      </w:r>
      <w:bookmarkEnd w:id="41"/>
      <w:r>
        <w:t xml:space="preserve"> </w:t>
      </w:r>
    </w:p>
    <w:p w14:paraId="07FBC323">
      <w:pPr>
        <w:pStyle w:val="23"/>
      </w:pPr>
      <w:bookmarkStart w:id="42" w:name="_Toc11623"/>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E1E7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BC1C036">
            <w:r>
              <w:rPr>
                <w:rFonts w:hint="eastAsia"/>
              </w:rPr>
              <w:t>财务报表是否经过审计</w:t>
            </w:r>
          </w:p>
        </w:tc>
        <w:tc>
          <w:tcPr>
            <w:tcW w:w="4153" w:type="dxa"/>
            <w:vAlign w:val="center"/>
          </w:tcPr>
          <w:p w14:paraId="341705E1">
            <w:r>
              <w:rPr>
                <w:rFonts w:hint="eastAsia"/>
              </w:rPr>
              <w:t>是</w:t>
            </w:r>
          </w:p>
        </w:tc>
      </w:tr>
      <w:tr w14:paraId="3D9D9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00ADF6C">
            <w:r>
              <w:rPr>
                <w:rFonts w:hint="eastAsia"/>
              </w:rPr>
              <w:t>审计意见类型</w:t>
            </w:r>
          </w:p>
        </w:tc>
        <w:tc>
          <w:tcPr>
            <w:tcW w:w="4153" w:type="dxa"/>
            <w:vAlign w:val="center"/>
          </w:tcPr>
          <w:p w14:paraId="5CF91166">
            <w:r>
              <w:rPr>
                <w:rFonts w:hint="eastAsia"/>
              </w:rPr>
              <w:t>标准无保留意见</w:t>
            </w:r>
          </w:p>
        </w:tc>
      </w:tr>
      <w:tr w14:paraId="6DA46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B540F0F">
            <w:r>
              <w:rPr>
                <w:rFonts w:hint="eastAsia"/>
              </w:rPr>
              <w:t>审计报告编号</w:t>
            </w:r>
          </w:p>
        </w:tc>
        <w:tc>
          <w:tcPr>
            <w:tcW w:w="4153" w:type="dxa"/>
            <w:vAlign w:val="center"/>
          </w:tcPr>
          <w:p w14:paraId="446181ED">
            <w:r>
              <w:rPr>
                <w:rFonts w:hint="eastAsia"/>
              </w:rPr>
              <w:t>安永华明（2026）审字第70027797_H85号</w:t>
            </w:r>
          </w:p>
        </w:tc>
      </w:tr>
    </w:tbl>
    <w:p w14:paraId="087B04CE">
      <w:pPr>
        <w:pStyle w:val="23"/>
      </w:pPr>
      <w:bookmarkStart w:id="43" w:name="_Toc13253"/>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6708A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4CC171A5">
            <w:pPr>
              <w:jc w:val="center"/>
            </w:pPr>
            <w:r>
              <w:rPr>
                <w:rFonts w:hint="eastAsia"/>
                <w:b/>
              </w:rPr>
              <w:t>审计报告标题</w:t>
            </w:r>
          </w:p>
        </w:tc>
        <w:tc>
          <w:tcPr>
            <w:tcW w:w="2491" w:type="dxa"/>
            <w:gridSpan w:val="2"/>
            <w:shd w:val="clear" w:color="auto" w:fill="BFBFBF"/>
            <w:vAlign w:val="center"/>
          </w:tcPr>
          <w:p w14:paraId="4533DEED">
            <w:pPr>
              <w:jc w:val="center"/>
            </w:pPr>
            <w:r>
              <w:rPr>
                <w:rFonts w:hint="eastAsia"/>
                <w:b/>
              </w:rPr>
              <w:t>审计报告</w:t>
            </w:r>
          </w:p>
        </w:tc>
      </w:tr>
      <w:tr w14:paraId="728C0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4FA2BC3">
            <w:r>
              <w:rPr>
                <w:rFonts w:hint="eastAsia"/>
              </w:rPr>
              <w:t>审计报告收件人</w:t>
            </w:r>
          </w:p>
        </w:tc>
        <w:tc>
          <w:tcPr>
            <w:tcW w:w="2491" w:type="dxa"/>
            <w:gridSpan w:val="2"/>
            <w:vAlign w:val="center"/>
          </w:tcPr>
          <w:p w14:paraId="760BD86F">
            <w:r>
              <w:rPr>
                <w:rFonts w:hint="eastAsia"/>
              </w:rPr>
              <w:t>南方得利一年定期开放债券型发起式证券投资基金全体基金份额持有人</w:t>
            </w:r>
          </w:p>
        </w:tc>
      </w:tr>
      <w:tr w14:paraId="191A0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B2C3554">
            <w:r>
              <w:rPr>
                <w:rFonts w:hint="eastAsia"/>
              </w:rPr>
              <w:t>审计意见</w:t>
            </w:r>
          </w:p>
        </w:tc>
        <w:tc>
          <w:tcPr>
            <w:tcW w:w="2491" w:type="dxa"/>
            <w:gridSpan w:val="2"/>
            <w:vAlign w:val="center"/>
          </w:tcPr>
          <w:p w14:paraId="60C5144B">
            <w:pPr>
              <w:jc w:val="both"/>
              <w:rPr>
                <w:rFonts w:hint="eastAsia"/>
              </w:rPr>
            </w:pPr>
            <w:r>
              <w:rPr>
                <w:rFonts w:hint="eastAsia"/>
              </w:rPr>
              <w:t>我们审计了南方得利一年定期开放债券型发起式证券投资基金的财务报表，包括2025年12月31日的资产负债表，2025年度的利润表、净资产变动表以及相关财务报表附注。
</w:t>
            </w:r>
            <w:r>
              <w:rPr>
                <w:rFonts w:hint="eastAsia"/>
              </w:rPr>
              <w:br w:type="textWrapping"/>
            </w:r>
            <w:r>
              <w:rPr>
                <w:rFonts w:hint="eastAsia"/>
              </w:rPr>
              <w:t>我们认为，后附的南方得利一年定期开放债券型发起式证券投资基金的财务报表在所有重大方面按照企业会计准则的规定编制，公允反映了南方得利一年定期开放债券型发起式证券投资基金2025年12月31日的财务状况以及2025年度的经营成果和净资产变动情况。</w:t>
            </w:r>
          </w:p>
        </w:tc>
      </w:tr>
      <w:tr w14:paraId="35BB0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C99A914">
            <w:r>
              <w:rPr>
                <w:rFonts w:hint="eastAsia"/>
              </w:rPr>
              <w:t>形成审计意见的基础</w:t>
            </w:r>
          </w:p>
        </w:tc>
        <w:tc>
          <w:tcPr>
            <w:tcW w:w="2491" w:type="dxa"/>
            <w:gridSpan w:val="2"/>
            <w:vAlign w:val="center"/>
          </w:tcPr>
          <w:p w14:paraId="31BFAE61">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得利一年定期开放债券型发起式证券投资基金，并履行了职业道德方面的其他责任。我们在审计中遵循了对公众利益实体审计的独立性要求。我们相信，我们获取的审计证据是充分、适当的，为发表审计意见提供了基础。</w:t>
            </w:r>
          </w:p>
        </w:tc>
      </w:tr>
      <w:tr w14:paraId="65AA0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4D034DE">
            <w:r>
              <w:rPr>
                <w:rFonts w:hint="eastAsia"/>
              </w:rPr>
              <w:t>强调事项</w:t>
            </w:r>
          </w:p>
        </w:tc>
        <w:tc>
          <w:tcPr>
            <w:tcW w:w="2491" w:type="dxa"/>
            <w:gridSpan w:val="2"/>
            <w:vAlign w:val="center"/>
          </w:tcPr>
          <w:p w14:paraId="428693E2">
            <w:pPr>
              <w:jc w:val="right"/>
            </w:pPr>
            <w:r>
              <w:rPr>
                <w:rFonts w:hint="eastAsia"/>
              </w:rPr>
              <w:t>-</w:t>
            </w:r>
          </w:p>
        </w:tc>
      </w:tr>
      <w:tr w14:paraId="22359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310C8E1">
            <w:r>
              <w:rPr>
                <w:rFonts w:hint="eastAsia"/>
              </w:rPr>
              <w:t>其他事项</w:t>
            </w:r>
          </w:p>
        </w:tc>
        <w:tc>
          <w:tcPr>
            <w:tcW w:w="2491" w:type="dxa"/>
            <w:gridSpan w:val="2"/>
            <w:vAlign w:val="center"/>
          </w:tcPr>
          <w:p w14:paraId="5F9CFFEB">
            <w:pPr>
              <w:jc w:val="right"/>
            </w:pPr>
            <w:r>
              <w:rPr>
                <w:rFonts w:hint="eastAsia"/>
              </w:rPr>
              <w:t>-</w:t>
            </w:r>
          </w:p>
        </w:tc>
      </w:tr>
      <w:tr w14:paraId="44077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8B3574A">
            <w:r>
              <w:rPr>
                <w:rFonts w:hint="eastAsia"/>
              </w:rPr>
              <w:t>其他信息</w:t>
            </w:r>
          </w:p>
        </w:tc>
        <w:tc>
          <w:tcPr>
            <w:tcW w:w="2491" w:type="dxa"/>
            <w:gridSpan w:val="2"/>
            <w:vAlign w:val="center"/>
          </w:tcPr>
          <w:p w14:paraId="7C999A7D">
            <w:pPr>
              <w:jc w:val="both"/>
              <w:rPr>
                <w:rFonts w:hint="eastAsia"/>
              </w:rPr>
            </w:pPr>
            <w:r>
              <w:rPr>
                <w:rFonts w:hint="eastAsia"/>
              </w:rPr>
              <w:t>南方得利一年定期开放债券型发起式证券投资基金管理层对其他信息负责。其他信息包括年度报告中涵盖的信息，但不包括财务报表和我们的审计报告。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72505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98A95FC">
            <w:r>
              <w:rPr>
                <w:rFonts w:hint="eastAsia"/>
              </w:rPr>
              <w:t>管理层和治理层对财务报表的责任</w:t>
            </w:r>
          </w:p>
        </w:tc>
        <w:tc>
          <w:tcPr>
            <w:tcW w:w="2491" w:type="dxa"/>
            <w:gridSpan w:val="2"/>
            <w:vAlign w:val="center"/>
          </w:tcPr>
          <w:p w14:paraId="17CC7202">
            <w:pPr>
              <w:jc w:val="both"/>
              <w:rPr>
                <w:rFonts w:hint="eastAsia"/>
              </w:rPr>
            </w:pPr>
            <w:r>
              <w:rPr>
                <w:rFonts w:hint="eastAsia"/>
              </w:rPr>
              <w:t>管理层负责按照企业会计准则的规定编制财务报表，使其实现公允反映，并设计、执行和维护必要的内部控制，以使财务报表不存在由于舞弊或错误导致的重大错报。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管理层负责评估南方得利一年定期开放债券型发起式证券投资基金的持续经营能力，披露与持续经营相关的事项（如适用），并运用持续经营假设，除非计划进行清算、终止运营或别无其他现实的选择。
</w:t>
            </w:r>
            <w:r>
              <w:rPr>
                <w:rFonts w:hint="eastAsia"/>
              </w:rPr>
              <w:br w:type="textWrapping"/>
            </w:r>
            <w:r>
              <w:rPr>
                <w:rFonts w:hint="eastAsia"/>
              </w:rPr>
              <w:t>治理层负责监督南方得利一年定期开放债券型发起式证券投资基金的财务报告过程。</w:t>
            </w:r>
          </w:p>
        </w:tc>
      </w:tr>
      <w:tr w14:paraId="22B19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AB17AEE">
            <w:r>
              <w:rPr>
                <w:rFonts w:hint="eastAsia"/>
              </w:rPr>
              <w:t>注册会计师对财务报表审计的责任</w:t>
            </w:r>
          </w:p>
        </w:tc>
        <w:tc>
          <w:tcPr>
            <w:tcW w:w="2491" w:type="dxa"/>
            <w:gridSpan w:val="2"/>
            <w:vAlign w:val="center"/>
          </w:tcPr>
          <w:p w14:paraId="26868DC1">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（3）评价管理层选用会计政策的恰当性和作出会计估计及相关披露的合理性。
</w:t>
            </w:r>
            <w:r>
              <w:rPr>
                <w:rFonts w:hint="eastAsia"/>
              </w:rPr>
              <w:br w:type="textWrapping"/>
            </w:r>
            <w:r>
              <w:rPr>
                <w:rFonts w:hint="eastAsia"/>
              </w:rPr>
              <w:t>（4）对管理层使用持续经营假设的恰当性得出结论。同时，根据获取的审计证据，就可能导致对南方得利一年定期开放债券型发起式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得利一年定期开放债券型发起式证券投资基金不能持续经营。
</w:t>
            </w:r>
            <w:r>
              <w:rPr>
                <w:rFonts w:hint="eastAsia"/>
              </w:rPr>
              <w:br w:type="textWrapping"/>
            </w:r>
            <w:r>
              <w:rPr>
                <w:rFonts w:hint="eastAsia"/>
              </w:rPr>
              <w:t>（5）评价财务报表的总体列报（包括披露）、结构和内容，并评价财务报表是否公允反映相关交易和事项。
</w:t>
            </w:r>
            <w:r>
              <w:rPr>
                <w:rFonts w:hint="eastAsia"/>
              </w:rPr>
              <w:br w:type="textWrapping"/>
            </w:r>
            <w:r>
              <w:rPr>
                <w:rFonts w:hint="eastAsia"/>
              </w:rPr>
              <w:t>我们与治理层就计划的审计范围、时间安排和重大审计发现等事项进行沟通，包括沟通我们在审计中识别出的值得关注的内部控制缺陷。</w:t>
            </w:r>
          </w:p>
        </w:tc>
      </w:tr>
      <w:tr w14:paraId="05AA1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9913B9F">
            <w:r>
              <w:rPr>
                <w:rFonts w:hint="eastAsia"/>
              </w:rPr>
              <w:t>会计师事务所的名称</w:t>
            </w:r>
          </w:p>
        </w:tc>
        <w:tc>
          <w:tcPr>
            <w:tcW w:w="2491" w:type="dxa"/>
            <w:gridSpan w:val="2"/>
            <w:vAlign w:val="center"/>
          </w:tcPr>
          <w:p w14:paraId="52466D3B">
            <w:r>
              <w:rPr>
                <w:rFonts w:hint="eastAsia"/>
              </w:rPr>
              <w:t>安永华明会计师事务所（特殊普通合伙）</w:t>
            </w:r>
          </w:p>
        </w:tc>
      </w:tr>
      <w:tr w14:paraId="3454B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A7D4E2B">
            <w:r>
              <w:rPr>
                <w:rFonts w:hint="eastAsia"/>
              </w:rPr>
              <w:t>注册会计师的姓名</w:t>
            </w:r>
          </w:p>
        </w:tc>
        <w:tc>
          <w:tcPr>
            <w:tcW w:w="2491" w:type="dxa"/>
            <w:vAlign w:val="center"/>
          </w:tcPr>
          <w:p w14:paraId="3497A3A2">
            <w:r>
              <w:rPr>
                <w:rFonts w:hint="eastAsia"/>
              </w:rPr>
              <w:t>高  鹤</w:t>
            </w:r>
          </w:p>
        </w:tc>
        <w:tc>
          <w:tcPr>
            <w:tcW w:w="2768" w:type="dxa"/>
            <w:vAlign w:val="center"/>
          </w:tcPr>
          <w:p w14:paraId="6007ED20">
            <w:r>
              <w:rPr>
                <w:rFonts w:hint="eastAsia"/>
              </w:rPr>
              <w:t>邓  雯</w:t>
            </w:r>
          </w:p>
        </w:tc>
      </w:tr>
      <w:tr w14:paraId="75F74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EC27D66">
            <w:r>
              <w:rPr>
                <w:rFonts w:hint="eastAsia"/>
              </w:rPr>
              <w:t>会计师事务所的地址</w:t>
            </w:r>
          </w:p>
        </w:tc>
        <w:tc>
          <w:tcPr>
            <w:tcW w:w="2491" w:type="dxa"/>
            <w:gridSpan w:val="2"/>
            <w:vAlign w:val="center"/>
          </w:tcPr>
          <w:p w14:paraId="5FB8F548">
            <w:r>
              <w:rPr>
                <w:rFonts w:hint="eastAsia"/>
              </w:rPr>
              <w:t>北京市东城区东长安街1号东方广场安永大楼17层</w:t>
            </w:r>
          </w:p>
        </w:tc>
      </w:tr>
      <w:tr w14:paraId="36EEA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6D199BE">
            <w:r>
              <w:rPr>
                <w:rFonts w:hint="eastAsia"/>
              </w:rPr>
              <w:t>审计报告日期</w:t>
            </w:r>
          </w:p>
        </w:tc>
        <w:tc>
          <w:tcPr>
            <w:tcW w:w="2491" w:type="dxa"/>
            <w:gridSpan w:val="2"/>
            <w:vAlign w:val="center"/>
          </w:tcPr>
          <w:p w14:paraId="7C59A9D0">
            <w:r>
              <w:rPr>
                <w:rFonts w:hint="eastAsia"/>
              </w:rPr>
              <w:t>2026年3月27日</w:t>
            </w:r>
          </w:p>
        </w:tc>
      </w:tr>
    </w:tbl>
    <w:p w14:paraId="2879BF54">
      <w:pPr>
        <w:pStyle w:val="26"/>
      </w:pPr>
      <w:bookmarkStart w:id="44" w:name="_Toc3483"/>
      <w:r>
        <w:t>年度财务报表</w:t>
      </w:r>
      <w:bookmarkEnd w:id="44"/>
      <w:r>
        <w:t xml:space="preserve"> </w:t>
      </w:r>
    </w:p>
    <w:p w14:paraId="31953FD3">
      <w:pPr>
        <w:pStyle w:val="23"/>
      </w:pPr>
      <w:bookmarkStart w:id="45" w:name="_Toc27706"/>
      <w:r>
        <w:t>资产负债表</w:t>
      </w:r>
      <w:bookmarkEnd w:id="45"/>
    </w:p>
    <w:p w14:paraId="08180566">
      <w:pPr>
        <w:pStyle w:val="18"/>
        <w:rPr>
          <w:rFonts w:hint="eastAsia"/>
        </w:rPr>
      </w:pPr>
      <w:r>
        <w:rPr>
          <w:rFonts w:hint="eastAsia"/>
        </w:rPr>
        <w:t>会计主体：南方得利一年定期开放债券型发起式证券投资基金</w:t>
      </w:r>
    </w:p>
    <w:p w14:paraId="2D6758C5">
      <w:pPr>
        <w:pStyle w:val="18"/>
        <w:rPr>
          <w:rFonts w:hint="eastAsia"/>
        </w:rPr>
      </w:pPr>
      <w:r>
        <w:rPr>
          <w:rFonts w:hint="eastAsia"/>
        </w:rPr>
        <w:t>报告截止日：2025年12月31日</w:t>
      </w:r>
    </w:p>
    <w:p w14:paraId="7ED8FF89">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7BE57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E9D64C">
            <w:r>
              <w:rPr>
                <w:rFonts w:hint="eastAsia"/>
              </w:rPr>
              <w:t>资产</w:t>
            </w:r>
          </w:p>
        </w:tc>
        <w:tc>
          <w:tcPr>
            <w:tcW w:w="1262" w:type="dxa"/>
            <w:vAlign w:val="center"/>
          </w:tcPr>
          <w:p w14:paraId="67D46302">
            <w:r>
              <w:rPr>
                <w:rFonts w:hint="eastAsia"/>
              </w:rPr>
              <w:t>附注号</w:t>
            </w:r>
          </w:p>
        </w:tc>
        <w:tc>
          <w:tcPr>
            <w:tcW w:w="2289" w:type="dxa"/>
            <w:vAlign w:val="center"/>
          </w:tcPr>
          <w:p w14:paraId="7DCA31BF">
            <w:r>
              <w:rPr>
                <w:rFonts w:hint="eastAsia"/>
              </w:rPr>
              <w:t>本期末2025年12月31日</w:t>
            </w:r>
          </w:p>
        </w:tc>
        <w:tc>
          <w:tcPr>
            <w:tcW w:w="2295" w:type="dxa"/>
            <w:vAlign w:val="center"/>
          </w:tcPr>
          <w:p w14:paraId="504E3394">
            <w:r>
              <w:rPr>
                <w:rFonts w:hint="eastAsia"/>
              </w:rPr>
              <w:t>上年度末2024年12月31日</w:t>
            </w:r>
          </w:p>
        </w:tc>
      </w:tr>
      <w:tr w14:paraId="2FD11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C88882">
            <w:r>
              <w:rPr>
                <w:rFonts w:hint="eastAsia"/>
              </w:rPr>
              <w:t>资产：</w:t>
            </w:r>
          </w:p>
        </w:tc>
        <w:tc>
          <w:tcPr>
            <w:tcW w:w="1262" w:type="dxa"/>
            <w:vAlign w:val="center"/>
          </w:tcPr>
          <w:p w14:paraId="22FB6981"/>
        </w:tc>
        <w:tc>
          <w:tcPr>
            <w:tcW w:w="2289" w:type="dxa"/>
            <w:vAlign w:val="center"/>
          </w:tcPr>
          <w:p w14:paraId="74536DA8"/>
        </w:tc>
        <w:tc>
          <w:tcPr>
            <w:tcW w:w="2295" w:type="dxa"/>
            <w:vAlign w:val="center"/>
          </w:tcPr>
          <w:p w14:paraId="6A941486"/>
        </w:tc>
      </w:tr>
      <w:tr w14:paraId="62DE5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6476CA">
            <w:r>
              <w:rPr>
                <w:rFonts w:hint="eastAsia"/>
              </w:rPr>
              <w:t>货币资金</w:t>
            </w:r>
          </w:p>
        </w:tc>
        <w:tc>
          <w:tcPr>
            <w:tcW w:w="1262" w:type="dxa"/>
            <w:vAlign w:val="center"/>
          </w:tcPr>
          <w:p w14:paraId="7C91BE89">
            <w:r>
              <w:rPr>
                <w:rFonts w:hint="eastAsia"/>
              </w:rPr>
              <w:t>7.4.7.1</w:t>
            </w:r>
          </w:p>
        </w:tc>
        <w:tc>
          <w:tcPr>
            <w:tcW w:w="2289" w:type="dxa"/>
            <w:vAlign w:val="center"/>
          </w:tcPr>
          <w:p w14:paraId="5FF7E8B6">
            <w:pPr>
              <w:jc w:val="right"/>
            </w:pPr>
            <w:r>
              <w:rPr>
                <w:rFonts w:hint="eastAsia"/>
              </w:rPr>
              <w:t>19,243,160.76</w:t>
            </w:r>
          </w:p>
        </w:tc>
        <w:tc>
          <w:tcPr>
            <w:tcW w:w="2295" w:type="dxa"/>
            <w:vAlign w:val="center"/>
          </w:tcPr>
          <w:p w14:paraId="7BA521C3">
            <w:pPr>
              <w:jc w:val="right"/>
            </w:pPr>
            <w:r>
              <w:rPr>
                <w:rFonts w:hint="eastAsia"/>
              </w:rPr>
              <w:t>932,215.26</w:t>
            </w:r>
          </w:p>
        </w:tc>
      </w:tr>
      <w:tr w14:paraId="4BF50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0047E6">
            <w:r>
              <w:rPr>
                <w:rFonts w:hint="eastAsia"/>
              </w:rPr>
              <w:t>结算备付金</w:t>
            </w:r>
          </w:p>
        </w:tc>
        <w:tc>
          <w:tcPr>
            <w:tcW w:w="1262" w:type="dxa"/>
            <w:vAlign w:val="center"/>
          </w:tcPr>
          <w:p w14:paraId="2B193157"/>
        </w:tc>
        <w:tc>
          <w:tcPr>
            <w:tcW w:w="2289" w:type="dxa"/>
            <w:vAlign w:val="center"/>
          </w:tcPr>
          <w:p w14:paraId="18286644">
            <w:pPr>
              <w:jc w:val="right"/>
            </w:pPr>
            <w:r>
              <w:rPr>
                <w:rFonts w:hint="eastAsia"/>
              </w:rPr>
              <w:t>-</w:t>
            </w:r>
          </w:p>
        </w:tc>
        <w:tc>
          <w:tcPr>
            <w:tcW w:w="2295" w:type="dxa"/>
            <w:vAlign w:val="center"/>
          </w:tcPr>
          <w:p w14:paraId="6A9ACEAA">
            <w:pPr>
              <w:jc w:val="right"/>
            </w:pPr>
            <w:r>
              <w:rPr>
                <w:rFonts w:hint="eastAsia"/>
              </w:rPr>
              <w:t>-</w:t>
            </w:r>
          </w:p>
        </w:tc>
      </w:tr>
      <w:tr w14:paraId="67028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EBCE49">
            <w:r>
              <w:rPr>
                <w:rFonts w:hint="eastAsia"/>
              </w:rPr>
              <w:t>存出保证金</w:t>
            </w:r>
          </w:p>
        </w:tc>
        <w:tc>
          <w:tcPr>
            <w:tcW w:w="1262" w:type="dxa"/>
            <w:vAlign w:val="center"/>
          </w:tcPr>
          <w:p w14:paraId="677FBC21"/>
        </w:tc>
        <w:tc>
          <w:tcPr>
            <w:tcW w:w="2289" w:type="dxa"/>
            <w:vAlign w:val="center"/>
          </w:tcPr>
          <w:p w14:paraId="3840C932">
            <w:pPr>
              <w:jc w:val="right"/>
            </w:pPr>
            <w:r>
              <w:rPr>
                <w:rFonts w:hint="eastAsia"/>
              </w:rPr>
              <w:t>6,091.28</w:t>
            </w:r>
          </w:p>
        </w:tc>
        <w:tc>
          <w:tcPr>
            <w:tcW w:w="2295" w:type="dxa"/>
            <w:vAlign w:val="center"/>
          </w:tcPr>
          <w:p w14:paraId="09FECD9E">
            <w:pPr>
              <w:jc w:val="right"/>
            </w:pPr>
            <w:r>
              <w:rPr>
                <w:rFonts w:hint="eastAsia"/>
              </w:rPr>
              <w:t>6,189.15</w:t>
            </w:r>
          </w:p>
        </w:tc>
      </w:tr>
      <w:tr w14:paraId="0DED9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20186B">
            <w:r>
              <w:rPr>
                <w:rFonts w:hint="eastAsia"/>
              </w:rPr>
              <w:t>交易性金融资产</w:t>
            </w:r>
          </w:p>
        </w:tc>
        <w:tc>
          <w:tcPr>
            <w:tcW w:w="1262" w:type="dxa"/>
            <w:vAlign w:val="center"/>
          </w:tcPr>
          <w:p w14:paraId="0CB91D2F">
            <w:r>
              <w:rPr>
                <w:rFonts w:hint="eastAsia"/>
              </w:rPr>
              <w:t>7.4.7.2</w:t>
            </w:r>
          </w:p>
        </w:tc>
        <w:tc>
          <w:tcPr>
            <w:tcW w:w="2289" w:type="dxa"/>
            <w:vAlign w:val="center"/>
          </w:tcPr>
          <w:p w14:paraId="2849B7A0">
            <w:pPr>
              <w:jc w:val="right"/>
            </w:pPr>
            <w:r>
              <w:rPr>
                <w:rFonts w:hint="eastAsia"/>
              </w:rPr>
              <w:t>1,201,671,141.91</w:t>
            </w:r>
          </w:p>
        </w:tc>
        <w:tc>
          <w:tcPr>
            <w:tcW w:w="2295" w:type="dxa"/>
            <w:vAlign w:val="center"/>
          </w:tcPr>
          <w:p w14:paraId="587DD873">
            <w:pPr>
              <w:jc w:val="right"/>
            </w:pPr>
            <w:r>
              <w:rPr>
                <w:rFonts w:hint="eastAsia"/>
              </w:rPr>
              <w:t>1,408,784,929.81</w:t>
            </w:r>
          </w:p>
        </w:tc>
      </w:tr>
      <w:tr w14:paraId="03F5C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FE3874">
            <w:r>
              <w:rPr>
                <w:rFonts w:hint="eastAsia"/>
              </w:rPr>
              <w:t>其中：股票投资</w:t>
            </w:r>
          </w:p>
        </w:tc>
        <w:tc>
          <w:tcPr>
            <w:tcW w:w="1262" w:type="dxa"/>
            <w:vAlign w:val="center"/>
          </w:tcPr>
          <w:p w14:paraId="4B201725"/>
        </w:tc>
        <w:tc>
          <w:tcPr>
            <w:tcW w:w="2289" w:type="dxa"/>
            <w:vAlign w:val="center"/>
          </w:tcPr>
          <w:p w14:paraId="19997C2E">
            <w:pPr>
              <w:jc w:val="right"/>
            </w:pPr>
            <w:r>
              <w:rPr>
                <w:rFonts w:hint="eastAsia"/>
              </w:rPr>
              <w:t>-</w:t>
            </w:r>
          </w:p>
        </w:tc>
        <w:tc>
          <w:tcPr>
            <w:tcW w:w="2295" w:type="dxa"/>
            <w:vAlign w:val="center"/>
          </w:tcPr>
          <w:p w14:paraId="55D1FA13">
            <w:pPr>
              <w:jc w:val="right"/>
            </w:pPr>
            <w:r>
              <w:rPr>
                <w:rFonts w:hint="eastAsia"/>
              </w:rPr>
              <w:t>-</w:t>
            </w:r>
          </w:p>
        </w:tc>
      </w:tr>
      <w:tr w14:paraId="60146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5C63B5">
            <w:r>
              <w:rPr>
                <w:rFonts w:hint="eastAsia"/>
              </w:rPr>
              <w:t xml:space="preserve">      基金投资</w:t>
            </w:r>
          </w:p>
        </w:tc>
        <w:tc>
          <w:tcPr>
            <w:tcW w:w="1262" w:type="dxa"/>
            <w:vAlign w:val="center"/>
          </w:tcPr>
          <w:p w14:paraId="38286FF0"/>
        </w:tc>
        <w:tc>
          <w:tcPr>
            <w:tcW w:w="2289" w:type="dxa"/>
            <w:vAlign w:val="center"/>
          </w:tcPr>
          <w:p w14:paraId="27DA8CD5">
            <w:pPr>
              <w:jc w:val="right"/>
            </w:pPr>
            <w:r>
              <w:rPr>
                <w:rFonts w:hint="eastAsia"/>
              </w:rPr>
              <w:t>-</w:t>
            </w:r>
          </w:p>
        </w:tc>
        <w:tc>
          <w:tcPr>
            <w:tcW w:w="2295" w:type="dxa"/>
            <w:vAlign w:val="center"/>
          </w:tcPr>
          <w:p w14:paraId="48C6A825">
            <w:pPr>
              <w:jc w:val="right"/>
            </w:pPr>
            <w:r>
              <w:rPr>
                <w:rFonts w:hint="eastAsia"/>
              </w:rPr>
              <w:t>-</w:t>
            </w:r>
          </w:p>
        </w:tc>
      </w:tr>
      <w:tr w14:paraId="6AF82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FF0859">
            <w:r>
              <w:rPr>
                <w:rFonts w:hint="eastAsia"/>
              </w:rPr>
              <w:t xml:space="preserve">      债券投资</w:t>
            </w:r>
          </w:p>
        </w:tc>
        <w:tc>
          <w:tcPr>
            <w:tcW w:w="1262" w:type="dxa"/>
            <w:vAlign w:val="center"/>
          </w:tcPr>
          <w:p w14:paraId="7A619C89"/>
        </w:tc>
        <w:tc>
          <w:tcPr>
            <w:tcW w:w="2289" w:type="dxa"/>
            <w:vAlign w:val="center"/>
          </w:tcPr>
          <w:p w14:paraId="1BB2CCA1">
            <w:pPr>
              <w:jc w:val="right"/>
            </w:pPr>
            <w:r>
              <w:rPr>
                <w:rFonts w:hint="eastAsia"/>
              </w:rPr>
              <w:t>1,201,671,141.91</w:t>
            </w:r>
          </w:p>
        </w:tc>
        <w:tc>
          <w:tcPr>
            <w:tcW w:w="2295" w:type="dxa"/>
            <w:vAlign w:val="center"/>
          </w:tcPr>
          <w:p w14:paraId="59E5DC5B">
            <w:pPr>
              <w:jc w:val="right"/>
            </w:pPr>
            <w:r>
              <w:rPr>
                <w:rFonts w:hint="eastAsia"/>
              </w:rPr>
              <w:t>1,408,784,929.81</w:t>
            </w:r>
          </w:p>
        </w:tc>
      </w:tr>
      <w:tr w14:paraId="73A5A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F03643">
            <w:r>
              <w:rPr>
                <w:rFonts w:hint="eastAsia"/>
              </w:rPr>
              <w:t xml:space="preserve">      资产支持证券投资</w:t>
            </w:r>
          </w:p>
        </w:tc>
        <w:tc>
          <w:tcPr>
            <w:tcW w:w="1262" w:type="dxa"/>
            <w:vAlign w:val="center"/>
          </w:tcPr>
          <w:p w14:paraId="2CC8A78C"/>
        </w:tc>
        <w:tc>
          <w:tcPr>
            <w:tcW w:w="2289" w:type="dxa"/>
            <w:vAlign w:val="center"/>
          </w:tcPr>
          <w:p w14:paraId="678FC8FA">
            <w:pPr>
              <w:jc w:val="right"/>
            </w:pPr>
            <w:r>
              <w:rPr>
                <w:rFonts w:hint="eastAsia"/>
              </w:rPr>
              <w:t>-</w:t>
            </w:r>
          </w:p>
        </w:tc>
        <w:tc>
          <w:tcPr>
            <w:tcW w:w="2295" w:type="dxa"/>
            <w:vAlign w:val="center"/>
          </w:tcPr>
          <w:p w14:paraId="016C4AB6">
            <w:pPr>
              <w:jc w:val="right"/>
            </w:pPr>
            <w:r>
              <w:rPr>
                <w:rFonts w:hint="eastAsia"/>
              </w:rPr>
              <w:t>-</w:t>
            </w:r>
          </w:p>
        </w:tc>
      </w:tr>
      <w:tr w14:paraId="7A51A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AF7DAC">
            <w:r>
              <w:rPr>
                <w:rFonts w:hint="eastAsia"/>
              </w:rPr>
              <w:t xml:space="preserve">      贵金属投资</w:t>
            </w:r>
          </w:p>
        </w:tc>
        <w:tc>
          <w:tcPr>
            <w:tcW w:w="1262" w:type="dxa"/>
            <w:vAlign w:val="center"/>
          </w:tcPr>
          <w:p w14:paraId="4042F5BA"/>
        </w:tc>
        <w:tc>
          <w:tcPr>
            <w:tcW w:w="2289" w:type="dxa"/>
            <w:vAlign w:val="center"/>
          </w:tcPr>
          <w:p w14:paraId="10B86E96">
            <w:pPr>
              <w:jc w:val="right"/>
            </w:pPr>
            <w:r>
              <w:rPr>
                <w:rFonts w:hint="eastAsia"/>
              </w:rPr>
              <w:t>-</w:t>
            </w:r>
          </w:p>
        </w:tc>
        <w:tc>
          <w:tcPr>
            <w:tcW w:w="2295" w:type="dxa"/>
            <w:vAlign w:val="center"/>
          </w:tcPr>
          <w:p w14:paraId="63A73CFA">
            <w:pPr>
              <w:jc w:val="right"/>
            </w:pPr>
            <w:r>
              <w:rPr>
                <w:rFonts w:hint="eastAsia"/>
              </w:rPr>
              <w:t>-</w:t>
            </w:r>
          </w:p>
        </w:tc>
      </w:tr>
      <w:tr w14:paraId="08ED7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2591CC">
            <w:r>
              <w:rPr>
                <w:rFonts w:hint="eastAsia"/>
              </w:rPr>
              <w:t xml:space="preserve">      其他投资</w:t>
            </w:r>
          </w:p>
        </w:tc>
        <w:tc>
          <w:tcPr>
            <w:tcW w:w="1262" w:type="dxa"/>
            <w:vAlign w:val="center"/>
          </w:tcPr>
          <w:p w14:paraId="04FF2A51"/>
        </w:tc>
        <w:tc>
          <w:tcPr>
            <w:tcW w:w="2289" w:type="dxa"/>
            <w:vAlign w:val="center"/>
          </w:tcPr>
          <w:p w14:paraId="5B6F7DB9">
            <w:pPr>
              <w:jc w:val="right"/>
            </w:pPr>
            <w:r>
              <w:rPr>
                <w:rFonts w:hint="eastAsia"/>
              </w:rPr>
              <w:t>-</w:t>
            </w:r>
          </w:p>
        </w:tc>
        <w:tc>
          <w:tcPr>
            <w:tcW w:w="2295" w:type="dxa"/>
            <w:vAlign w:val="center"/>
          </w:tcPr>
          <w:p w14:paraId="74F3CF8F">
            <w:pPr>
              <w:jc w:val="right"/>
            </w:pPr>
            <w:r>
              <w:rPr>
                <w:rFonts w:hint="eastAsia"/>
              </w:rPr>
              <w:t>-</w:t>
            </w:r>
          </w:p>
        </w:tc>
      </w:tr>
      <w:tr w14:paraId="48503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36FFD8">
            <w:r>
              <w:rPr>
                <w:rFonts w:hint="eastAsia"/>
              </w:rPr>
              <w:t>衍生金融资产</w:t>
            </w:r>
          </w:p>
        </w:tc>
        <w:tc>
          <w:tcPr>
            <w:tcW w:w="1262" w:type="dxa"/>
            <w:vAlign w:val="center"/>
          </w:tcPr>
          <w:p w14:paraId="786EF494">
            <w:r>
              <w:rPr>
                <w:rFonts w:hint="eastAsia"/>
              </w:rPr>
              <w:t>7.4.7.3</w:t>
            </w:r>
          </w:p>
        </w:tc>
        <w:tc>
          <w:tcPr>
            <w:tcW w:w="2289" w:type="dxa"/>
            <w:vAlign w:val="center"/>
          </w:tcPr>
          <w:p w14:paraId="3C81A9AC">
            <w:pPr>
              <w:jc w:val="right"/>
            </w:pPr>
            <w:r>
              <w:rPr>
                <w:rFonts w:hint="eastAsia"/>
              </w:rPr>
              <w:t>-</w:t>
            </w:r>
          </w:p>
        </w:tc>
        <w:tc>
          <w:tcPr>
            <w:tcW w:w="2295" w:type="dxa"/>
            <w:vAlign w:val="center"/>
          </w:tcPr>
          <w:p w14:paraId="3BF6B0AD">
            <w:pPr>
              <w:jc w:val="right"/>
            </w:pPr>
            <w:r>
              <w:rPr>
                <w:rFonts w:hint="eastAsia"/>
              </w:rPr>
              <w:t>-</w:t>
            </w:r>
          </w:p>
        </w:tc>
      </w:tr>
      <w:tr w14:paraId="5B908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0FA390">
            <w:r>
              <w:rPr>
                <w:rFonts w:hint="eastAsia"/>
              </w:rPr>
              <w:t>买入返售金融资产</w:t>
            </w:r>
          </w:p>
        </w:tc>
        <w:tc>
          <w:tcPr>
            <w:tcW w:w="1262" w:type="dxa"/>
            <w:vAlign w:val="center"/>
          </w:tcPr>
          <w:p w14:paraId="70E6AAF3">
            <w:r>
              <w:rPr>
                <w:rFonts w:hint="eastAsia"/>
              </w:rPr>
              <w:t>7.4.7.4</w:t>
            </w:r>
          </w:p>
        </w:tc>
        <w:tc>
          <w:tcPr>
            <w:tcW w:w="2289" w:type="dxa"/>
            <w:vAlign w:val="center"/>
          </w:tcPr>
          <w:p w14:paraId="38AEC762">
            <w:pPr>
              <w:jc w:val="right"/>
            </w:pPr>
            <w:r>
              <w:rPr>
                <w:rFonts w:hint="eastAsia"/>
              </w:rPr>
              <w:t>-</w:t>
            </w:r>
          </w:p>
        </w:tc>
        <w:tc>
          <w:tcPr>
            <w:tcW w:w="2295" w:type="dxa"/>
            <w:vAlign w:val="center"/>
          </w:tcPr>
          <w:p w14:paraId="6AEEFD48">
            <w:pPr>
              <w:jc w:val="right"/>
            </w:pPr>
            <w:r>
              <w:rPr>
                <w:rFonts w:hint="eastAsia"/>
              </w:rPr>
              <w:t>30,001,867.46</w:t>
            </w:r>
          </w:p>
        </w:tc>
      </w:tr>
      <w:tr w14:paraId="2170B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ABA798">
            <w:r>
              <w:rPr>
                <w:rFonts w:hint="eastAsia"/>
              </w:rPr>
              <w:t>债权投资</w:t>
            </w:r>
          </w:p>
        </w:tc>
        <w:tc>
          <w:tcPr>
            <w:tcW w:w="1262" w:type="dxa"/>
            <w:vAlign w:val="center"/>
          </w:tcPr>
          <w:p w14:paraId="1EE85D9A"/>
        </w:tc>
        <w:tc>
          <w:tcPr>
            <w:tcW w:w="2289" w:type="dxa"/>
            <w:vAlign w:val="center"/>
          </w:tcPr>
          <w:p w14:paraId="7BA109FE">
            <w:pPr>
              <w:jc w:val="right"/>
            </w:pPr>
            <w:r>
              <w:rPr>
                <w:rFonts w:hint="eastAsia"/>
              </w:rPr>
              <w:t>-</w:t>
            </w:r>
          </w:p>
        </w:tc>
        <w:tc>
          <w:tcPr>
            <w:tcW w:w="2295" w:type="dxa"/>
            <w:vAlign w:val="center"/>
          </w:tcPr>
          <w:p w14:paraId="62B5BA25">
            <w:pPr>
              <w:jc w:val="right"/>
            </w:pPr>
            <w:r>
              <w:rPr>
                <w:rFonts w:hint="eastAsia"/>
              </w:rPr>
              <w:t>-</w:t>
            </w:r>
          </w:p>
        </w:tc>
      </w:tr>
      <w:tr w14:paraId="6CB02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949A98">
            <w:r>
              <w:rPr>
                <w:rFonts w:hint="eastAsia"/>
              </w:rPr>
              <w:t>其中：债券投资</w:t>
            </w:r>
          </w:p>
        </w:tc>
        <w:tc>
          <w:tcPr>
            <w:tcW w:w="1262" w:type="dxa"/>
            <w:vAlign w:val="center"/>
          </w:tcPr>
          <w:p w14:paraId="2932CB62"/>
        </w:tc>
        <w:tc>
          <w:tcPr>
            <w:tcW w:w="2289" w:type="dxa"/>
            <w:vAlign w:val="center"/>
          </w:tcPr>
          <w:p w14:paraId="7F55BB69">
            <w:pPr>
              <w:jc w:val="right"/>
            </w:pPr>
            <w:r>
              <w:rPr>
                <w:rFonts w:hint="eastAsia"/>
              </w:rPr>
              <w:t>-</w:t>
            </w:r>
          </w:p>
        </w:tc>
        <w:tc>
          <w:tcPr>
            <w:tcW w:w="2295" w:type="dxa"/>
            <w:vAlign w:val="center"/>
          </w:tcPr>
          <w:p w14:paraId="4698598D">
            <w:pPr>
              <w:jc w:val="right"/>
            </w:pPr>
            <w:r>
              <w:rPr>
                <w:rFonts w:hint="eastAsia"/>
              </w:rPr>
              <w:t>-</w:t>
            </w:r>
          </w:p>
        </w:tc>
      </w:tr>
      <w:tr w14:paraId="01B86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BB61C6">
            <w:r>
              <w:rPr>
                <w:rFonts w:hint="eastAsia"/>
              </w:rPr>
              <w:t xml:space="preserve">      资产支持证券投资</w:t>
            </w:r>
          </w:p>
        </w:tc>
        <w:tc>
          <w:tcPr>
            <w:tcW w:w="1262" w:type="dxa"/>
            <w:vAlign w:val="center"/>
          </w:tcPr>
          <w:p w14:paraId="55F39212"/>
        </w:tc>
        <w:tc>
          <w:tcPr>
            <w:tcW w:w="2289" w:type="dxa"/>
            <w:vAlign w:val="center"/>
          </w:tcPr>
          <w:p w14:paraId="4BF43D1B">
            <w:pPr>
              <w:jc w:val="right"/>
            </w:pPr>
            <w:r>
              <w:rPr>
                <w:rFonts w:hint="eastAsia"/>
              </w:rPr>
              <w:t>-</w:t>
            </w:r>
          </w:p>
        </w:tc>
        <w:tc>
          <w:tcPr>
            <w:tcW w:w="2295" w:type="dxa"/>
            <w:vAlign w:val="center"/>
          </w:tcPr>
          <w:p w14:paraId="4DF2E266">
            <w:pPr>
              <w:jc w:val="right"/>
            </w:pPr>
            <w:r>
              <w:rPr>
                <w:rFonts w:hint="eastAsia"/>
              </w:rPr>
              <w:t>-</w:t>
            </w:r>
          </w:p>
        </w:tc>
      </w:tr>
      <w:tr w14:paraId="06BDD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EA82AA">
            <w:r>
              <w:rPr>
                <w:rFonts w:hint="eastAsia"/>
              </w:rPr>
              <w:t xml:space="preserve">      其他投资</w:t>
            </w:r>
          </w:p>
        </w:tc>
        <w:tc>
          <w:tcPr>
            <w:tcW w:w="1262" w:type="dxa"/>
            <w:vAlign w:val="center"/>
          </w:tcPr>
          <w:p w14:paraId="2F88077A"/>
        </w:tc>
        <w:tc>
          <w:tcPr>
            <w:tcW w:w="2289" w:type="dxa"/>
            <w:vAlign w:val="center"/>
          </w:tcPr>
          <w:p w14:paraId="027156D9">
            <w:pPr>
              <w:jc w:val="right"/>
            </w:pPr>
            <w:r>
              <w:rPr>
                <w:rFonts w:hint="eastAsia"/>
              </w:rPr>
              <w:t>-</w:t>
            </w:r>
          </w:p>
        </w:tc>
        <w:tc>
          <w:tcPr>
            <w:tcW w:w="2295" w:type="dxa"/>
            <w:vAlign w:val="center"/>
          </w:tcPr>
          <w:p w14:paraId="1E56565E">
            <w:pPr>
              <w:jc w:val="right"/>
            </w:pPr>
            <w:r>
              <w:rPr>
                <w:rFonts w:hint="eastAsia"/>
              </w:rPr>
              <w:t>-</w:t>
            </w:r>
          </w:p>
        </w:tc>
      </w:tr>
      <w:tr w14:paraId="49874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D1F66B">
            <w:r>
              <w:rPr>
                <w:rFonts w:hint="eastAsia"/>
              </w:rPr>
              <w:t>其他债权投资</w:t>
            </w:r>
          </w:p>
        </w:tc>
        <w:tc>
          <w:tcPr>
            <w:tcW w:w="1262" w:type="dxa"/>
            <w:vAlign w:val="center"/>
          </w:tcPr>
          <w:p w14:paraId="235F9DDF"/>
        </w:tc>
        <w:tc>
          <w:tcPr>
            <w:tcW w:w="2289" w:type="dxa"/>
            <w:vAlign w:val="center"/>
          </w:tcPr>
          <w:p w14:paraId="69026605">
            <w:pPr>
              <w:jc w:val="right"/>
            </w:pPr>
            <w:r>
              <w:rPr>
                <w:rFonts w:hint="eastAsia"/>
              </w:rPr>
              <w:t>-</w:t>
            </w:r>
          </w:p>
        </w:tc>
        <w:tc>
          <w:tcPr>
            <w:tcW w:w="2295" w:type="dxa"/>
            <w:vAlign w:val="center"/>
          </w:tcPr>
          <w:p w14:paraId="5D2066E2">
            <w:pPr>
              <w:jc w:val="right"/>
            </w:pPr>
            <w:r>
              <w:rPr>
                <w:rFonts w:hint="eastAsia"/>
              </w:rPr>
              <w:t>-</w:t>
            </w:r>
          </w:p>
        </w:tc>
      </w:tr>
      <w:tr w14:paraId="41307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4A8B98">
            <w:r>
              <w:rPr>
                <w:rFonts w:hint="eastAsia"/>
              </w:rPr>
              <w:t>其他权益工具投资</w:t>
            </w:r>
          </w:p>
        </w:tc>
        <w:tc>
          <w:tcPr>
            <w:tcW w:w="1262" w:type="dxa"/>
            <w:vAlign w:val="center"/>
          </w:tcPr>
          <w:p w14:paraId="3AE0EAB3"/>
        </w:tc>
        <w:tc>
          <w:tcPr>
            <w:tcW w:w="2289" w:type="dxa"/>
            <w:vAlign w:val="center"/>
          </w:tcPr>
          <w:p w14:paraId="38D419A7">
            <w:pPr>
              <w:jc w:val="right"/>
            </w:pPr>
            <w:r>
              <w:rPr>
                <w:rFonts w:hint="eastAsia"/>
              </w:rPr>
              <w:t>-</w:t>
            </w:r>
          </w:p>
        </w:tc>
        <w:tc>
          <w:tcPr>
            <w:tcW w:w="2295" w:type="dxa"/>
            <w:vAlign w:val="center"/>
          </w:tcPr>
          <w:p w14:paraId="3909AB3A">
            <w:pPr>
              <w:jc w:val="right"/>
            </w:pPr>
            <w:r>
              <w:rPr>
                <w:rFonts w:hint="eastAsia"/>
              </w:rPr>
              <w:t>-</w:t>
            </w:r>
          </w:p>
        </w:tc>
      </w:tr>
      <w:tr w14:paraId="46255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9980A3">
            <w:r>
              <w:rPr>
                <w:rFonts w:hint="eastAsia"/>
              </w:rPr>
              <w:t>应收清算款</w:t>
            </w:r>
          </w:p>
        </w:tc>
        <w:tc>
          <w:tcPr>
            <w:tcW w:w="1262" w:type="dxa"/>
            <w:vAlign w:val="center"/>
          </w:tcPr>
          <w:p w14:paraId="16D9A1FC"/>
        </w:tc>
        <w:tc>
          <w:tcPr>
            <w:tcW w:w="2289" w:type="dxa"/>
            <w:vAlign w:val="center"/>
          </w:tcPr>
          <w:p w14:paraId="2BD1FDE3">
            <w:pPr>
              <w:jc w:val="right"/>
            </w:pPr>
            <w:r>
              <w:rPr>
                <w:rFonts w:hint="eastAsia"/>
              </w:rPr>
              <w:t>-</w:t>
            </w:r>
          </w:p>
        </w:tc>
        <w:tc>
          <w:tcPr>
            <w:tcW w:w="2295" w:type="dxa"/>
            <w:vAlign w:val="center"/>
          </w:tcPr>
          <w:p w14:paraId="0A3776A4">
            <w:pPr>
              <w:jc w:val="right"/>
            </w:pPr>
            <w:r>
              <w:rPr>
                <w:rFonts w:hint="eastAsia"/>
              </w:rPr>
              <w:t>-</w:t>
            </w:r>
          </w:p>
        </w:tc>
      </w:tr>
      <w:tr w14:paraId="3158F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4AD449">
            <w:r>
              <w:rPr>
                <w:rFonts w:hint="eastAsia"/>
              </w:rPr>
              <w:t>应收股利</w:t>
            </w:r>
          </w:p>
        </w:tc>
        <w:tc>
          <w:tcPr>
            <w:tcW w:w="1262" w:type="dxa"/>
            <w:vAlign w:val="center"/>
          </w:tcPr>
          <w:p w14:paraId="77E254AC"/>
        </w:tc>
        <w:tc>
          <w:tcPr>
            <w:tcW w:w="2289" w:type="dxa"/>
            <w:vAlign w:val="center"/>
          </w:tcPr>
          <w:p w14:paraId="5C3C1BFB">
            <w:pPr>
              <w:jc w:val="right"/>
            </w:pPr>
            <w:r>
              <w:rPr>
                <w:rFonts w:hint="eastAsia"/>
              </w:rPr>
              <w:t>-</w:t>
            </w:r>
          </w:p>
        </w:tc>
        <w:tc>
          <w:tcPr>
            <w:tcW w:w="2295" w:type="dxa"/>
            <w:vAlign w:val="center"/>
          </w:tcPr>
          <w:p w14:paraId="425318B4">
            <w:pPr>
              <w:jc w:val="right"/>
            </w:pPr>
            <w:r>
              <w:rPr>
                <w:rFonts w:hint="eastAsia"/>
              </w:rPr>
              <w:t>-</w:t>
            </w:r>
          </w:p>
        </w:tc>
      </w:tr>
      <w:tr w14:paraId="0695D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626756">
            <w:r>
              <w:rPr>
                <w:rFonts w:hint="eastAsia"/>
              </w:rPr>
              <w:t>应收申购款</w:t>
            </w:r>
          </w:p>
        </w:tc>
        <w:tc>
          <w:tcPr>
            <w:tcW w:w="1262" w:type="dxa"/>
            <w:vAlign w:val="center"/>
          </w:tcPr>
          <w:p w14:paraId="559A5705"/>
        </w:tc>
        <w:tc>
          <w:tcPr>
            <w:tcW w:w="2289" w:type="dxa"/>
            <w:vAlign w:val="center"/>
          </w:tcPr>
          <w:p w14:paraId="11D66E0D">
            <w:pPr>
              <w:jc w:val="right"/>
            </w:pPr>
            <w:r>
              <w:rPr>
                <w:rFonts w:hint="eastAsia"/>
              </w:rPr>
              <w:t>-</w:t>
            </w:r>
          </w:p>
        </w:tc>
        <w:tc>
          <w:tcPr>
            <w:tcW w:w="2295" w:type="dxa"/>
            <w:vAlign w:val="center"/>
          </w:tcPr>
          <w:p w14:paraId="7535813A">
            <w:pPr>
              <w:jc w:val="right"/>
            </w:pPr>
            <w:r>
              <w:rPr>
                <w:rFonts w:hint="eastAsia"/>
              </w:rPr>
              <w:t>-</w:t>
            </w:r>
          </w:p>
        </w:tc>
      </w:tr>
      <w:tr w14:paraId="542EF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2AA949">
            <w:r>
              <w:rPr>
                <w:rFonts w:hint="eastAsia"/>
              </w:rPr>
              <w:t>递延所得税资产</w:t>
            </w:r>
          </w:p>
        </w:tc>
        <w:tc>
          <w:tcPr>
            <w:tcW w:w="1262" w:type="dxa"/>
            <w:vAlign w:val="center"/>
          </w:tcPr>
          <w:p w14:paraId="12AB03A5"/>
        </w:tc>
        <w:tc>
          <w:tcPr>
            <w:tcW w:w="2289" w:type="dxa"/>
            <w:vAlign w:val="center"/>
          </w:tcPr>
          <w:p w14:paraId="6A46628C">
            <w:pPr>
              <w:jc w:val="right"/>
            </w:pPr>
            <w:r>
              <w:rPr>
                <w:rFonts w:hint="eastAsia"/>
              </w:rPr>
              <w:t>-</w:t>
            </w:r>
          </w:p>
        </w:tc>
        <w:tc>
          <w:tcPr>
            <w:tcW w:w="2295" w:type="dxa"/>
            <w:vAlign w:val="center"/>
          </w:tcPr>
          <w:p w14:paraId="0FE1FCA4">
            <w:pPr>
              <w:jc w:val="right"/>
            </w:pPr>
            <w:r>
              <w:rPr>
                <w:rFonts w:hint="eastAsia"/>
              </w:rPr>
              <w:t>-</w:t>
            </w:r>
          </w:p>
        </w:tc>
      </w:tr>
      <w:tr w14:paraId="5BF3F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F577BD">
            <w:r>
              <w:rPr>
                <w:rFonts w:hint="eastAsia"/>
              </w:rPr>
              <w:t>其他资产</w:t>
            </w:r>
          </w:p>
        </w:tc>
        <w:tc>
          <w:tcPr>
            <w:tcW w:w="1262" w:type="dxa"/>
            <w:vAlign w:val="center"/>
          </w:tcPr>
          <w:p w14:paraId="2B30A9EF">
            <w:r>
              <w:rPr>
                <w:rFonts w:hint="eastAsia"/>
              </w:rPr>
              <w:t>7.4.7.5</w:t>
            </w:r>
          </w:p>
        </w:tc>
        <w:tc>
          <w:tcPr>
            <w:tcW w:w="2289" w:type="dxa"/>
            <w:vAlign w:val="center"/>
          </w:tcPr>
          <w:p w14:paraId="50979D7A">
            <w:pPr>
              <w:jc w:val="right"/>
            </w:pPr>
            <w:r>
              <w:rPr>
                <w:rFonts w:hint="eastAsia"/>
              </w:rPr>
              <w:t>-</w:t>
            </w:r>
          </w:p>
        </w:tc>
        <w:tc>
          <w:tcPr>
            <w:tcW w:w="2295" w:type="dxa"/>
            <w:vAlign w:val="center"/>
          </w:tcPr>
          <w:p w14:paraId="4F94F7C1">
            <w:pPr>
              <w:jc w:val="right"/>
            </w:pPr>
            <w:r>
              <w:rPr>
                <w:rFonts w:hint="eastAsia"/>
              </w:rPr>
              <w:t>-</w:t>
            </w:r>
          </w:p>
        </w:tc>
      </w:tr>
      <w:tr w14:paraId="256B6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B15C56">
            <w:r>
              <w:rPr>
                <w:rFonts w:hint="eastAsia"/>
              </w:rPr>
              <w:t>资产总计</w:t>
            </w:r>
          </w:p>
        </w:tc>
        <w:tc>
          <w:tcPr>
            <w:tcW w:w="1262" w:type="dxa"/>
            <w:vAlign w:val="center"/>
          </w:tcPr>
          <w:p w14:paraId="1EDBD14C"/>
        </w:tc>
        <w:tc>
          <w:tcPr>
            <w:tcW w:w="2289" w:type="dxa"/>
            <w:vAlign w:val="center"/>
          </w:tcPr>
          <w:p w14:paraId="088544A6">
            <w:pPr>
              <w:jc w:val="right"/>
            </w:pPr>
            <w:r>
              <w:rPr>
                <w:rFonts w:hint="eastAsia"/>
              </w:rPr>
              <w:t>1,220,920,393.95</w:t>
            </w:r>
          </w:p>
        </w:tc>
        <w:tc>
          <w:tcPr>
            <w:tcW w:w="2295" w:type="dxa"/>
            <w:vAlign w:val="center"/>
          </w:tcPr>
          <w:p w14:paraId="6F9B3279">
            <w:pPr>
              <w:jc w:val="right"/>
            </w:pPr>
            <w:r>
              <w:rPr>
                <w:rFonts w:hint="eastAsia"/>
              </w:rPr>
              <w:t>1,439,725,201.68</w:t>
            </w:r>
          </w:p>
        </w:tc>
      </w:tr>
      <w:tr w14:paraId="54144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710EBC">
            <w:r>
              <w:rPr>
                <w:rFonts w:hint="eastAsia"/>
              </w:rPr>
              <w:t>负债和净资产</w:t>
            </w:r>
          </w:p>
        </w:tc>
        <w:tc>
          <w:tcPr>
            <w:tcW w:w="1262" w:type="dxa"/>
            <w:vAlign w:val="center"/>
          </w:tcPr>
          <w:p w14:paraId="1F1D35F0">
            <w:r>
              <w:rPr>
                <w:rFonts w:hint="eastAsia"/>
              </w:rPr>
              <w:t>附注号</w:t>
            </w:r>
          </w:p>
        </w:tc>
        <w:tc>
          <w:tcPr>
            <w:tcW w:w="2289" w:type="dxa"/>
            <w:vAlign w:val="center"/>
          </w:tcPr>
          <w:p w14:paraId="39A0D421">
            <w:r>
              <w:rPr>
                <w:rFonts w:hint="eastAsia"/>
              </w:rPr>
              <w:t>本期末2025年12月31日</w:t>
            </w:r>
          </w:p>
        </w:tc>
        <w:tc>
          <w:tcPr>
            <w:tcW w:w="2295" w:type="dxa"/>
            <w:vAlign w:val="center"/>
          </w:tcPr>
          <w:p w14:paraId="78EFB7BF">
            <w:r>
              <w:rPr>
                <w:rFonts w:hint="eastAsia"/>
              </w:rPr>
              <w:t>上年度末2024年12月31日</w:t>
            </w:r>
          </w:p>
        </w:tc>
      </w:tr>
      <w:tr w14:paraId="5DF6B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9F2321">
            <w:r>
              <w:rPr>
                <w:rFonts w:hint="eastAsia"/>
              </w:rPr>
              <w:t>负债：</w:t>
            </w:r>
          </w:p>
        </w:tc>
        <w:tc>
          <w:tcPr>
            <w:tcW w:w="1262" w:type="dxa"/>
            <w:vAlign w:val="center"/>
          </w:tcPr>
          <w:p w14:paraId="01B1D036"/>
        </w:tc>
        <w:tc>
          <w:tcPr>
            <w:tcW w:w="2289" w:type="dxa"/>
            <w:vAlign w:val="center"/>
          </w:tcPr>
          <w:p w14:paraId="52254363"/>
        </w:tc>
        <w:tc>
          <w:tcPr>
            <w:tcW w:w="2295" w:type="dxa"/>
            <w:vAlign w:val="center"/>
          </w:tcPr>
          <w:p w14:paraId="5C95C7F7"/>
        </w:tc>
      </w:tr>
      <w:tr w14:paraId="755BB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766D31">
            <w:r>
              <w:rPr>
                <w:rFonts w:hint="eastAsia"/>
              </w:rPr>
              <w:t>短期借款</w:t>
            </w:r>
          </w:p>
        </w:tc>
        <w:tc>
          <w:tcPr>
            <w:tcW w:w="1262" w:type="dxa"/>
            <w:vAlign w:val="center"/>
          </w:tcPr>
          <w:p w14:paraId="1758D8D6"/>
        </w:tc>
        <w:tc>
          <w:tcPr>
            <w:tcW w:w="2289" w:type="dxa"/>
            <w:vAlign w:val="center"/>
          </w:tcPr>
          <w:p w14:paraId="05A2ECBC">
            <w:pPr>
              <w:jc w:val="right"/>
            </w:pPr>
            <w:r>
              <w:rPr>
                <w:rFonts w:hint="eastAsia"/>
              </w:rPr>
              <w:t>-</w:t>
            </w:r>
          </w:p>
        </w:tc>
        <w:tc>
          <w:tcPr>
            <w:tcW w:w="2295" w:type="dxa"/>
            <w:vAlign w:val="center"/>
          </w:tcPr>
          <w:p w14:paraId="0961D770">
            <w:pPr>
              <w:jc w:val="right"/>
            </w:pPr>
            <w:r>
              <w:rPr>
                <w:rFonts w:hint="eastAsia"/>
              </w:rPr>
              <w:t>-</w:t>
            </w:r>
          </w:p>
        </w:tc>
      </w:tr>
      <w:tr w14:paraId="754BC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A2D38E">
            <w:r>
              <w:rPr>
                <w:rFonts w:hint="eastAsia"/>
              </w:rPr>
              <w:t>交易性金融负债</w:t>
            </w:r>
          </w:p>
        </w:tc>
        <w:tc>
          <w:tcPr>
            <w:tcW w:w="1262" w:type="dxa"/>
            <w:vAlign w:val="center"/>
          </w:tcPr>
          <w:p w14:paraId="3048C6FD"/>
        </w:tc>
        <w:tc>
          <w:tcPr>
            <w:tcW w:w="2289" w:type="dxa"/>
            <w:vAlign w:val="center"/>
          </w:tcPr>
          <w:p w14:paraId="2AB97353">
            <w:pPr>
              <w:jc w:val="right"/>
            </w:pPr>
            <w:r>
              <w:rPr>
                <w:rFonts w:hint="eastAsia"/>
              </w:rPr>
              <w:t>-</w:t>
            </w:r>
          </w:p>
        </w:tc>
        <w:tc>
          <w:tcPr>
            <w:tcW w:w="2295" w:type="dxa"/>
            <w:vAlign w:val="center"/>
          </w:tcPr>
          <w:p w14:paraId="136B96BA">
            <w:pPr>
              <w:jc w:val="right"/>
            </w:pPr>
            <w:r>
              <w:rPr>
                <w:rFonts w:hint="eastAsia"/>
              </w:rPr>
              <w:t>-</w:t>
            </w:r>
          </w:p>
        </w:tc>
      </w:tr>
      <w:tr w14:paraId="0C05C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153669">
            <w:r>
              <w:rPr>
                <w:rFonts w:hint="eastAsia"/>
              </w:rPr>
              <w:t>衍生金融负债</w:t>
            </w:r>
          </w:p>
        </w:tc>
        <w:tc>
          <w:tcPr>
            <w:tcW w:w="1262" w:type="dxa"/>
            <w:vAlign w:val="center"/>
          </w:tcPr>
          <w:p w14:paraId="067C6B79">
            <w:r>
              <w:rPr>
                <w:rFonts w:hint="eastAsia"/>
              </w:rPr>
              <w:t>7.4.7.3</w:t>
            </w:r>
          </w:p>
        </w:tc>
        <w:tc>
          <w:tcPr>
            <w:tcW w:w="2289" w:type="dxa"/>
            <w:vAlign w:val="center"/>
          </w:tcPr>
          <w:p w14:paraId="2A7A4471">
            <w:pPr>
              <w:jc w:val="right"/>
            </w:pPr>
            <w:r>
              <w:rPr>
                <w:rFonts w:hint="eastAsia"/>
              </w:rPr>
              <w:t>-</w:t>
            </w:r>
          </w:p>
        </w:tc>
        <w:tc>
          <w:tcPr>
            <w:tcW w:w="2295" w:type="dxa"/>
            <w:vAlign w:val="center"/>
          </w:tcPr>
          <w:p w14:paraId="04F28AC5">
            <w:pPr>
              <w:jc w:val="right"/>
            </w:pPr>
            <w:r>
              <w:rPr>
                <w:rFonts w:hint="eastAsia"/>
              </w:rPr>
              <w:t>-</w:t>
            </w:r>
          </w:p>
        </w:tc>
      </w:tr>
      <w:tr w14:paraId="05971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EC617F">
            <w:r>
              <w:rPr>
                <w:rFonts w:hint="eastAsia"/>
              </w:rPr>
              <w:t>卖出回购金融资产款</w:t>
            </w:r>
          </w:p>
        </w:tc>
        <w:tc>
          <w:tcPr>
            <w:tcW w:w="1262" w:type="dxa"/>
            <w:vAlign w:val="center"/>
          </w:tcPr>
          <w:p w14:paraId="6C706AC6"/>
        </w:tc>
        <w:tc>
          <w:tcPr>
            <w:tcW w:w="2289" w:type="dxa"/>
            <w:vAlign w:val="center"/>
          </w:tcPr>
          <w:p w14:paraId="73043912">
            <w:pPr>
              <w:jc w:val="right"/>
            </w:pPr>
            <w:r>
              <w:rPr>
                <w:rFonts w:hint="eastAsia"/>
              </w:rPr>
              <w:t>116,007,010.39</w:t>
            </w:r>
          </w:p>
        </w:tc>
        <w:tc>
          <w:tcPr>
            <w:tcW w:w="2295" w:type="dxa"/>
            <w:vAlign w:val="center"/>
          </w:tcPr>
          <w:p w14:paraId="60BAE2A9">
            <w:pPr>
              <w:jc w:val="right"/>
            </w:pPr>
            <w:r>
              <w:rPr>
                <w:rFonts w:hint="eastAsia"/>
              </w:rPr>
              <w:t>347,064,374.20</w:t>
            </w:r>
          </w:p>
        </w:tc>
      </w:tr>
      <w:tr w14:paraId="72E05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65E8AC">
            <w:r>
              <w:rPr>
                <w:rFonts w:hint="eastAsia"/>
              </w:rPr>
              <w:t>应付清算款</w:t>
            </w:r>
          </w:p>
        </w:tc>
        <w:tc>
          <w:tcPr>
            <w:tcW w:w="1262" w:type="dxa"/>
            <w:vAlign w:val="center"/>
          </w:tcPr>
          <w:p w14:paraId="10B95437"/>
        </w:tc>
        <w:tc>
          <w:tcPr>
            <w:tcW w:w="2289" w:type="dxa"/>
            <w:vAlign w:val="center"/>
          </w:tcPr>
          <w:p w14:paraId="5BD0D85D">
            <w:pPr>
              <w:jc w:val="right"/>
            </w:pPr>
            <w:r>
              <w:rPr>
                <w:rFonts w:hint="eastAsia"/>
              </w:rPr>
              <w:t>-</w:t>
            </w:r>
          </w:p>
        </w:tc>
        <w:tc>
          <w:tcPr>
            <w:tcW w:w="2295" w:type="dxa"/>
            <w:vAlign w:val="center"/>
          </w:tcPr>
          <w:p w14:paraId="281F9FF3">
            <w:pPr>
              <w:jc w:val="right"/>
            </w:pPr>
            <w:r>
              <w:rPr>
                <w:rFonts w:hint="eastAsia"/>
              </w:rPr>
              <w:t>-</w:t>
            </w:r>
          </w:p>
        </w:tc>
      </w:tr>
      <w:tr w14:paraId="167B9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A95BDA">
            <w:r>
              <w:rPr>
                <w:rFonts w:hint="eastAsia"/>
              </w:rPr>
              <w:t>应付赎回款</w:t>
            </w:r>
          </w:p>
        </w:tc>
        <w:tc>
          <w:tcPr>
            <w:tcW w:w="1262" w:type="dxa"/>
            <w:vAlign w:val="center"/>
          </w:tcPr>
          <w:p w14:paraId="7C9E0434"/>
        </w:tc>
        <w:tc>
          <w:tcPr>
            <w:tcW w:w="2289" w:type="dxa"/>
            <w:vAlign w:val="center"/>
          </w:tcPr>
          <w:p w14:paraId="6DEF746F">
            <w:pPr>
              <w:jc w:val="right"/>
            </w:pPr>
            <w:r>
              <w:rPr>
                <w:rFonts w:hint="eastAsia"/>
              </w:rPr>
              <w:t>-</w:t>
            </w:r>
          </w:p>
        </w:tc>
        <w:tc>
          <w:tcPr>
            <w:tcW w:w="2295" w:type="dxa"/>
            <w:vAlign w:val="center"/>
          </w:tcPr>
          <w:p w14:paraId="777A52DE">
            <w:pPr>
              <w:jc w:val="right"/>
            </w:pPr>
            <w:r>
              <w:rPr>
                <w:rFonts w:hint="eastAsia"/>
              </w:rPr>
              <w:t>-</w:t>
            </w:r>
          </w:p>
        </w:tc>
      </w:tr>
      <w:tr w14:paraId="2183F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563026">
            <w:r>
              <w:rPr>
                <w:rFonts w:hint="eastAsia"/>
              </w:rPr>
              <w:t>应付管理人报酬</w:t>
            </w:r>
          </w:p>
        </w:tc>
        <w:tc>
          <w:tcPr>
            <w:tcW w:w="1262" w:type="dxa"/>
            <w:vAlign w:val="center"/>
          </w:tcPr>
          <w:p w14:paraId="498813A5"/>
        </w:tc>
        <w:tc>
          <w:tcPr>
            <w:tcW w:w="2289" w:type="dxa"/>
            <w:vAlign w:val="center"/>
          </w:tcPr>
          <w:p w14:paraId="5ED9B024">
            <w:pPr>
              <w:jc w:val="right"/>
            </w:pPr>
            <w:r>
              <w:rPr>
                <w:rFonts w:hint="eastAsia"/>
              </w:rPr>
              <w:t>281,091.78</w:t>
            </w:r>
          </w:p>
        </w:tc>
        <w:tc>
          <w:tcPr>
            <w:tcW w:w="2295" w:type="dxa"/>
            <w:vAlign w:val="center"/>
          </w:tcPr>
          <w:p w14:paraId="55645540">
            <w:pPr>
              <w:jc w:val="right"/>
            </w:pPr>
            <w:r>
              <w:rPr>
                <w:rFonts w:hint="eastAsia"/>
              </w:rPr>
              <w:t>275,569.64</w:t>
            </w:r>
          </w:p>
        </w:tc>
      </w:tr>
      <w:tr w14:paraId="5FB41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4FFF54">
            <w:r>
              <w:rPr>
                <w:rFonts w:hint="eastAsia"/>
              </w:rPr>
              <w:t>应付托管费</w:t>
            </w:r>
          </w:p>
        </w:tc>
        <w:tc>
          <w:tcPr>
            <w:tcW w:w="1262" w:type="dxa"/>
            <w:vAlign w:val="center"/>
          </w:tcPr>
          <w:p w14:paraId="5844A261"/>
        </w:tc>
        <w:tc>
          <w:tcPr>
            <w:tcW w:w="2289" w:type="dxa"/>
            <w:vAlign w:val="center"/>
          </w:tcPr>
          <w:p w14:paraId="55ABF611">
            <w:pPr>
              <w:jc w:val="right"/>
            </w:pPr>
            <w:r>
              <w:rPr>
                <w:rFonts w:hint="eastAsia"/>
              </w:rPr>
              <w:t>93,697.27</w:t>
            </w:r>
          </w:p>
        </w:tc>
        <w:tc>
          <w:tcPr>
            <w:tcW w:w="2295" w:type="dxa"/>
            <w:vAlign w:val="center"/>
          </w:tcPr>
          <w:p w14:paraId="282A16DD">
            <w:pPr>
              <w:jc w:val="right"/>
            </w:pPr>
            <w:r>
              <w:rPr>
                <w:rFonts w:hint="eastAsia"/>
              </w:rPr>
              <w:t>91,856.54</w:t>
            </w:r>
          </w:p>
        </w:tc>
      </w:tr>
      <w:tr w14:paraId="3AC67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D188A9">
            <w:r>
              <w:rPr>
                <w:rFonts w:hint="eastAsia"/>
              </w:rPr>
              <w:t>应付销售服务费</w:t>
            </w:r>
          </w:p>
        </w:tc>
        <w:tc>
          <w:tcPr>
            <w:tcW w:w="1262" w:type="dxa"/>
            <w:vAlign w:val="center"/>
          </w:tcPr>
          <w:p w14:paraId="335785AC"/>
        </w:tc>
        <w:tc>
          <w:tcPr>
            <w:tcW w:w="2289" w:type="dxa"/>
            <w:vAlign w:val="center"/>
          </w:tcPr>
          <w:p w14:paraId="63D4E7A9">
            <w:pPr>
              <w:jc w:val="right"/>
            </w:pPr>
            <w:r>
              <w:rPr>
                <w:rFonts w:hint="eastAsia"/>
              </w:rPr>
              <w:t>-</w:t>
            </w:r>
          </w:p>
        </w:tc>
        <w:tc>
          <w:tcPr>
            <w:tcW w:w="2295" w:type="dxa"/>
            <w:vAlign w:val="center"/>
          </w:tcPr>
          <w:p w14:paraId="019CEE0B">
            <w:pPr>
              <w:jc w:val="right"/>
            </w:pPr>
            <w:r>
              <w:rPr>
                <w:rFonts w:hint="eastAsia"/>
              </w:rPr>
              <w:t>-</w:t>
            </w:r>
          </w:p>
        </w:tc>
      </w:tr>
      <w:tr w14:paraId="1290F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046C34">
            <w:r>
              <w:rPr>
                <w:rFonts w:hint="eastAsia"/>
              </w:rPr>
              <w:t>应付投资顾问费</w:t>
            </w:r>
          </w:p>
        </w:tc>
        <w:tc>
          <w:tcPr>
            <w:tcW w:w="1262" w:type="dxa"/>
            <w:vAlign w:val="center"/>
          </w:tcPr>
          <w:p w14:paraId="153AB062"/>
        </w:tc>
        <w:tc>
          <w:tcPr>
            <w:tcW w:w="2289" w:type="dxa"/>
            <w:vAlign w:val="center"/>
          </w:tcPr>
          <w:p w14:paraId="47AFF452">
            <w:pPr>
              <w:jc w:val="right"/>
            </w:pPr>
            <w:r>
              <w:rPr>
                <w:rFonts w:hint="eastAsia"/>
              </w:rPr>
              <w:t>-</w:t>
            </w:r>
          </w:p>
        </w:tc>
        <w:tc>
          <w:tcPr>
            <w:tcW w:w="2295" w:type="dxa"/>
            <w:vAlign w:val="center"/>
          </w:tcPr>
          <w:p w14:paraId="30395CC6">
            <w:pPr>
              <w:jc w:val="right"/>
            </w:pPr>
            <w:r>
              <w:rPr>
                <w:rFonts w:hint="eastAsia"/>
              </w:rPr>
              <w:t>-</w:t>
            </w:r>
          </w:p>
        </w:tc>
      </w:tr>
      <w:tr w14:paraId="49FEF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E54DC1">
            <w:r>
              <w:rPr>
                <w:rFonts w:hint="eastAsia"/>
              </w:rPr>
              <w:t>应交税费</w:t>
            </w:r>
          </w:p>
        </w:tc>
        <w:tc>
          <w:tcPr>
            <w:tcW w:w="1262" w:type="dxa"/>
            <w:vAlign w:val="center"/>
          </w:tcPr>
          <w:p w14:paraId="32936FE2"/>
        </w:tc>
        <w:tc>
          <w:tcPr>
            <w:tcW w:w="2289" w:type="dxa"/>
            <w:vAlign w:val="center"/>
          </w:tcPr>
          <w:p w14:paraId="1EA57E28">
            <w:pPr>
              <w:jc w:val="right"/>
            </w:pPr>
            <w:r>
              <w:rPr>
                <w:rFonts w:hint="eastAsia"/>
              </w:rPr>
              <w:t>42,759.38</w:t>
            </w:r>
          </w:p>
        </w:tc>
        <w:tc>
          <w:tcPr>
            <w:tcW w:w="2295" w:type="dxa"/>
            <w:vAlign w:val="center"/>
          </w:tcPr>
          <w:p w14:paraId="440C62C7">
            <w:pPr>
              <w:jc w:val="right"/>
            </w:pPr>
            <w:r>
              <w:rPr>
                <w:rFonts w:hint="eastAsia"/>
              </w:rPr>
              <w:t>39,431.05</w:t>
            </w:r>
          </w:p>
        </w:tc>
      </w:tr>
      <w:tr w14:paraId="2D6DB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AF6861">
            <w:r>
              <w:rPr>
                <w:rFonts w:hint="eastAsia"/>
              </w:rPr>
              <w:t>应付利润</w:t>
            </w:r>
          </w:p>
        </w:tc>
        <w:tc>
          <w:tcPr>
            <w:tcW w:w="1262" w:type="dxa"/>
            <w:vAlign w:val="center"/>
          </w:tcPr>
          <w:p w14:paraId="319505E9"/>
        </w:tc>
        <w:tc>
          <w:tcPr>
            <w:tcW w:w="2289" w:type="dxa"/>
            <w:vAlign w:val="center"/>
          </w:tcPr>
          <w:p w14:paraId="0D93734D">
            <w:pPr>
              <w:jc w:val="right"/>
            </w:pPr>
            <w:r>
              <w:rPr>
                <w:rFonts w:hint="eastAsia"/>
              </w:rPr>
              <w:t>-</w:t>
            </w:r>
          </w:p>
        </w:tc>
        <w:tc>
          <w:tcPr>
            <w:tcW w:w="2295" w:type="dxa"/>
            <w:vAlign w:val="center"/>
          </w:tcPr>
          <w:p w14:paraId="0F3F87ED">
            <w:pPr>
              <w:jc w:val="right"/>
            </w:pPr>
            <w:r>
              <w:rPr>
                <w:rFonts w:hint="eastAsia"/>
              </w:rPr>
              <w:t>-</w:t>
            </w:r>
          </w:p>
        </w:tc>
      </w:tr>
      <w:tr w14:paraId="378FE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9A4BFC">
            <w:r>
              <w:rPr>
                <w:rFonts w:hint="eastAsia"/>
              </w:rPr>
              <w:t>递延所得税负债</w:t>
            </w:r>
          </w:p>
        </w:tc>
        <w:tc>
          <w:tcPr>
            <w:tcW w:w="1262" w:type="dxa"/>
            <w:vAlign w:val="center"/>
          </w:tcPr>
          <w:p w14:paraId="7E02F04C"/>
        </w:tc>
        <w:tc>
          <w:tcPr>
            <w:tcW w:w="2289" w:type="dxa"/>
            <w:vAlign w:val="center"/>
          </w:tcPr>
          <w:p w14:paraId="054EFB4B">
            <w:pPr>
              <w:jc w:val="right"/>
            </w:pPr>
            <w:r>
              <w:rPr>
                <w:rFonts w:hint="eastAsia"/>
              </w:rPr>
              <w:t>-</w:t>
            </w:r>
          </w:p>
        </w:tc>
        <w:tc>
          <w:tcPr>
            <w:tcW w:w="2295" w:type="dxa"/>
            <w:vAlign w:val="center"/>
          </w:tcPr>
          <w:p w14:paraId="6ED99AC3">
            <w:pPr>
              <w:jc w:val="right"/>
            </w:pPr>
            <w:r>
              <w:rPr>
                <w:rFonts w:hint="eastAsia"/>
              </w:rPr>
              <w:t>-</w:t>
            </w:r>
          </w:p>
        </w:tc>
      </w:tr>
      <w:tr w14:paraId="24A09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AE03EC">
            <w:r>
              <w:rPr>
                <w:rFonts w:hint="eastAsia"/>
              </w:rPr>
              <w:t>其他负债</w:t>
            </w:r>
          </w:p>
        </w:tc>
        <w:tc>
          <w:tcPr>
            <w:tcW w:w="1262" w:type="dxa"/>
            <w:vAlign w:val="center"/>
          </w:tcPr>
          <w:p w14:paraId="4A6B9B65">
            <w:r>
              <w:rPr>
                <w:rFonts w:hint="eastAsia"/>
              </w:rPr>
              <w:t>7.4.7.6</w:t>
            </w:r>
          </w:p>
        </w:tc>
        <w:tc>
          <w:tcPr>
            <w:tcW w:w="2289" w:type="dxa"/>
            <w:vAlign w:val="center"/>
          </w:tcPr>
          <w:p w14:paraId="4792A738">
            <w:pPr>
              <w:jc w:val="right"/>
            </w:pPr>
            <w:r>
              <w:rPr>
                <w:rFonts w:hint="eastAsia"/>
              </w:rPr>
              <w:t>209,505.61</w:t>
            </w:r>
          </w:p>
        </w:tc>
        <w:tc>
          <w:tcPr>
            <w:tcW w:w="2295" w:type="dxa"/>
            <w:vAlign w:val="center"/>
          </w:tcPr>
          <w:p w14:paraId="47FBF4C3">
            <w:pPr>
              <w:jc w:val="right"/>
            </w:pPr>
            <w:r>
              <w:rPr>
                <w:rFonts w:hint="eastAsia"/>
              </w:rPr>
              <w:t>202,826.00</w:t>
            </w:r>
          </w:p>
        </w:tc>
      </w:tr>
      <w:tr w14:paraId="1AECF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ACEB35">
            <w:r>
              <w:rPr>
                <w:rFonts w:hint="eastAsia"/>
              </w:rPr>
              <w:t>负债合计</w:t>
            </w:r>
          </w:p>
        </w:tc>
        <w:tc>
          <w:tcPr>
            <w:tcW w:w="1262" w:type="dxa"/>
            <w:vAlign w:val="center"/>
          </w:tcPr>
          <w:p w14:paraId="39924D51"/>
        </w:tc>
        <w:tc>
          <w:tcPr>
            <w:tcW w:w="2289" w:type="dxa"/>
            <w:vAlign w:val="center"/>
          </w:tcPr>
          <w:p w14:paraId="27659674">
            <w:pPr>
              <w:jc w:val="right"/>
            </w:pPr>
            <w:r>
              <w:rPr>
                <w:rFonts w:hint="eastAsia"/>
              </w:rPr>
              <w:t>116,634,064.43</w:t>
            </w:r>
          </w:p>
        </w:tc>
        <w:tc>
          <w:tcPr>
            <w:tcW w:w="2295" w:type="dxa"/>
            <w:vAlign w:val="center"/>
          </w:tcPr>
          <w:p w14:paraId="204E4A89">
            <w:pPr>
              <w:jc w:val="right"/>
            </w:pPr>
            <w:r>
              <w:rPr>
                <w:rFonts w:hint="eastAsia"/>
              </w:rPr>
              <w:t>347,674,057.43</w:t>
            </w:r>
          </w:p>
        </w:tc>
      </w:tr>
      <w:tr w14:paraId="6E926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4D2E4D">
            <w:r>
              <w:rPr>
                <w:rFonts w:hint="eastAsia"/>
              </w:rPr>
              <w:t>净资产：</w:t>
            </w:r>
          </w:p>
        </w:tc>
        <w:tc>
          <w:tcPr>
            <w:tcW w:w="1262" w:type="dxa"/>
            <w:vAlign w:val="center"/>
          </w:tcPr>
          <w:p w14:paraId="43A6AF3D"/>
        </w:tc>
        <w:tc>
          <w:tcPr>
            <w:tcW w:w="2289" w:type="dxa"/>
            <w:vAlign w:val="center"/>
          </w:tcPr>
          <w:p w14:paraId="3A2B2F00"/>
        </w:tc>
        <w:tc>
          <w:tcPr>
            <w:tcW w:w="2295" w:type="dxa"/>
            <w:vAlign w:val="center"/>
          </w:tcPr>
          <w:p w14:paraId="565F218A"/>
        </w:tc>
      </w:tr>
      <w:tr w14:paraId="45F70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4035AE">
            <w:r>
              <w:rPr>
                <w:rFonts w:hint="eastAsia"/>
              </w:rPr>
              <w:t>实收基金</w:t>
            </w:r>
          </w:p>
        </w:tc>
        <w:tc>
          <w:tcPr>
            <w:tcW w:w="1262" w:type="dxa"/>
            <w:vAlign w:val="center"/>
          </w:tcPr>
          <w:p w14:paraId="510D6B41">
            <w:r>
              <w:rPr>
                <w:rFonts w:hint="eastAsia"/>
              </w:rPr>
              <w:t>7.4.7.7</w:t>
            </w:r>
          </w:p>
        </w:tc>
        <w:tc>
          <w:tcPr>
            <w:tcW w:w="2289" w:type="dxa"/>
            <w:vAlign w:val="center"/>
          </w:tcPr>
          <w:p w14:paraId="33A9DD8C">
            <w:pPr>
              <w:jc w:val="right"/>
            </w:pPr>
            <w:r>
              <w:rPr>
                <w:rFonts w:hint="eastAsia"/>
              </w:rPr>
              <w:t>956,607,978.89</w:t>
            </w:r>
          </w:p>
        </w:tc>
        <w:tc>
          <w:tcPr>
            <w:tcW w:w="2295" w:type="dxa"/>
            <w:vAlign w:val="center"/>
          </w:tcPr>
          <w:p w14:paraId="6398E4B8">
            <w:pPr>
              <w:jc w:val="right"/>
            </w:pPr>
            <w:r>
              <w:rPr>
                <w:rFonts w:hint="eastAsia"/>
              </w:rPr>
              <w:t>956,432,604.28</w:t>
            </w:r>
          </w:p>
        </w:tc>
      </w:tr>
      <w:tr w14:paraId="5CFFC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8692FA">
            <w:r>
              <w:rPr>
                <w:rFonts w:hint="eastAsia"/>
              </w:rPr>
              <w:t>其他综合收益</w:t>
            </w:r>
          </w:p>
        </w:tc>
        <w:tc>
          <w:tcPr>
            <w:tcW w:w="1262" w:type="dxa"/>
            <w:vAlign w:val="center"/>
          </w:tcPr>
          <w:p w14:paraId="54265001"/>
        </w:tc>
        <w:tc>
          <w:tcPr>
            <w:tcW w:w="2289" w:type="dxa"/>
            <w:vAlign w:val="center"/>
          </w:tcPr>
          <w:p w14:paraId="291ADA57">
            <w:pPr>
              <w:jc w:val="right"/>
            </w:pPr>
            <w:r>
              <w:rPr>
                <w:rFonts w:hint="eastAsia"/>
              </w:rPr>
              <w:t>-</w:t>
            </w:r>
          </w:p>
        </w:tc>
        <w:tc>
          <w:tcPr>
            <w:tcW w:w="2295" w:type="dxa"/>
            <w:vAlign w:val="center"/>
          </w:tcPr>
          <w:p w14:paraId="01E89502">
            <w:pPr>
              <w:jc w:val="right"/>
            </w:pPr>
            <w:r>
              <w:rPr>
                <w:rFonts w:hint="eastAsia"/>
              </w:rPr>
              <w:t>-</w:t>
            </w:r>
          </w:p>
        </w:tc>
      </w:tr>
      <w:tr w14:paraId="3028A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098DC0">
            <w:r>
              <w:rPr>
                <w:rFonts w:hint="eastAsia"/>
              </w:rPr>
              <w:t>未分配利润</w:t>
            </w:r>
          </w:p>
        </w:tc>
        <w:tc>
          <w:tcPr>
            <w:tcW w:w="1262" w:type="dxa"/>
            <w:vAlign w:val="center"/>
          </w:tcPr>
          <w:p w14:paraId="3C229ACF">
            <w:r>
              <w:rPr>
                <w:rFonts w:hint="eastAsia"/>
              </w:rPr>
              <w:t>7.4.7.8</w:t>
            </w:r>
          </w:p>
        </w:tc>
        <w:tc>
          <w:tcPr>
            <w:tcW w:w="2289" w:type="dxa"/>
            <w:vAlign w:val="center"/>
          </w:tcPr>
          <w:p w14:paraId="1B3EC565">
            <w:pPr>
              <w:jc w:val="right"/>
            </w:pPr>
            <w:r>
              <w:rPr>
                <w:rFonts w:hint="eastAsia"/>
              </w:rPr>
              <w:t>147,678,350.63</w:t>
            </w:r>
          </w:p>
        </w:tc>
        <w:tc>
          <w:tcPr>
            <w:tcW w:w="2295" w:type="dxa"/>
            <w:vAlign w:val="center"/>
          </w:tcPr>
          <w:p w14:paraId="6F5B99C6">
            <w:pPr>
              <w:jc w:val="right"/>
            </w:pPr>
            <w:r>
              <w:rPr>
                <w:rFonts w:hint="eastAsia"/>
              </w:rPr>
              <w:t>135,618,539.97</w:t>
            </w:r>
          </w:p>
        </w:tc>
      </w:tr>
      <w:tr w14:paraId="10F99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12524F">
            <w:r>
              <w:rPr>
                <w:rFonts w:hint="eastAsia"/>
              </w:rPr>
              <w:t>净资产合计</w:t>
            </w:r>
          </w:p>
        </w:tc>
        <w:tc>
          <w:tcPr>
            <w:tcW w:w="1262" w:type="dxa"/>
            <w:vAlign w:val="center"/>
          </w:tcPr>
          <w:p w14:paraId="222D386B"/>
        </w:tc>
        <w:tc>
          <w:tcPr>
            <w:tcW w:w="2289" w:type="dxa"/>
            <w:vAlign w:val="center"/>
          </w:tcPr>
          <w:p w14:paraId="64004034">
            <w:pPr>
              <w:jc w:val="right"/>
            </w:pPr>
            <w:r>
              <w:rPr>
                <w:rFonts w:hint="eastAsia"/>
              </w:rPr>
              <w:t>1,104,286,329.52</w:t>
            </w:r>
          </w:p>
        </w:tc>
        <w:tc>
          <w:tcPr>
            <w:tcW w:w="2295" w:type="dxa"/>
            <w:vAlign w:val="center"/>
          </w:tcPr>
          <w:p w14:paraId="058F09F5">
            <w:pPr>
              <w:jc w:val="right"/>
            </w:pPr>
            <w:r>
              <w:rPr>
                <w:rFonts w:hint="eastAsia"/>
              </w:rPr>
              <w:t>1,092,051,144.25</w:t>
            </w:r>
          </w:p>
        </w:tc>
      </w:tr>
      <w:tr w14:paraId="0A26A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7F8ED6">
            <w:r>
              <w:rPr>
                <w:rFonts w:hint="eastAsia"/>
              </w:rPr>
              <w:t>负债和净资产总计</w:t>
            </w:r>
          </w:p>
        </w:tc>
        <w:tc>
          <w:tcPr>
            <w:tcW w:w="1262" w:type="dxa"/>
            <w:vAlign w:val="center"/>
          </w:tcPr>
          <w:p w14:paraId="5285609C"/>
        </w:tc>
        <w:tc>
          <w:tcPr>
            <w:tcW w:w="2289" w:type="dxa"/>
            <w:vAlign w:val="center"/>
          </w:tcPr>
          <w:p w14:paraId="7A3A0187">
            <w:pPr>
              <w:jc w:val="right"/>
            </w:pPr>
            <w:r>
              <w:rPr>
                <w:rFonts w:hint="eastAsia"/>
              </w:rPr>
              <w:t>1,220,920,393.95</w:t>
            </w:r>
          </w:p>
        </w:tc>
        <w:tc>
          <w:tcPr>
            <w:tcW w:w="2295" w:type="dxa"/>
            <w:vAlign w:val="center"/>
          </w:tcPr>
          <w:p w14:paraId="19EE12F9">
            <w:pPr>
              <w:jc w:val="right"/>
            </w:pPr>
            <w:r>
              <w:rPr>
                <w:rFonts w:hint="eastAsia"/>
              </w:rPr>
              <w:t>1,439,725,201.68</w:t>
            </w:r>
          </w:p>
        </w:tc>
      </w:tr>
    </w:tbl>
    <w:p w14:paraId="072C4A76">
      <w:pPr>
        <w:pStyle w:val="47"/>
        <w:rPr>
          <w:rFonts w:hint="eastAsia"/>
        </w:rPr>
      </w:pPr>
      <w:r>
        <w:rPr>
          <w:rFonts w:hint="eastAsia"/>
        </w:rPr>
        <w:t>注：报告截止日2025年12月31日，基金份额净值1.1544元，基金份额总额956,607,978.89份。</w:t>
      </w:r>
    </w:p>
    <w:p w14:paraId="7AC0363D">
      <w:pPr>
        <w:pStyle w:val="23"/>
      </w:pPr>
      <w:bookmarkStart w:id="46" w:name="_Toc13100"/>
      <w:r>
        <w:t>利润表</w:t>
      </w:r>
      <w:bookmarkEnd w:id="46"/>
    </w:p>
    <w:p w14:paraId="707B2C9C">
      <w:pPr>
        <w:pStyle w:val="18"/>
        <w:rPr>
          <w:rFonts w:hint="eastAsia"/>
        </w:rPr>
      </w:pPr>
      <w:r>
        <w:rPr>
          <w:rFonts w:hint="eastAsia"/>
        </w:rPr>
        <w:t>会计主体：南方得利一年定期开放债券型发起式证券投资基金</w:t>
      </w:r>
    </w:p>
    <w:p w14:paraId="45EEFB2B">
      <w:pPr>
        <w:pStyle w:val="18"/>
        <w:rPr>
          <w:rFonts w:hint="eastAsia"/>
        </w:rPr>
      </w:pPr>
      <w:r>
        <w:rPr>
          <w:rFonts w:hint="eastAsia"/>
        </w:rPr>
        <w:t>本报告期：2025年1月1日至2025年12月31日</w:t>
      </w:r>
    </w:p>
    <w:p w14:paraId="4676F3A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38B59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0A517D9F">
            <w:pPr>
              <w:jc w:val="center"/>
            </w:pPr>
            <w:r>
              <w:rPr>
                <w:rFonts w:hint="eastAsia"/>
                <w:b/>
              </w:rPr>
              <w:t>项目</w:t>
            </w:r>
          </w:p>
        </w:tc>
        <w:tc>
          <w:tcPr>
            <w:tcW w:w="1262" w:type="dxa"/>
            <w:shd w:val="clear" w:color="auto" w:fill="BFBFBF"/>
            <w:vAlign w:val="center"/>
          </w:tcPr>
          <w:p w14:paraId="70B49319">
            <w:pPr>
              <w:jc w:val="center"/>
            </w:pPr>
            <w:r>
              <w:rPr>
                <w:rFonts w:hint="eastAsia"/>
                <w:b/>
              </w:rPr>
              <w:t>附注号</w:t>
            </w:r>
          </w:p>
        </w:tc>
        <w:tc>
          <w:tcPr>
            <w:tcW w:w="2289" w:type="dxa"/>
            <w:shd w:val="clear" w:color="auto" w:fill="BFBFBF"/>
            <w:vAlign w:val="center"/>
          </w:tcPr>
          <w:p w14:paraId="6FBB7343">
            <w:pPr>
              <w:jc w:val="center"/>
            </w:pPr>
            <w:r>
              <w:rPr>
                <w:rFonts w:hint="eastAsia"/>
                <w:b/>
              </w:rPr>
              <w:t>本期2025年1月1日至2025年12月31日</w:t>
            </w:r>
          </w:p>
        </w:tc>
        <w:tc>
          <w:tcPr>
            <w:tcW w:w="2295" w:type="dxa"/>
            <w:shd w:val="clear" w:color="auto" w:fill="BFBFBF"/>
            <w:vAlign w:val="center"/>
          </w:tcPr>
          <w:p w14:paraId="21292CC6">
            <w:pPr>
              <w:jc w:val="center"/>
            </w:pPr>
            <w:r>
              <w:rPr>
                <w:rFonts w:hint="eastAsia"/>
                <w:b/>
              </w:rPr>
              <w:t>上年度可比期间2024年1月1日至2024年12月31日</w:t>
            </w:r>
          </w:p>
        </w:tc>
      </w:tr>
      <w:tr w14:paraId="65685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954392">
            <w:r>
              <w:rPr>
                <w:rFonts w:hint="eastAsia"/>
              </w:rPr>
              <w:t>一、营业总收入</w:t>
            </w:r>
          </w:p>
        </w:tc>
        <w:tc>
          <w:tcPr>
            <w:tcW w:w="1262" w:type="dxa"/>
            <w:vAlign w:val="center"/>
          </w:tcPr>
          <w:p w14:paraId="0E4684D7"/>
        </w:tc>
        <w:tc>
          <w:tcPr>
            <w:tcW w:w="2289" w:type="dxa"/>
            <w:vAlign w:val="center"/>
          </w:tcPr>
          <w:p w14:paraId="47D8B8D3">
            <w:pPr>
              <w:jc w:val="right"/>
            </w:pPr>
            <w:r>
              <w:rPr>
                <w:rFonts w:hint="eastAsia"/>
              </w:rPr>
              <w:t>21,124,034.29</w:t>
            </w:r>
          </w:p>
        </w:tc>
        <w:tc>
          <w:tcPr>
            <w:tcW w:w="2295" w:type="dxa"/>
            <w:vAlign w:val="center"/>
          </w:tcPr>
          <w:p w14:paraId="5783C849">
            <w:pPr>
              <w:jc w:val="right"/>
            </w:pPr>
            <w:r>
              <w:rPr>
                <w:rFonts w:hint="eastAsia"/>
              </w:rPr>
              <w:t>67,414,242.62</w:t>
            </w:r>
          </w:p>
        </w:tc>
      </w:tr>
      <w:tr w14:paraId="44304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0BD136">
            <w:r>
              <w:rPr>
                <w:rFonts w:hint="eastAsia"/>
              </w:rPr>
              <w:t>1.利息收入</w:t>
            </w:r>
          </w:p>
        </w:tc>
        <w:tc>
          <w:tcPr>
            <w:tcW w:w="1262" w:type="dxa"/>
            <w:vAlign w:val="center"/>
          </w:tcPr>
          <w:p w14:paraId="2CE6480C"/>
        </w:tc>
        <w:tc>
          <w:tcPr>
            <w:tcW w:w="2289" w:type="dxa"/>
            <w:vAlign w:val="center"/>
          </w:tcPr>
          <w:p w14:paraId="52A2C33F">
            <w:pPr>
              <w:jc w:val="right"/>
            </w:pPr>
            <w:r>
              <w:rPr>
                <w:rFonts w:hint="eastAsia"/>
              </w:rPr>
              <w:t>41,866.89</w:t>
            </w:r>
          </w:p>
        </w:tc>
        <w:tc>
          <w:tcPr>
            <w:tcW w:w="2295" w:type="dxa"/>
            <w:vAlign w:val="center"/>
          </w:tcPr>
          <w:p w14:paraId="278A60C2">
            <w:pPr>
              <w:jc w:val="right"/>
            </w:pPr>
            <w:r>
              <w:rPr>
                <w:rFonts w:hint="eastAsia"/>
              </w:rPr>
              <w:t>183,399.97</w:t>
            </w:r>
          </w:p>
        </w:tc>
      </w:tr>
      <w:tr w14:paraId="34060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D8B945">
            <w:r>
              <w:rPr>
                <w:rFonts w:hint="eastAsia"/>
              </w:rPr>
              <w:t>其中：存款利息收入</w:t>
            </w:r>
          </w:p>
        </w:tc>
        <w:tc>
          <w:tcPr>
            <w:tcW w:w="1262" w:type="dxa"/>
            <w:vAlign w:val="center"/>
          </w:tcPr>
          <w:p w14:paraId="76BA3EE1">
            <w:r>
              <w:rPr>
                <w:rFonts w:hint="eastAsia"/>
              </w:rPr>
              <w:t>7.4.7.9</w:t>
            </w:r>
          </w:p>
        </w:tc>
        <w:tc>
          <w:tcPr>
            <w:tcW w:w="2289" w:type="dxa"/>
            <w:vAlign w:val="center"/>
          </w:tcPr>
          <w:p w14:paraId="2C7C45E4">
            <w:pPr>
              <w:jc w:val="right"/>
            </w:pPr>
            <w:r>
              <w:rPr>
                <w:rFonts w:hint="eastAsia"/>
              </w:rPr>
              <w:t>11,036.12</w:t>
            </w:r>
          </w:p>
        </w:tc>
        <w:tc>
          <w:tcPr>
            <w:tcW w:w="2295" w:type="dxa"/>
            <w:vAlign w:val="center"/>
          </w:tcPr>
          <w:p w14:paraId="105AAF56">
            <w:pPr>
              <w:jc w:val="right"/>
            </w:pPr>
            <w:r>
              <w:rPr>
                <w:rFonts w:hint="eastAsia"/>
              </w:rPr>
              <w:t>11,376.50</w:t>
            </w:r>
          </w:p>
        </w:tc>
      </w:tr>
      <w:tr w14:paraId="590EF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F9173C">
            <w:r>
              <w:rPr>
                <w:rFonts w:hint="eastAsia"/>
              </w:rPr>
              <w:t xml:space="preserve">      债券利息收入</w:t>
            </w:r>
          </w:p>
        </w:tc>
        <w:tc>
          <w:tcPr>
            <w:tcW w:w="1262" w:type="dxa"/>
            <w:vAlign w:val="center"/>
          </w:tcPr>
          <w:p w14:paraId="01C9AA43"/>
        </w:tc>
        <w:tc>
          <w:tcPr>
            <w:tcW w:w="2289" w:type="dxa"/>
            <w:vAlign w:val="center"/>
          </w:tcPr>
          <w:p w14:paraId="7BAD3CEF">
            <w:pPr>
              <w:jc w:val="right"/>
            </w:pPr>
            <w:r>
              <w:rPr>
                <w:rFonts w:hint="eastAsia"/>
              </w:rPr>
              <w:t>-</w:t>
            </w:r>
          </w:p>
        </w:tc>
        <w:tc>
          <w:tcPr>
            <w:tcW w:w="2295" w:type="dxa"/>
            <w:vAlign w:val="center"/>
          </w:tcPr>
          <w:p w14:paraId="44F2B21A">
            <w:pPr>
              <w:jc w:val="right"/>
            </w:pPr>
            <w:r>
              <w:rPr>
                <w:rFonts w:hint="eastAsia"/>
              </w:rPr>
              <w:t>-</w:t>
            </w:r>
          </w:p>
        </w:tc>
      </w:tr>
      <w:tr w14:paraId="4966D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4E480E">
            <w:r>
              <w:rPr>
                <w:rFonts w:hint="eastAsia"/>
              </w:rPr>
              <w:t xml:space="preserve">      资产支持证券利息收入</w:t>
            </w:r>
          </w:p>
        </w:tc>
        <w:tc>
          <w:tcPr>
            <w:tcW w:w="1262" w:type="dxa"/>
            <w:vAlign w:val="center"/>
          </w:tcPr>
          <w:p w14:paraId="35971E07"/>
        </w:tc>
        <w:tc>
          <w:tcPr>
            <w:tcW w:w="2289" w:type="dxa"/>
            <w:vAlign w:val="center"/>
          </w:tcPr>
          <w:p w14:paraId="32F30E81">
            <w:pPr>
              <w:jc w:val="right"/>
            </w:pPr>
            <w:r>
              <w:rPr>
                <w:rFonts w:hint="eastAsia"/>
              </w:rPr>
              <w:t>-</w:t>
            </w:r>
          </w:p>
        </w:tc>
        <w:tc>
          <w:tcPr>
            <w:tcW w:w="2295" w:type="dxa"/>
            <w:vAlign w:val="center"/>
          </w:tcPr>
          <w:p w14:paraId="6A540DDE">
            <w:pPr>
              <w:jc w:val="right"/>
            </w:pPr>
            <w:r>
              <w:rPr>
                <w:rFonts w:hint="eastAsia"/>
              </w:rPr>
              <w:t>-</w:t>
            </w:r>
          </w:p>
        </w:tc>
      </w:tr>
      <w:tr w14:paraId="3BF3F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D2D776">
            <w:r>
              <w:rPr>
                <w:rFonts w:hint="eastAsia"/>
              </w:rPr>
              <w:t xml:space="preserve">      买入返售金融资产收入</w:t>
            </w:r>
          </w:p>
        </w:tc>
        <w:tc>
          <w:tcPr>
            <w:tcW w:w="1262" w:type="dxa"/>
            <w:vAlign w:val="center"/>
          </w:tcPr>
          <w:p w14:paraId="267A0AAB"/>
        </w:tc>
        <w:tc>
          <w:tcPr>
            <w:tcW w:w="2289" w:type="dxa"/>
            <w:vAlign w:val="center"/>
          </w:tcPr>
          <w:p w14:paraId="52856784">
            <w:pPr>
              <w:jc w:val="right"/>
            </w:pPr>
            <w:r>
              <w:rPr>
                <w:rFonts w:hint="eastAsia"/>
              </w:rPr>
              <w:t>30,830.77</w:t>
            </w:r>
          </w:p>
        </w:tc>
        <w:tc>
          <w:tcPr>
            <w:tcW w:w="2295" w:type="dxa"/>
            <w:vAlign w:val="center"/>
          </w:tcPr>
          <w:p w14:paraId="33B2A3DB">
            <w:pPr>
              <w:jc w:val="right"/>
            </w:pPr>
            <w:r>
              <w:rPr>
                <w:rFonts w:hint="eastAsia"/>
              </w:rPr>
              <w:t>172,023.47</w:t>
            </w:r>
          </w:p>
        </w:tc>
      </w:tr>
      <w:tr w14:paraId="09F92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D21ABA">
            <w:r>
              <w:rPr>
                <w:rFonts w:hint="eastAsia"/>
              </w:rPr>
              <w:t xml:space="preserve">      其他利息收入</w:t>
            </w:r>
          </w:p>
        </w:tc>
        <w:tc>
          <w:tcPr>
            <w:tcW w:w="1262" w:type="dxa"/>
            <w:vAlign w:val="center"/>
          </w:tcPr>
          <w:p w14:paraId="0D63B10F"/>
        </w:tc>
        <w:tc>
          <w:tcPr>
            <w:tcW w:w="2289" w:type="dxa"/>
            <w:vAlign w:val="center"/>
          </w:tcPr>
          <w:p w14:paraId="56E05F15">
            <w:pPr>
              <w:jc w:val="right"/>
            </w:pPr>
            <w:r>
              <w:rPr>
                <w:rFonts w:hint="eastAsia"/>
              </w:rPr>
              <w:t>-</w:t>
            </w:r>
          </w:p>
        </w:tc>
        <w:tc>
          <w:tcPr>
            <w:tcW w:w="2295" w:type="dxa"/>
            <w:vAlign w:val="center"/>
          </w:tcPr>
          <w:p w14:paraId="645D9719">
            <w:pPr>
              <w:jc w:val="right"/>
            </w:pPr>
            <w:r>
              <w:rPr>
                <w:rFonts w:hint="eastAsia"/>
              </w:rPr>
              <w:t>-</w:t>
            </w:r>
          </w:p>
        </w:tc>
      </w:tr>
      <w:tr w14:paraId="4A9AE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EB275F">
            <w:r>
              <w:rPr>
                <w:rFonts w:hint="eastAsia"/>
              </w:rPr>
              <w:t>2.投资收益（损失以“-”填列）</w:t>
            </w:r>
          </w:p>
        </w:tc>
        <w:tc>
          <w:tcPr>
            <w:tcW w:w="1262" w:type="dxa"/>
            <w:vAlign w:val="center"/>
          </w:tcPr>
          <w:p w14:paraId="6898E1AD"/>
        </w:tc>
        <w:tc>
          <w:tcPr>
            <w:tcW w:w="2289" w:type="dxa"/>
            <w:vAlign w:val="center"/>
          </w:tcPr>
          <w:p w14:paraId="052C204B">
            <w:pPr>
              <w:jc w:val="right"/>
            </w:pPr>
            <w:r>
              <w:rPr>
                <w:rFonts w:hint="eastAsia"/>
              </w:rPr>
              <w:t>31,825,831.84</w:t>
            </w:r>
          </w:p>
        </w:tc>
        <w:tc>
          <w:tcPr>
            <w:tcW w:w="2295" w:type="dxa"/>
            <w:vAlign w:val="center"/>
          </w:tcPr>
          <w:p w14:paraId="46559D22">
            <w:pPr>
              <w:jc w:val="right"/>
            </w:pPr>
            <w:r>
              <w:rPr>
                <w:rFonts w:hint="eastAsia"/>
              </w:rPr>
              <w:t>57,832,935.28</w:t>
            </w:r>
          </w:p>
        </w:tc>
      </w:tr>
      <w:tr w14:paraId="61918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CBF42B">
            <w:r>
              <w:rPr>
                <w:rFonts w:hint="eastAsia"/>
              </w:rPr>
              <w:t>其中：股票投资收益</w:t>
            </w:r>
          </w:p>
        </w:tc>
        <w:tc>
          <w:tcPr>
            <w:tcW w:w="1262" w:type="dxa"/>
            <w:vAlign w:val="center"/>
          </w:tcPr>
          <w:p w14:paraId="2029BCE6">
            <w:r>
              <w:rPr>
                <w:rFonts w:hint="eastAsia"/>
              </w:rPr>
              <w:t>7.4.7.10</w:t>
            </w:r>
          </w:p>
        </w:tc>
        <w:tc>
          <w:tcPr>
            <w:tcW w:w="2289" w:type="dxa"/>
            <w:vAlign w:val="center"/>
          </w:tcPr>
          <w:p w14:paraId="7EBA5368">
            <w:pPr>
              <w:jc w:val="right"/>
            </w:pPr>
            <w:r>
              <w:rPr>
                <w:rFonts w:hint="eastAsia"/>
              </w:rPr>
              <w:t>-</w:t>
            </w:r>
          </w:p>
        </w:tc>
        <w:tc>
          <w:tcPr>
            <w:tcW w:w="2295" w:type="dxa"/>
            <w:vAlign w:val="center"/>
          </w:tcPr>
          <w:p w14:paraId="4E1DABF6">
            <w:pPr>
              <w:jc w:val="right"/>
            </w:pPr>
            <w:r>
              <w:rPr>
                <w:rFonts w:hint="eastAsia"/>
              </w:rPr>
              <w:t>-</w:t>
            </w:r>
          </w:p>
        </w:tc>
      </w:tr>
      <w:tr w14:paraId="04658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2D9AC9">
            <w:r>
              <w:rPr>
                <w:rFonts w:hint="eastAsia"/>
              </w:rPr>
              <w:t xml:space="preserve">      基金投资收益</w:t>
            </w:r>
          </w:p>
        </w:tc>
        <w:tc>
          <w:tcPr>
            <w:tcW w:w="1262" w:type="dxa"/>
            <w:vAlign w:val="center"/>
          </w:tcPr>
          <w:p w14:paraId="577C9C70">
            <w:r>
              <w:rPr>
                <w:rFonts w:hint="eastAsia"/>
              </w:rPr>
              <w:t>7.4.7.11</w:t>
            </w:r>
          </w:p>
        </w:tc>
        <w:tc>
          <w:tcPr>
            <w:tcW w:w="2289" w:type="dxa"/>
            <w:vAlign w:val="center"/>
          </w:tcPr>
          <w:p w14:paraId="2EE1BD6F">
            <w:pPr>
              <w:jc w:val="right"/>
            </w:pPr>
            <w:r>
              <w:rPr>
                <w:rFonts w:hint="eastAsia"/>
              </w:rPr>
              <w:t>-</w:t>
            </w:r>
          </w:p>
        </w:tc>
        <w:tc>
          <w:tcPr>
            <w:tcW w:w="2295" w:type="dxa"/>
            <w:vAlign w:val="center"/>
          </w:tcPr>
          <w:p w14:paraId="443AB6A5">
            <w:pPr>
              <w:jc w:val="right"/>
            </w:pPr>
            <w:r>
              <w:rPr>
                <w:rFonts w:hint="eastAsia"/>
              </w:rPr>
              <w:t>-</w:t>
            </w:r>
          </w:p>
        </w:tc>
      </w:tr>
      <w:tr w14:paraId="5F0DE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76B694">
            <w:r>
              <w:rPr>
                <w:rFonts w:hint="eastAsia"/>
              </w:rPr>
              <w:t xml:space="preserve">      债券投资收益</w:t>
            </w:r>
          </w:p>
        </w:tc>
        <w:tc>
          <w:tcPr>
            <w:tcW w:w="1262" w:type="dxa"/>
            <w:vAlign w:val="center"/>
          </w:tcPr>
          <w:p w14:paraId="05B653B8">
            <w:r>
              <w:rPr>
                <w:rFonts w:hint="eastAsia"/>
              </w:rPr>
              <w:t>7.4.7.12</w:t>
            </w:r>
          </w:p>
        </w:tc>
        <w:tc>
          <w:tcPr>
            <w:tcW w:w="2289" w:type="dxa"/>
            <w:vAlign w:val="center"/>
          </w:tcPr>
          <w:p w14:paraId="36288D9B">
            <w:pPr>
              <w:jc w:val="right"/>
            </w:pPr>
            <w:r>
              <w:rPr>
                <w:rFonts w:hint="eastAsia"/>
              </w:rPr>
              <w:t>31,825,831.84</w:t>
            </w:r>
          </w:p>
        </w:tc>
        <w:tc>
          <w:tcPr>
            <w:tcW w:w="2295" w:type="dxa"/>
            <w:vAlign w:val="center"/>
          </w:tcPr>
          <w:p w14:paraId="3044FA6B">
            <w:pPr>
              <w:jc w:val="right"/>
            </w:pPr>
            <w:r>
              <w:rPr>
                <w:rFonts w:hint="eastAsia"/>
              </w:rPr>
              <w:t>57,832,935.28</w:t>
            </w:r>
          </w:p>
        </w:tc>
      </w:tr>
      <w:tr w14:paraId="1C3F8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ECD749">
            <w:r>
              <w:rPr>
                <w:rFonts w:hint="eastAsia"/>
              </w:rPr>
              <w:t xml:space="preserve">      资产支持证券投资收益</w:t>
            </w:r>
          </w:p>
        </w:tc>
        <w:tc>
          <w:tcPr>
            <w:tcW w:w="1262" w:type="dxa"/>
            <w:vAlign w:val="center"/>
          </w:tcPr>
          <w:p w14:paraId="44F0C7A4">
            <w:r>
              <w:rPr>
                <w:rFonts w:hint="eastAsia"/>
              </w:rPr>
              <w:t>7.4.7.13</w:t>
            </w:r>
          </w:p>
        </w:tc>
        <w:tc>
          <w:tcPr>
            <w:tcW w:w="2289" w:type="dxa"/>
            <w:vAlign w:val="center"/>
          </w:tcPr>
          <w:p w14:paraId="11F936A4">
            <w:pPr>
              <w:jc w:val="right"/>
            </w:pPr>
            <w:r>
              <w:rPr>
                <w:rFonts w:hint="eastAsia"/>
              </w:rPr>
              <w:t>-</w:t>
            </w:r>
          </w:p>
        </w:tc>
        <w:tc>
          <w:tcPr>
            <w:tcW w:w="2295" w:type="dxa"/>
            <w:vAlign w:val="center"/>
          </w:tcPr>
          <w:p w14:paraId="1B5FBF00">
            <w:pPr>
              <w:jc w:val="right"/>
            </w:pPr>
            <w:r>
              <w:rPr>
                <w:rFonts w:hint="eastAsia"/>
              </w:rPr>
              <w:t>-</w:t>
            </w:r>
          </w:p>
        </w:tc>
      </w:tr>
      <w:tr w14:paraId="1CB88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D5649B">
            <w:r>
              <w:rPr>
                <w:rFonts w:hint="eastAsia"/>
              </w:rPr>
              <w:t xml:space="preserve">      贵金属投资收益</w:t>
            </w:r>
          </w:p>
        </w:tc>
        <w:tc>
          <w:tcPr>
            <w:tcW w:w="1262" w:type="dxa"/>
            <w:vAlign w:val="center"/>
          </w:tcPr>
          <w:p w14:paraId="5F6EAD9E"/>
        </w:tc>
        <w:tc>
          <w:tcPr>
            <w:tcW w:w="2289" w:type="dxa"/>
            <w:vAlign w:val="center"/>
          </w:tcPr>
          <w:p w14:paraId="3CC5933E">
            <w:pPr>
              <w:jc w:val="right"/>
            </w:pPr>
            <w:r>
              <w:rPr>
                <w:rFonts w:hint="eastAsia"/>
              </w:rPr>
              <w:t>-</w:t>
            </w:r>
          </w:p>
        </w:tc>
        <w:tc>
          <w:tcPr>
            <w:tcW w:w="2295" w:type="dxa"/>
            <w:vAlign w:val="center"/>
          </w:tcPr>
          <w:p w14:paraId="6C485C2E">
            <w:pPr>
              <w:jc w:val="right"/>
            </w:pPr>
            <w:r>
              <w:rPr>
                <w:rFonts w:hint="eastAsia"/>
              </w:rPr>
              <w:t>-</w:t>
            </w:r>
          </w:p>
        </w:tc>
      </w:tr>
      <w:tr w14:paraId="2571F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C8B1BA">
            <w:r>
              <w:rPr>
                <w:rFonts w:hint="eastAsia"/>
              </w:rPr>
              <w:t xml:space="preserve">      衍生工具收益</w:t>
            </w:r>
          </w:p>
        </w:tc>
        <w:tc>
          <w:tcPr>
            <w:tcW w:w="1262" w:type="dxa"/>
            <w:vAlign w:val="center"/>
          </w:tcPr>
          <w:p w14:paraId="7B6B1105">
            <w:r>
              <w:rPr>
                <w:rFonts w:hint="eastAsia"/>
              </w:rPr>
              <w:t>7.4.7.14</w:t>
            </w:r>
          </w:p>
        </w:tc>
        <w:tc>
          <w:tcPr>
            <w:tcW w:w="2289" w:type="dxa"/>
            <w:vAlign w:val="center"/>
          </w:tcPr>
          <w:p w14:paraId="09695973">
            <w:pPr>
              <w:jc w:val="right"/>
            </w:pPr>
            <w:r>
              <w:rPr>
                <w:rFonts w:hint="eastAsia"/>
              </w:rPr>
              <w:t>-</w:t>
            </w:r>
          </w:p>
        </w:tc>
        <w:tc>
          <w:tcPr>
            <w:tcW w:w="2295" w:type="dxa"/>
            <w:vAlign w:val="center"/>
          </w:tcPr>
          <w:p w14:paraId="7CE9C90E">
            <w:pPr>
              <w:jc w:val="right"/>
            </w:pPr>
            <w:r>
              <w:rPr>
                <w:rFonts w:hint="eastAsia"/>
              </w:rPr>
              <w:t>-</w:t>
            </w:r>
          </w:p>
        </w:tc>
      </w:tr>
      <w:tr w14:paraId="1FFB9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691B52">
            <w:r>
              <w:rPr>
                <w:rFonts w:hint="eastAsia"/>
              </w:rPr>
              <w:t xml:space="preserve">      股利收益</w:t>
            </w:r>
          </w:p>
        </w:tc>
        <w:tc>
          <w:tcPr>
            <w:tcW w:w="1262" w:type="dxa"/>
            <w:vAlign w:val="center"/>
          </w:tcPr>
          <w:p w14:paraId="0CE23A1E">
            <w:r>
              <w:rPr>
                <w:rFonts w:hint="eastAsia"/>
              </w:rPr>
              <w:t>7.4.7.15</w:t>
            </w:r>
          </w:p>
        </w:tc>
        <w:tc>
          <w:tcPr>
            <w:tcW w:w="2289" w:type="dxa"/>
            <w:vAlign w:val="center"/>
          </w:tcPr>
          <w:p w14:paraId="293A72C9">
            <w:pPr>
              <w:jc w:val="right"/>
            </w:pPr>
            <w:r>
              <w:rPr>
                <w:rFonts w:hint="eastAsia"/>
              </w:rPr>
              <w:t>-</w:t>
            </w:r>
          </w:p>
        </w:tc>
        <w:tc>
          <w:tcPr>
            <w:tcW w:w="2295" w:type="dxa"/>
            <w:vAlign w:val="center"/>
          </w:tcPr>
          <w:p w14:paraId="64F088D8">
            <w:pPr>
              <w:jc w:val="right"/>
            </w:pPr>
            <w:r>
              <w:rPr>
                <w:rFonts w:hint="eastAsia"/>
              </w:rPr>
              <w:t>-</w:t>
            </w:r>
          </w:p>
        </w:tc>
      </w:tr>
      <w:tr w14:paraId="42E4E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FF766A">
            <w:r>
              <w:rPr>
                <w:rFonts w:hint="eastAsia"/>
              </w:rPr>
              <w:t xml:space="preserve">      以摊余成本计量的金融资产终止确认产生的收益</w:t>
            </w:r>
          </w:p>
        </w:tc>
        <w:tc>
          <w:tcPr>
            <w:tcW w:w="1262" w:type="dxa"/>
            <w:vAlign w:val="center"/>
          </w:tcPr>
          <w:p w14:paraId="096445CD"/>
        </w:tc>
        <w:tc>
          <w:tcPr>
            <w:tcW w:w="2289" w:type="dxa"/>
            <w:vAlign w:val="center"/>
          </w:tcPr>
          <w:p w14:paraId="39090C45">
            <w:pPr>
              <w:jc w:val="right"/>
            </w:pPr>
            <w:r>
              <w:rPr>
                <w:rFonts w:hint="eastAsia"/>
              </w:rPr>
              <w:t>-</w:t>
            </w:r>
          </w:p>
        </w:tc>
        <w:tc>
          <w:tcPr>
            <w:tcW w:w="2295" w:type="dxa"/>
            <w:vAlign w:val="center"/>
          </w:tcPr>
          <w:p w14:paraId="7A5C5A90">
            <w:pPr>
              <w:jc w:val="right"/>
            </w:pPr>
            <w:r>
              <w:rPr>
                <w:rFonts w:hint="eastAsia"/>
              </w:rPr>
              <w:t>-</w:t>
            </w:r>
          </w:p>
        </w:tc>
      </w:tr>
      <w:tr w14:paraId="41DF2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95598A">
            <w:r>
              <w:rPr>
                <w:rFonts w:hint="eastAsia"/>
              </w:rPr>
              <w:t xml:space="preserve">      其他投资收益</w:t>
            </w:r>
          </w:p>
        </w:tc>
        <w:tc>
          <w:tcPr>
            <w:tcW w:w="1262" w:type="dxa"/>
            <w:vAlign w:val="center"/>
          </w:tcPr>
          <w:p w14:paraId="3219D28F"/>
        </w:tc>
        <w:tc>
          <w:tcPr>
            <w:tcW w:w="2289" w:type="dxa"/>
            <w:vAlign w:val="center"/>
          </w:tcPr>
          <w:p w14:paraId="3EC9EAD8">
            <w:pPr>
              <w:jc w:val="right"/>
            </w:pPr>
            <w:r>
              <w:rPr>
                <w:rFonts w:hint="eastAsia"/>
              </w:rPr>
              <w:t>-</w:t>
            </w:r>
          </w:p>
        </w:tc>
        <w:tc>
          <w:tcPr>
            <w:tcW w:w="2295" w:type="dxa"/>
            <w:vAlign w:val="center"/>
          </w:tcPr>
          <w:p w14:paraId="1D6413E2">
            <w:pPr>
              <w:jc w:val="right"/>
            </w:pPr>
            <w:r>
              <w:rPr>
                <w:rFonts w:hint="eastAsia"/>
              </w:rPr>
              <w:t>-</w:t>
            </w:r>
          </w:p>
        </w:tc>
      </w:tr>
      <w:tr w14:paraId="3ECC0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2D79D3">
            <w:r>
              <w:rPr>
                <w:rFonts w:hint="eastAsia"/>
              </w:rPr>
              <w:t>3.公允价值变动收益（损失以“-”号填列）</w:t>
            </w:r>
          </w:p>
        </w:tc>
        <w:tc>
          <w:tcPr>
            <w:tcW w:w="1262" w:type="dxa"/>
            <w:vAlign w:val="center"/>
          </w:tcPr>
          <w:p w14:paraId="4A2F2115">
            <w:r>
              <w:rPr>
                <w:rFonts w:hint="eastAsia"/>
              </w:rPr>
              <w:t>7.4.7.16</w:t>
            </w:r>
          </w:p>
        </w:tc>
        <w:tc>
          <w:tcPr>
            <w:tcW w:w="2289" w:type="dxa"/>
            <w:vAlign w:val="center"/>
          </w:tcPr>
          <w:p w14:paraId="2D86002A">
            <w:pPr>
              <w:jc w:val="right"/>
            </w:pPr>
            <w:r>
              <w:rPr>
                <w:rFonts w:hint="eastAsia"/>
              </w:rPr>
              <w:t>-10,743,664.44</w:t>
            </w:r>
          </w:p>
        </w:tc>
        <w:tc>
          <w:tcPr>
            <w:tcW w:w="2295" w:type="dxa"/>
            <w:vAlign w:val="center"/>
          </w:tcPr>
          <w:p w14:paraId="6B7293A7">
            <w:pPr>
              <w:jc w:val="right"/>
            </w:pPr>
            <w:r>
              <w:rPr>
                <w:rFonts w:hint="eastAsia"/>
              </w:rPr>
              <w:t>9,397,907.37</w:t>
            </w:r>
          </w:p>
        </w:tc>
      </w:tr>
      <w:tr w14:paraId="697BA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9B1948">
            <w:r>
              <w:rPr>
                <w:rFonts w:hint="eastAsia"/>
              </w:rPr>
              <w:t>4.汇兑收益（损失以“－”号填列）</w:t>
            </w:r>
          </w:p>
        </w:tc>
        <w:tc>
          <w:tcPr>
            <w:tcW w:w="1262" w:type="dxa"/>
            <w:vAlign w:val="center"/>
          </w:tcPr>
          <w:p w14:paraId="71E6489C"/>
        </w:tc>
        <w:tc>
          <w:tcPr>
            <w:tcW w:w="2289" w:type="dxa"/>
            <w:vAlign w:val="center"/>
          </w:tcPr>
          <w:p w14:paraId="3B3C74CB">
            <w:pPr>
              <w:jc w:val="right"/>
            </w:pPr>
            <w:r>
              <w:rPr>
                <w:rFonts w:hint="eastAsia"/>
              </w:rPr>
              <w:t>-</w:t>
            </w:r>
          </w:p>
        </w:tc>
        <w:tc>
          <w:tcPr>
            <w:tcW w:w="2295" w:type="dxa"/>
            <w:vAlign w:val="center"/>
          </w:tcPr>
          <w:p w14:paraId="160BC649">
            <w:pPr>
              <w:jc w:val="right"/>
            </w:pPr>
            <w:r>
              <w:rPr>
                <w:rFonts w:hint="eastAsia"/>
              </w:rPr>
              <w:t>-</w:t>
            </w:r>
          </w:p>
        </w:tc>
      </w:tr>
      <w:tr w14:paraId="0B531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29FC2C">
            <w:r>
              <w:rPr>
                <w:rFonts w:hint="eastAsia"/>
              </w:rPr>
              <w:t>5.其他收入（损失以“-”号填列）</w:t>
            </w:r>
          </w:p>
        </w:tc>
        <w:tc>
          <w:tcPr>
            <w:tcW w:w="1262" w:type="dxa"/>
            <w:vAlign w:val="center"/>
          </w:tcPr>
          <w:p w14:paraId="2954E251">
            <w:r>
              <w:rPr>
                <w:rFonts w:hint="eastAsia"/>
              </w:rPr>
              <w:t>7.4.7.17</w:t>
            </w:r>
          </w:p>
        </w:tc>
        <w:tc>
          <w:tcPr>
            <w:tcW w:w="2289" w:type="dxa"/>
            <w:vAlign w:val="center"/>
          </w:tcPr>
          <w:p w14:paraId="42B2A195">
            <w:pPr>
              <w:jc w:val="right"/>
            </w:pPr>
            <w:r>
              <w:rPr>
                <w:rFonts w:hint="eastAsia"/>
              </w:rPr>
              <w:t>-</w:t>
            </w:r>
          </w:p>
        </w:tc>
        <w:tc>
          <w:tcPr>
            <w:tcW w:w="2295" w:type="dxa"/>
            <w:vAlign w:val="center"/>
          </w:tcPr>
          <w:p w14:paraId="7ACBACB0">
            <w:pPr>
              <w:jc w:val="right"/>
            </w:pPr>
            <w:r>
              <w:rPr>
                <w:rFonts w:hint="eastAsia"/>
              </w:rPr>
              <w:t>-</w:t>
            </w:r>
          </w:p>
        </w:tc>
      </w:tr>
      <w:tr w14:paraId="0F367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816523">
            <w:r>
              <w:rPr>
                <w:rFonts w:hint="eastAsia"/>
              </w:rPr>
              <w:t>减：二、营业总支出</w:t>
            </w:r>
          </w:p>
        </w:tc>
        <w:tc>
          <w:tcPr>
            <w:tcW w:w="1262" w:type="dxa"/>
            <w:vAlign w:val="center"/>
          </w:tcPr>
          <w:p w14:paraId="272D674E"/>
        </w:tc>
        <w:tc>
          <w:tcPr>
            <w:tcW w:w="2289" w:type="dxa"/>
            <w:vAlign w:val="center"/>
          </w:tcPr>
          <w:p w14:paraId="3BA7D386">
            <w:pPr>
              <w:jc w:val="right"/>
            </w:pPr>
            <w:r>
              <w:rPr>
                <w:rFonts w:hint="eastAsia"/>
              </w:rPr>
              <w:t>9,088,828.70</w:t>
            </w:r>
          </w:p>
        </w:tc>
        <w:tc>
          <w:tcPr>
            <w:tcW w:w="2295" w:type="dxa"/>
            <w:vAlign w:val="center"/>
          </w:tcPr>
          <w:p w14:paraId="149E6BBE">
            <w:pPr>
              <w:jc w:val="right"/>
            </w:pPr>
            <w:r>
              <w:rPr>
                <w:rFonts w:hint="eastAsia"/>
              </w:rPr>
              <w:t>8,154,779.07</w:t>
            </w:r>
          </w:p>
        </w:tc>
      </w:tr>
      <w:tr w14:paraId="4BAF0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9FB81C">
            <w:r>
              <w:rPr>
                <w:rFonts w:hint="eastAsia"/>
              </w:rPr>
              <w:t>1.管理人报酬</w:t>
            </w:r>
          </w:p>
        </w:tc>
        <w:tc>
          <w:tcPr>
            <w:tcW w:w="1262" w:type="dxa"/>
            <w:vAlign w:val="center"/>
          </w:tcPr>
          <w:p w14:paraId="0875E569">
            <w:r>
              <w:rPr>
                <w:rFonts w:hint="eastAsia"/>
              </w:rPr>
              <w:t>7.4.10.2.1</w:t>
            </w:r>
          </w:p>
        </w:tc>
        <w:tc>
          <w:tcPr>
            <w:tcW w:w="2289" w:type="dxa"/>
            <w:vAlign w:val="center"/>
          </w:tcPr>
          <w:p w14:paraId="57045469">
            <w:pPr>
              <w:jc w:val="right"/>
            </w:pPr>
            <w:r>
              <w:rPr>
                <w:rFonts w:hint="eastAsia"/>
              </w:rPr>
              <w:t>3,291,613.83</w:t>
            </w:r>
          </w:p>
        </w:tc>
        <w:tc>
          <w:tcPr>
            <w:tcW w:w="2295" w:type="dxa"/>
            <w:vAlign w:val="center"/>
          </w:tcPr>
          <w:p w14:paraId="089CAD30">
            <w:pPr>
              <w:jc w:val="right"/>
            </w:pPr>
            <w:r>
              <w:rPr>
                <w:rFonts w:hint="eastAsia"/>
              </w:rPr>
              <w:t>3,170,512.88</w:t>
            </w:r>
          </w:p>
        </w:tc>
      </w:tr>
      <w:tr w14:paraId="1031F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201C94">
            <w:r>
              <w:rPr>
                <w:rFonts w:hint="eastAsia"/>
              </w:rPr>
              <w:t>其中：暂估管理人报酬</w:t>
            </w:r>
          </w:p>
        </w:tc>
        <w:tc>
          <w:tcPr>
            <w:tcW w:w="1262" w:type="dxa"/>
            <w:vAlign w:val="center"/>
          </w:tcPr>
          <w:p w14:paraId="1ACAFDAC"/>
        </w:tc>
        <w:tc>
          <w:tcPr>
            <w:tcW w:w="2289" w:type="dxa"/>
            <w:vAlign w:val="center"/>
          </w:tcPr>
          <w:p w14:paraId="32C86F1A">
            <w:pPr>
              <w:jc w:val="right"/>
            </w:pPr>
            <w:r>
              <w:rPr>
                <w:rFonts w:hint="eastAsia"/>
              </w:rPr>
              <w:t>-</w:t>
            </w:r>
          </w:p>
        </w:tc>
        <w:tc>
          <w:tcPr>
            <w:tcW w:w="2295" w:type="dxa"/>
            <w:vAlign w:val="center"/>
          </w:tcPr>
          <w:p w14:paraId="4BBB9F99">
            <w:pPr>
              <w:jc w:val="right"/>
            </w:pPr>
            <w:r>
              <w:rPr>
                <w:rFonts w:hint="eastAsia"/>
              </w:rPr>
              <w:t>-</w:t>
            </w:r>
          </w:p>
        </w:tc>
      </w:tr>
      <w:tr w14:paraId="02CF5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9B3ADB">
            <w:r>
              <w:rPr>
                <w:rFonts w:hint="eastAsia"/>
              </w:rPr>
              <w:t>2.托管费</w:t>
            </w:r>
          </w:p>
        </w:tc>
        <w:tc>
          <w:tcPr>
            <w:tcW w:w="1262" w:type="dxa"/>
            <w:vAlign w:val="center"/>
          </w:tcPr>
          <w:p w14:paraId="564F42F8">
            <w:r>
              <w:rPr>
                <w:rFonts w:hint="eastAsia"/>
              </w:rPr>
              <w:t>7.4.10.2.2</w:t>
            </w:r>
          </w:p>
        </w:tc>
        <w:tc>
          <w:tcPr>
            <w:tcW w:w="2289" w:type="dxa"/>
            <w:vAlign w:val="center"/>
          </w:tcPr>
          <w:p w14:paraId="14AFE982">
            <w:pPr>
              <w:jc w:val="right"/>
            </w:pPr>
            <w:r>
              <w:rPr>
                <w:rFonts w:hint="eastAsia"/>
              </w:rPr>
              <w:t>1,097,204.67</w:t>
            </w:r>
          </w:p>
        </w:tc>
        <w:tc>
          <w:tcPr>
            <w:tcW w:w="2295" w:type="dxa"/>
            <w:vAlign w:val="center"/>
          </w:tcPr>
          <w:p w14:paraId="68BDEF1E">
            <w:pPr>
              <w:jc w:val="right"/>
            </w:pPr>
            <w:r>
              <w:rPr>
                <w:rFonts w:hint="eastAsia"/>
              </w:rPr>
              <w:t>1,056,837.60</w:t>
            </w:r>
          </w:p>
        </w:tc>
      </w:tr>
      <w:tr w14:paraId="11822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AE6997">
            <w:r>
              <w:rPr>
                <w:rFonts w:hint="eastAsia"/>
              </w:rPr>
              <w:t>3.销售服务费</w:t>
            </w:r>
          </w:p>
        </w:tc>
        <w:tc>
          <w:tcPr>
            <w:tcW w:w="1262" w:type="dxa"/>
            <w:vAlign w:val="center"/>
          </w:tcPr>
          <w:p w14:paraId="62F1239A">
            <w:r>
              <w:rPr>
                <w:rFonts w:hint="eastAsia"/>
              </w:rPr>
              <w:t>7.4.10.2.3</w:t>
            </w:r>
          </w:p>
        </w:tc>
        <w:tc>
          <w:tcPr>
            <w:tcW w:w="2289" w:type="dxa"/>
            <w:vAlign w:val="center"/>
          </w:tcPr>
          <w:p w14:paraId="1EFD69C1">
            <w:pPr>
              <w:jc w:val="right"/>
            </w:pPr>
            <w:r>
              <w:rPr>
                <w:rFonts w:hint="eastAsia"/>
              </w:rPr>
              <w:t>-</w:t>
            </w:r>
          </w:p>
        </w:tc>
        <w:tc>
          <w:tcPr>
            <w:tcW w:w="2295" w:type="dxa"/>
            <w:vAlign w:val="center"/>
          </w:tcPr>
          <w:p w14:paraId="23801868">
            <w:pPr>
              <w:jc w:val="right"/>
            </w:pPr>
            <w:r>
              <w:rPr>
                <w:rFonts w:hint="eastAsia"/>
              </w:rPr>
              <w:t>-</w:t>
            </w:r>
          </w:p>
        </w:tc>
      </w:tr>
      <w:tr w14:paraId="3DF30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AD589F">
            <w:r>
              <w:rPr>
                <w:rFonts w:hint="eastAsia"/>
              </w:rPr>
              <w:t>4.投资顾问费</w:t>
            </w:r>
          </w:p>
        </w:tc>
        <w:tc>
          <w:tcPr>
            <w:tcW w:w="1262" w:type="dxa"/>
            <w:vAlign w:val="center"/>
          </w:tcPr>
          <w:p w14:paraId="20DCD82E"/>
        </w:tc>
        <w:tc>
          <w:tcPr>
            <w:tcW w:w="2289" w:type="dxa"/>
            <w:vAlign w:val="center"/>
          </w:tcPr>
          <w:p w14:paraId="00635D1E">
            <w:pPr>
              <w:jc w:val="right"/>
            </w:pPr>
            <w:r>
              <w:rPr>
                <w:rFonts w:hint="eastAsia"/>
              </w:rPr>
              <w:t>-</w:t>
            </w:r>
          </w:p>
        </w:tc>
        <w:tc>
          <w:tcPr>
            <w:tcW w:w="2295" w:type="dxa"/>
            <w:vAlign w:val="center"/>
          </w:tcPr>
          <w:p w14:paraId="5C4B1B45">
            <w:pPr>
              <w:jc w:val="right"/>
            </w:pPr>
            <w:r>
              <w:rPr>
                <w:rFonts w:hint="eastAsia"/>
              </w:rPr>
              <w:t>-</w:t>
            </w:r>
          </w:p>
        </w:tc>
      </w:tr>
      <w:tr w14:paraId="7E721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9B9363">
            <w:r>
              <w:rPr>
                <w:rFonts w:hint="eastAsia"/>
              </w:rPr>
              <w:t>5.利息支出</w:t>
            </w:r>
          </w:p>
        </w:tc>
        <w:tc>
          <w:tcPr>
            <w:tcW w:w="1262" w:type="dxa"/>
            <w:vAlign w:val="center"/>
          </w:tcPr>
          <w:p w14:paraId="1652D73C"/>
        </w:tc>
        <w:tc>
          <w:tcPr>
            <w:tcW w:w="2289" w:type="dxa"/>
            <w:vAlign w:val="center"/>
          </w:tcPr>
          <w:p w14:paraId="02285757">
            <w:pPr>
              <w:jc w:val="right"/>
            </w:pPr>
            <w:r>
              <w:rPr>
                <w:rFonts w:hint="eastAsia"/>
              </w:rPr>
              <w:t>4,393,094.40</w:t>
            </w:r>
          </w:p>
        </w:tc>
        <w:tc>
          <w:tcPr>
            <w:tcW w:w="2295" w:type="dxa"/>
            <w:vAlign w:val="center"/>
          </w:tcPr>
          <w:p w14:paraId="0DDC9608">
            <w:pPr>
              <w:jc w:val="right"/>
            </w:pPr>
            <w:r>
              <w:rPr>
                <w:rFonts w:hint="eastAsia"/>
              </w:rPr>
              <w:t>3,684,882.52</w:t>
            </w:r>
          </w:p>
        </w:tc>
      </w:tr>
      <w:tr w14:paraId="6E3EF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D7A18E">
            <w:r>
              <w:rPr>
                <w:rFonts w:hint="eastAsia"/>
              </w:rPr>
              <w:t>其中：卖出回购金融资产支出</w:t>
            </w:r>
          </w:p>
        </w:tc>
        <w:tc>
          <w:tcPr>
            <w:tcW w:w="1262" w:type="dxa"/>
            <w:vAlign w:val="center"/>
          </w:tcPr>
          <w:p w14:paraId="088AD72E"/>
        </w:tc>
        <w:tc>
          <w:tcPr>
            <w:tcW w:w="2289" w:type="dxa"/>
            <w:vAlign w:val="center"/>
          </w:tcPr>
          <w:p w14:paraId="2993E616">
            <w:pPr>
              <w:jc w:val="right"/>
            </w:pPr>
            <w:r>
              <w:rPr>
                <w:rFonts w:hint="eastAsia"/>
              </w:rPr>
              <w:t>4,393,094.40</w:t>
            </w:r>
          </w:p>
        </w:tc>
        <w:tc>
          <w:tcPr>
            <w:tcW w:w="2295" w:type="dxa"/>
            <w:vAlign w:val="center"/>
          </w:tcPr>
          <w:p w14:paraId="1361FA11">
            <w:pPr>
              <w:jc w:val="right"/>
            </w:pPr>
            <w:r>
              <w:rPr>
                <w:rFonts w:hint="eastAsia"/>
              </w:rPr>
              <w:t>3,684,882.52</w:t>
            </w:r>
          </w:p>
        </w:tc>
      </w:tr>
      <w:tr w14:paraId="64C3F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12308C">
            <w:r>
              <w:rPr>
                <w:rFonts w:hint="eastAsia"/>
              </w:rPr>
              <w:t>6.信用减值损失</w:t>
            </w:r>
          </w:p>
        </w:tc>
        <w:tc>
          <w:tcPr>
            <w:tcW w:w="1262" w:type="dxa"/>
            <w:vAlign w:val="center"/>
          </w:tcPr>
          <w:p w14:paraId="3AC8A9F9"/>
        </w:tc>
        <w:tc>
          <w:tcPr>
            <w:tcW w:w="2289" w:type="dxa"/>
            <w:vAlign w:val="center"/>
          </w:tcPr>
          <w:p w14:paraId="58F915CF">
            <w:pPr>
              <w:jc w:val="right"/>
            </w:pPr>
            <w:r>
              <w:rPr>
                <w:rFonts w:hint="eastAsia"/>
              </w:rPr>
              <w:t>-</w:t>
            </w:r>
          </w:p>
        </w:tc>
        <w:tc>
          <w:tcPr>
            <w:tcW w:w="2295" w:type="dxa"/>
            <w:vAlign w:val="center"/>
          </w:tcPr>
          <w:p w14:paraId="29CFDAF6">
            <w:pPr>
              <w:jc w:val="right"/>
            </w:pPr>
            <w:r>
              <w:rPr>
                <w:rFonts w:hint="eastAsia"/>
              </w:rPr>
              <w:t>-</w:t>
            </w:r>
          </w:p>
        </w:tc>
      </w:tr>
      <w:tr w14:paraId="36D6B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4256C5">
            <w:r>
              <w:rPr>
                <w:rFonts w:hint="eastAsia"/>
              </w:rPr>
              <w:t>7.税金及附加</w:t>
            </w:r>
          </w:p>
        </w:tc>
        <w:tc>
          <w:tcPr>
            <w:tcW w:w="1262" w:type="dxa"/>
            <w:vAlign w:val="center"/>
          </w:tcPr>
          <w:p w14:paraId="0E52B731"/>
        </w:tc>
        <w:tc>
          <w:tcPr>
            <w:tcW w:w="2289" w:type="dxa"/>
            <w:vAlign w:val="center"/>
          </w:tcPr>
          <w:p w14:paraId="384F3BF6">
            <w:pPr>
              <w:jc w:val="right"/>
            </w:pPr>
            <w:r>
              <w:rPr>
                <w:rFonts w:hint="eastAsia"/>
              </w:rPr>
              <w:t>60,296.39</w:t>
            </w:r>
          </w:p>
        </w:tc>
        <w:tc>
          <w:tcPr>
            <w:tcW w:w="2295" w:type="dxa"/>
            <w:vAlign w:val="center"/>
          </w:tcPr>
          <w:p w14:paraId="52AA53A8">
            <w:pPr>
              <w:jc w:val="right"/>
            </w:pPr>
            <w:r>
              <w:rPr>
                <w:rFonts w:hint="eastAsia"/>
              </w:rPr>
              <w:t>20,514.44</w:t>
            </w:r>
          </w:p>
        </w:tc>
      </w:tr>
      <w:tr w14:paraId="6A5C1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E175FC">
            <w:r>
              <w:rPr>
                <w:rFonts w:hint="eastAsia"/>
              </w:rPr>
              <w:t>8.其他费用</w:t>
            </w:r>
          </w:p>
        </w:tc>
        <w:tc>
          <w:tcPr>
            <w:tcW w:w="1262" w:type="dxa"/>
            <w:vAlign w:val="center"/>
          </w:tcPr>
          <w:p w14:paraId="0E05F4FE">
            <w:r>
              <w:rPr>
                <w:rFonts w:hint="eastAsia"/>
              </w:rPr>
              <w:t>7.4.7.18</w:t>
            </w:r>
          </w:p>
        </w:tc>
        <w:tc>
          <w:tcPr>
            <w:tcW w:w="2289" w:type="dxa"/>
            <w:vAlign w:val="center"/>
          </w:tcPr>
          <w:p w14:paraId="3BD4A586">
            <w:pPr>
              <w:jc w:val="right"/>
            </w:pPr>
            <w:r>
              <w:rPr>
                <w:rFonts w:hint="eastAsia"/>
              </w:rPr>
              <w:t>246,619.41</w:t>
            </w:r>
          </w:p>
        </w:tc>
        <w:tc>
          <w:tcPr>
            <w:tcW w:w="2295" w:type="dxa"/>
            <w:vAlign w:val="center"/>
          </w:tcPr>
          <w:p w14:paraId="40517902">
            <w:pPr>
              <w:jc w:val="right"/>
            </w:pPr>
            <w:r>
              <w:rPr>
                <w:rFonts w:hint="eastAsia"/>
              </w:rPr>
              <w:t>222,031.63</w:t>
            </w:r>
          </w:p>
        </w:tc>
      </w:tr>
      <w:tr w14:paraId="0452F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D63F48">
            <w:r>
              <w:rPr>
                <w:rFonts w:hint="eastAsia"/>
              </w:rPr>
              <w:t>三、利润总额（亏损总额以“-”号填列）</w:t>
            </w:r>
          </w:p>
        </w:tc>
        <w:tc>
          <w:tcPr>
            <w:tcW w:w="1262" w:type="dxa"/>
            <w:vAlign w:val="center"/>
          </w:tcPr>
          <w:p w14:paraId="775C5437"/>
        </w:tc>
        <w:tc>
          <w:tcPr>
            <w:tcW w:w="2289" w:type="dxa"/>
            <w:vAlign w:val="center"/>
          </w:tcPr>
          <w:p w14:paraId="4B63C69C">
            <w:pPr>
              <w:jc w:val="right"/>
            </w:pPr>
            <w:r>
              <w:rPr>
                <w:rFonts w:hint="eastAsia"/>
              </w:rPr>
              <w:t>12,035,205.59</w:t>
            </w:r>
          </w:p>
        </w:tc>
        <w:tc>
          <w:tcPr>
            <w:tcW w:w="2295" w:type="dxa"/>
            <w:vAlign w:val="center"/>
          </w:tcPr>
          <w:p w14:paraId="41243C24">
            <w:pPr>
              <w:jc w:val="right"/>
            </w:pPr>
            <w:r>
              <w:rPr>
                <w:rFonts w:hint="eastAsia"/>
              </w:rPr>
              <w:t>59,259,463.55</w:t>
            </w:r>
          </w:p>
        </w:tc>
      </w:tr>
      <w:tr w14:paraId="373DB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B0667A">
            <w:r>
              <w:rPr>
                <w:rFonts w:hint="eastAsia"/>
              </w:rPr>
              <w:t>减：所得税费用</w:t>
            </w:r>
          </w:p>
        </w:tc>
        <w:tc>
          <w:tcPr>
            <w:tcW w:w="1262" w:type="dxa"/>
            <w:vAlign w:val="center"/>
          </w:tcPr>
          <w:p w14:paraId="40E473E9"/>
        </w:tc>
        <w:tc>
          <w:tcPr>
            <w:tcW w:w="2289" w:type="dxa"/>
            <w:vAlign w:val="center"/>
          </w:tcPr>
          <w:p w14:paraId="7B176F4B">
            <w:pPr>
              <w:jc w:val="right"/>
            </w:pPr>
            <w:r>
              <w:rPr>
                <w:rFonts w:hint="eastAsia"/>
              </w:rPr>
              <w:t>-</w:t>
            </w:r>
          </w:p>
        </w:tc>
        <w:tc>
          <w:tcPr>
            <w:tcW w:w="2295" w:type="dxa"/>
            <w:vAlign w:val="center"/>
          </w:tcPr>
          <w:p w14:paraId="301E4749">
            <w:pPr>
              <w:jc w:val="right"/>
            </w:pPr>
            <w:r>
              <w:rPr>
                <w:rFonts w:hint="eastAsia"/>
              </w:rPr>
              <w:t>-</w:t>
            </w:r>
          </w:p>
        </w:tc>
      </w:tr>
      <w:tr w14:paraId="344FF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1379E2">
            <w:r>
              <w:rPr>
                <w:rFonts w:hint="eastAsia"/>
              </w:rPr>
              <w:t>四、净利润（净亏损以“-”号填列）</w:t>
            </w:r>
          </w:p>
        </w:tc>
        <w:tc>
          <w:tcPr>
            <w:tcW w:w="1262" w:type="dxa"/>
            <w:vAlign w:val="center"/>
          </w:tcPr>
          <w:p w14:paraId="1666C6E0"/>
        </w:tc>
        <w:tc>
          <w:tcPr>
            <w:tcW w:w="2289" w:type="dxa"/>
            <w:vAlign w:val="center"/>
          </w:tcPr>
          <w:p w14:paraId="785BE4BA">
            <w:pPr>
              <w:jc w:val="right"/>
            </w:pPr>
            <w:r>
              <w:rPr>
                <w:rFonts w:hint="eastAsia"/>
              </w:rPr>
              <w:t>12,035,205.59</w:t>
            </w:r>
          </w:p>
        </w:tc>
        <w:tc>
          <w:tcPr>
            <w:tcW w:w="2295" w:type="dxa"/>
            <w:vAlign w:val="center"/>
          </w:tcPr>
          <w:p w14:paraId="3DADE6A1">
            <w:pPr>
              <w:jc w:val="right"/>
            </w:pPr>
            <w:r>
              <w:rPr>
                <w:rFonts w:hint="eastAsia"/>
              </w:rPr>
              <w:t>59,259,463.55</w:t>
            </w:r>
          </w:p>
        </w:tc>
      </w:tr>
      <w:tr w14:paraId="29A69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47DDD7">
            <w:r>
              <w:rPr>
                <w:rFonts w:hint="eastAsia"/>
              </w:rPr>
              <w:t>五、其他综合收益的税后净额</w:t>
            </w:r>
          </w:p>
        </w:tc>
        <w:tc>
          <w:tcPr>
            <w:tcW w:w="1262" w:type="dxa"/>
            <w:vAlign w:val="center"/>
          </w:tcPr>
          <w:p w14:paraId="095ADEF2"/>
        </w:tc>
        <w:tc>
          <w:tcPr>
            <w:tcW w:w="2289" w:type="dxa"/>
            <w:vAlign w:val="center"/>
          </w:tcPr>
          <w:p w14:paraId="3FA4C2AC">
            <w:pPr>
              <w:jc w:val="right"/>
            </w:pPr>
            <w:r>
              <w:rPr>
                <w:rFonts w:hint="eastAsia"/>
              </w:rPr>
              <w:t>-</w:t>
            </w:r>
          </w:p>
        </w:tc>
        <w:tc>
          <w:tcPr>
            <w:tcW w:w="2295" w:type="dxa"/>
            <w:vAlign w:val="center"/>
          </w:tcPr>
          <w:p w14:paraId="5690F120">
            <w:pPr>
              <w:jc w:val="right"/>
            </w:pPr>
            <w:r>
              <w:rPr>
                <w:rFonts w:hint="eastAsia"/>
              </w:rPr>
              <w:t>-</w:t>
            </w:r>
          </w:p>
        </w:tc>
      </w:tr>
      <w:tr w14:paraId="6ED80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6697C2">
            <w:r>
              <w:rPr>
                <w:rFonts w:hint="eastAsia"/>
              </w:rPr>
              <w:t>六、综合收益总额</w:t>
            </w:r>
          </w:p>
        </w:tc>
        <w:tc>
          <w:tcPr>
            <w:tcW w:w="1262" w:type="dxa"/>
            <w:vAlign w:val="center"/>
          </w:tcPr>
          <w:p w14:paraId="7E72DA82"/>
        </w:tc>
        <w:tc>
          <w:tcPr>
            <w:tcW w:w="2289" w:type="dxa"/>
            <w:vAlign w:val="center"/>
          </w:tcPr>
          <w:p w14:paraId="4892631C">
            <w:pPr>
              <w:jc w:val="right"/>
            </w:pPr>
            <w:r>
              <w:rPr>
                <w:rFonts w:hint="eastAsia"/>
              </w:rPr>
              <w:t>12,035,205.59</w:t>
            </w:r>
          </w:p>
        </w:tc>
        <w:tc>
          <w:tcPr>
            <w:tcW w:w="2295" w:type="dxa"/>
            <w:vAlign w:val="center"/>
          </w:tcPr>
          <w:p w14:paraId="486B07F7">
            <w:pPr>
              <w:jc w:val="right"/>
            </w:pPr>
            <w:r>
              <w:rPr>
                <w:rFonts w:hint="eastAsia"/>
              </w:rPr>
              <w:t>59,259,463.55</w:t>
            </w:r>
          </w:p>
        </w:tc>
      </w:tr>
    </w:tbl>
    <w:p w14:paraId="4CCB3F2B">
      <w:pPr>
        <w:pStyle w:val="23"/>
      </w:pPr>
      <w:bookmarkStart w:id="47" w:name="_Toc4996"/>
      <w:r>
        <w:t>净资产变动表</w:t>
      </w:r>
      <w:bookmarkEnd w:id="47"/>
    </w:p>
    <w:p w14:paraId="5BB85424">
      <w:pPr>
        <w:pStyle w:val="18"/>
        <w:rPr>
          <w:rFonts w:hint="eastAsia"/>
        </w:rPr>
      </w:pPr>
      <w:r>
        <w:rPr>
          <w:rFonts w:hint="eastAsia"/>
        </w:rPr>
        <w:t>会计主体：南方得利一年定期开放债券型发起式证券投资基金</w:t>
      </w:r>
    </w:p>
    <w:p w14:paraId="47F17625">
      <w:pPr>
        <w:pStyle w:val="18"/>
        <w:rPr>
          <w:rFonts w:hint="eastAsia"/>
        </w:rPr>
      </w:pPr>
      <w:r>
        <w:rPr>
          <w:rFonts w:hint="eastAsia"/>
        </w:rPr>
        <w:t>本报告期：2025年1月1日至2025年12月31日</w:t>
      </w:r>
    </w:p>
    <w:p w14:paraId="616C3978">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0D8F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C7DDB59">
            <w:r>
              <w:rPr>
                <w:rFonts w:hint="eastAsia"/>
              </w:rPr>
              <w:t>项目</w:t>
            </w:r>
          </w:p>
        </w:tc>
        <w:tc>
          <w:tcPr>
            <w:tcW w:w="1661" w:type="dxa"/>
            <w:gridSpan w:val="4"/>
            <w:vAlign w:val="center"/>
          </w:tcPr>
          <w:p w14:paraId="730F3379">
            <w:r>
              <w:rPr>
                <w:rFonts w:hint="eastAsia"/>
              </w:rPr>
              <w:t>本期2025年1月1日至2025年12月31日</w:t>
            </w:r>
          </w:p>
        </w:tc>
      </w:tr>
      <w:tr w14:paraId="53E09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BB090AF"/>
        </w:tc>
        <w:tc>
          <w:tcPr>
            <w:tcW w:w="1661" w:type="dxa"/>
            <w:vAlign w:val="center"/>
          </w:tcPr>
          <w:p w14:paraId="2346872E">
            <w:r>
              <w:rPr>
                <w:rFonts w:hint="eastAsia"/>
              </w:rPr>
              <w:t>实收基金</w:t>
            </w:r>
          </w:p>
        </w:tc>
        <w:tc>
          <w:tcPr>
            <w:tcW w:w="1661" w:type="dxa"/>
            <w:vAlign w:val="center"/>
          </w:tcPr>
          <w:p w14:paraId="74BF000C">
            <w:r>
              <w:rPr>
                <w:rFonts w:hint="eastAsia"/>
              </w:rPr>
              <w:t>其他综合收益</w:t>
            </w:r>
          </w:p>
        </w:tc>
        <w:tc>
          <w:tcPr>
            <w:tcW w:w="1661" w:type="dxa"/>
            <w:vAlign w:val="center"/>
          </w:tcPr>
          <w:p w14:paraId="6BEB7A60">
            <w:r>
              <w:rPr>
                <w:rFonts w:hint="eastAsia"/>
              </w:rPr>
              <w:t>未分配利润</w:t>
            </w:r>
          </w:p>
        </w:tc>
        <w:tc>
          <w:tcPr>
            <w:tcW w:w="1661" w:type="dxa"/>
            <w:vAlign w:val="center"/>
          </w:tcPr>
          <w:p w14:paraId="4CDEDC9D">
            <w:r>
              <w:rPr>
                <w:rFonts w:hint="eastAsia"/>
              </w:rPr>
              <w:t>净资产合计</w:t>
            </w:r>
          </w:p>
        </w:tc>
      </w:tr>
      <w:tr w14:paraId="5761F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038B409">
            <w:r>
              <w:rPr>
                <w:rFonts w:hint="eastAsia"/>
              </w:rPr>
              <w:t>一、上期期末净资产</w:t>
            </w:r>
          </w:p>
        </w:tc>
        <w:tc>
          <w:tcPr>
            <w:tcW w:w="1661" w:type="dxa"/>
            <w:vAlign w:val="center"/>
          </w:tcPr>
          <w:p w14:paraId="38A51D20">
            <w:pPr>
              <w:jc w:val="right"/>
            </w:pPr>
            <w:r>
              <w:rPr>
                <w:rFonts w:hint="eastAsia"/>
              </w:rPr>
              <w:t>956,432,604.28</w:t>
            </w:r>
          </w:p>
        </w:tc>
        <w:tc>
          <w:tcPr>
            <w:tcW w:w="1661" w:type="dxa"/>
            <w:vAlign w:val="center"/>
          </w:tcPr>
          <w:p w14:paraId="7FDF10C1">
            <w:pPr>
              <w:jc w:val="right"/>
            </w:pPr>
            <w:r>
              <w:rPr>
                <w:rFonts w:hint="eastAsia"/>
              </w:rPr>
              <w:t>-</w:t>
            </w:r>
          </w:p>
        </w:tc>
        <w:tc>
          <w:tcPr>
            <w:tcW w:w="1661" w:type="dxa"/>
            <w:vAlign w:val="center"/>
          </w:tcPr>
          <w:p w14:paraId="2EB1D918">
            <w:pPr>
              <w:jc w:val="right"/>
            </w:pPr>
            <w:r>
              <w:rPr>
                <w:rFonts w:hint="eastAsia"/>
              </w:rPr>
              <w:t>135,618,539.97</w:t>
            </w:r>
          </w:p>
        </w:tc>
        <w:tc>
          <w:tcPr>
            <w:tcW w:w="1661" w:type="dxa"/>
            <w:vAlign w:val="center"/>
          </w:tcPr>
          <w:p w14:paraId="6B817243">
            <w:pPr>
              <w:jc w:val="right"/>
            </w:pPr>
            <w:r>
              <w:rPr>
                <w:rFonts w:hint="eastAsia"/>
              </w:rPr>
              <w:t>1,092,051,144.25</w:t>
            </w:r>
          </w:p>
        </w:tc>
      </w:tr>
      <w:tr w14:paraId="45CE2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0921A93">
            <w:r>
              <w:rPr>
                <w:rFonts w:hint="eastAsia"/>
              </w:rPr>
              <w:t>加：会计政策变更</w:t>
            </w:r>
          </w:p>
        </w:tc>
        <w:tc>
          <w:tcPr>
            <w:tcW w:w="1661" w:type="dxa"/>
            <w:vAlign w:val="center"/>
          </w:tcPr>
          <w:p w14:paraId="779440AA">
            <w:pPr>
              <w:jc w:val="right"/>
            </w:pPr>
            <w:r>
              <w:rPr>
                <w:rFonts w:hint="eastAsia"/>
              </w:rPr>
              <w:t>-</w:t>
            </w:r>
          </w:p>
        </w:tc>
        <w:tc>
          <w:tcPr>
            <w:tcW w:w="1661" w:type="dxa"/>
            <w:vAlign w:val="center"/>
          </w:tcPr>
          <w:p w14:paraId="2F6E3454">
            <w:pPr>
              <w:jc w:val="right"/>
            </w:pPr>
            <w:r>
              <w:rPr>
                <w:rFonts w:hint="eastAsia"/>
              </w:rPr>
              <w:t>-</w:t>
            </w:r>
          </w:p>
        </w:tc>
        <w:tc>
          <w:tcPr>
            <w:tcW w:w="1661" w:type="dxa"/>
            <w:vAlign w:val="center"/>
          </w:tcPr>
          <w:p w14:paraId="6B159C73">
            <w:pPr>
              <w:jc w:val="right"/>
            </w:pPr>
            <w:r>
              <w:rPr>
                <w:rFonts w:hint="eastAsia"/>
              </w:rPr>
              <w:t>-</w:t>
            </w:r>
          </w:p>
        </w:tc>
        <w:tc>
          <w:tcPr>
            <w:tcW w:w="1661" w:type="dxa"/>
            <w:vAlign w:val="center"/>
          </w:tcPr>
          <w:p w14:paraId="3824244F">
            <w:pPr>
              <w:jc w:val="right"/>
            </w:pPr>
            <w:r>
              <w:rPr>
                <w:rFonts w:hint="eastAsia"/>
              </w:rPr>
              <w:t>-</w:t>
            </w:r>
          </w:p>
        </w:tc>
      </w:tr>
      <w:tr w14:paraId="46357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B2B109D">
            <w:r>
              <w:rPr>
                <w:rFonts w:hint="eastAsia"/>
              </w:rPr>
              <w:t xml:space="preserve">    前期差错更正</w:t>
            </w:r>
          </w:p>
        </w:tc>
        <w:tc>
          <w:tcPr>
            <w:tcW w:w="1661" w:type="dxa"/>
            <w:vAlign w:val="center"/>
          </w:tcPr>
          <w:p w14:paraId="6DACB2F8">
            <w:pPr>
              <w:jc w:val="right"/>
            </w:pPr>
            <w:r>
              <w:rPr>
                <w:rFonts w:hint="eastAsia"/>
              </w:rPr>
              <w:t>-</w:t>
            </w:r>
          </w:p>
        </w:tc>
        <w:tc>
          <w:tcPr>
            <w:tcW w:w="1661" w:type="dxa"/>
            <w:vAlign w:val="center"/>
          </w:tcPr>
          <w:p w14:paraId="7BE83F50">
            <w:pPr>
              <w:jc w:val="right"/>
            </w:pPr>
            <w:r>
              <w:rPr>
                <w:rFonts w:hint="eastAsia"/>
              </w:rPr>
              <w:t>-</w:t>
            </w:r>
          </w:p>
        </w:tc>
        <w:tc>
          <w:tcPr>
            <w:tcW w:w="1661" w:type="dxa"/>
            <w:vAlign w:val="center"/>
          </w:tcPr>
          <w:p w14:paraId="339FF039">
            <w:pPr>
              <w:jc w:val="right"/>
            </w:pPr>
            <w:r>
              <w:rPr>
                <w:rFonts w:hint="eastAsia"/>
              </w:rPr>
              <w:t>-</w:t>
            </w:r>
          </w:p>
        </w:tc>
        <w:tc>
          <w:tcPr>
            <w:tcW w:w="1661" w:type="dxa"/>
            <w:vAlign w:val="center"/>
          </w:tcPr>
          <w:p w14:paraId="2492BE73">
            <w:pPr>
              <w:jc w:val="right"/>
            </w:pPr>
            <w:r>
              <w:rPr>
                <w:rFonts w:hint="eastAsia"/>
              </w:rPr>
              <w:t>-</w:t>
            </w:r>
          </w:p>
        </w:tc>
      </w:tr>
      <w:tr w14:paraId="2383A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C34046D">
            <w:r>
              <w:rPr>
                <w:rFonts w:hint="eastAsia"/>
              </w:rPr>
              <w:t xml:space="preserve">    其他</w:t>
            </w:r>
          </w:p>
        </w:tc>
        <w:tc>
          <w:tcPr>
            <w:tcW w:w="1661" w:type="dxa"/>
            <w:vAlign w:val="center"/>
          </w:tcPr>
          <w:p w14:paraId="539D3361">
            <w:pPr>
              <w:jc w:val="right"/>
            </w:pPr>
            <w:r>
              <w:rPr>
                <w:rFonts w:hint="eastAsia"/>
              </w:rPr>
              <w:t>-</w:t>
            </w:r>
          </w:p>
        </w:tc>
        <w:tc>
          <w:tcPr>
            <w:tcW w:w="1661" w:type="dxa"/>
            <w:vAlign w:val="center"/>
          </w:tcPr>
          <w:p w14:paraId="4DD587B8">
            <w:pPr>
              <w:jc w:val="right"/>
            </w:pPr>
            <w:r>
              <w:rPr>
                <w:rFonts w:hint="eastAsia"/>
              </w:rPr>
              <w:t>-</w:t>
            </w:r>
          </w:p>
        </w:tc>
        <w:tc>
          <w:tcPr>
            <w:tcW w:w="1661" w:type="dxa"/>
            <w:vAlign w:val="center"/>
          </w:tcPr>
          <w:p w14:paraId="6DE34FC8">
            <w:pPr>
              <w:jc w:val="right"/>
            </w:pPr>
            <w:r>
              <w:rPr>
                <w:rFonts w:hint="eastAsia"/>
              </w:rPr>
              <w:t>-</w:t>
            </w:r>
          </w:p>
        </w:tc>
        <w:tc>
          <w:tcPr>
            <w:tcW w:w="1661" w:type="dxa"/>
            <w:vAlign w:val="center"/>
          </w:tcPr>
          <w:p w14:paraId="462645C1">
            <w:pPr>
              <w:jc w:val="right"/>
            </w:pPr>
            <w:r>
              <w:rPr>
                <w:rFonts w:hint="eastAsia"/>
              </w:rPr>
              <w:t>-</w:t>
            </w:r>
          </w:p>
        </w:tc>
      </w:tr>
      <w:tr w14:paraId="6F9B0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92061D2">
            <w:r>
              <w:rPr>
                <w:rFonts w:hint="eastAsia"/>
              </w:rPr>
              <w:t>二、本期期初净资产</w:t>
            </w:r>
          </w:p>
        </w:tc>
        <w:tc>
          <w:tcPr>
            <w:tcW w:w="1661" w:type="dxa"/>
            <w:vAlign w:val="center"/>
          </w:tcPr>
          <w:p w14:paraId="54F27921">
            <w:pPr>
              <w:jc w:val="right"/>
            </w:pPr>
            <w:r>
              <w:rPr>
                <w:rFonts w:hint="eastAsia"/>
              </w:rPr>
              <w:t>956,432,604.28</w:t>
            </w:r>
          </w:p>
        </w:tc>
        <w:tc>
          <w:tcPr>
            <w:tcW w:w="1661" w:type="dxa"/>
            <w:vAlign w:val="center"/>
          </w:tcPr>
          <w:p w14:paraId="423561F1">
            <w:pPr>
              <w:jc w:val="right"/>
            </w:pPr>
            <w:r>
              <w:rPr>
                <w:rFonts w:hint="eastAsia"/>
              </w:rPr>
              <w:t>-</w:t>
            </w:r>
          </w:p>
        </w:tc>
        <w:tc>
          <w:tcPr>
            <w:tcW w:w="1661" w:type="dxa"/>
            <w:vAlign w:val="center"/>
          </w:tcPr>
          <w:p w14:paraId="361D931E">
            <w:pPr>
              <w:jc w:val="right"/>
            </w:pPr>
            <w:r>
              <w:rPr>
                <w:rFonts w:hint="eastAsia"/>
              </w:rPr>
              <w:t>135,618,539.97</w:t>
            </w:r>
          </w:p>
        </w:tc>
        <w:tc>
          <w:tcPr>
            <w:tcW w:w="1661" w:type="dxa"/>
            <w:vAlign w:val="center"/>
          </w:tcPr>
          <w:p w14:paraId="57CCDB5D">
            <w:pPr>
              <w:jc w:val="right"/>
            </w:pPr>
            <w:r>
              <w:rPr>
                <w:rFonts w:hint="eastAsia"/>
              </w:rPr>
              <w:t>1,092,051,144.25</w:t>
            </w:r>
          </w:p>
        </w:tc>
      </w:tr>
      <w:tr w14:paraId="6CCB8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AF098A8">
            <w:r>
              <w:rPr>
                <w:rFonts w:hint="eastAsia"/>
              </w:rPr>
              <w:t>三、本期增减变动额（减少以“-”号填列）</w:t>
            </w:r>
          </w:p>
        </w:tc>
        <w:tc>
          <w:tcPr>
            <w:tcW w:w="1661" w:type="dxa"/>
            <w:vAlign w:val="center"/>
          </w:tcPr>
          <w:p w14:paraId="53D194FB">
            <w:pPr>
              <w:jc w:val="right"/>
            </w:pPr>
            <w:r>
              <w:rPr>
                <w:rFonts w:hint="eastAsia"/>
              </w:rPr>
              <w:t>175,374.61</w:t>
            </w:r>
          </w:p>
        </w:tc>
        <w:tc>
          <w:tcPr>
            <w:tcW w:w="1661" w:type="dxa"/>
            <w:vAlign w:val="center"/>
          </w:tcPr>
          <w:p w14:paraId="7C468CBE">
            <w:pPr>
              <w:jc w:val="right"/>
            </w:pPr>
            <w:r>
              <w:rPr>
                <w:rFonts w:hint="eastAsia"/>
              </w:rPr>
              <w:t>-</w:t>
            </w:r>
          </w:p>
        </w:tc>
        <w:tc>
          <w:tcPr>
            <w:tcW w:w="1661" w:type="dxa"/>
            <w:vAlign w:val="center"/>
          </w:tcPr>
          <w:p w14:paraId="04F4296F">
            <w:pPr>
              <w:jc w:val="right"/>
            </w:pPr>
            <w:r>
              <w:rPr>
                <w:rFonts w:hint="eastAsia"/>
              </w:rPr>
              <w:t>12,059,810.66</w:t>
            </w:r>
          </w:p>
        </w:tc>
        <w:tc>
          <w:tcPr>
            <w:tcW w:w="1661" w:type="dxa"/>
            <w:vAlign w:val="center"/>
          </w:tcPr>
          <w:p w14:paraId="6757E7DB">
            <w:pPr>
              <w:jc w:val="right"/>
            </w:pPr>
            <w:r>
              <w:rPr>
                <w:rFonts w:hint="eastAsia"/>
              </w:rPr>
              <w:t>12,235,185.27</w:t>
            </w:r>
          </w:p>
        </w:tc>
      </w:tr>
      <w:tr w14:paraId="4693C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2AF05A7">
            <w:r>
              <w:rPr>
                <w:rFonts w:hint="eastAsia"/>
              </w:rPr>
              <w:t>（一）、综合收益总额</w:t>
            </w:r>
          </w:p>
        </w:tc>
        <w:tc>
          <w:tcPr>
            <w:tcW w:w="1661" w:type="dxa"/>
            <w:vAlign w:val="center"/>
          </w:tcPr>
          <w:p w14:paraId="0596C19F">
            <w:pPr>
              <w:jc w:val="right"/>
            </w:pPr>
            <w:r>
              <w:rPr>
                <w:rFonts w:hint="eastAsia"/>
              </w:rPr>
              <w:t>-</w:t>
            </w:r>
          </w:p>
        </w:tc>
        <w:tc>
          <w:tcPr>
            <w:tcW w:w="1661" w:type="dxa"/>
            <w:vAlign w:val="center"/>
          </w:tcPr>
          <w:p w14:paraId="7CD2ACE1">
            <w:pPr>
              <w:jc w:val="right"/>
            </w:pPr>
            <w:r>
              <w:rPr>
                <w:rFonts w:hint="eastAsia"/>
              </w:rPr>
              <w:t>-</w:t>
            </w:r>
          </w:p>
        </w:tc>
        <w:tc>
          <w:tcPr>
            <w:tcW w:w="1661" w:type="dxa"/>
            <w:vAlign w:val="center"/>
          </w:tcPr>
          <w:p w14:paraId="7E655C47">
            <w:pPr>
              <w:jc w:val="right"/>
            </w:pPr>
            <w:r>
              <w:rPr>
                <w:rFonts w:hint="eastAsia"/>
              </w:rPr>
              <w:t>12,035,205.59</w:t>
            </w:r>
          </w:p>
        </w:tc>
        <w:tc>
          <w:tcPr>
            <w:tcW w:w="1661" w:type="dxa"/>
            <w:vAlign w:val="center"/>
          </w:tcPr>
          <w:p w14:paraId="613AF321">
            <w:pPr>
              <w:jc w:val="right"/>
            </w:pPr>
            <w:r>
              <w:rPr>
                <w:rFonts w:hint="eastAsia"/>
              </w:rPr>
              <w:t>12,035,205.59</w:t>
            </w:r>
          </w:p>
        </w:tc>
      </w:tr>
      <w:tr w14:paraId="0937C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625DBCC">
            <w:r>
              <w:rPr>
                <w:rFonts w:hint="eastAsia"/>
              </w:rPr>
              <w:t>（二）、本期基金份额交易产生的净资产变动数（净资产减少以“-”号填列）</w:t>
            </w:r>
          </w:p>
        </w:tc>
        <w:tc>
          <w:tcPr>
            <w:tcW w:w="1661" w:type="dxa"/>
            <w:vAlign w:val="center"/>
          </w:tcPr>
          <w:p w14:paraId="69D1CCBC">
            <w:pPr>
              <w:jc w:val="right"/>
            </w:pPr>
            <w:r>
              <w:rPr>
                <w:rFonts w:hint="eastAsia"/>
              </w:rPr>
              <w:t>175,374.61</w:t>
            </w:r>
          </w:p>
        </w:tc>
        <w:tc>
          <w:tcPr>
            <w:tcW w:w="1661" w:type="dxa"/>
            <w:vAlign w:val="center"/>
          </w:tcPr>
          <w:p w14:paraId="053FF21F">
            <w:pPr>
              <w:jc w:val="right"/>
            </w:pPr>
            <w:r>
              <w:rPr>
                <w:rFonts w:hint="eastAsia"/>
              </w:rPr>
              <w:t>-</w:t>
            </w:r>
          </w:p>
        </w:tc>
        <w:tc>
          <w:tcPr>
            <w:tcW w:w="1661" w:type="dxa"/>
            <w:vAlign w:val="center"/>
          </w:tcPr>
          <w:p w14:paraId="3996C73B">
            <w:pPr>
              <w:jc w:val="right"/>
            </w:pPr>
            <w:r>
              <w:rPr>
                <w:rFonts w:hint="eastAsia"/>
              </w:rPr>
              <w:t>24,605.07</w:t>
            </w:r>
          </w:p>
        </w:tc>
        <w:tc>
          <w:tcPr>
            <w:tcW w:w="1661" w:type="dxa"/>
            <w:vAlign w:val="center"/>
          </w:tcPr>
          <w:p w14:paraId="382159FD">
            <w:pPr>
              <w:jc w:val="right"/>
            </w:pPr>
            <w:r>
              <w:rPr>
                <w:rFonts w:hint="eastAsia"/>
              </w:rPr>
              <w:t>199,979.68</w:t>
            </w:r>
          </w:p>
        </w:tc>
      </w:tr>
      <w:tr w14:paraId="05B13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AB7E44E">
            <w:r>
              <w:rPr>
                <w:rFonts w:hint="eastAsia"/>
              </w:rPr>
              <w:t>其中：1.基金申购款</w:t>
            </w:r>
          </w:p>
        </w:tc>
        <w:tc>
          <w:tcPr>
            <w:tcW w:w="1661" w:type="dxa"/>
            <w:vAlign w:val="center"/>
          </w:tcPr>
          <w:p w14:paraId="3DED81A6">
            <w:pPr>
              <w:jc w:val="right"/>
            </w:pPr>
            <w:r>
              <w:rPr>
                <w:rFonts w:hint="eastAsia"/>
              </w:rPr>
              <w:t>175,378.41</w:t>
            </w:r>
          </w:p>
        </w:tc>
        <w:tc>
          <w:tcPr>
            <w:tcW w:w="1661" w:type="dxa"/>
            <w:vAlign w:val="center"/>
          </w:tcPr>
          <w:p w14:paraId="5F7982C0">
            <w:pPr>
              <w:jc w:val="right"/>
            </w:pPr>
            <w:r>
              <w:rPr>
                <w:rFonts w:hint="eastAsia"/>
              </w:rPr>
              <w:t>-</w:t>
            </w:r>
          </w:p>
        </w:tc>
        <w:tc>
          <w:tcPr>
            <w:tcW w:w="1661" w:type="dxa"/>
            <w:vAlign w:val="center"/>
          </w:tcPr>
          <w:p w14:paraId="61F26EDF">
            <w:pPr>
              <w:jc w:val="right"/>
            </w:pPr>
            <w:r>
              <w:rPr>
                <w:rFonts w:hint="eastAsia"/>
              </w:rPr>
              <w:t>24,605.59</w:t>
            </w:r>
          </w:p>
        </w:tc>
        <w:tc>
          <w:tcPr>
            <w:tcW w:w="1661" w:type="dxa"/>
            <w:vAlign w:val="center"/>
          </w:tcPr>
          <w:p w14:paraId="76DC23D4">
            <w:pPr>
              <w:jc w:val="right"/>
            </w:pPr>
            <w:r>
              <w:rPr>
                <w:rFonts w:hint="eastAsia"/>
              </w:rPr>
              <w:t>199,984.00</w:t>
            </w:r>
          </w:p>
        </w:tc>
      </w:tr>
      <w:tr w14:paraId="38CCD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4C9C59E">
            <w:r>
              <w:rPr>
                <w:rFonts w:hint="eastAsia"/>
              </w:rPr>
              <w:t xml:space="preserve">      2.基金赎回款</w:t>
            </w:r>
          </w:p>
        </w:tc>
        <w:tc>
          <w:tcPr>
            <w:tcW w:w="1661" w:type="dxa"/>
            <w:vAlign w:val="center"/>
          </w:tcPr>
          <w:p w14:paraId="567F9E69">
            <w:pPr>
              <w:jc w:val="right"/>
            </w:pPr>
            <w:r>
              <w:rPr>
                <w:rFonts w:hint="eastAsia"/>
              </w:rPr>
              <w:t>-3.80</w:t>
            </w:r>
          </w:p>
        </w:tc>
        <w:tc>
          <w:tcPr>
            <w:tcW w:w="1661" w:type="dxa"/>
            <w:vAlign w:val="center"/>
          </w:tcPr>
          <w:p w14:paraId="15435BCB">
            <w:pPr>
              <w:jc w:val="right"/>
            </w:pPr>
            <w:r>
              <w:rPr>
                <w:rFonts w:hint="eastAsia"/>
              </w:rPr>
              <w:t>-</w:t>
            </w:r>
          </w:p>
        </w:tc>
        <w:tc>
          <w:tcPr>
            <w:tcW w:w="1661" w:type="dxa"/>
            <w:vAlign w:val="center"/>
          </w:tcPr>
          <w:p w14:paraId="71BF246A">
            <w:pPr>
              <w:jc w:val="right"/>
            </w:pPr>
            <w:r>
              <w:rPr>
                <w:rFonts w:hint="eastAsia"/>
              </w:rPr>
              <w:t>-0.52</w:t>
            </w:r>
          </w:p>
        </w:tc>
        <w:tc>
          <w:tcPr>
            <w:tcW w:w="1661" w:type="dxa"/>
            <w:vAlign w:val="center"/>
          </w:tcPr>
          <w:p w14:paraId="2887198E">
            <w:pPr>
              <w:jc w:val="right"/>
            </w:pPr>
            <w:r>
              <w:rPr>
                <w:rFonts w:hint="eastAsia"/>
              </w:rPr>
              <w:t>-4.32</w:t>
            </w:r>
          </w:p>
        </w:tc>
      </w:tr>
      <w:tr w14:paraId="7F2E1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2F1C2CC">
            <w:r>
              <w:rPr>
                <w:rFonts w:hint="eastAsia"/>
              </w:rPr>
              <w:t>（三）、本期向基金份额持有人分配利润产生的净资产变动（净资产减少以“-”号填列）</w:t>
            </w:r>
          </w:p>
        </w:tc>
        <w:tc>
          <w:tcPr>
            <w:tcW w:w="1661" w:type="dxa"/>
            <w:vAlign w:val="center"/>
          </w:tcPr>
          <w:p w14:paraId="627DB44D">
            <w:pPr>
              <w:jc w:val="right"/>
            </w:pPr>
            <w:r>
              <w:rPr>
                <w:rFonts w:hint="eastAsia"/>
              </w:rPr>
              <w:t>-</w:t>
            </w:r>
          </w:p>
        </w:tc>
        <w:tc>
          <w:tcPr>
            <w:tcW w:w="1661" w:type="dxa"/>
            <w:vAlign w:val="center"/>
          </w:tcPr>
          <w:p w14:paraId="7C039B1B">
            <w:pPr>
              <w:jc w:val="right"/>
            </w:pPr>
            <w:r>
              <w:rPr>
                <w:rFonts w:hint="eastAsia"/>
              </w:rPr>
              <w:t>-</w:t>
            </w:r>
          </w:p>
        </w:tc>
        <w:tc>
          <w:tcPr>
            <w:tcW w:w="1661" w:type="dxa"/>
            <w:vAlign w:val="center"/>
          </w:tcPr>
          <w:p w14:paraId="1E9852F1">
            <w:pPr>
              <w:jc w:val="right"/>
            </w:pPr>
            <w:r>
              <w:rPr>
                <w:rFonts w:hint="eastAsia"/>
              </w:rPr>
              <w:t>-</w:t>
            </w:r>
          </w:p>
        </w:tc>
        <w:tc>
          <w:tcPr>
            <w:tcW w:w="1661" w:type="dxa"/>
            <w:vAlign w:val="center"/>
          </w:tcPr>
          <w:p w14:paraId="7A82C023">
            <w:pPr>
              <w:jc w:val="right"/>
            </w:pPr>
            <w:r>
              <w:rPr>
                <w:rFonts w:hint="eastAsia"/>
              </w:rPr>
              <w:t>-</w:t>
            </w:r>
          </w:p>
        </w:tc>
      </w:tr>
      <w:tr w14:paraId="123DE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9D24745">
            <w:r>
              <w:rPr>
                <w:rFonts w:hint="eastAsia"/>
              </w:rPr>
              <w:t>（四）、其他综合收益结转留存收益</w:t>
            </w:r>
          </w:p>
        </w:tc>
        <w:tc>
          <w:tcPr>
            <w:tcW w:w="1661" w:type="dxa"/>
            <w:vAlign w:val="center"/>
          </w:tcPr>
          <w:p w14:paraId="5E4DD98B">
            <w:pPr>
              <w:jc w:val="right"/>
            </w:pPr>
            <w:r>
              <w:rPr>
                <w:rFonts w:hint="eastAsia"/>
              </w:rPr>
              <w:t>-</w:t>
            </w:r>
          </w:p>
        </w:tc>
        <w:tc>
          <w:tcPr>
            <w:tcW w:w="1661" w:type="dxa"/>
            <w:vAlign w:val="center"/>
          </w:tcPr>
          <w:p w14:paraId="203D3060">
            <w:pPr>
              <w:jc w:val="right"/>
            </w:pPr>
            <w:r>
              <w:rPr>
                <w:rFonts w:hint="eastAsia"/>
              </w:rPr>
              <w:t>-</w:t>
            </w:r>
          </w:p>
        </w:tc>
        <w:tc>
          <w:tcPr>
            <w:tcW w:w="1661" w:type="dxa"/>
            <w:vAlign w:val="center"/>
          </w:tcPr>
          <w:p w14:paraId="6C7B18E9">
            <w:pPr>
              <w:jc w:val="right"/>
            </w:pPr>
            <w:r>
              <w:rPr>
                <w:rFonts w:hint="eastAsia"/>
              </w:rPr>
              <w:t>-</w:t>
            </w:r>
          </w:p>
        </w:tc>
        <w:tc>
          <w:tcPr>
            <w:tcW w:w="1661" w:type="dxa"/>
            <w:vAlign w:val="center"/>
          </w:tcPr>
          <w:p w14:paraId="4A996714">
            <w:pPr>
              <w:jc w:val="right"/>
            </w:pPr>
            <w:r>
              <w:rPr>
                <w:rFonts w:hint="eastAsia"/>
              </w:rPr>
              <w:t>-</w:t>
            </w:r>
          </w:p>
        </w:tc>
      </w:tr>
      <w:tr w14:paraId="682E3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AA5AD34">
            <w:r>
              <w:rPr>
                <w:rFonts w:hint="eastAsia"/>
              </w:rPr>
              <w:t>四、本期期末净资产</w:t>
            </w:r>
          </w:p>
        </w:tc>
        <w:tc>
          <w:tcPr>
            <w:tcW w:w="1661" w:type="dxa"/>
            <w:vAlign w:val="center"/>
          </w:tcPr>
          <w:p w14:paraId="0490F35B">
            <w:pPr>
              <w:jc w:val="right"/>
            </w:pPr>
            <w:r>
              <w:rPr>
                <w:rFonts w:hint="eastAsia"/>
              </w:rPr>
              <w:t>956,607,978.89</w:t>
            </w:r>
          </w:p>
        </w:tc>
        <w:tc>
          <w:tcPr>
            <w:tcW w:w="1661" w:type="dxa"/>
            <w:vAlign w:val="center"/>
          </w:tcPr>
          <w:p w14:paraId="2607BEB9">
            <w:pPr>
              <w:jc w:val="right"/>
            </w:pPr>
            <w:r>
              <w:rPr>
                <w:rFonts w:hint="eastAsia"/>
              </w:rPr>
              <w:t>-</w:t>
            </w:r>
          </w:p>
        </w:tc>
        <w:tc>
          <w:tcPr>
            <w:tcW w:w="1661" w:type="dxa"/>
            <w:vAlign w:val="center"/>
          </w:tcPr>
          <w:p w14:paraId="543DC575">
            <w:pPr>
              <w:jc w:val="right"/>
            </w:pPr>
            <w:r>
              <w:rPr>
                <w:rFonts w:hint="eastAsia"/>
              </w:rPr>
              <w:t>147,678,350.63</w:t>
            </w:r>
          </w:p>
        </w:tc>
        <w:tc>
          <w:tcPr>
            <w:tcW w:w="1661" w:type="dxa"/>
            <w:vAlign w:val="center"/>
          </w:tcPr>
          <w:p w14:paraId="77CAB91E">
            <w:pPr>
              <w:jc w:val="right"/>
            </w:pPr>
            <w:r>
              <w:rPr>
                <w:rFonts w:hint="eastAsia"/>
              </w:rPr>
              <w:t>1,104,286,329.52</w:t>
            </w:r>
          </w:p>
        </w:tc>
      </w:tr>
      <w:tr w14:paraId="041D5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D385185">
            <w:r>
              <w:rPr>
                <w:rFonts w:hint="eastAsia"/>
              </w:rPr>
              <w:t>项目</w:t>
            </w:r>
          </w:p>
        </w:tc>
        <w:tc>
          <w:tcPr>
            <w:tcW w:w="1661" w:type="dxa"/>
            <w:gridSpan w:val="4"/>
            <w:vAlign w:val="center"/>
          </w:tcPr>
          <w:p w14:paraId="1B7610ED">
            <w:r>
              <w:rPr>
                <w:rFonts w:hint="eastAsia"/>
              </w:rPr>
              <w:t>上年度可比期间2024年1月1日至2024年12月31日</w:t>
            </w:r>
          </w:p>
        </w:tc>
      </w:tr>
      <w:tr w14:paraId="758DB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87F6E4A"/>
        </w:tc>
        <w:tc>
          <w:tcPr>
            <w:tcW w:w="1661" w:type="dxa"/>
            <w:vAlign w:val="center"/>
          </w:tcPr>
          <w:p w14:paraId="2B6CC52A">
            <w:r>
              <w:rPr>
                <w:rFonts w:hint="eastAsia"/>
              </w:rPr>
              <w:t>实收基金</w:t>
            </w:r>
          </w:p>
        </w:tc>
        <w:tc>
          <w:tcPr>
            <w:tcW w:w="1661" w:type="dxa"/>
            <w:vAlign w:val="center"/>
          </w:tcPr>
          <w:p w14:paraId="57665B91">
            <w:r>
              <w:rPr>
                <w:rFonts w:hint="eastAsia"/>
              </w:rPr>
              <w:t>其他综合收益</w:t>
            </w:r>
          </w:p>
        </w:tc>
        <w:tc>
          <w:tcPr>
            <w:tcW w:w="1661" w:type="dxa"/>
            <w:vAlign w:val="center"/>
          </w:tcPr>
          <w:p w14:paraId="7F725EBF">
            <w:r>
              <w:rPr>
                <w:rFonts w:hint="eastAsia"/>
              </w:rPr>
              <w:t>未分配利润</w:t>
            </w:r>
          </w:p>
        </w:tc>
        <w:tc>
          <w:tcPr>
            <w:tcW w:w="1661" w:type="dxa"/>
            <w:vAlign w:val="center"/>
          </w:tcPr>
          <w:p w14:paraId="19837B9D">
            <w:r>
              <w:rPr>
                <w:rFonts w:hint="eastAsia"/>
              </w:rPr>
              <w:t>净资产合计</w:t>
            </w:r>
          </w:p>
        </w:tc>
      </w:tr>
      <w:tr w14:paraId="25A7A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8A37B5A">
            <w:r>
              <w:rPr>
                <w:rFonts w:hint="eastAsia"/>
              </w:rPr>
              <w:t>一、上期期末净资产</w:t>
            </w:r>
          </w:p>
        </w:tc>
        <w:tc>
          <w:tcPr>
            <w:tcW w:w="1661" w:type="dxa"/>
            <w:vAlign w:val="center"/>
          </w:tcPr>
          <w:p w14:paraId="7AAE7453">
            <w:pPr>
              <w:jc w:val="right"/>
            </w:pPr>
            <w:r>
              <w:rPr>
                <w:rFonts w:hint="eastAsia"/>
              </w:rPr>
              <w:t>956,432,610.93</w:t>
            </w:r>
          </w:p>
        </w:tc>
        <w:tc>
          <w:tcPr>
            <w:tcW w:w="1661" w:type="dxa"/>
            <w:vAlign w:val="center"/>
          </w:tcPr>
          <w:p w14:paraId="61B31578">
            <w:pPr>
              <w:jc w:val="right"/>
            </w:pPr>
            <w:r>
              <w:rPr>
                <w:rFonts w:hint="eastAsia"/>
              </w:rPr>
              <w:t>-</w:t>
            </w:r>
          </w:p>
        </w:tc>
        <w:tc>
          <w:tcPr>
            <w:tcW w:w="1661" w:type="dxa"/>
            <w:vAlign w:val="center"/>
          </w:tcPr>
          <w:p w14:paraId="0DCA48ED">
            <w:pPr>
              <w:jc w:val="right"/>
            </w:pPr>
            <w:r>
              <w:rPr>
                <w:rFonts w:hint="eastAsia"/>
              </w:rPr>
              <w:t>76,359,077.05</w:t>
            </w:r>
          </w:p>
        </w:tc>
        <w:tc>
          <w:tcPr>
            <w:tcW w:w="1661" w:type="dxa"/>
            <w:vAlign w:val="center"/>
          </w:tcPr>
          <w:p w14:paraId="3359AF4B">
            <w:pPr>
              <w:jc w:val="right"/>
            </w:pPr>
            <w:r>
              <w:rPr>
                <w:rFonts w:hint="eastAsia"/>
              </w:rPr>
              <w:t>1,032,791,687.98</w:t>
            </w:r>
          </w:p>
        </w:tc>
      </w:tr>
      <w:tr w14:paraId="3D592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EC019CB">
            <w:r>
              <w:rPr>
                <w:rFonts w:hint="eastAsia"/>
              </w:rPr>
              <w:t>加：会计政策变更</w:t>
            </w:r>
          </w:p>
        </w:tc>
        <w:tc>
          <w:tcPr>
            <w:tcW w:w="1661" w:type="dxa"/>
            <w:vAlign w:val="center"/>
          </w:tcPr>
          <w:p w14:paraId="64A01A6D">
            <w:pPr>
              <w:jc w:val="right"/>
            </w:pPr>
            <w:r>
              <w:rPr>
                <w:rFonts w:hint="eastAsia"/>
              </w:rPr>
              <w:t>-</w:t>
            </w:r>
          </w:p>
        </w:tc>
        <w:tc>
          <w:tcPr>
            <w:tcW w:w="1661" w:type="dxa"/>
            <w:vAlign w:val="center"/>
          </w:tcPr>
          <w:p w14:paraId="70B595CA">
            <w:pPr>
              <w:jc w:val="right"/>
            </w:pPr>
            <w:r>
              <w:rPr>
                <w:rFonts w:hint="eastAsia"/>
              </w:rPr>
              <w:t>-</w:t>
            </w:r>
          </w:p>
        </w:tc>
        <w:tc>
          <w:tcPr>
            <w:tcW w:w="1661" w:type="dxa"/>
            <w:vAlign w:val="center"/>
          </w:tcPr>
          <w:p w14:paraId="53041EEC">
            <w:pPr>
              <w:jc w:val="right"/>
            </w:pPr>
            <w:r>
              <w:rPr>
                <w:rFonts w:hint="eastAsia"/>
              </w:rPr>
              <w:t>-</w:t>
            </w:r>
          </w:p>
        </w:tc>
        <w:tc>
          <w:tcPr>
            <w:tcW w:w="1661" w:type="dxa"/>
            <w:vAlign w:val="center"/>
          </w:tcPr>
          <w:p w14:paraId="0459DC3E">
            <w:pPr>
              <w:jc w:val="right"/>
            </w:pPr>
            <w:r>
              <w:rPr>
                <w:rFonts w:hint="eastAsia"/>
              </w:rPr>
              <w:t>-</w:t>
            </w:r>
          </w:p>
        </w:tc>
      </w:tr>
      <w:tr w14:paraId="36236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D21A330">
            <w:r>
              <w:rPr>
                <w:rFonts w:hint="eastAsia"/>
              </w:rPr>
              <w:t xml:space="preserve">    前期差错更正</w:t>
            </w:r>
          </w:p>
        </w:tc>
        <w:tc>
          <w:tcPr>
            <w:tcW w:w="1661" w:type="dxa"/>
            <w:vAlign w:val="center"/>
          </w:tcPr>
          <w:p w14:paraId="5F18B16D">
            <w:pPr>
              <w:jc w:val="right"/>
            </w:pPr>
            <w:r>
              <w:rPr>
                <w:rFonts w:hint="eastAsia"/>
              </w:rPr>
              <w:t>-</w:t>
            </w:r>
          </w:p>
        </w:tc>
        <w:tc>
          <w:tcPr>
            <w:tcW w:w="1661" w:type="dxa"/>
            <w:vAlign w:val="center"/>
          </w:tcPr>
          <w:p w14:paraId="78FCBDA6">
            <w:pPr>
              <w:jc w:val="right"/>
            </w:pPr>
            <w:r>
              <w:rPr>
                <w:rFonts w:hint="eastAsia"/>
              </w:rPr>
              <w:t>-</w:t>
            </w:r>
          </w:p>
        </w:tc>
        <w:tc>
          <w:tcPr>
            <w:tcW w:w="1661" w:type="dxa"/>
            <w:vAlign w:val="center"/>
          </w:tcPr>
          <w:p w14:paraId="1C4E9A84">
            <w:pPr>
              <w:jc w:val="right"/>
            </w:pPr>
            <w:r>
              <w:rPr>
                <w:rFonts w:hint="eastAsia"/>
              </w:rPr>
              <w:t>-</w:t>
            </w:r>
          </w:p>
        </w:tc>
        <w:tc>
          <w:tcPr>
            <w:tcW w:w="1661" w:type="dxa"/>
            <w:vAlign w:val="center"/>
          </w:tcPr>
          <w:p w14:paraId="5C314020">
            <w:pPr>
              <w:jc w:val="right"/>
            </w:pPr>
            <w:r>
              <w:rPr>
                <w:rFonts w:hint="eastAsia"/>
              </w:rPr>
              <w:t>-</w:t>
            </w:r>
          </w:p>
        </w:tc>
      </w:tr>
      <w:tr w14:paraId="4C4DF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B996DAE">
            <w:r>
              <w:rPr>
                <w:rFonts w:hint="eastAsia"/>
              </w:rPr>
              <w:t xml:space="preserve">    其他</w:t>
            </w:r>
          </w:p>
        </w:tc>
        <w:tc>
          <w:tcPr>
            <w:tcW w:w="1661" w:type="dxa"/>
            <w:vAlign w:val="center"/>
          </w:tcPr>
          <w:p w14:paraId="23BFB64A">
            <w:pPr>
              <w:jc w:val="right"/>
            </w:pPr>
            <w:r>
              <w:rPr>
                <w:rFonts w:hint="eastAsia"/>
              </w:rPr>
              <w:t>-</w:t>
            </w:r>
          </w:p>
        </w:tc>
        <w:tc>
          <w:tcPr>
            <w:tcW w:w="1661" w:type="dxa"/>
            <w:vAlign w:val="center"/>
          </w:tcPr>
          <w:p w14:paraId="537E44AB">
            <w:pPr>
              <w:jc w:val="right"/>
            </w:pPr>
            <w:r>
              <w:rPr>
                <w:rFonts w:hint="eastAsia"/>
              </w:rPr>
              <w:t>-</w:t>
            </w:r>
          </w:p>
        </w:tc>
        <w:tc>
          <w:tcPr>
            <w:tcW w:w="1661" w:type="dxa"/>
            <w:vAlign w:val="center"/>
          </w:tcPr>
          <w:p w14:paraId="3A035A9E">
            <w:pPr>
              <w:jc w:val="right"/>
            </w:pPr>
            <w:r>
              <w:rPr>
                <w:rFonts w:hint="eastAsia"/>
              </w:rPr>
              <w:t>-</w:t>
            </w:r>
          </w:p>
        </w:tc>
        <w:tc>
          <w:tcPr>
            <w:tcW w:w="1661" w:type="dxa"/>
            <w:vAlign w:val="center"/>
          </w:tcPr>
          <w:p w14:paraId="5947D445">
            <w:pPr>
              <w:jc w:val="right"/>
            </w:pPr>
            <w:r>
              <w:rPr>
                <w:rFonts w:hint="eastAsia"/>
              </w:rPr>
              <w:t>-</w:t>
            </w:r>
          </w:p>
        </w:tc>
      </w:tr>
      <w:tr w14:paraId="7873B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7A96426">
            <w:r>
              <w:rPr>
                <w:rFonts w:hint="eastAsia"/>
              </w:rPr>
              <w:t>二、本期期初净资产</w:t>
            </w:r>
          </w:p>
        </w:tc>
        <w:tc>
          <w:tcPr>
            <w:tcW w:w="1661" w:type="dxa"/>
            <w:vAlign w:val="center"/>
          </w:tcPr>
          <w:p w14:paraId="19DB1C91">
            <w:pPr>
              <w:jc w:val="right"/>
            </w:pPr>
            <w:r>
              <w:rPr>
                <w:rFonts w:hint="eastAsia"/>
              </w:rPr>
              <w:t>956,432,610.93</w:t>
            </w:r>
          </w:p>
        </w:tc>
        <w:tc>
          <w:tcPr>
            <w:tcW w:w="1661" w:type="dxa"/>
            <w:vAlign w:val="center"/>
          </w:tcPr>
          <w:p w14:paraId="419C5EFE">
            <w:pPr>
              <w:jc w:val="right"/>
            </w:pPr>
            <w:r>
              <w:rPr>
                <w:rFonts w:hint="eastAsia"/>
              </w:rPr>
              <w:t>-</w:t>
            </w:r>
          </w:p>
        </w:tc>
        <w:tc>
          <w:tcPr>
            <w:tcW w:w="1661" w:type="dxa"/>
            <w:vAlign w:val="center"/>
          </w:tcPr>
          <w:p w14:paraId="722D46DA">
            <w:pPr>
              <w:jc w:val="right"/>
            </w:pPr>
            <w:r>
              <w:rPr>
                <w:rFonts w:hint="eastAsia"/>
              </w:rPr>
              <w:t>76,359,077.05</w:t>
            </w:r>
          </w:p>
        </w:tc>
        <w:tc>
          <w:tcPr>
            <w:tcW w:w="1661" w:type="dxa"/>
            <w:vAlign w:val="center"/>
          </w:tcPr>
          <w:p w14:paraId="057A85DF">
            <w:pPr>
              <w:jc w:val="right"/>
            </w:pPr>
            <w:r>
              <w:rPr>
                <w:rFonts w:hint="eastAsia"/>
              </w:rPr>
              <w:t>1,032,791,687.98</w:t>
            </w:r>
          </w:p>
        </w:tc>
      </w:tr>
      <w:tr w14:paraId="632FF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57639F9">
            <w:r>
              <w:rPr>
                <w:rFonts w:hint="eastAsia"/>
              </w:rPr>
              <w:t>三、本期增减变动额（减少以“-”号填列）</w:t>
            </w:r>
          </w:p>
        </w:tc>
        <w:tc>
          <w:tcPr>
            <w:tcW w:w="1661" w:type="dxa"/>
            <w:vAlign w:val="center"/>
          </w:tcPr>
          <w:p w14:paraId="4431E2D9">
            <w:pPr>
              <w:jc w:val="right"/>
            </w:pPr>
            <w:r>
              <w:rPr>
                <w:rFonts w:hint="eastAsia"/>
              </w:rPr>
              <w:t>-6.65</w:t>
            </w:r>
          </w:p>
        </w:tc>
        <w:tc>
          <w:tcPr>
            <w:tcW w:w="1661" w:type="dxa"/>
            <w:vAlign w:val="center"/>
          </w:tcPr>
          <w:p w14:paraId="78C64689">
            <w:pPr>
              <w:jc w:val="right"/>
            </w:pPr>
            <w:r>
              <w:rPr>
                <w:rFonts w:hint="eastAsia"/>
              </w:rPr>
              <w:t>-</w:t>
            </w:r>
          </w:p>
        </w:tc>
        <w:tc>
          <w:tcPr>
            <w:tcW w:w="1661" w:type="dxa"/>
            <w:vAlign w:val="center"/>
          </w:tcPr>
          <w:p w14:paraId="5DCB2229">
            <w:pPr>
              <w:jc w:val="right"/>
            </w:pPr>
            <w:r>
              <w:rPr>
                <w:rFonts w:hint="eastAsia"/>
              </w:rPr>
              <w:t>59,259,462.92</w:t>
            </w:r>
          </w:p>
        </w:tc>
        <w:tc>
          <w:tcPr>
            <w:tcW w:w="1661" w:type="dxa"/>
            <w:vAlign w:val="center"/>
          </w:tcPr>
          <w:p w14:paraId="0E8C5EA4">
            <w:pPr>
              <w:jc w:val="right"/>
            </w:pPr>
            <w:r>
              <w:rPr>
                <w:rFonts w:hint="eastAsia"/>
              </w:rPr>
              <w:t>59,259,456.27</w:t>
            </w:r>
          </w:p>
        </w:tc>
      </w:tr>
      <w:tr w14:paraId="4FCCC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5DD9A71">
            <w:r>
              <w:rPr>
                <w:rFonts w:hint="eastAsia"/>
              </w:rPr>
              <w:t>（一）、综合收益总额</w:t>
            </w:r>
          </w:p>
        </w:tc>
        <w:tc>
          <w:tcPr>
            <w:tcW w:w="1661" w:type="dxa"/>
            <w:vAlign w:val="center"/>
          </w:tcPr>
          <w:p w14:paraId="4704B8A2">
            <w:pPr>
              <w:jc w:val="right"/>
            </w:pPr>
            <w:r>
              <w:rPr>
                <w:rFonts w:hint="eastAsia"/>
              </w:rPr>
              <w:t>-</w:t>
            </w:r>
          </w:p>
        </w:tc>
        <w:tc>
          <w:tcPr>
            <w:tcW w:w="1661" w:type="dxa"/>
            <w:vAlign w:val="center"/>
          </w:tcPr>
          <w:p w14:paraId="7403E607">
            <w:pPr>
              <w:jc w:val="right"/>
            </w:pPr>
            <w:r>
              <w:rPr>
                <w:rFonts w:hint="eastAsia"/>
              </w:rPr>
              <w:t>-</w:t>
            </w:r>
          </w:p>
        </w:tc>
        <w:tc>
          <w:tcPr>
            <w:tcW w:w="1661" w:type="dxa"/>
            <w:vAlign w:val="center"/>
          </w:tcPr>
          <w:p w14:paraId="2CA1818D">
            <w:pPr>
              <w:jc w:val="right"/>
            </w:pPr>
            <w:r>
              <w:rPr>
                <w:rFonts w:hint="eastAsia"/>
              </w:rPr>
              <w:t>59,259,463.55</w:t>
            </w:r>
          </w:p>
        </w:tc>
        <w:tc>
          <w:tcPr>
            <w:tcW w:w="1661" w:type="dxa"/>
            <w:vAlign w:val="center"/>
          </w:tcPr>
          <w:p w14:paraId="042D914E">
            <w:pPr>
              <w:jc w:val="right"/>
            </w:pPr>
            <w:r>
              <w:rPr>
                <w:rFonts w:hint="eastAsia"/>
              </w:rPr>
              <w:t>59,259,463.55</w:t>
            </w:r>
          </w:p>
        </w:tc>
      </w:tr>
      <w:tr w14:paraId="08108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0A85F90">
            <w:r>
              <w:rPr>
                <w:rFonts w:hint="eastAsia"/>
              </w:rPr>
              <w:t>（二）、本期基金份额交易产生的净资产变动数（净资产减少以“-”号填列）</w:t>
            </w:r>
          </w:p>
        </w:tc>
        <w:tc>
          <w:tcPr>
            <w:tcW w:w="1661" w:type="dxa"/>
            <w:vAlign w:val="center"/>
          </w:tcPr>
          <w:p w14:paraId="32C0D789">
            <w:pPr>
              <w:jc w:val="right"/>
            </w:pPr>
            <w:r>
              <w:rPr>
                <w:rFonts w:hint="eastAsia"/>
              </w:rPr>
              <w:t>-6.65</w:t>
            </w:r>
          </w:p>
        </w:tc>
        <w:tc>
          <w:tcPr>
            <w:tcW w:w="1661" w:type="dxa"/>
            <w:vAlign w:val="center"/>
          </w:tcPr>
          <w:p w14:paraId="37A8FDF1">
            <w:pPr>
              <w:jc w:val="right"/>
            </w:pPr>
            <w:r>
              <w:rPr>
                <w:rFonts w:hint="eastAsia"/>
              </w:rPr>
              <w:t>-</w:t>
            </w:r>
          </w:p>
        </w:tc>
        <w:tc>
          <w:tcPr>
            <w:tcW w:w="1661" w:type="dxa"/>
            <w:vAlign w:val="center"/>
          </w:tcPr>
          <w:p w14:paraId="2ACE4457">
            <w:pPr>
              <w:jc w:val="right"/>
            </w:pPr>
            <w:r>
              <w:rPr>
                <w:rFonts w:hint="eastAsia"/>
              </w:rPr>
              <w:t>-0.63</w:t>
            </w:r>
          </w:p>
        </w:tc>
        <w:tc>
          <w:tcPr>
            <w:tcW w:w="1661" w:type="dxa"/>
            <w:vAlign w:val="center"/>
          </w:tcPr>
          <w:p w14:paraId="76A4BBD9">
            <w:pPr>
              <w:jc w:val="right"/>
            </w:pPr>
            <w:r>
              <w:rPr>
                <w:rFonts w:hint="eastAsia"/>
              </w:rPr>
              <w:t>-7.28</w:t>
            </w:r>
          </w:p>
        </w:tc>
      </w:tr>
      <w:tr w14:paraId="7D8D6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E94D6E0">
            <w:r>
              <w:rPr>
                <w:rFonts w:hint="eastAsia"/>
              </w:rPr>
              <w:t>其中：1.基金申购款</w:t>
            </w:r>
          </w:p>
        </w:tc>
        <w:tc>
          <w:tcPr>
            <w:tcW w:w="1661" w:type="dxa"/>
            <w:vAlign w:val="center"/>
          </w:tcPr>
          <w:p w14:paraId="37300F90">
            <w:pPr>
              <w:jc w:val="right"/>
            </w:pPr>
            <w:r>
              <w:rPr>
                <w:rFonts w:hint="eastAsia"/>
              </w:rPr>
              <w:t>-</w:t>
            </w:r>
          </w:p>
        </w:tc>
        <w:tc>
          <w:tcPr>
            <w:tcW w:w="1661" w:type="dxa"/>
            <w:vAlign w:val="center"/>
          </w:tcPr>
          <w:p w14:paraId="5E3FD9AD">
            <w:pPr>
              <w:jc w:val="right"/>
            </w:pPr>
            <w:r>
              <w:rPr>
                <w:rFonts w:hint="eastAsia"/>
              </w:rPr>
              <w:t>-</w:t>
            </w:r>
          </w:p>
        </w:tc>
        <w:tc>
          <w:tcPr>
            <w:tcW w:w="1661" w:type="dxa"/>
            <w:vAlign w:val="center"/>
          </w:tcPr>
          <w:p w14:paraId="25A799A8">
            <w:pPr>
              <w:jc w:val="right"/>
            </w:pPr>
            <w:r>
              <w:rPr>
                <w:rFonts w:hint="eastAsia"/>
              </w:rPr>
              <w:t>-</w:t>
            </w:r>
          </w:p>
        </w:tc>
        <w:tc>
          <w:tcPr>
            <w:tcW w:w="1661" w:type="dxa"/>
            <w:vAlign w:val="center"/>
          </w:tcPr>
          <w:p w14:paraId="237722F3">
            <w:pPr>
              <w:jc w:val="right"/>
            </w:pPr>
            <w:r>
              <w:rPr>
                <w:rFonts w:hint="eastAsia"/>
              </w:rPr>
              <w:t>-</w:t>
            </w:r>
          </w:p>
        </w:tc>
      </w:tr>
      <w:tr w14:paraId="0FA62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55F7C39">
            <w:r>
              <w:rPr>
                <w:rFonts w:hint="eastAsia"/>
              </w:rPr>
              <w:t xml:space="preserve">      2.基金赎回款</w:t>
            </w:r>
          </w:p>
        </w:tc>
        <w:tc>
          <w:tcPr>
            <w:tcW w:w="1661" w:type="dxa"/>
            <w:vAlign w:val="center"/>
          </w:tcPr>
          <w:p w14:paraId="621C20F3">
            <w:pPr>
              <w:jc w:val="right"/>
            </w:pPr>
            <w:r>
              <w:rPr>
                <w:rFonts w:hint="eastAsia"/>
              </w:rPr>
              <w:t>-6.65</w:t>
            </w:r>
          </w:p>
        </w:tc>
        <w:tc>
          <w:tcPr>
            <w:tcW w:w="1661" w:type="dxa"/>
            <w:vAlign w:val="center"/>
          </w:tcPr>
          <w:p w14:paraId="0ED25241">
            <w:pPr>
              <w:jc w:val="right"/>
            </w:pPr>
            <w:r>
              <w:rPr>
                <w:rFonts w:hint="eastAsia"/>
              </w:rPr>
              <w:t>-</w:t>
            </w:r>
          </w:p>
        </w:tc>
        <w:tc>
          <w:tcPr>
            <w:tcW w:w="1661" w:type="dxa"/>
            <w:vAlign w:val="center"/>
          </w:tcPr>
          <w:p w14:paraId="112C2357">
            <w:pPr>
              <w:jc w:val="right"/>
            </w:pPr>
            <w:r>
              <w:rPr>
                <w:rFonts w:hint="eastAsia"/>
              </w:rPr>
              <w:t>-0.63</w:t>
            </w:r>
          </w:p>
        </w:tc>
        <w:tc>
          <w:tcPr>
            <w:tcW w:w="1661" w:type="dxa"/>
            <w:vAlign w:val="center"/>
          </w:tcPr>
          <w:p w14:paraId="6C1791D7">
            <w:pPr>
              <w:jc w:val="right"/>
            </w:pPr>
            <w:r>
              <w:rPr>
                <w:rFonts w:hint="eastAsia"/>
              </w:rPr>
              <w:t>-7.28</w:t>
            </w:r>
          </w:p>
        </w:tc>
      </w:tr>
      <w:tr w14:paraId="34DD0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C20EC04">
            <w:r>
              <w:rPr>
                <w:rFonts w:hint="eastAsia"/>
              </w:rPr>
              <w:t>（三）、本期向基金份额持有人分配利润产生的净资产变动（净资产减少以“-”号填列）</w:t>
            </w:r>
          </w:p>
        </w:tc>
        <w:tc>
          <w:tcPr>
            <w:tcW w:w="1661" w:type="dxa"/>
            <w:vAlign w:val="center"/>
          </w:tcPr>
          <w:p w14:paraId="38473989">
            <w:pPr>
              <w:jc w:val="right"/>
            </w:pPr>
            <w:r>
              <w:rPr>
                <w:rFonts w:hint="eastAsia"/>
              </w:rPr>
              <w:t>-</w:t>
            </w:r>
          </w:p>
        </w:tc>
        <w:tc>
          <w:tcPr>
            <w:tcW w:w="1661" w:type="dxa"/>
            <w:vAlign w:val="center"/>
          </w:tcPr>
          <w:p w14:paraId="0B8C1DB1">
            <w:pPr>
              <w:jc w:val="right"/>
            </w:pPr>
            <w:r>
              <w:rPr>
                <w:rFonts w:hint="eastAsia"/>
              </w:rPr>
              <w:t>-</w:t>
            </w:r>
          </w:p>
        </w:tc>
        <w:tc>
          <w:tcPr>
            <w:tcW w:w="1661" w:type="dxa"/>
            <w:vAlign w:val="center"/>
          </w:tcPr>
          <w:p w14:paraId="0FA4530A">
            <w:pPr>
              <w:jc w:val="right"/>
            </w:pPr>
            <w:r>
              <w:rPr>
                <w:rFonts w:hint="eastAsia"/>
              </w:rPr>
              <w:t>-</w:t>
            </w:r>
          </w:p>
        </w:tc>
        <w:tc>
          <w:tcPr>
            <w:tcW w:w="1661" w:type="dxa"/>
            <w:vAlign w:val="center"/>
          </w:tcPr>
          <w:p w14:paraId="649DFFAE">
            <w:pPr>
              <w:jc w:val="right"/>
            </w:pPr>
            <w:r>
              <w:rPr>
                <w:rFonts w:hint="eastAsia"/>
              </w:rPr>
              <w:t>-</w:t>
            </w:r>
          </w:p>
        </w:tc>
      </w:tr>
      <w:tr w14:paraId="237BA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F2EC97E">
            <w:r>
              <w:rPr>
                <w:rFonts w:hint="eastAsia"/>
              </w:rPr>
              <w:t>（四）、其他综合收益结转留存收益</w:t>
            </w:r>
          </w:p>
        </w:tc>
        <w:tc>
          <w:tcPr>
            <w:tcW w:w="1661" w:type="dxa"/>
            <w:vAlign w:val="center"/>
          </w:tcPr>
          <w:p w14:paraId="25B77188">
            <w:pPr>
              <w:jc w:val="right"/>
            </w:pPr>
            <w:r>
              <w:rPr>
                <w:rFonts w:hint="eastAsia"/>
              </w:rPr>
              <w:t>-</w:t>
            </w:r>
          </w:p>
        </w:tc>
        <w:tc>
          <w:tcPr>
            <w:tcW w:w="1661" w:type="dxa"/>
            <w:vAlign w:val="center"/>
          </w:tcPr>
          <w:p w14:paraId="48124B98">
            <w:pPr>
              <w:jc w:val="right"/>
            </w:pPr>
            <w:r>
              <w:rPr>
                <w:rFonts w:hint="eastAsia"/>
              </w:rPr>
              <w:t>-</w:t>
            </w:r>
          </w:p>
        </w:tc>
        <w:tc>
          <w:tcPr>
            <w:tcW w:w="1661" w:type="dxa"/>
            <w:vAlign w:val="center"/>
          </w:tcPr>
          <w:p w14:paraId="7779A9EA">
            <w:pPr>
              <w:jc w:val="right"/>
            </w:pPr>
            <w:r>
              <w:rPr>
                <w:rFonts w:hint="eastAsia"/>
              </w:rPr>
              <w:t>-</w:t>
            </w:r>
          </w:p>
        </w:tc>
        <w:tc>
          <w:tcPr>
            <w:tcW w:w="1661" w:type="dxa"/>
            <w:vAlign w:val="center"/>
          </w:tcPr>
          <w:p w14:paraId="071B0A0C">
            <w:pPr>
              <w:jc w:val="right"/>
            </w:pPr>
            <w:r>
              <w:rPr>
                <w:rFonts w:hint="eastAsia"/>
              </w:rPr>
              <w:t>-</w:t>
            </w:r>
          </w:p>
        </w:tc>
      </w:tr>
      <w:tr w14:paraId="51918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CE98166">
            <w:r>
              <w:rPr>
                <w:rFonts w:hint="eastAsia"/>
              </w:rPr>
              <w:t>四、本期期末净资产</w:t>
            </w:r>
          </w:p>
        </w:tc>
        <w:tc>
          <w:tcPr>
            <w:tcW w:w="1661" w:type="dxa"/>
            <w:vAlign w:val="center"/>
          </w:tcPr>
          <w:p w14:paraId="1EA07187">
            <w:pPr>
              <w:jc w:val="right"/>
            </w:pPr>
            <w:r>
              <w:rPr>
                <w:rFonts w:hint="eastAsia"/>
              </w:rPr>
              <w:t>956,432,604.28</w:t>
            </w:r>
          </w:p>
        </w:tc>
        <w:tc>
          <w:tcPr>
            <w:tcW w:w="1661" w:type="dxa"/>
            <w:vAlign w:val="center"/>
          </w:tcPr>
          <w:p w14:paraId="46EF6B29">
            <w:pPr>
              <w:jc w:val="right"/>
            </w:pPr>
            <w:r>
              <w:rPr>
                <w:rFonts w:hint="eastAsia"/>
              </w:rPr>
              <w:t>-</w:t>
            </w:r>
          </w:p>
        </w:tc>
        <w:tc>
          <w:tcPr>
            <w:tcW w:w="1661" w:type="dxa"/>
            <w:vAlign w:val="center"/>
          </w:tcPr>
          <w:p w14:paraId="50B12774">
            <w:pPr>
              <w:jc w:val="right"/>
            </w:pPr>
            <w:r>
              <w:rPr>
                <w:rFonts w:hint="eastAsia"/>
              </w:rPr>
              <w:t>135,618,539.97</w:t>
            </w:r>
          </w:p>
        </w:tc>
        <w:tc>
          <w:tcPr>
            <w:tcW w:w="1661" w:type="dxa"/>
            <w:vAlign w:val="center"/>
          </w:tcPr>
          <w:p w14:paraId="6EA6B4DF">
            <w:pPr>
              <w:jc w:val="right"/>
            </w:pPr>
            <w:r>
              <w:rPr>
                <w:rFonts w:hint="eastAsia"/>
              </w:rPr>
              <w:t>1,092,051,144.25</w:t>
            </w:r>
          </w:p>
        </w:tc>
      </w:tr>
    </w:tbl>
    <w:p w14:paraId="11913331">
      <w:pPr>
        <w:pStyle w:val="18"/>
        <w:rPr>
          <w:rFonts w:hint="eastAsia"/>
        </w:rPr>
      </w:pPr>
      <w:r>
        <w:rPr>
          <w:rFonts w:hint="eastAsia"/>
        </w:rPr>
        <w:t>报表附注为财务报表的组成部分。</w:t>
      </w:r>
    </w:p>
    <w:p w14:paraId="7CF22667">
      <w:pPr>
        <w:pStyle w:val="18"/>
        <w:rPr>
          <w:rFonts w:hint="eastAsia"/>
        </w:rPr>
      </w:pPr>
      <w:r>
        <w:rPr>
          <w:rFonts w:hint="eastAsia"/>
        </w:rPr>
        <w:t>本报告 7.1 至 7.4 财务报表由下列负责人签署：</w:t>
      </w:r>
    </w:p>
    <w:p w14:paraId="3E2F7890">
      <w:pPr>
        <w:pStyle w:val="18"/>
        <w:rPr>
          <w:rFonts w:hint="eastAsia"/>
        </w:rPr>
      </w:pPr>
      <w:r>
        <w:rPr>
          <w:rFonts w:hint="eastAsia"/>
        </w:rPr>
        <w:t>____杨小松___           ____蔡忠评______          ____徐超____</w:t>
      </w:r>
    </w:p>
    <w:p w14:paraId="2DD60D51">
      <w:pPr>
        <w:pStyle w:val="18"/>
        <w:rPr>
          <w:rFonts w:hint="eastAsia"/>
        </w:rPr>
      </w:pPr>
      <w:r>
        <w:rPr>
          <w:rFonts w:hint="eastAsia"/>
        </w:rPr>
        <w:t>基金管理人负责人     主管会计工作负责人         会计机构负责人</w:t>
      </w:r>
    </w:p>
    <w:p w14:paraId="043C0C27">
      <w:pPr>
        <w:pStyle w:val="23"/>
      </w:pPr>
      <w:bookmarkStart w:id="48" w:name="_Toc2015"/>
      <w:r>
        <w:t>报表附注</w:t>
      </w:r>
      <w:bookmarkEnd w:id="48"/>
      <w:r>
        <w:t xml:space="preserve"> </w:t>
      </w:r>
    </w:p>
    <w:p w14:paraId="21B94EF7">
      <w:pPr>
        <w:pStyle w:val="28"/>
      </w:pPr>
      <w:bookmarkStart w:id="49" w:name="_Toc49"/>
      <w:r>
        <w:t>基金基本情况</w:t>
      </w:r>
      <w:bookmarkEnd w:id="49"/>
    </w:p>
    <w:p w14:paraId="556724F1">
      <w:pPr>
        <w:pStyle w:val="18"/>
        <w:rPr>
          <w:rFonts w:hint="eastAsia"/>
        </w:rPr>
      </w:pPr>
      <w:r>
        <w:rPr>
          <w:rFonts w:hint="eastAsia"/>
        </w:rPr>
        <w:t>南方得利一年定期开放债券型发起式证券投资基金(以下简称“本基金”)经中国证券监督管理委员会(以下简称“中国证监会”)证监许可[2019]2186号《关于准予南方得利一年定期开放债券型发起式证券投资基金注册的批复》注册，由南方基金管理股份有限公司依照《中华人民共和国证券投资基金法》和《南方得利一年定期开放债券型发起式证券投资基金基金合同》负责公开募集。本基金为契约型定期开放式，存续期限不定，首次设立募集不包括认购资金利息共募集人民币309,999,000.00元，业经普华永道中天会计师事务所(特殊普通合伙)普华永道中天验字(2020)第0244号验资报告予以验证。经向中国证监会备案，《南方得利一年定期开放债券型发起式证券投资基金基金合同》于2020年3月26日正式生效，基金合同生效日的基金份额总额为309,999,638.95份基金份额，其中认购资金利息折合638.95份基金份额。本基金的基金管理人为南方基金管理股份有限公司，基金托管人为招商银行股份有限公司。</w:t>
      </w:r>
    </w:p>
    <w:p w14:paraId="76C96ABA">
      <w:pPr>
        <w:pStyle w:val="18"/>
        <w:rPr>
          <w:rFonts w:hint="eastAsia"/>
        </w:rPr>
      </w:pPr>
      <w:r>
        <w:rPr>
          <w:rFonts w:hint="eastAsia"/>
        </w:rPr>
        <w:t>本基金为发起式基金，发起资金认购部分为10,000,000.00份基金份额，发起资金认购方承诺使用发起资金认购的基金份额持有期限不少于3年。</w:t>
      </w:r>
    </w:p>
    <w:p w14:paraId="1180A904">
      <w:pPr>
        <w:pStyle w:val="18"/>
        <w:rPr>
          <w:rFonts w:hint="eastAsia"/>
        </w:rPr>
      </w:pPr>
      <w:r>
        <w:rPr>
          <w:rFonts w:hint="eastAsia"/>
        </w:rPr>
        <w:t>根据《南方得利一年定期开放债券型发起式证券投资基金基金合同》和《南方得利一年定期开放债券型发起式证券投资基金招募说明书》的有关规定，本基金自基金合同生效后，每年开放一次申购和赎回。本基金封闭期内不办理申购与赎回业务，也不上市交易。</w:t>
      </w:r>
    </w:p>
    <w:p w14:paraId="425383B7">
      <w:pPr>
        <w:pStyle w:val="18"/>
        <w:rPr>
          <w:rFonts w:hint="eastAsia"/>
        </w:rPr>
      </w:pPr>
      <w:r>
        <w:rPr>
          <w:rFonts w:hint="eastAsia"/>
        </w:rPr>
        <w:t>根据《中华人民共和国证券投资基金法》和《南方得利一年定期开放债券型发起式证券投资基金基金合同》的有关规定，本基金主要投资于债券(包括国内依法发行上市交易的国债、央行票据、金融债券、企业债券、公司债券、中期票据、短期融资券、超短期融资券、公开发行的次级债券、政府机构债、地方政府债)、资产支持证券、可分离交易可转债中的纯债部分、债券回购、银行存款(包括协议存款、定期存款等)、同业存单、货币市场工具以及经中国证监会允许基金投资的其他金融工具，但需符合中国证监会的相关规定。本基金不投资股票等权益资产，可转换债券仅投资可分离交易可转债中的纯债部分。本基金的投资组合比例为：债券资产的比例不低于基金资产的80%。本基金开放期开始前10个工作日、开放期以及开放期结束后的10个工作日内，本基金的债券资产的投资比例可不受上述限制。开放期内，本基金保持不低于基金资产净值5%的现金或者到期日在一年以内的政府债券，封闭期内不受上述5%的限制，其中现金不包括结算备付金、存出保证金、应收申购款等。本基金的业绩比较基准为：中债信用债总指数收益率。</w:t>
      </w:r>
    </w:p>
    <w:p w14:paraId="65C66F56">
      <w:pPr>
        <w:pStyle w:val="18"/>
        <w:rPr>
          <w:rFonts w:hint="eastAsia"/>
        </w:rPr>
      </w:pPr>
      <w:r>
        <w:rPr>
          <w:rFonts w:hint="eastAsia"/>
        </w:rPr>
        <w:t>本财务报表由本基金的基金管理人南方基金管理股份有限公司于2026年3月27日批准报出。</w:t>
      </w:r>
    </w:p>
    <w:p w14:paraId="626A4E96">
      <w:pPr>
        <w:pStyle w:val="28"/>
      </w:pPr>
      <w:bookmarkStart w:id="50" w:name="_Toc50"/>
      <w:r>
        <w:t xml:space="preserve"> 会计报表的编制基础 </w:t>
      </w:r>
      <w:bookmarkEnd w:id="50"/>
    </w:p>
    <w:p w14:paraId="4E0FAB16">
      <w:pPr>
        <w:pStyle w:val="18"/>
        <w:rPr>
          <w:rFonts w:hint="eastAsia"/>
        </w:rPr>
      </w:pPr>
      <w:r>
        <w:rPr>
          <w:rFonts w:hint="eastAsia"/>
        </w:rPr>
        <w:t>本财务报表系按照财政部颁布的《企业会计准则——基本准则》以及其后颁布及修订的具体会计准则、解释以及《资产管理产品相关会计处理规定》和其他相关规定（统称“企业会计准则”）编制，同时，在信息披露和估值方面，也参考了中国证监会颁布的《中国证券监督管理委员会关于证券投资基金估值业务的指导意见》、《公开募集证券投资基金信息披露管理办法》、《证券投资基金信息披露内容与格式准则》第2号《年度报告的内容与格式》、《证券投资基金信息披露编报规则》第3号《会计报表附注的编制及披露》、《证券投资基金信息披露XBRL模板第3号&lt;年度报告和中期报告&gt;》以及中国证监会和中国证券投资基金业协会颁布的其他相关规定。</w:t>
      </w:r>
    </w:p>
    <w:p w14:paraId="54C7B17F">
      <w:pPr>
        <w:pStyle w:val="18"/>
        <w:rPr>
          <w:rFonts w:hint="eastAsia"/>
        </w:rPr>
      </w:pPr>
      <w:r>
        <w:rPr>
          <w:rFonts w:hint="eastAsia"/>
        </w:rPr>
        <w:t>本财务报表以本基金持续经营为基础列报。</w:t>
      </w:r>
    </w:p>
    <w:p w14:paraId="602C7B9E">
      <w:pPr>
        <w:pStyle w:val="28"/>
      </w:pPr>
      <w:bookmarkStart w:id="51" w:name="_Toc51"/>
      <w:r>
        <w:t xml:space="preserve"> 遵循企业会计准则及其他有关规定的声明</w:t>
      </w:r>
      <w:bookmarkEnd w:id="51"/>
    </w:p>
    <w:p w14:paraId="7F2BDCA7">
      <w:pPr>
        <w:pStyle w:val="18"/>
        <w:rPr>
          <w:rFonts w:hint="eastAsia"/>
        </w:rPr>
      </w:pPr>
      <w:r>
        <w:rPr>
          <w:rFonts w:hint="eastAsia"/>
        </w:rPr>
        <w:t>本财务报表符合企业会计准则的要求，真实、完整地反映了本基金于2025年12月31日的财务状况以及2025年度的经营成果和净资产变动情况。</w:t>
      </w:r>
    </w:p>
    <w:p w14:paraId="0577CF75">
      <w:pPr>
        <w:pStyle w:val="28"/>
      </w:pPr>
      <w:bookmarkStart w:id="52" w:name="_Toc52"/>
      <w:r>
        <w:t xml:space="preserve">重要会计政策和会计估计 </w:t>
      </w:r>
      <w:bookmarkEnd w:id="52"/>
    </w:p>
    <w:p w14:paraId="6F8415D7">
      <w:pPr>
        <w:pStyle w:val="35"/>
      </w:pPr>
      <w:bookmarkStart w:id="53" w:name="_Toc53"/>
      <w:r>
        <w:t>会计年度</w:t>
      </w:r>
      <w:bookmarkEnd w:id="53"/>
    </w:p>
    <w:p w14:paraId="7AE2B950">
      <w:pPr>
        <w:pStyle w:val="18"/>
        <w:rPr>
          <w:rFonts w:hint="eastAsia"/>
        </w:rPr>
      </w:pPr>
      <w:r>
        <w:rPr>
          <w:rFonts w:hint="eastAsia"/>
        </w:rPr>
        <w:t>本基金会计年度采用公历年度，即每年1月1日起至12月31日止。</w:t>
      </w:r>
    </w:p>
    <w:p w14:paraId="724D4AA7">
      <w:pPr>
        <w:pStyle w:val="35"/>
      </w:pPr>
      <w:bookmarkStart w:id="54" w:name="_Toc54"/>
      <w:r>
        <w:t>记账本位币</w:t>
      </w:r>
      <w:bookmarkEnd w:id="54"/>
    </w:p>
    <w:p w14:paraId="3925D8DA">
      <w:pPr>
        <w:pStyle w:val="18"/>
        <w:rPr>
          <w:rFonts w:hint="eastAsia"/>
        </w:rPr>
      </w:pPr>
      <w:r>
        <w:rPr>
          <w:rFonts w:hint="eastAsia"/>
        </w:rPr>
        <w:t>本基金记账本位币和编制本财务报表所采用的货币均为人民币。除有特别说明外，均以人民币元为单位表示。</w:t>
      </w:r>
    </w:p>
    <w:p w14:paraId="014F4B27">
      <w:pPr>
        <w:pStyle w:val="35"/>
      </w:pPr>
      <w:bookmarkStart w:id="55" w:name="_Toc55"/>
      <w:r>
        <w:t>金融资产和金融负债的分类</w:t>
      </w:r>
      <w:bookmarkEnd w:id="55"/>
    </w:p>
    <w:p w14:paraId="694223AB">
      <w:pPr>
        <w:pStyle w:val="18"/>
        <w:rPr>
          <w:rFonts w:hint="eastAsia"/>
        </w:rPr>
      </w:pPr>
      <w:r>
        <w:rPr>
          <w:rFonts w:hint="eastAsia"/>
        </w:rPr>
        <w:t>金融工具是指形成本基金的金融资产（或负债），并形成其他单位的金融负债（或资产）或权益工具的合同。</w:t>
      </w:r>
    </w:p>
    <w:p w14:paraId="3664C630">
      <w:pPr>
        <w:pStyle w:val="18"/>
        <w:rPr>
          <w:rFonts w:hint="eastAsia"/>
        </w:rPr>
      </w:pPr>
      <w:r>
        <w:rPr>
          <w:rFonts w:hint="eastAsia"/>
        </w:rPr>
        <w:t>（1）金融资产分类</w:t>
      </w:r>
    </w:p>
    <w:p w14:paraId="19640584">
      <w:pPr>
        <w:pStyle w:val="18"/>
        <w:rPr>
          <w:rFonts w:hint="eastAsia"/>
        </w:rPr>
      </w:pPr>
      <w:r>
        <w:rPr>
          <w:rFonts w:hint="eastAsia"/>
        </w:rPr>
        <w:t>本基金的金融资产于初始确认时根据管理金融资产的业务模式和金融资产的合同现金流量特征分类为：以公允价值计量且其变动计入当期损益的金融资产、以摊余成本计量的金融资产；</w:t>
      </w:r>
    </w:p>
    <w:p w14:paraId="1C50BB0B">
      <w:pPr>
        <w:pStyle w:val="18"/>
        <w:rPr>
          <w:rFonts w:hint="eastAsia"/>
        </w:rPr>
      </w:pPr>
      <w:r>
        <w:rPr>
          <w:rFonts w:hint="eastAsia"/>
        </w:rPr>
        <w:t>（2）金融负债分类</w:t>
      </w:r>
    </w:p>
    <w:p w14:paraId="6978E015">
      <w:pPr>
        <w:pStyle w:val="18"/>
        <w:rPr>
          <w:rFonts w:hint="eastAsia"/>
        </w:rPr>
      </w:pPr>
      <w:r>
        <w:rPr>
          <w:rFonts w:hint="eastAsia"/>
        </w:rPr>
        <w:t>本基金的金融负债于初始确认时分类为：以公允价值计量且其变动计入当期损益的金融负债、以摊余成本计量的金融负债。</w:t>
      </w:r>
    </w:p>
    <w:p w14:paraId="6FDB5E6A">
      <w:pPr>
        <w:pStyle w:val="35"/>
      </w:pPr>
      <w:bookmarkStart w:id="56" w:name="_Toc56"/>
      <w:r>
        <w:t xml:space="preserve">金融资产和金融负债的初始确认、后续计量和终止确认 </w:t>
      </w:r>
      <w:bookmarkEnd w:id="56"/>
    </w:p>
    <w:p w14:paraId="70F9F09A">
      <w:pPr>
        <w:pStyle w:val="18"/>
        <w:rPr>
          <w:rFonts w:hint="eastAsia"/>
        </w:rPr>
      </w:pPr>
      <w:r>
        <w:rPr>
          <w:rFonts w:hint="eastAsia"/>
        </w:rPr>
        <w:t>本基金于成为金融工具合同的一方时确认一项金融资产或金融负债。</w:t>
      </w:r>
    </w:p>
    <w:p w14:paraId="37E1C11F">
      <w:pPr>
        <w:pStyle w:val="18"/>
        <w:rPr>
          <w:rFonts w:hint="eastAsia"/>
        </w:rPr>
      </w:pPr>
      <w:r>
        <w:rPr>
          <w:rFonts w:hint="eastAsia"/>
        </w:rPr>
        <w:t>划分为以公允价值计量且其变动计入当期损益的金融资产和金融负债，以及不作为有效套期工具的衍生工具，按照取得时的公允价值作为初始确认金额，相关的交易费用在发生时计入当期损益。</w:t>
      </w:r>
    </w:p>
    <w:p w14:paraId="1C3432FB">
      <w:pPr>
        <w:pStyle w:val="18"/>
        <w:rPr>
          <w:rFonts w:hint="eastAsia"/>
        </w:rPr>
      </w:pPr>
      <w:r>
        <w:rPr>
          <w:rFonts w:hint="eastAsia"/>
        </w:rPr>
        <w:t>划分为以摊余成本计量的金融资产和金融负债，按照取得时的公允价值作为初始确认金额，相关交易费用计入其初始确认金额。</w:t>
      </w:r>
    </w:p>
    <w:p w14:paraId="197BA08E">
      <w:pPr>
        <w:pStyle w:val="18"/>
        <w:rPr>
          <w:rFonts w:hint="eastAsia"/>
        </w:rPr>
      </w:pPr>
      <w:r>
        <w:rPr>
          <w:rFonts w:hint="eastAsia"/>
        </w:rPr>
        <w:t>对于以公允价值计量且其变动计入当期损益的金融资产，采用公允价值进行后续计量，所有公允价值变动计入当期损益。</w:t>
      </w:r>
    </w:p>
    <w:p w14:paraId="3FB07B90">
      <w:pPr>
        <w:pStyle w:val="18"/>
        <w:rPr>
          <w:rFonts w:hint="eastAsia"/>
        </w:rPr>
      </w:pPr>
      <w:r>
        <w:rPr>
          <w:rFonts w:hint="eastAsia"/>
        </w:rPr>
        <w:t>对于以摊余成本计量的金融资产，采用实际利率法确认利息收入，其终止确认、修改或减值产生的利得或损失，均计入当期损益。</w:t>
      </w:r>
    </w:p>
    <w:p w14:paraId="2D1617EC">
      <w:pPr>
        <w:pStyle w:val="18"/>
        <w:rPr>
          <w:rFonts w:hint="eastAsia"/>
        </w:rPr>
      </w:pPr>
      <w:r>
        <w:rPr>
          <w:rFonts w:hint="eastAsia"/>
        </w:rPr>
        <w:t>本基金以预期信用损失为基础，对以摊余成本计量的金融资产进行减值处理并确认损失准备。对于不含重大融资成分的应收款项，本基金运用简化计量方法，按照相当于整个存续期内的预期信用损失金额计量损失准备。除上述采用简化计量方法以外的金融资产，本基金在每个估值日评估其信用风险自初始确认后是否已经显著增加，如果信用风险自初始确认后未显著增加，处于第一阶段，本基金按照相当于未来12个月内预期信用损失的金额计量损失准备，并按照账面余额和实际利率计算利息收入；如果信用风险自初始确认后已显著增加但尚未发生信用减值的，处于第二阶段，本基金按照相当于整个存续期内预期信用损失的金额计量损失准备，并按照账面余额和实际利率计算利息收入；如果初始确认后发生信用减值的，处于第三阶段，本基金按照相当于整个存续期内预期信用损失的金额计量损失准备，并按照摊余成本和实际利率计算利息收入。</w:t>
      </w:r>
    </w:p>
    <w:p w14:paraId="324EEFD6">
      <w:pPr>
        <w:pStyle w:val="18"/>
        <w:rPr>
          <w:rFonts w:hint="eastAsia"/>
        </w:rPr>
      </w:pPr>
      <w:r>
        <w:rPr>
          <w:rFonts w:hint="eastAsia"/>
        </w:rPr>
        <w:t>本基金在每个估值日评估相关金融工具的信用风险自初始确认后是否已显著增加。本基金以单项金融工具或者具有相似信用风险特征的金融工具组合为基础，通过比较金融工具在估值日发生违约的风险与在初始确认日发生违约的风险，以确定金融工具预计存续期内发生违约风险的变化情况。</w:t>
      </w:r>
    </w:p>
    <w:p w14:paraId="66C5EE2D">
      <w:pPr>
        <w:pStyle w:val="18"/>
        <w:rPr>
          <w:rFonts w:hint="eastAsia"/>
        </w:rPr>
      </w:pPr>
      <w:r>
        <w:rPr>
          <w:rFonts w:hint="eastAsia"/>
        </w:rPr>
        <w:t>本基金计量金融工具预期信用损失的方法反映的因素包括：通过评价一系列可能的结果而确定的无偏概率加权平均金额、货币时间价值，以及在估值日无须付出不必要的额外成本或努力即可获得的有关过去事项、当前状况以及未来经济状况预测的合理且有依据的信息。</w:t>
      </w:r>
    </w:p>
    <w:p w14:paraId="3B2D94F8">
      <w:pPr>
        <w:pStyle w:val="18"/>
        <w:rPr>
          <w:rFonts w:hint="eastAsia"/>
        </w:rPr>
      </w:pPr>
      <w:r>
        <w:rPr>
          <w:rFonts w:hint="eastAsia"/>
        </w:rPr>
        <w:t>当对金融资产预期未来现金流量具有不利影响的一项或多项事件发生时，该金融资产成为已发生信用减值的金融资产。</w:t>
      </w:r>
    </w:p>
    <w:p w14:paraId="0573A451">
      <w:pPr>
        <w:pStyle w:val="18"/>
        <w:rPr>
          <w:rFonts w:hint="eastAsia"/>
        </w:rPr>
      </w:pPr>
      <w:r>
        <w:rPr>
          <w:rFonts w:hint="eastAsia"/>
        </w:rPr>
        <w:t>当本基金不再合理预期能够全部或部分收回金融资产合同现金流量时，本基金直接减记该金融资产的账面余额。</w:t>
      </w:r>
    </w:p>
    <w:p w14:paraId="679DA4A7">
      <w:pPr>
        <w:pStyle w:val="18"/>
        <w:rPr>
          <w:rFonts w:hint="eastAsia"/>
        </w:rPr>
      </w:pPr>
      <w:r>
        <w:rPr>
          <w:rFonts w:hint="eastAsia"/>
        </w:rPr>
        <w:t>当收取该金融资产现金流量的合同权利终止，或该收取金融资产现金流量的权利已转移，且符合金融资产转移的终止确认条件的，金融资产将终止确认。</w:t>
      </w:r>
    </w:p>
    <w:p w14:paraId="4E8F2250">
      <w:pPr>
        <w:pStyle w:val="18"/>
        <w:rPr>
          <w:rFonts w:hint="eastAsia"/>
        </w:rPr>
      </w:pPr>
      <w:r>
        <w:rPr>
          <w:rFonts w:hint="eastAsia"/>
        </w:rPr>
        <w:t>本基金已将金融资产所有权上几乎所有的风险和报酬转移给转入方的，终止确认该金融资产；保留了金融资产所有权上几乎所有的风险和报酬的，不终止确认该金融资产；本基金既没有转移也没有保留金融资产所有权上几乎所有的风险和报酬的，分别下列情况处理：放弃了对该金融资产控制的，终止确认该金融资产并确认产生的资产和负债；未放弃对该金融资产控制的，按照其继续涉入所转移金融资产的程度确认有关金融资产，并相应确认有关负债。</w:t>
      </w:r>
    </w:p>
    <w:p w14:paraId="0CECA348">
      <w:pPr>
        <w:pStyle w:val="18"/>
        <w:rPr>
          <w:rFonts w:hint="eastAsia"/>
        </w:rPr>
      </w:pPr>
      <w:r>
        <w:rPr>
          <w:rFonts w:hint="eastAsia"/>
        </w:rPr>
        <w:t>对于以公允价值计量且其变动计入当期损益的金融负债（含交易性金融负债和衍生金融负债），按照公允价值进行后续计量，所有公允价值变动均计入当期损益。对于以摊余成本计量的金融负债，采用实际利率法，按照摊余成本进行后续计量。如果金融负债的责任已履行、撤销或届满，则对金融负债进行终止确认。</w:t>
      </w:r>
    </w:p>
    <w:p w14:paraId="5E977716">
      <w:pPr>
        <w:pStyle w:val="35"/>
      </w:pPr>
      <w:bookmarkStart w:id="57" w:name="_Toc57"/>
      <w:r>
        <w:t>金融资产和金融负债的估值原则</w:t>
      </w:r>
      <w:bookmarkEnd w:id="57"/>
    </w:p>
    <w:p w14:paraId="7FF245B4">
      <w:pPr>
        <w:pStyle w:val="18"/>
        <w:rPr>
          <w:rFonts w:hint="eastAsia"/>
        </w:rPr>
      </w:pPr>
      <w:r>
        <w:rPr>
          <w:rFonts w:hint="eastAsia"/>
        </w:rPr>
        <w:t>公允价值，是指市场参与者在计量日发生的有序交易中，出售一项资产所能收到或者转移一项负债所需支付的价格。本基金以公允价值计量相关资产或负债，假定出售资产或者转移负债的有序交易在相关资产或负债的主要市场进行；不存在主要市场的，本基金假定该交易在相关资产或负债的最有利市场进行。主要市场（或最有利市场）是本基金在计量日能够进入的交易市场。本基金采用市场参与者在对该资产或负债定价时为实现其经济利益最大化所使用的假设。</w:t>
      </w:r>
    </w:p>
    <w:p w14:paraId="4BD86704">
      <w:pPr>
        <w:pStyle w:val="18"/>
        <w:rPr>
          <w:rFonts w:hint="eastAsia"/>
        </w:rPr>
      </w:pPr>
      <w:r>
        <w:rPr>
          <w:rFonts w:hint="eastAsia"/>
        </w:rPr>
        <w:t>在财务报表中以公允价值计量或披露的资产和负债，根据对公允价值计量整体而言具有重要意义的最低层次输入值，确定所属的公允价值层次：第一层次输入值，在计量日能够取得的相同资产或负债在活跃市场上未经调整的报价；第二层次输入值，除第一层次输入值外相关资产或负债直接或间接可观察的输入值；第三层次输入值，相关资产或负债的不可观察输入值。</w:t>
      </w:r>
    </w:p>
    <w:p w14:paraId="2E131D6E">
      <w:pPr>
        <w:pStyle w:val="18"/>
        <w:rPr>
          <w:rFonts w:hint="eastAsia"/>
        </w:rPr>
      </w:pPr>
      <w:r>
        <w:rPr>
          <w:rFonts w:hint="eastAsia"/>
        </w:rPr>
        <w:t>每个资产负债表日，本基金对在财务报表中确认的持续以公允价值计量的资产和负债进行重新评估，以确定是否在公允价值计量层次之间发生转换。</w:t>
      </w:r>
    </w:p>
    <w:p w14:paraId="7AAC1CF3">
      <w:pPr>
        <w:pStyle w:val="18"/>
        <w:rPr>
          <w:rFonts w:hint="eastAsia"/>
        </w:rPr>
      </w:pPr>
      <w:r>
        <w:rPr>
          <w:rFonts w:hint="eastAsia"/>
        </w:rPr>
        <w:t>本基金持有的以公允价值计量且其变动计入当期损益的金融资产和金融负债按如下原则确定公允价值并进行估值：</w:t>
      </w:r>
    </w:p>
    <w:p w14:paraId="4F170204">
      <w:pPr>
        <w:pStyle w:val="18"/>
        <w:rPr>
          <w:rFonts w:hint="eastAsia"/>
        </w:rPr>
      </w:pPr>
      <w:r>
        <w:rPr>
          <w:rFonts w:hint="eastAsia"/>
        </w:rPr>
        <w:t>（1）存在活跃市场的金融工具，按照估值日能够取得的相同资产或负债在活跃市场上未经调整的报价作为公允价值；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04A8F5D6">
      <w:pPr>
        <w:pStyle w:val="18"/>
        <w:rPr>
          <w:rFonts w:hint="eastAsia"/>
        </w:rPr>
      </w:pPr>
      <w:r>
        <w:rPr>
          <w:rFonts w:hint="eastAsia"/>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082AE2E6">
      <w:pPr>
        <w:pStyle w:val="18"/>
        <w:rPr>
          <w:rFonts w:hint="eastAsia"/>
        </w:rPr>
      </w:pPr>
      <w:r>
        <w:rPr>
          <w:rFonts w:hint="eastAsia"/>
        </w:rPr>
        <w:t>（2）不存在活跃市场的金融工具，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使用不可观察输入值；</w:t>
      </w:r>
    </w:p>
    <w:p w14:paraId="7DEE1166">
      <w:pPr>
        <w:pStyle w:val="18"/>
        <w:rPr>
          <w:rFonts w:hint="eastAsia"/>
        </w:rPr>
      </w:pPr>
      <w:r>
        <w:rPr>
          <w:rFonts w:hint="eastAsia"/>
        </w:rPr>
        <w:t>（3）如有确凿证据表明按上述方法进行估值不能客观反映其公允价值的，基金管理人可根据具体情况与基金托管人商定后，按最能反映公允价值的方法估值；</w:t>
      </w:r>
    </w:p>
    <w:p w14:paraId="53EC42FE">
      <w:pPr>
        <w:pStyle w:val="18"/>
        <w:rPr>
          <w:rFonts w:hint="eastAsia"/>
        </w:rPr>
      </w:pPr>
      <w:r>
        <w:rPr>
          <w:rFonts w:hint="eastAsia"/>
        </w:rPr>
        <w:t>（4）如有新增事项，按国家最新规定估值。</w:t>
      </w:r>
    </w:p>
    <w:p w14:paraId="27C05D44">
      <w:pPr>
        <w:pStyle w:val="35"/>
      </w:pPr>
      <w:bookmarkStart w:id="58" w:name="_Toc58"/>
      <w:r>
        <w:t>金融资产和金融负债的抵销</w:t>
      </w:r>
      <w:bookmarkEnd w:id="58"/>
    </w:p>
    <w:p w14:paraId="5B34838D">
      <w:pPr>
        <w:pStyle w:val="18"/>
        <w:rPr>
          <w:rFonts w:hint="eastAsia"/>
        </w:rPr>
      </w:pPr>
      <w:r>
        <w:rPr>
          <w:rFonts w:hint="eastAsia"/>
        </w:rPr>
        <w:t>当本基金具有抵销已确认金融资产和金融负债的法定权利，且该种法定权利现在是可执行的，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0256C703">
      <w:pPr>
        <w:pStyle w:val="35"/>
      </w:pPr>
      <w:bookmarkStart w:id="59" w:name="_Toc59"/>
      <w:r>
        <w:t>实收基金</w:t>
      </w:r>
      <w:bookmarkEnd w:id="59"/>
    </w:p>
    <w:p w14:paraId="782D0D64">
      <w:pPr>
        <w:pStyle w:val="18"/>
        <w:rPr>
          <w:rFonts w:hint="eastAsia"/>
        </w:rPr>
      </w:pPr>
      <w:r>
        <w:rPr>
          <w:rFonts w:hint="eastAsia"/>
        </w:rPr>
        <w:t>实收基金为对外发行的基金份额总额所对应的金额。由于申购和赎回引起的实收基金变动分别于基金申购确认日及基金赎回确认日确认。上述申购和赎回分别包括基金转换所引起的转入基金的实收基金增加和转出基金的实收基金减少。</w:t>
      </w:r>
    </w:p>
    <w:p w14:paraId="5E69C872">
      <w:pPr>
        <w:pStyle w:val="35"/>
      </w:pPr>
      <w:bookmarkStart w:id="60" w:name="_Toc60"/>
      <w:r>
        <w:t>损益平准金</w:t>
      </w:r>
      <w:bookmarkEnd w:id="60"/>
    </w:p>
    <w:p w14:paraId="1DAF7A9A">
      <w:pPr>
        <w:pStyle w:val="18"/>
        <w:rPr>
          <w:rFonts w:hint="eastAsia"/>
        </w:rPr>
      </w:pPr>
      <w:r>
        <w:rPr>
          <w:rFonts w:hint="eastAsia"/>
        </w:rPr>
        <w:t>损益平准金包括已实现损益平准金和未实现损益平准金。已实现损益平准金指在申购或赎回基金份额时，申购或赎回款项中包含的按累计未分配的已实现收益/（损失）占净资产比例计算的金额。未实现损益平准金指在申购或赎回基金份额时，申购或赎回款项中包含的按累计未实现利得/（损失）占净资产比例计算的金额。损益平准金于基金申购确认日或基金赎回确认日确认。</w:t>
      </w:r>
    </w:p>
    <w:p w14:paraId="7B8F9785">
      <w:pPr>
        <w:pStyle w:val="18"/>
        <w:rPr>
          <w:rFonts w:hint="eastAsia"/>
        </w:rPr>
      </w:pPr>
      <w:r>
        <w:rPr>
          <w:rFonts w:hint="eastAsia"/>
        </w:rPr>
        <w:t>未实现损益平准金与已实现损益平准金均在“损益平准金”科目中核算，并于期末全额转入“未分配利润/（累计亏损）”。</w:t>
      </w:r>
    </w:p>
    <w:p w14:paraId="48E2089F">
      <w:pPr>
        <w:pStyle w:val="35"/>
      </w:pPr>
      <w:bookmarkStart w:id="61" w:name="_Toc61"/>
      <w:r>
        <w:t>收入/（损失）的确认和计量</w:t>
      </w:r>
      <w:bookmarkEnd w:id="61"/>
    </w:p>
    <w:p w14:paraId="18E21A68">
      <w:pPr>
        <w:pStyle w:val="18"/>
        <w:rPr>
          <w:rFonts w:hint="eastAsia"/>
        </w:rPr>
      </w:pPr>
      <w:r>
        <w:rPr>
          <w:rFonts w:hint="eastAsia"/>
        </w:rPr>
        <w:t>（1）对于以摊余成本计量的金融资产，采用实际利率法计算的利息扣除在适用情况下的相关税费后的净额确认利息收入，计入当期损益。处置时，其处置价格扣除相关交易费用后的净额与账面价值之间的差额确认为投资收益。</w:t>
      </w:r>
    </w:p>
    <w:p w14:paraId="111269DA">
      <w:pPr>
        <w:pStyle w:val="18"/>
        <w:rPr>
          <w:rFonts w:hint="eastAsia"/>
        </w:rPr>
      </w:pPr>
      <w:r>
        <w:rPr>
          <w:rFonts w:hint="eastAsia"/>
        </w:rPr>
        <w:t>（2）对于以公允价值计量且其变动计入当期损益的金融资产和金融负债，相关交易费用直接计入投资收益。以公允价值计量且其变动计入当期损益的金融资产为债务工具投资的，在持有期间将按票面或合同利率计算的利息收入扣除在适用情况下的相关税费后的净额计入投资收益，扣除该部分利息后的公允价值变动额计入公允价值变动损益；除上述之外的以公允价值计量且其变动计入当期损益的金融资产和金融负债的公允价值变动形成的应计入当期损益的利得或损失扣除在适用情况下预估的增值税费后的净额计入公允价值变动损益。处置时，其处置价格与初始确认金额之间的差额扣除相关交易费用及在适用情况下的相关税费后的净额确认为投资收益。</w:t>
      </w:r>
    </w:p>
    <w:p w14:paraId="0604D8A0">
      <w:pPr>
        <w:pStyle w:val="18"/>
        <w:rPr>
          <w:rFonts w:hint="eastAsia"/>
        </w:rPr>
      </w:pPr>
      <w:r>
        <w:rPr>
          <w:rFonts w:hint="eastAsia"/>
        </w:rPr>
        <w:t>本基金在同时符合下列条件时确认股利收入并计入当期损益：1）本基金收取股利的权利已经确立；2）与股利相关的经济利益很可能流入本基金；3）股利的金额能够可靠计量。</w:t>
      </w:r>
    </w:p>
    <w:p w14:paraId="53571AF5">
      <w:pPr>
        <w:pStyle w:val="18"/>
        <w:rPr>
          <w:rFonts w:hint="eastAsia"/>
        </w:rPr>
      </w:pPr>
      <w:r>
        <w:rPr>
          <w:rFonts w:hint="eastAsia"/>
        </w:rPr>
        <w:t>（3）其他收入在经济利益很可能流入从而导致资产增加或者负债减少、且经济利益的流入额能够可靠计量时确认。</w:t>
      </w:r>
    </w:p>
    <w:p w14:paraId="4219330F">
      <w:pPr>
        <w:pStyle w:val="35"/>
      </w:pPr>
      <w:bookmarkStart w:id="62" w:name="_Toc62"/>
      <w:r>
        <w:t>费用的确认和计量</w:t>
      </w:r>
      <w:bookmarkEnd w:id="62"/>
    </w:p>
    <w:p w14:paraId="32F1F87A">
      <w:pPr>
        <w:pStyle w:val="18"/>
        <w:rPr>
          <w:rFonts w:hint="eastAsia"/>
        </w:rPr>
      </w:pPr>
      <w:r>
        <w:rPr>
          <w:rFonts w:hint="eastAsia"/>
        </w:rPr>
        <w:t>本基金的管理人报酬和托管费等费用按照权责发生制原则，在本基金接受相关服务的期间计入当期损益。</w:t>
      </w:r>
    </w:p>
    <w:p w14:paraId="5F4BA69D">
      <w:pPr>
        <w:pStyle w:val="18"/>
        <w:rPr>
          <w:rFonts w:hint="eastAsia"/>
        </w:rPr>
      </w:pPr>
      <w:r>
        <w:rPr>
          <w:rFonts w:hint="eastAsia"/>
        </w:rPr>
        <w:t>以摊余成本计量的金融负债在持有期间确认的利息支出按实际利率法计算，实际利率法与直线法差异较小的则按直线法计算。</w:t>
      </w:r>
    </w:p>
    <w:p w14:paraId="169D9824">
      <w:pPr>
        <w:pStyle w:val="35"/>
      </w:pPr>
      <w:bookmarkStart w:id="63" w:name="_Toc63"/>
      <w:r>
        <w:t>基金的收益分配政策</w:t>
      </w:r>
      <w:bookmarkEnd w:id="63"/>
    </w:p>
    <w:p w14:paraId="670A115A">
      <w:pPr>
        <w:pStyle w:val="18"/>
        <w:rPr>
          <w:rFonts w:hint="eastAsia"/>
        </w:rPr>
      </w:pPr>
      <w:r>
        <w:rPr>
          <w:rFonts w:hint="eastAsia"/>
        </w:rPr>
        <w:t>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基金收益分配后基金份额净值不能低于面值。</w:t>
      </w:r>
    </w:p>
    <w:p w14:paraId="2176C5C5">
      <w:pPr>
        <w:pStyle w:val="18"/>
        <w:rPr>
          <w:rFonts w:hint="eastAsia"/>
        </w:rPr>
      </w:pPr>
      <w:r>
        <w:rPr>
          <w:rFonts w:hint="eastAsia"/>
        </w:rPr>
        <w:t>经宣告的拟分配基金收益于分红除权日从净资产转出。</w:t>
      </w:r>
    </w:p>
    <w:p w14:paraId="73C82F42">
      <w:pPr>
        <w:pStyle w:val="35"/>
      </w:pPr>
      <w:bookmarkStart w:id="64" w:name="_Toc64"/>
      <w:r>
        <w:t xml:space="preserve"> 分部报告</w:t>
      </w:r>
      <w:bookmarkEnd w:id="64"/>
    </w:p>
    <w:p w14:paraId="21C0CAE7">
      <w:pPr>
        <w:pStyle w:val="18"/>
        <w:rPr>
          <w:rFonts w:hint="eastAsia"/>
        </w:rPr>
      </w:pPr>
      <w:r>
        <w:rPr>
          <w:rFonts w:hint="eastAsia"/>
        </w:rPr>
        <w:t>经营分部是指本基金内同时满足下列条件的组成部分：</w:t>
      </w:r>
    </w:p>
    <w:p w14:paraId="1A626D8A">
      <w:pPr>
        <w:pStyle w:val="18"/>
        <w:rPr>
          <w:rFonts w:hint="eastAsia"/>
        </w:rPr>
      </w:pPr>
      <w:r>
        <w:rPr>
          <w:rFonts w:hint="eastAsia"/>
        </w:rPr>
        <w:t>（1）该组成部分能够在日常活动中产生收入、发生费用；</w:t>
      </w:r>
    </w:p>
    <w:p w14:paraId="265142D0">
      <w:pPr>
        <w:pStyle w:val="18"/>
        <w:rPr>
          <w:rFonts w:hint="eastAsia"/>
        </w:rPr>
      </w:pPr>
      <w:r>
        <w:rPr>
          <w:rFonts w:hint="eastAsia"/>
        </w:rPr>
        <w:t>（2）能够定期评价该组成部分的经营成果，以决定向其配置资源、评价其业绩；</w:t>
      </w:r>
    </w:p>
    <w:p w14:paraId="47FB7BC8">
      <w:pPr>
        <w:pStyle w:val="18"/>
        <w:rPr>
          <w:rFonts w:hint="eastAsia"/>
        </w:rPr>
      </w:pPr>
      <w:r>
        <w:rPr>
          <w:rFonts w:hint="eastAsia"/>
        </w:rPr>
        <w:t>（3）能够取得该组成部分的财务状况、经营成果和现金流量等有关会计信息。</w:t>
      </w:r>
    </w:p>
    <w:p w14:paraId="55F3655C">
      <w:pPr>
        <w:pStyle w:val="18"/>
        <w:rPr>
          <w:rFonts w:hint="eastAsia"/>
        </w:rPr>
      </w:pPr>
      <w:r>
        <w:rPr>
          <w:rFonts w:hint="eastAsia"/>
        </w:rPr>
        <w:t>如果两个或多个经营分部具有相似的经济特征，并且满足一定条件的，则合并为一个经营分部。</w:t>
      </w:r>
    </w:p>
    <w:p w14:paraId="4F327BED">
      <w:pPr>
        <w:pStyle w:val="18"/>
        <w:rPr>
          <w:rFonts w:hint="eastAsia"/>
        </w:rPr>
      </w:pPr>
      <w:r>
        <w:rPr>
          <w:rFonts w:hint="eastAsia"/>
        </w:rPr>
        <w:t>本基金目前以一个经营分部运作，不需要进行分部报告的披露。</w:t>
      </w:r>
    </w:p>
    <w:p w14:paraId="43651A21">
      <w:pPr>
        <w:pStyle w:val="35"/>
      </w:pPr>
      <w:bookmarkStart w:id="65" w:name="_Toc65"/>
      <w:r>
        <w:t>其他重要的会计政策和会计估计</w:t>
      </w:r>
      <w:bookmarkEnd w:id="65"/>
    </w:p>
    <w:p w14:paraId="47514F9D">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0AD8F867">
      <w:pPr>
        <w:pStyle w:val="18"/>
        <w:rPr>
          <w:rFonts w:hint="eastAsia"/>
        </w:rPr>
      </w:pPr>
      <w:r>
        <w:rPr>
          <w:rFonts w:hint="eastAsia"/>
        </w:rPr>
        <w:t>对于在证券交易所上市或挂牌转让的固定收益品种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按照中证指数有限公司所独立提供的估值结果确定公允价值。本基金持有的银行间同业市场固定收益品种按照中债金融估值中心有限公司所独立提供的估值结果确定公允价值。</w:t>
      </w:r>
    </w:p>
    <w:p w14:paraId="69972DBA">
      <w:pPr>
        <w:pStyle w:val="28"/>
      </w:pPr>
      <w:bookmarkStart w:id="66" w:name="_Toc66"/>
      <w:r>
        <w:t xml:space="preserve">会计政策和会计估计变更以及差错更正的说明 </w:t>
      </w:r>
      <w:bookmarkEnd w:id="66"/>
    </w:p>
    <w:p w14:paraId="7756627B">
      <w:pPr>
        <w:pStyle w:val="35"/>
      </w:pPr>
      <w:bookmarkStart w:id="67" w:name="_Toc67"/>
      <w:r>
        <w:t xml:space="preserve">会计政策变更的说明 </w:t>
      </w:r>
      <w:bookmarkEnd w:id="67"/>
    </w:p>
    <w:p w14:paraId="13B400FB">
      <w:pPr>
        <w:pStyle w:val="18"/>
        <w:rPr>
          <w:rFonts w:hint="eastAsia"/>
        </w:rPr>
      </w:pPr>
      <w:r>
        <w:rPr>
          <w:rFonts w:hint="eastAsia"/>
        </w:rPr>
        <w:t>本基金本报告期未发生会计政策变更。</w:t>
      </w:r>
    </w:p>
    <w:p w14:paraId="5F6B67F1">
      <w:pPr>
        <w:pStyle w:val="35"/>
      </w:pPr>
      <w:bookmarkStart w:id="68" w:name="_Toc68"/>
      <w:r>
        <w:t>会计估计变更的说明</w:t>
      </w:r>
      <w:bookmarkEnd w:id="68"/>
    </w:p>
    <w:p w14:paraId="22E45509">
      <w:pPr>
        <w:pStyle w:val="18"/>
        <w:rPr>
          <w:rFonts w:hint="eastAsia"/>
        </w:rPr>
      </w:pPr>
      <w:r>
        <w:rPr>
          <w:rFonts w:hint="eastAsia"/>
        </w:rPr>
        <w:t>本基金本报告期未发生会计估计变更。</w:t>
      </w:r>
    </w:p>
    <w:p w14:paraId="1127DF8C">
      <w:pPr>
        <w:pStyle w:val="35"/>
      </w:pPr>
      <w:bookmarkStart w:id="69" w:name="_Toc69"/>
      <w:r>
        <w:t>差错更正的说明</w:t>
      </w:r>
      <w:bookmarkEnd w:id="69"/>
    </w:p>
    <w:p w14:paraId="4B113410">
      <w:pPr>
        <w:pStyle w:val="18"/>
        <w:rPr>
          <w:rFonts w:hint="eastAsia"/>
        </w:rPr>
      </w:pPr>
      <w:r>
        <w:rPr>
          <w:rFonts w:hint="eastAsia"/>
        </w:rPr>
        <w:t>本基金在本报告期间无须说明的会计差错更正。</w:t>
      </w:r>
    </w:p>
    <w:p w14:paraId="38EB1D48">
      <w:pPr>
        <w:pStyle w:val="28"/>
      </w:pPr>
      <w:bookmarkStart w:id="70" w:name="_Toc70"/>
      <w:r>
        <w:t>税项</w:t>
      </w:r>
      <w:bookmarkEnd w:id="70"/>
    </w:p>
    <w:p w14:paraId="6E33CBB1">
      <w:pPr>
        <w:pStyle w:val="18"/>
        <w:rPr>
          <w:rFonts w:hint="eastAsia"/>
        </w:rPr>
      </w:pPr>
      <w:r>
        <w:rPr>
          <w:rFonts w:hint="eastAsia"/>
        </w:rPr>
        <w:t>（1）增值税及附加</w:t>
      </w:r>
    </w:p>
    <w:p w14:paraId="46F30955">
      <w:pPr>
        <w:pStyle w:val="18"/>
        <w:rPr>
          <w:rFonts w:hint="eastAsia"/>
        </w:rPr>
      </w:pPr>
      <w:r>
        <w:rPr>
          <w:rFonts w:hint="eastAsia"/>
        </w:rPr>
        <w:t>根据财政部、国家税务总局财税[2016]36号文《关于全面推开营业税改征增值税试点的通知》的规定，经国务院批准，自2016年5月1日起在全国范围内全面推开营业税改征增值税试点，金融业纳入试点范围，由缴纳营业税改为缴纳增值税。对证券投资基金（封闭式证券投资基金，开放式证券投资基金）管理人运用基金买卖股票、债券的转让收入免征增值税；国债、地方政府债利息收入以及金融同业往来利息收入免征增值税；存款利息收入不征收增值税。</w:t>
      </w:r>
    </w:p>
    <w:p w14:paraId="260924BC">
      <w:pPr>
        <w:pStyle w:val="18"/>
        <w:rPr>
          <w:rFonts w:hint="eastAsia"/>
        </w:rPr>
      </w:pPr>
      <w:r>
        <w:rPr>
          <w:rFonts w:hint="eastAsia"/>
        </w:rPr>
        <w:t>根据财政部、国家税务总局财税[2016]46号文《关于进一步明确全面推开营改增试点金融业有关政策的通知》的规定，金融机构开展的质押式买入返售金融商品业务及持有政策性金融债券取得的利息收入属于金融同业往来利息收入。</w:t>
      </w:r>
    </w:p>
    <w:p w14:paraId="486F6294">
      <w:pPr>
        <w:pStyle w:val="18"/>
        <w:rPr>
          <w:rFonts w:hint="eastAsia"/>
        </w:rPr>
      </w:pPr>
      <w:r>
        <w:rPr>
          <w:rFonts w:hint="eastAsia"/>
        </w:rPr>
        <w:t>根据财政部、国家税务总局财税[2016]70号文《关于金融机构同业往来等增值税政策的补充通知》的规定，金融机构开展的买断式买入返售金融商品业务、同业存款、同业存单以及持有金融债券取得的利息收入属于金融同业往来利息收入。</w:t>
      </w:r>
    </w:p>
    <w:p w14:paraId="2F0364CA">
      <w:pPr>
        <w:pStyle w:val="18"/>
        <w:rPr>
          <w:rFonts w:hint="eastAsia"/>
        </w:rPr>
      </w:pPr>
      <w:r>
        <w:rPr>
          <w:rFonts w:hint="eastAsia"/>
        </w:rPr>
        <w:t>根据财政部、国家税务总局财税[2016]140号文《关于明确金融房地产开发教育辅助服务等增值税政策的通知》的规定，本基金运营过程中发生的增值税应税行为，以本基金的基金管理人为增值税纳税人。</w:t>
      </w:r>
    </w:p>
    <w:p w14:paraId="24CE0505">
      <w:pPr>
        <w:pStyle w:val="18"/>
        <w:rPr>
          <w:rFonts w:hint="eastAsia"/>
        </w:rPr>
      </w:pPr>
      <w:r>
        <w:rPr>
          <w:rFonts w:hint="eastAsia"/>
        </w:rPr>
        <w:t>根据财政部、国家税务总局财税[2017]56号文《关于资管产品增值税有关问题的通知》的规定，证券投资基金的基金管理人运营证券投资基金过程中发生的增值税应税行为，暂适用简易计税方法，按照3%的征收率缴纳增值税。对证券投资基金在2018年1月1日前运营过程中发生的增值税应税行为，未缴纳增值税的，不再缴纳；已缴纳增值税的，已纳税额从证券投资基金的基金管理人以后月份的增值税应纳税额中抵减。增值税应税行为的销售额根据财政部、国家税务总局财税[2017]90号文《关于租入固定资产进项税额抵扣等增值税政策的通知》的规定确定。</w:t>
      </w:r>
    </w:p>
    <w:p w14:paraId="32AF79B5">
      <w:pPr>
        <w:pStyle w:val="18"/>
        <w:rPr>
          <w:rFonts w:hint="eastAsia"/>
        </w:rPr>
      </w:pPr>
      <w:r>
        <w:rPr>
          <w:rFonts w:hint="eastAsia"/>
        </w:rPr>
        <w:t>根据财政部、国家税务总局公告2025年第4号《关于国债等债券利息收入增值税政策的公告》，自2025年8月8日起，对在该日期之后（含当日）新发行的国债、地方政府债券、金融债券的利息收入，恢复征收增值税。对在该日期之前已发行的国债、地方政府债券、金融债券（包含在2025年8月8日之后续发行的部分）的利息收入，继续免征增值税直至债券到期。</w:t>
      </w:r>
    </w:p>
    <w:p w14:paraId="305D55BF">
      <w:pPr>
        <w:pStyle w:val="18"/>
        <w:rPr>
          <w:rFonts w:hint="eastAsia"/>
        </w:rPr>
      </w:pPr>
      <w:r>
        <w:rPr>
          <w:rFonts w:hint="eastAsia"/>
        </w:rPr>
        <w:t>增值税附加税包括城市维护建设税、教育费附加和地方教育附加，以实际缴纳的增值税税额为计税依据，分别按7%、3%和2%的比例缴纳城市维护建设税、教育费附加和地方教育附加。</w:t>
      </w:r>
    </w:p>
    <w:p w14:paraId="1EB45D4F">
      <w:pPr>
        <w:pStyle w:val="18"/>
        <w:rPr>
          <w:rFonts w:hint="eastAsia"/>
        </w:rPr>
      </w:pPr>
      <w:r>
        <w:rPr>
          <w:rFonts w:hint="eastAsia"/>
        </w:rPr>
        <w:t>（2）企业所得税</w:t>
      </w:r>
    </w:p>
    <w:p w14:paraId="30ADE27E">
      <w:pPr>
        <w:pStyle w:val="18"/>
        <w:rPr>
          <w:rFonts w:hint="eastAsia"/>
        </w:rPr>
      </w:pPr>
      <w:r>
        <w:rPr>
          <w:rFonts w:hint="eastAsia"/>
        </w:rPr>
        <w:t>根据财政部、国家税务总局财税[2004]78号文《关于证券投资基金税收政策的通知》的规定，自2004年1月1日起，对证券投资基金（封闭式证券投资基金，开放式证券投资基金）管理人运用基金买卖股票、债券的差价收入，继续免征企业所得税。</w:t>
      </w:r>
    </w:p>
    <w:p w14:paraId="708F1BA2">
      <w:pPr>
        <w:pStyle w:val="18"/>
        <w:rPr>
          <w:rFonts w:hint="eastAsia"/>
        </w:rPr>
      </w:pPr>
      <w:r>
        <w:rPr>
          <w:rFonts w:hint="eastAsia"/>
        </w:rPr>
        <w:t>根据财政部、国家税务总局财税[2008]1号文《关于企业所得税若干优惠政策的通知》的规定，对证券投资基金从证券市场中取得的收入，包括买卖股票、债券的差价收入，股权的股息、红利收入，债券的利息收入及其他收入，暂不征收企业所得税。</w:t>
      </w:r>
    </w:p>
    <w:p w14:paraId="1668B688">
      <w:pPr>
        <w:pStyle w:val="18"/>
        <w:rPr>
          <w:rFonts w:hint="eastAsia"/>
        </w:rPr>
      </w:pPr>
      <w:r>
        <w:rPr>
          <w:rFonts w:hint="eastAsia"/>
        </w:rPr>
        <w:t>（3）个人所得税</w:t>
      </w:r>
    </w:p>
    <w:p w14:paraId="2B082EC3">
      <w:pPr>
        <w:pStyle w:val="18"/>
        <w:rPr>
          <w:rFonts w:hint="eastAsia"/>
        </w:rPr>
      </w:pPr>
      <w:r>
        <w:rPr>
          <w:rFonts w:hint="eastAsia"/>
        </w:rPr>
        <w:t>根据财政部、国家税务总局财税[2008]132号文《财政部、国家税务总局关于储蓄存款利息所得有关个人所得税政策的通知》的规定，自2008年10月9日起，对储蓄存款利息所得暂免征收个人所得税。</w:t>
      </w:r>
    </w:p>
    <w:p w14:paraId="5F171AD8">
      <w:pPr>
        <w:pStyle w:val="18"/>
        <w:rPr>
          <w:rFonts w:hint="eastAsia"/>
        </w:rPr>
      </w:pPr>
      <w:r>
        <w:rPr>
          <w:rFonts w:hint="eastAsia"/>
        </w:rPr>
        <w:t>根据财政部、国家税务总局、中国证监会财税[2012]85号文《关于实施上市公司股息红利差别化个人所得税政策有关问题的通知》的规定，自2013年1月1日起，（如有）证券投资基金从公开发行和转让市场取得的上市公司股票，持股期限在1个月以内（含1个月）的，其股息红利所得全额计入应纳税所得额；持股期限在1个月以上至1年（含1年）的，暂减按50%计入应纳税所得额；持股期限超过1年的，暂减按25%计入应纳税所得额。上述所得统一适用20%的税率计征个人所得税。</w:t>
      </w:r>
    </w:p>
    <w:p w14:paraId="7E3A6AA0">
      <w:pPr>
        <w:pStyle w:val="18"/>
        <w:rPr>
          <w:rFonts w:hint="eastAsia"/>
        </w:rPr>
      </w:pPr>
      <w:r>
        <w:rPr>
          <w:rFonts w:hint="eastAsia"/>
        </w:rPr>
        <w:t>根据财政部、国家税务总局、中国证监会财税[2015]101号文《关于上市公司股息红利差别化个人所得税政策有关问题的通知》的规定，自2015年9月8日起，（如有）证券投资基金从公开发行和转让市场取得的上市公司股票，持股期限超过1年的，股息红利所得暂免征收个人所得税。</w:t>
      </w:r>
    </w:p>
    <w:p w14:paraId="29A550A0">
      <w:pPr>
        <w:pStyle w:val="18"/>
        <w:rPr>
          <w:rFonts w:hint="eastAsia"/>
        </w:rPr>
      </w:pPr>
      <w:r>
        <w:rPr>
          <w:rFonts w:hint="eastAsia"/>
        </w:rPr>
        <w:t>（4）印花税（如适用）</w:t>
      </w:r>
    </w:p>
    <w:p w14:paraId="46459BEA">
      <w:pPr>
        <w:pStyle w:val="18"/>
        <w:rPr>
          <w:rFonts w:hint="eastAsia"/>
        </w:rPr>
      </w:pPr>
      <w:r>
        <w:rPr>
          <w:rFonts w:hint="eastAsia"/>
        </w:rPr>
        <w:t>经国务院批准，财政部、国家税务总局研究决定，自2008年4月24日起，调整证券（股票）交易印花税税率，由原先的3‰调整为1‰，自2008年9月19日起，调整由出让方按证券（股票）交易印花税税率缴纳印花税，受让方不再征收，税率不变；根据财政部、税务总局公告2023年第39号《关于减半征收证券交易印花税的公告》的规定，自2023年8月28日起，证券交易印花税实施减半征收。</w:t>
      </w:r>
    </w:p>
    <w:p w14:paraId="400D0A5B">
      <w:pPr>
        <w:pStyle w:val="18"/>
        <w:rPr>
          <w:rFonts w:hint="eastAsia"/>
        </w:rPr>
      </w:pPr>
      <w:r>
        <w:rPr>
          <w:rFonts w:hint="eastAsia"/>
        </w:rPr>
        <w:t>（5）境外投资</w:t>
      </w:r>
    </w:p>
    <w:p w14:paraId="2AC2870C">
      <w:pPr>
        <w:pStyle w:val="18"/>
        <w:rPr>
          <w:rFonts w:hint="eastAsia"/>
        </w:rPr>
      </w:pPr>
      <w:r>
        <w:rPr>
          <w:rFonts w:hint="eastAsia"/>
        </w:rPr>
        <w:t>本基金运作过程中如有涉及的境外投资的税项问题，根据财政部、国家税务总局、中国证监会财税[2014]81号文《关于沪港股票市场交易互联互通机制试点有关税收政策的通知》、财税[2016]127号文《关于深港股票市场交易互联互通机制试点有关税收政策的通知》及其他境内外相关税务法规的规定和实务操作执行。</w:t>
      </w:r>
    </w:p>
    <w:p w14:paraId="4595A6FE">
      <w:pPr>
        <w:pStyle w:val="28"/>
      </w:pPr>
      <w:bookmarkStart w:id="71" w:name="_Toc71"/>
      <w:r>
        <w:t xml:space="preserve">重要财务报表项目的说明 </w:t>
      </w:r>
      <w:bookmarkEnd w:id="71"/>
    </w:p>
    <w:p w14:paraId="6C461C30">
      <w:pPr>
        <w:pStyle w:val="35"/>
      </w:pPr>
      <w:bookmarkStart w:id="72" w:name="_Toc72"/>
      <w:r>
        <w:t>货币资金</w:t>
      </w:r>
      <w:bookmarkEnd w:id="72"/>
    </w:p>
    <w:p w14:paraId="4F33FAD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A000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AB0EF2A">
            <w:pPr>
              <w:jc w:val="center"/>
            </w:pPr>
            <w:r>
              <w:rPr>
                <w:rFonts w:hint="eastAsia"/>
                <w:b/>
              </w:rPr>
              <w:t>项目</w:t>
            </w:r>
          </w:p>
        </w:tc>
        <w:tc>
          <w:tcPr>
            <w:tcW w:w="2768" w:type="dxa"/>
            <w:shd w:val="clear" w:color="auto" w:fill="BFBFBF"/>
            <w:vAlign w:val="center"/>
          </w:tcPr>
          <w:p w14:paraId="11D8B0FF">
            <w:pPr>
              <w:jc w:val="center"/>
            </w:pPr>
            <w:r>
              <w:rPr>
                <w:rFonts w:hint="eastAsia"/>
                <w:b/>
              </w:rPr>
              <w:t>本期末2025年12月31日</w:t>
            </w:r>
          </w:p>
        </w:tc>
        <w:tc>
          <w:tcPr>
            <w:tcW w:w="2768" w:type="dxa"/>
            <w:shd w:val="clear" w:color="auto" w:fill="BFBFBF"/>
            <w:vAlign w:val="center"/>
          </w:tcPr>
          <w:p w14:paraId="44989AAF">
            <w:pPr>
              <w:jc w:val="center"/>
            </w:pPr>
            <w:r>
              <w:rPr>
                <w:rFonts w:hint="eastAsia"/>
                <w:b/>
              </w:rPr>
              <w:t>上年度末2024年12月31日</w:t>
            </w:r>
          </w:p>
        </w:tc>
      </w:tr>
      <w:tr w14:paraId="255DA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158F86">
            <w:r>
              <w:rPr>
                <w:rFonts w:hint="eastAsia"/>
              </w:rPr>
              <w:t>活期存款</w:t>
            </w:r>
          </w:p>
        </w:tc>
        <w:tc>
          <w:tcPr>
            <w:tcW w:w="2768" w:type="dxa"/>
            <w:vAlign w:val="center"/>
          </w:tcPr>
          <w:p w14:paraId="5B943F39">
            <w:pPr>
              <w:jc w:val="right"/>
            </w:pPr>
            <w:r>
              <w:rPr>
                <w:rFonts w:hint="eastAsia"/>
              </w:rPr>
              <w:t>19,243,160.76</w:t>
            </w:r>
          </w:p>
        </w:tc>
        <w:tc>
          <w:tcPr>
            <w:tcW w:w="2768" w:type="dxa"/>
            <w:vAlign w:val="center"/>
          </w:tcPr>
          <w:p w14:paraId="6D876A8C">
            <w:pPr>
              <w:jc w:val="right"/>
            </w:pPr>
            <w:r>
              <w:rPr>
                <w:rFonts w:hint="eastAsia"/>
              </w:rPr>
              <w:t>932,215.26</w:t>
            </w:r>
          </w:p>
        </w:tc>
      </w:tr>
      <w:tr w14:paraId="731F1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C20160">
            <w:r>
              <w:rPr>
                <w:rFonts w:hint="eastAsia"/>
              </w:rPr>
              <w:t>等于：本金</w:t>
            </w:r>
          </w:p>
        </w:tc>
        <w:tc>
          <w:tcPr>
            <w:tcW w:w="2768" w:type="dxa"/>
            <w:vAlign w:val="center"/>
          </w:tcPr>
          <w:p w14:paraId="6076B329">
            <w:pPr>
              <w:jc w:val="right"/>
            </w:pPr>
            <w:r>
              <w:rPr>
                <w:rFonts w:hint="eastAsia"/>
              </w:rPr>
              <w:t>19,242,876.39</w:t>
            </w:r>
          </w:p>
        </w:tc>
        <w:tc>
          <w:tcPr>
            <w:tcW w:w="2768" w:type="dxa"/>
            <w:vAlign w:val="center"/>
          </w:tcPr>
          <w:p w14:paraId="7BB6FD4B">
            <w:pPr>
              <w:jc w:val="right"/>
            </w:pPr>
            <w:r>
              <w:rPr>
                <w:rFonts w:hint="eastAsia"/>
              </w:rPr>
              <w:t>931,853.99</w:t>
            </w:r>
          </w:p>
        </w:tc>
      </w:tr>
      <w:tr w14:paraId="0619E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B3DF38">
            <w:r>
              <w:rPr>
                <w:rFonts w:hint="eastAsia"/>
              </w:rPr>
              <w:t xml:space="preserve">      加：应计利息</w:t>
            </w:r>
          </w:p>
        </w:tc>
        <w:tc>
          <w:tcPr>
            <w:tcW w:w="2768" w:type="dxa"/>
            <w:vAlign w:val="center"/>
          </w:tcPr>
          <w:p w14:paraId="6E99CA00">
            <w:pPr>
              <w:jc w:val="right"/>
            </w:pPr>
            <w:r>
              <w:rPr>
                <w:rFonts w:hint="eastAsia"/>
              </w:rPr>
              <w:t>284.37</w:t>
            </w:r>
          </w:p>
        </w:tc>
        <w:tc>
          <w:tcPr>
            <w:tcW w:w="2768" w:type="dxa"/>
            <w:vAlign w:val="center"/>
          </w:tcPr>
          <w:p w14:paraId="357E9A15">
            <w:pPr>
              <w:jc w:val="right"/>
            </w:pPr>
            <w:r>
              <w:rPr>
                <w:rFonts w:hint="eastAsia"/>
              </w:rPr>
              <w:t>361.27</w:t>
            </w:r>
          </w:p>
        </w:tc>
      </w:tr>
      <w:tr w14:paraId="4BE6B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5E9C2F">
            <w:r>
              <w:rPr>
                <w:rFonts w:hint="eastAsia"/>
              </w:rPr>
              <w:t xml:space="preserve">      减：坏账准备</w:t>
            </w:r>
          </w:p>
        </w:tc>
        <w:tc>
          <w:tcPr>
            <w:tcW w:w="2768" w:type="dxa"/>
            <w:vAlign w:val="center"/>
          </w:tcPr>
          <w:p w14:paraId="56EC2897">
            <w:pPr>
              <w:jc w:val="right"/>
            </w:pPr>
            <w:r>
              <w:rPr>
                <w:rFonts w:hint="eastAsia"/>
              </w:rPr>
              <w:t>-</w:t>
            </w:r>
          </w:p>
        </w:tc>
        <w:tc>
          <w:tcPr>
            <w:tcW w:w="2768" w:type="dxa"/>
            <w:vAlign w:val="center"/>
          </w:tcPr>
          <w:p w14:paraId="111FC92B">
            <w:pPr>
              <w:jc w:val="right"/>
            </w:pPr>
            <w:r>
              <w:rPr>
                <w:rFonts w:hint="eastAsia"/>
              </w:rPr>
              <w:t>-</w:t>
            </w:r>
          </w:p>
        </w:tc>
      </w:tr>
      <w:tr w14:paraId="56829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46107B">
            <w:r>
              <w:rPr>
                <w:rFonts w:hint="eastAsia"/>
              </w:rPr>
              <w:t>定期存款</w:t>
            </w:r>
          </w:p>
        </w:tc>
        <w:tc>
          <w:tcPr>
            <w:tcW w:w="2768" w:type="dxa"/>
            <w:vAlign w:val="center"/>
          </w:tcPr>
          <w:p w14:paraId="7106E21A">
            <w:pPr>
              <w:jc w:val="right"/>
            </w:pPr>
            <w:r>
              <w:rPr>
                <w:rFonts w:hint="eastAsia"/>
              </w:rPr>
              <w:t>-</w:t>
            </w:r>
          </w:p>
        </w:tc>
        <w:tc>
          <w:tcPr>
            <w:tcW w:w="2768" w:type="dxa"/>
            <w:vAlign w:val="center"/>
          </w:tcPr>
          <w:p w14:paraId="608D1AAC">
            <w:pPr>
              <w:jc w:val="right"/>
            </w:pPr>
            <w:r>
              <w:rPr>
                <w:rFonts w:hint="eastAsia"/>
              </w:rPr>
              <w:t>-</w:t>
            </w:r>
          </w:p>
        </w:tc>
      </w:tr>
      <w:tr w14:paraId="4938B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D62B2D">
            <w:r>
              <w:rPr>
                <w:rFonts w:hint="eastAsia"/>
              </w:rPr>
              <w:t>等于：本金</w:t>
            </w:r>
          </w:p>
        </w:tc>
        <w:tc>
          <w:tcPr>
            <w:tcW w:w="2768" w:type="dxa"/>
            <w:vAlign w:val="center"/>
          </w:tcPr>
          <w:p w14:paraId="6E1DFEAA">
            <w:pPr>
              <w:jc w:val="right"/>
            </w:pPr>
            <w:r>
              <w:rPr>
                <w:rFonts w:hint="eastAsia"/>
              </w:rPr>
              <w:t>-</w:t>
            </w:r>
          </w:p>
        </w:tc>
        <w:tc>
          <w:tcPr>
            <w:tcW w:w="2768" w:type="dxa"/>
            <w:vAlign w:val="center"/>
          </w:tcPr>
          <w:p w14:paraId="44FD7538">
            <w:pPr>
              <w:jc w:val="right"/>
            </w:pPr>
            <w:r>
              <w:rPr>
                <w:rFonts w:hint="eastAsia"/>
              </w:rPr>
              <w:t>-</w:t>
            </w:r>
          </w:p>
        </w:tc>
      </w:tr>
      <w:tr w14:paraId="20E7C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B0E52D">
            <w:r>
              <w:rPr>
                <w:rFonts w:hint="eastAsia"/>
              </w:rPr>
              <w:t xml:space="preserve">      加：应计利息</w:t>
            </w:r>
          </w:p>
        </w:tc>
        <w:tc>
          <w:tcPr>
            <w:tcW w:w="2768" w:type="dxa"/>
            <w:vAlign w:val="center"/>
          </w:tcPr>
          <w:p w14:paraId="420F28D9">
            <w:pPr>
              <w:jc w:val="right"/>
            </w:pPr>
            <w:r>
              <w:rPr>
                <w:rFonts w:hint="eastAsia"/>
              </w:rPr>
              <w:t>-</w:t>
            </w:r>
          </w:p>
        </w:tc>
        <w:tc>
          <w:tcPr>
            <w:tcW w:w="2768" w:type="dxa"/>
            <w:vAlign w:val="center"/>
          </w:tcPr>
          <w:p w14:paraId="5AE3101E">
            <w:pPr>
              <w:jc w:val="right"/>
            </w:pPr>
            <w:r>
              <w:rPr>
                <w:rFonts w:hint="eastAsia"/>
              </w:rPr>
              <w:t>-</w:t>
            </w:r>
          </w:p>
        </w:tc>
      </w:tr>
      <w:tr w14:paraId="2708C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A572AA">
            <w:r>
              <w:rPr>
                <w:rFonts w:hint="eastAsia"/>
              </w:rPr>
              <w:t xml:space="preserve">      减：坏账准备</w:t>
            </w:r>
          </w:p>
        </w:tc>
        <w:tc>
          <w:tcPr>
            <w:tcW w:w="2768" w:type="dxa"/>
            <w:vAlign w:val="center"/>
          </w:tcPr>
          <w:p w14:paraId="543E2CD8">
            <w:pPr>
              <w:jc w:val="right"/>
            </w:pPr>
            <w:r>
              <w:rPr>
                <w:rFonts w:hint="eastAsia"/>
              </w:rPr>
              <w:t>-</w:t>
            </w:r>
          </w:p>
        </w:tc>
        <w:tc>
          <w:tcPr>
            <w:tcW w:w="2768" w:type="dxa"/>
            <w:vAlign w:val="center"/>
          </w:tcPr>
          <w:p w14:paraId="101CB356">
            <w:pPr>
              <w:jc w:val="right"/>
            </w:pPr>
            <w:r>
              <w:rPr>
                <w:rFonts w:hint="eastAsia"/>
              </w:rPr>
              <w:t>-</w:t>
            </w:r>
          </w:p>
        </w:tc>
      </w:tr>
      <w:tr w14:paraId="0529D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F2BE57">
            <w:r>
              <w:rPr>
                <w:rFonts w:hint="eastAsia"/>
              </w:rPr>
              <w:t>其中：存款期限1个月以内</w:t>
            </w:r>
          </w:p>
        </w:tc>
        <w:tc>
          <w:tcPr>
            <w:tcW w:w="2768" w:type="dxa"/>
            <w:vAlign w:val="center"/>
          </w:tcPr>
          <w:p w14:paraId="41FE02D2">
            <w:pPr>
              <w:jc w:val="right"/>
            </w:pPr>
            <w:r>
              <w:rPr>
                <w:rFonts w:hint="eastAsia"/>
              </w:rPr>
              <w:t>-</w:t>
            </w:r>
          </w:p>
        </w:tc>
        <w:tc>
          <w:tcPr>
            <w:tcW w:w="2768" w:type="dxa"/>
            <w:vAlign w:val="center"/>
          </w:tcPr>
          <w:p w14:paraId="56661D25">
            <w:pPr>
              <w:jc w:val="right"/>
            </w:pPr>
            <w:r>
              <w:rPr>
                <w:rFonts w:hint="eastAsia"/>
              </w:rPr>
              <w:t>-</w:t>
            </w:r>
          </w:p>
        </w:tc>
      </w:tr>
      <w:tr w14:paraId="21555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6CBF6E">
            <w:r>
              <w:rPr>
                <w:rFonts w:hint="eastAsia"/>
              </w:rPr>
              <w:t xml:space="preserve">      存款期限1-3个月</w:t>
            </w:r>
          </w:p>
        </w:tc>
        <w:tc>
          <w:tcPr>
            <w:tcW w:w="2768" w:type="dxa"/>
            <w:vAlign w:val="center"/>
          </w:tcPr>
          <w:p w14:paraId="168F9A67">
            <w:pPr>
              <w:jc w:val="right"/>
            </w:pPr>
            <w:r>
              <w:rPr>
                <w:rFonts w:hint="eastAsia"/>
              </w:rPr>
              <w:t>-</w:t>
            </w:r>
          </w:p>
        </w:tc>
        <w:tc>
          <w:tcPr>
            <w:tcW w:w="2768" w:type="dxa"/>
            <w:vAlign w:val="center"/>
          </w:tcPr>
          <w:p w14:paraId="4BBDAA21">
            <w:pPr>
              <w:jc w:val="right"/>
            </w:pPr>
            <w:r>
              <w:rPr>
                <w:rFonts w:hint="eastAsia"/>
              </w:rPr>
              <w:t>-</w:t>
            </w:r>
          </w:p>
        </w:tc>
      </w:tr>
      <w:tr w14:paraId="6B2C5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02CC61">
            <w:r>
              <w:rPr>
                <w:rFonts w:hint="eastAsia"/>
              </w:rPr>
              <w:t xml:space="preserve">      存款期限3个月以上</w:t>
            </w:r>
          </w:p>
        </w:tc>
        <w:tc>
          <w:tcPr>
            <w:tcW w:w="2768" w:type="dxa"/>
            <w:vAlign w:val="center"/>
          </w:tcPr>
          <w:p w14:paraId="29BFB92B">
            <w:pPr>
              <w:jc w:val="right"/>
            </w:pPr>
            <w:r>
              <w:rPr>
                <w:rFonts w:hint="eastAsia"/>
              </w:rPr>
              <w:t>-</w:t>
            </w:r>
          </w:p>
        </w:tc>
        <w:tc>
          <w:tcPr>
            <w:tcW w:w="2768" w:type="dxa"/>
            <w:vAlign w:val="center"/>
          </w:tcPr>
          <w:p w14:paraId="2AA815F0">
            <w:pPr>
              <w:jc w:val="right"/>
            </w:pPr>
            <w:r>
              <w:rPr>
                <w:rFonts w:hint="eastAsia"/>
              </w:rPr>
              <w:t>-</w:t>
            </w:r>
          </w:p>
        </w:tc>
      </w:tr>
      <w:tr w14:paraId="0C9E5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7F7A4D">
            <w:r>
              <w:rPr>
                <w:rFonts w:hint="eastAsia"/>
              </w:rPr>
              <w:t>其他存款</w:t>
            </w:r>
          </w:p>
        </w:tc>
        <w:tc>
          <w:tcPr>
            <w:tcW w:w="2768" w:type="dxa"/>
            <w:vAlign w:val="center"/>
          </w:tcPr>
          <w:p w14:paraId="5DB4CBBE">
            <w:pPr>
              <w:jc w:val="right"/>
            </w:pPr>
            <w:r>
              <w:rPr>
                <w:rFonts w:hint="eastAsia"/>
              </w:rPr>
              <w:t>-</w:t>
            </w:r>
          </w:p>
        </w:tc>
        <w:tc>
          <w:tcPr>
            <w:tcW w:w="2768" w:type="dxa"/>
            <w:vAlign w:val="center"/>
          </w:tcPr>
          <w:p w14:paraId="473CFF0F">
            <w:pPr>
              <w:jc w:val="right"/>
            </w:pPr>
            <w:r>
              <w:rPr>
                <w:rFonts w:hint="eastAsia"/>
              </w:rPr>
              <w:t>-</w:t>
            </w:r>
          </w:p>
        </w:tc>
      </w:tr>
      <w:tr w14:paraId="4B510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619829">
            <w:r>
              <w:rPr>
                <w:rFonts w:hint="eastAsia"/>
              </w:rPr>
              <w:t>等于：本金</w:t>
            </w:r>
          </w:p>
        </w:tc>
        <w:tc>
          <w:tcPr>
            <w:tcW w:w="2768" w:type="dxa"/>
            <w:vAlign w:val="center"/>
          </w:tcPr>
          <w:p w14:paraId="252C02F2">
            <w:pPr>
              <w:jc w:val="right"/>
            </w:pPr>
            <w:r>
              <w:rPr>
                <w:rFonts w:hint="eastAsia"/>
              </w:rPr>
              <w:t>-</w:t>
            </w:r>
          </w:p>
        </w:tc>
        <w:tc>
          <w:tcPr>
            <w:tcW w:w="2768" w:type="dxa"/>
            <w:vAlign w:val="center"/>
          </w:tcPr>
          <w:p w14:paraId="717E8C51">
            <w:pPr>
              <w:jc w:val="right"/>
            </w:pPr>
            <w:r>
              <w:rPr>
                <w:rFonts w:hint="eastAsia"/>
              </w:rPr>
              <w:t>-</w:t>
            </w:r>
          </w:p>
        </w:tc>
      </w:tr>
      <w:tr w14:paraId="70822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60E4CB">
            <w:r>
              <w:rPr>
                <w:rFonts w:hint="eastAsia"/>
              </w:rPr>
              <w:t xml:space="preserve">      加：应计利息</w:t>
            </w:r>
          </w:p>
        </w:tc>
        <w:tc>
          <w:tcPr>
            <w:tcW w:w="2768" w:type="dxa"/>
            <w:vAlign w:val="center"/>
          </w:tcPr>
          <w:p w14:paraId="0A9630DE">
            <w:pPr>
              <w:jc w:val="right"/>
            </w:pPr>
            <w:r>
              <w:rPr>
                <w:rFonts w:hint="eastAsia"/>
              </w:rPr>
              <w:t>-</w:t>
            </w:r>
          </w:p>
        </w:tc>
        <w:tc>
          <w:tcPr>
            <w:tcW w:w="2768" w:type="dxa"/>
            <w:vAlign w:val="center"/>
          </w:tcPr>
          <w:p w14:paraId="31FC8A35">
            <w:pPr>
              <w:jc w:val="right"/>
            </w:pPr>
            <w:r>
              <w:rPr>
                <w:rFonts w:hint="eastAsia"/>
              </w:rPr>
              <w:t>-</w:t>
            </w:r>
          </w:p>
        </w:tc>
      </w:tr>
      <w:tr w14:paraId="62948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C392E9">
            <w:r>
              <w:rPr>
                <w:rFonts w:hint="eastAsia"/>
              </w:rPr>
              <w:t xml:space="preserve">      减：坏账准备</w:t>
            </w:r>
          </w:p>
        </w:tc>
        <w:tc>
          <w:tcPr>
            <w:tcW w:w="2768" w:type="dxa"/>
            <w:vAlign w:val="center"/>
          </w:tcPr>
          <w:p w14:paraId="071FF95D">
            <w:pPr>
              <w:jc w:val="right"/>
            </w:pPr>
            <w:r>
              <w:rPr>
                <w:rFonts w:hint="eastAsia"/>
              </w:rPr>
              <w:t>-</w:t>
            </w:r>
          </w:p>
        </w:tc>
        <w:tc>
          <w:tcPr>
            <w:tcW w:w="2768" w:type="dxa"/>
            <w:vAlign w:val="center"/>
          </w:tcPr>
          <w:p w14:paraId="31085CE1">
            <w:pPr>
              <w:jc w:val="right"/>
            </w:pPr>
            <w:r>
              <w:rPr>
                <w:rFonts w:hint="eastAsia"/>
              </w:rPr>
              <w:t>-</w:t>
            </w:r>
          </w:p>
        </w:tc>
      </w:tr>
      <w:tr w14:paraId="676A9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2E6900">
            <w:r>
              <w:rPr>
                <w:rFonts w:hint="eastAsia"/>
              </w:rPr>
              <w:t>合计</w:t>
            </w:r>
          </w:p>
        </w:tc>
        <w:tc>
          <w:tcPr>
            <w:tcW w:w="2768" w:type="dxa"/>
            <w:vAlign w:val="center"/>
          </w:tcPr>
          <w:p w14:paraId="2088EF03">
            <w:pPr>
              <w:jc w:val="right"/>
            </w:pPr>
            <w:r>
              <w:rPr>
                <w:rFonts w:hint="eastAsia"/>
              </w:rPr>
              <w:t>19,243,160.76</w:t>
            </w:r>
          </w:p>
        </w:tc>
        <w:tc>
          <w:tcPr>
            <w:tcW w:w="2768" w:type="dxa"/>
            <w:vAlign w:val="center"/>
          </w:tcPr>
          <w:p w14:paraId="557B0103">
            <w:pPr>
              <w:jc w:val="right"/>
            </w:pPr>
            <w:r>
              <w:rPr>
                <w:rFonts w:hint="eastAsia"/>
              </w:rPr>
              <w:t>932,215.26</w:t>
            </w:r>
          </w:p>
        </w:tc>
      </w:tr>
    </w:tbl>
    <w:p w14:paraId="7031BC11">
      <w:pPr>
        <w:pStyle w:val="35"/>
      </w:pPr>
      <w:bookmarkStart w:id="73" w:name="_Toc73"/>
      <w:r>
        <w:t>交易性金融资产</w:t>
      </w:r>
      <w:bookmarkEnd w:id="73"/>
    </w:p>
    <w:p w14:paraId="1FD7E729">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7B49C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5A33D8C2">
            <w:r>
              <w:rPr>
                <w:rFonts w:hint="eastAsia"/>
              </w:rPr>
              <w:t>项目</w:t>
            </w:r>
          </w:p>
        </w:tc>
        <w:tc>
          <w:tcPr>
            <w:tcW w:w="1860" w:type="dxa"/>
            <w:gridSpan w:val="4"/>
            <w:vAlign w:val="center"/>
          </w:tcPr>
          <w:p w14:paraId="1DCBEBB3">
            <w:r>
              <w:rPr>
                <w:rFonts w:hint="eastAsia"/>
              </w:rPr>
              <w:t>本期末2025年12月31日</w:t>
            </w:r>
          </w:p>
        </w:tc>
      </w:tr>
      <w:tr w14:paraId="11E8E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07C2E898"/>
        </w:tc>
        <w:tc>
          <w:tcPr>
            <w:tcW w:w="1860" w:type="dxa"/>
            <w:vAlign w:val="center"/>
          </w:tcPr>
          <w:p w14:paraId="57002B40">
            <w:r>
              <w:rPr>
                <w:rFonts w:hint="eastAsia"/>
              </w:rPr>
              <w:t>成本</w:t>
            </w:r>
          </w:p>
        </w:tc>
        <w:tc>
          <w:tcPr>
            <w:tcW w:w="1517" w:type="dxa"/>
            <w:vAlign w:val="center"/>
          </w:tcPr>
          <w:p w14:paraId="23A1280E">
            <w:r>
              <w:rPr>
                <w:rFonts w:hint="eastAsia"/>
              </w:rPr>
              <w:t>应计利息</w:t>
            </w:r>
          </w:p>
        </w:tc>
        <w:tc>
          <w:tcPr>
            <w:tcW w:w="1860" w:type="dxa"/>
            <w:vAlign w:val="center"/>
          </w:tcPr>
          <w:p w14:paraId="4F34F1F6">
            <w:r>
              <w:rPr>
                <w:rFonts w:hint="eastAsia"/>
              </w:rPr>
              <w:t>公允价值</w:t>
            </w:r>
          </w:p>
        </w:tc>
        <w:tc>
          <w:tcPr>
            <w:tcW w:w="1517" w:type="dxa"/>
            <w:vAlign w:val="center"/>
          </w:tcPr>
          <w:p w14:paraId="547C3D2D">
            <w:r>
              <w:rPr>
                <w:rFonts w:hint="eastAsia"/>
              </w:rPr>
              <w:t>公允价值变动</w:t>
            </w:r>
          </w:p>
        </w:tc>
      </w:tr>
      <w:tr w14:paraId="0E684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20FB4EE">
            <w:r>
              <w:rPr>
                <w:rFonts w:hint="eastAsia"/>
              </w:rPr>
              <w:t>股票</w:t>
            </w:r>
          </w:p>
        </w:tc>
        <w:tc>
          <w:tcPr>
            <w:tcW w:w="1860" w:type="dxa"/>
            <w:vAlign w:val="center"/>
          </w:tcPr>
          <w:p w14:paraId="05AB8326">
            <w:pPr>
              <w:jc w:val="right"/>
            </w:pPr>
            <w:r>
              <w:rPr>
                <w:rFonts w:hint="eastAsia"/>
              </w:rPr>
              <w:t>-</w:t>
            </w:r>
          </w:p>
        </w:tc>
        <w:tc>
          <w:tcPr>
            <w:tcW w:w="1517" w:type="dxa"/>
            <w:vAlign w:val="center"/>
          </w:tcPr>
          <w:p w14:paraId="55FE46AC">
            <w:pPr>
              <w:jc w:val="right"/>
            </w:pPr>
            <w:r>
              <w:rPr>
                <w:rFonts w:hint="eastAsia"/>
              </w:rPr>
              <w:t>-</w:t>
            </w:r>
          </w:p>
        </w:tc>
        <w:tc>
          <w:tcPr>
            <w:tcW w:w="1860" w:type="dxa"/>
            <w:vAlign w:val="center"/>
          </w:tcPr>
          <w:p w14:paraId="0558C92D">
            <w:pPr>
              <w:jc w:val="right"/>
            </w:pPr>
            <w:r>
              <w:rPr>
                <w:rFonts w:hint="eastAsia"/>
              </w:rPr>
              <w:t>-</w:t>
            </w:r>
          </w:p>
        </w:tc>
        <w:tc>
          <w:tcPr>
            <w:tcW w:w="1517" w:type="dxa"/>
            <w:vAlign w:val="center"/>
          </w:tcPr>
          <w:p w14:paraId="5705520D">
            <w:pPr>
              <w:jc w:val="right"/>
            </w:pPr>
            <w:r>
              <w:rPr>
                <w:rFonts w:hint="eastAsia"/>
              </w:rPr>
              <w:t>-</w:t>
            </w:r>
          </w:p>
        </w:tc>
      </w:tr>
      <w:tr w14:paraId="638CF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C0076B2">
            <w:r>
              <w:rPr>
                <w:rFonts w:hint="eastAsia"/>
              </w:rPr>
              <w:t>贵金属投资-金交所黄金合约</w:t>
            </w:r>
          </w:p>
        </w:tc>
        <w:tc>
          <w:tcPr>
            <w:tcW w:w="1860" w:type="dxa"/>
            <w:vAlign w:val="center"/>
          </w:tcPr>
          <w:p w14:paraId="5DC0EEEB">
            <w:pPr>
              <w:jc w:val="right"/>
            </w:pPr>
            <w:r>
              <w:rPr>
                <w:rFonts w:hint="eastAsia"/>
              </w:rPr>
              <w:t>-</w:t>
            </w:r>
          </w:p>
        </w:tc>
        <w:tc>
          <w:tcPr>
            <w:tcW w:w="1517" w:type="dxa"/>
            <w:vAlign w:val="center"/>
          </w:tcPr>
          <w:p w14:paraId="74C2DFB2">
            <w:pPr>
              <w:jc w:val="right"/>
            </w:pPr>
            <w:r>
              <w:rPr>
                <w:rFonts w:hint="eastAsia"/>
              </w:rPr>
              <w:t>-</w:t>
            </w:r>
          </w:p>
        </w:tc>
        <w:tc>
          <w:tcPr>
            <w:tcW w:w="1860" w:type="dxa"/>
            <w:vAlign w:val="center"/>
          </w:tcPr>
          <w:p w14:paraId="656D34B2">
            <w:pPr>
              <w:jc w:val="right"/>
            </w:pPr>
            <w:r>
              <w:rPr>
                <w:rFonts w:hint="eastAsia"/>
              </w:rPr>
              <w:t>-</w:t>
            </w:r>
          </w:p>
        </w:tc>
        <w:tc>
          <w:tcPr>
            <w:tcW w:w="1517" w:type="dxa"/>
            <w:vAlign w:val="center"/>
          </w:tcPr>
          <w:p w14:paraId="5FE3A803">
            <w:pPr>
              <w:jc w:val="right"/>
            </w:pPr>
            <w:r>
              <w:rPr>
                <w:rFonts w:hint="eastAsia"/>
              </w:rPr>
              <w:t>-</w:t>
            </w:r>
          </w:p>
        </w:tc>
      </w:tr>
      <w:tr w14:paraId="21D5E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18658604">
            <w:r>
              <w:rPr>
                <w:rFonts w:hint="eastAsia"/>
              </w:rPr>
              <w:t>债券</w:t>
            </w:r>
          </w:p>
        </w:tc>
        <w:tc>
          <w:tcPr>
            <w:tcW w:w="897" w:type="dxa"/>
            <w:vAlign w:val="center"/>
          </w:tcPr>
          <w:p w14:paraId="6E8399FC">
            <w:r>
              <w:rPr>
                <w:rFonts w:hint="eastAsia"/>
              </w:rPr>
              <w:t>交易所市场</w:t>
            </w:r>
          </w:p>
        </w:tc>
        <w:tc>
          <w:tcPr>
            <w:tcW w:w="1860" w:type="dxa"/>
            <w:vAlign w:val="center"/>
          </w:tcPr>
          <w:p w14:paraId="536D3FE9">
            <w:pPr>
              <w:jc w:val="right"/>
            </w:pPr>
            <w:r>
              <w:rPr>
                <w:rFonts w:hint="eastAsia"/>
              </w:rPr>
              <w:t>150,647,040.27</w:t>
            </w:r>
          </w:p>
        </w:tc>
        <w:tc>
          <w:tcPr>
            <w:tcW w:w="1517" w:type="dxa"/>
            <w:vAlign w:val="center"/>
          </w:tcPr>
          <w:p w14:paraId="2E081CCB">
            <w:pPr>
              <w:jc w:val="right"/>
            </w:pPr>
            <w:r>
              <w:rPr>
                <w:rFonts w:hint="eastAsia"/>
              </w:rPr>
              <w:t>547,754.53</w:t>
            </w:r>
          </w:p>
        </w:tc>
        <w:tc>
          <w:tcPr>
            <w:tcW w:w="1860" w:type="dxa"/>
            <w:vAlign w:val="center"/>
          </w:tcPr>
          <w:p w14:paraId="7E763C73">
            <w:pPr>
              <w:jc w:val="right"/>
            </w:pPr>
            <w:r>
              <w:rPr>
                <w:rFonts w:hint="eastAsia"/>
              </w:rPr>
              <w:t>151,296,754.53</w:t>
            </w:r>
          </w:p>
        </w:tc>
        <w:tc>
          <w:tcPr>
            <w:tcW w:w="1517" w:type="dxa"/>
            <w:vAlign w:val="center"/>
          </w:tcPr>
          <w:p w14:paraId="6D3364C1">
            <w:pPr>
              <w:jc w:val="right"/>
            </w:pPr>
            <w:r>
              <w:rPr>
                <w:rFonts w:hint="eastAsia"/>
              </w:rPr>
              <w:t>101,959.73</w:t>
            </w:r>
          </w:p>
        </w:tc>
      </w:tr>
      <w:tr w14:paraId="218CB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BD9DE3A"/>
        </w:tc>
        <w:tc>
          <w:tcPr>
            <w:tcW w:w="897" w:type="dxa"/>
            <w:vAlign w:val="center"/>
          </w:tcPr>
          <w:p w14:paraId="5D4290CE">
            <w:r>
              <w:rPr>
                <w:rFonts w:hint="eastAsia"/>
              </w:rPr>
              <w:t>银行间市场</w:t>
            </w:r>
          </w:p>
        </w:tc>
        <w:tc>
          <w:tcPr>
            <w:tcW w:w="1860" w:type="dxa"/>
            <w:vAlign w:val="center"/>
          </w:tcPr>
          <w:p w14:paraId="2DF3FC64">
            <w:pPr>
              <w:jc w:val="right"/>
            </w:pPr>
            <w:r>
              <w:rPr>
                <w:rFonts w:hint="eastAsia"/>
              </w:rPr>
              <w:t>1,039,538,232.34</w:t>
            </w:r>
          </w:p>
        </w:tc>
        <w:tc>
          <w:tcPr>
            <w:tcW w:w="1517" w:type="dxa"/>
            <w:vAlign w:val="center"/>
          </w:tcPr>
          <w:p w14:paraId="09CEA689">
            <w:pPr>
              <w:jc w:val="right"/>
            </w:pPr>
            <w:r>
              <w:rPr>
                <w:rFonts w:hint="eastAsia"/>
              </w:rPr>
              <w:t>11,277,387.38</w:t>
            </w:r>
          </w:p>
        </w:tc>
        <w:tc>
          <w:tcPr>
            <w:tcW w:w="1860" w:type="dxa"/>
            <w:vAlign w:val="center"/>
          </w:tcPr>
          <w:p w14:paraId="5656DEA1">
            <w:pPr>
              <w:jc w:val="right"/>
            </w:pPr>
            <w:r>
              <w:rPr>
                <w:rFonts w:hint="eastAsia"/>
              </w:rPr>
              <w:t>1,050,374,387.38</w:t>
            </w:r>
          </w:p>
        </w:tc>
        <w:tc>
          <w:tcPr>
            <w:tcW w:w="1517" w:type="dxa"/>
            <w:vAlign w:val="center"/>
          </w:tcPr>
          <w:p w14:paraId="7A0CF9B0">
            <w:pPr>
              <w:jc w:val="right"/>
            </w:pPr>
            <w:r>
              <w:rPr>
                <w:rFonts w:hint="eastAsia"/>
              </w:rPr>
              <w:t>-441,232.34</w:t>
            </w:r>
          </w:p>
        </w:tc>
      </w:tr>
      <w:tr w14:paraId="00266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15B9F2C1"/>
        </w:tc>
        <w:tc>
          <w:tcPr>
            <w:tcW w:w="897" w:type="dxa"/>
            <w:vAlign w:val="center"/>
          </w:tcPr>
          <w:p w14:paraId="11FF3EF3">
            <w:r>
              <w:rPr>
                <w:rFonts w:hint="eastAsia"/>
              </w:rPr>
              <w:t>合计</w:t>
            </w:r>
          </w:p>
        </w:tc>
        <w:tc>
          <w:tcPr>
            <w:tcW w:w="1860" w:type="dxa"/>
            <w:vAlign w:val="center"/>
          </w:tcPr>
          <w:p w14:paraId="69F75D5B">
            <w:pPr>
              <w:jc w:val="right"/>
            </w:pPr>
            <w:r>
              <w:rPr>
                <w:rFonts w:hint="eastAsia"/>
              </w:rPr>
              <w:t>1,190,185,272.61</w:t>
            </w:r>
          </w:p>
        </w:tc>
        <w:tc>
          <w:tcPr>
            <w:tcW w:w="1517" w:type="dxa"/>
            <w:vAlign w:val="center"/>
          </w:tcPr>
          <w:p w14:paraId="66FCF6A5">
            <w:pPr>
              <w:jc w:val="right"/>
            </w:pPr>
            <w:r>
              <w:rPr>
                <w:rFonts w:hint="eastAsia"/>
              </w:rPr>
              <w:t>11,825,141.91</w:t>
            </w:r>
          </w:p>
        </w:tc>
        <w:tc>
          <w:tcPr>
            <w:tcW w:w="1860" w:type="dxa"/>
            <w:vAlign w:val="center"/>
          </w:tcPr>
          <w:p w14:paraId="4D23E0A9">
            <w:pPr>
              <w:jc w:val="right"/>
            </w:pPr>
            <w:r>
              <w:rPr>
                <w:rFonts w:hint="eastAsia"/>
              </w:rPr>
              <w:t>1,201,671,141.91</w:t>
            </w:r>
          </w:p>
        </w:tc>
        <w:tc>
          <w:tcPr>
            <w:tcW w:w="1517" w:type="dxa"/>
            <w:vAlign w:val="center"/>
          </w:tcPr>
          <w:p w14:paraId="07797464">
            <w:pPr>
              <w:jc w:val="right"/>
            </w:pPr>
            <w:r>
              <w:rPr>
                <w:rFonts w:hint="eastAsia"/>
              </w:rPr>
              <w:t>-339,272.61</w:t>
            </w:r>
          </w:p>
        </w:tc>
      </w:tr>
      <w:tr w14:paraId="1AAE1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A3D680E">
            <w:r>
              <w:rPr>
                <w:rFonts w:hint="eastAsia"/>
              </w:rPr>
              <w:t>资产支持证券</w:t>
            </w:r>
          </w:p>
        </w:tc>
        <w:tc>
          <w:tcPr>
            <w:tcW w:w="1860" w:type="dxa"/>
            <w:vAlign w:val="center"/>
          </w:tcPr>
          <w:p w14:paraId="7993F20D">
            <w:pPr>
              <w:jc w:val="right"/>
            </w:pPr>
            <w:r>
              <w:rPr>
                <w:rFonts w:hint="eastAsia"/>
              </w:rPr>
              <w:t>-</w:t>
            </w:r>
          </w:p>
        </w:tc>
        <w:tc>
          <w:tcPr>
            <w:tcW w:w="1517" w:type="dxa"/>
            <w:vAlign w:val="center"/>
          </w:tcPr>
          <w:p w14:paraId="7682F5BE">
            <w:pPr>
              <w:jc w:val="right"/>
            </w:pPr>
            <w:r>
              <w:rPr>
                <w:rFonts w:hint="eastAsia"/>
              </w:rPr>
              <w:t>-</w:t>
            </w:r>
          </w:p>
        </w:tc>
        <w:tc>
          <w:tcPr>
            <w:tcW w:w="1860" w:type="dxa"/>
            <w:vAlign w:val="center"/>
          </w:tcPr>
          <w:p w14:paraId="052D3762">
            <w:pPr>
              <w:jc w:val="right"/>
            </w:pPr>
            <w:r>
              <w:rPr>
                <w:rFonts w:hint="eastAsia"/>
              </w:rPr>
              <w:t>-</w:t>
            </w:r>
          </w:p>
        </w:tc>
        <w:tc>
          <w:tcPr>
            <w:tcW w:w="1517" w:type="dxa"/>
            <w:vAlign w:val="center"/>
          </w:tcPr>
          <w:p w14:paraId="3FDF7402">
            <w:pPr>
              <w:jc w:val="right"/>
            </w:pPr>
            <w:r>
              <w:rPr>
                <w:rFonts w:hint="eastAsia"/>
              </w:rPr>
              <w:t>-</w:t>
            </w:r>
          </w:p>
        </w:tc>
      </w:tr>
      <w:tr w14:paraId="77559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615B2BB">
            <w:r>
              <w:rPr>
                <w:rFonts w:hint="eastAsia"/>
              </w:rPr>
              <w:t>基金</w:t>
            </w:r>
          </w:p>
        </w:tc>
        <w:tc>
          <w:tcPr>
            <w:tcW w:w="1860" w:type="dxa"/>
            <w:vAlign w:val="center"/>
          </w:tcPr>
          <w:p w14:paraId="0948D313">
            <w:pPr>
              <w:jc w:val="right"/>
            </w:pPr>
            <w:r>
              <w:rPr>
                <w:rFonts w:hint="eastAsia"/>
              </w:rPr>
              <w:t>-</w:t>
            </w:r>
          </w:p>
        </w:tc>
        <w:tc>
          <w:tcPr>
            <w:tcW w:w="1517" w:type="dxa"/>
            <w:vAlign w:val="center"/>
          </w:tcPr>
          <w:p w14:paraId="7BD64042">
            <w:pPr>
              <w:jc w:val="right"/>
            </w:pPr>
            <w:r>
              <w:rPr>
                <w:rFonts w:hint="eastAsia"/>
              </w:rPr>
              <w:t>-</w:t>
            </w:r>
          </w:p>
        </w:tc>
        <w:tc>
          <w:tcPr>
            <w:tcW w:w="1860" w:type="dxa"/>
            <w:vAlign w:val="center"/>
          </w:tcPr>
          <w:p w14:paraId="4DF00CFC">
            <w:pPr>
              <w:jc w:val="right"/>
            </w:pPr>
            <w:r>
              <w:rPr>
                <w:rFonts w:hint="eastAsia"/>
              </w:rPr>
              <w:t>-</w:t>
            </w:r>
          </w:p>
        </w:tc>
        <w:tc>
          <w:tcPr>
            <w:tcW w:w="1517" w:type="dxa"/>
            <w:vAlign w:val="center"/>
          </w:tcPr>
          <w:p w14:paraId="741F1202">
            <w:pPr>
              <w:jc w:val="right"/>
            </w:pPr>
            <w:r>
              <w:rPr>
                <w:rFonts w:hint="eastAsia"/>
              </w:rPr>
              <w:t>-</w:t>
            </w:r>
          </w:p>
        </w:tc>
      </w:tr>
      <w:tr w14:paraId="7EA27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8E0D30F">
            <w:r>
              <w:rPr>
                <w:rFonts w:hint="eastAsia"/>
              </w:rPr>
              <w:t>其他</w:t>
            </w:r>
          </w:p>
        </w:tc>
        <w:tc>
          <w:tcPr>
            <w:tcW w:w="1860" w:type="dxa"/>
            <w:vAlign w:val="center"/>
          </w:tcPr>
          <w:p w14:paraId="7DE8C245">
            <w:pPr>
              <w:jc w:val="right"/>
            </w:pPr>
            <w:r>
              <w:rPr>
                <w:rFonts w:hint="eastAsia"/>
              </w:rPr>
              <w:t>-</w:t>
            </w:r>
          </w:p>
        </w:tc>
        <w:tc>
          <w:tcPr>
            <w:tcW w:w="1517" w:type="dxa"/>
            <w:vAlign w:val="center"/>
          </w:tcPr>
          <w:p w14:paraId="31A52A5D">
            <w:pPr>
              <w:jc w:val="right"/>
            </w:pPr>
            <w:r>
              <w:rPr>
                <w:rFonts w:hint="eastAsia"/>
              </w:rPr>
              <w:t>-</w:t>
            </w:r>
          </w:p>
        </w:tc>
        <w:tc>
          <w:tcPr>
            <w:tcW w:w="1860" w:type="dxa"/>
            <w:vAlign w:val="center"/>
          </w:tcPr>
          <w:p w14:paraId="01C5E24F">
            <w:pPr>
              <w:jc w:val="right"/>
            </w:pPr>
            <w:r>
              <w:rPr>
                <w:rFonts w:hint="eastAsia"/>
              </w:rPr>
              <w:t>-</w:t>
            </w:r>
          </w:p>
        </w:tc>
        <w:tc>
          <w:tcPr>
            <w:tcW w:w="1517" w:type="dxa"/>
            <w:vAlign w:val="center"/>
          </w:tcPr>
          <w:p w14:paraId="01A2D789">
            <w:pPr>
              <w:jc w:val="right"/>
            </w:pPr>
            <w:r>
              <w:rPr>
                <w:rFonts w:hint="eastAsia"/>
              </w:rPr>
              <w:t>-</w:t>
            </w:r>
          </w:p>
        </w:tc>
      </w:tr>
      <w:tr w14:paraId="1165C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4569984">
            <w:r>
              <w:rPr>
                <w:rFonts w:hint="eastAsia"/>
              </w:rPr>
              <w:t>合计</w:t>
            </w:r>
          </w:p>
        </w:tc>
        <w:tc>
          <w:tcPr>
            <w:tcW w:w="1860" w:type="dxa"/>
            <w:vAlign w:val="center"/>
          </w:tcPr>
          <w:p w14:paraId="7C141CB2">
            <w:pPr>
              <w:jc w:val="right"/>
            </w:pPr>
            <w:r>
              <w:rPr>
                <w:rFonts w:hint="eastAsia"/>
              </w:rPr>
              <w:t>1,190,185,272.61</w:t>
            </w:r>
          </w:p>
        </w:tc>
        <w:tc>
          <w:tcPr>
            <w:tcW w:w="1517" w:type="dxa"/>
            <w:vAlign w:val="center"/>
          </w:tcPr>
          <w:p w14:paraId="5D6043C6">
            <w:pPr>
              <w:jc w:val="right"/>
            </w:pPr>
            <w:r>
              <w:rPr>
                <w:rFonts w:hint="eastAsia"/>
              </w:rPr>
              <w:t>11,825,141.91</w:t>
            </w:r>
          </w:p>
        </w:tc>
        <w:tc>
          <w:tcPr>
            <w:tcW w:w="1860" w:type="dxa"/>
            <w:vAlign w:val="center"/>
          </w:tcPr>
          <w:p w14:paraId="5A439352">
            <w:pPr>
              <w:jc w:val="right"/>
            </w:pPr>
            <w:r>
              <w:rPr>
                <w:rFonts w:hint="eastAsia"/>
              </w:rPr>
              <w:t>1,201,671,141.91</w:t>
            </w:r>
          </w:p>
        </w:tc>
        <w:tc>
          <w:tcPr>
            <w:tcW w:w="1517" w:type="dxa"/>
            <w:vAlign w:val="center"/>
          </w:tcPr>
          <w:p w14:paraId="3D684A13">
            <w:pPr>
              <w:jc w:val="right"/>
            </w:pPr>
            <w:r>
              <w:rPr>
                <w:rFonts w:hint="eastAsia"/>
              </w:rPr>
              <w:t>-339,272.61</w:t>
            </w:r>
          </w:p>
        </w:tc>
      </w:tr>
      <w:tr w14:paraId="7371D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406784A1">
            <w:r>
              <w:rPr>
                <w:rFonts w:hint="eastAsia"/>
              </w:rPr>
              <w:t>项目</w:t>
            </w:r>
          </w:p>
        </w:tc>
        <w:tc>
          <w:tcPr>
            <w:tcW w:w="1860" w:type="dxa"/>
            <w:gridSpan w:val="4"/>
            <w:vAlign w:val="center"/>
          </w:tcPr>
          <w:p w14:paraId="719285CE">
            <w:r>
              <w:rPr>
                <w:rFonts w:hint="eastAsia"/>
              </w:rPr>
              <w:t>上年度末2024年12月31日</w:t>
            </w:r>
          </w:p>
        </w:tc>
      </w:tr>
      <w:tr w14:paraId="3C86B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717149B3"/>
        </w:tc>
        <w:tc>
          <w:tcPr>
            <w:tcW w:w="1860" w:type="dxa"/>
            <w:vAlign w:val="center"/>
          </w:tcPr>
          <w:p w14:paraId="3E27092E">
            <w:r>
              <w:rPr>
                <w:rFonts w:hint="eastAsia"/>
              </w:rPr>
              <w:t>成本</w:t>
            </w:r>
          </w:p>
        </w:tc>
        <w:tc>
          <w:tcPr>
            <w:tcW w:w="1517" w:type="dxa"/>
            <w:vAlign w:val="center"/>
          </w:tcPr>
          <w:p w14:paraId="3C86574E">
            <w:r>
              <w:rPr>
                <w:rFonts w:hint="eastAsia"/>
              </w:rPr>
              <w:t>应计利息</w:t>
            </w:r>
          </w:p>
        </w:tc>
        <w:tc>
          <w:tcPr>
            <w:tcW w:w="1860" w:type="dxa"/>
            <w:vAlign w:val="center"/>
          </w:tcPr>
          <w:p w14:paraId="41125AD0">
            <w:r>
              <w:rPr>
                <w:rFonts w:hint="eastAsia"/>
              </w:rPr>
              <w:t>公允价值</w:t>
            </w:r>
          </w:p>
        </w:tc>
        <w:tc>
          <w:tcPr>
            <w:tcW w:w="1517" w:type="dxa"/>
            <w:vAlign w:val="center"/>
          </w:tcPr>
          <w:p w14:paraId="04C8E4D7">
            <w:r>
              <w:rPr>
                <w:rFonts w:hint="eastAsia"/>
              </w:rPr>
              <w:t>公允价值变动</w:t>
            </w:r>
          </w:p>
        </w:tc>
      </w:tr>
      <w:tr w14:paraId="75756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43D5505">
            <w:r>
              <w:rPr>
                <w:rFonts w:hint="eastAsia"/>
              </w:rPr>
              <w:t>股票</w:t>
            </w:r>
          </w:p>
        </w:tc>
        <w:tc>
          <w:tcPr>
            <w:tcW w:w="1860" w:type="dxa"/>
            <w:vAlign w:val="center"/>
          </w:tcPr>
          <w:p w14:paraId="5B15BC43">
            <w:pPr>
              <w:jc w:val="right"/>
            </w:pPr>
            <w:r>
              <w:rPr>
                <w:rFonts w:hint="eastAsia"/>
              </w:rPr>
              <w:t>-</w:t>
            </w:r>
          </w:p>
        </w:tc>
        <w:tc>
          <w:tcPr>
            <w:tcW w:w="1517" w:type="dxa"/>
            <w:vAlign w:val="center"/>
          </w:tcPr>
          <w:p w14:paraId="50B45211">
            <w:pPr>
              <w:jc w:val="right"/>
            </w:pPr>
            <w:r>
              <w:rPr>
                <w:rFonts w:hint="eastAsia"/>
              </w:rPr>
              <w:t>-</w:t>
            </w:r>
          </w:p>
        </w:tc>
        <w:tc>
          <w:tcPr>
            <w:tcW w:w="1860" w:type="dxa"/>
            <w:vAlign w:val="center"/>
          </w:tcPr>
          <w:p w14:paraId="11BC0B03">
            <w:pPr>
              <w:jc w:val="right"/>
            </w:pPr>
            <w:r>
              <w:rPr>
                <w:rFonts w:hint="eastAsia"/>
              </w:rPr>
              <w:t>-</w:t>
            </w:r>
          </w:p>
        </w:tc>
        <w:tc>
          <w:tcPr>
            <w:tcW w:w="1517" w:type="dxa"/>
            <w:vAlign w:val="center"/>
          </w:tcPr>
          <w:p w14:paraId="595FAD1F">
            <w:pPr>
              <w:jc w:val="right"/>
            </w:pPr>
            <w:r>
              <w:rPr>
                <w:rFonts w:hint="eastAsia"/>
              </w:rPr>
              <w:t>-</w:t>
            </w:r>
          </w:p>
        </w:tc>
      </w:tr>
      <w:tr w14:paraId="683C8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AA78FD1">
            <w:r>
              <w:rPr>
                <w:rFonts w:hint="eastAsia"/>
              </w:rPr>
              <w:t>贵金属投资-金交所黄金合约</w:t>
            </w:r>
          </w:p>
        </w:tc>
        <w:tc>
          <w:tcPr>
            <w:tcW w:w="1860" w:type="dxa"/>
            <w:vAlign w:val="center"/>
          </w:tcPr>
          <w:p w14:paraId="7FD9004B">
            <w:pPr>
              <w:jc w:val="right"/>
            </w:pPr>
            <w:r>
              <w:rPr>
                <w:rFonts w:hint="eastAsia"/>
              </w:rPr>
              <w:t>-</w:t>
            </w:r>
          </w:p>
        </w:tc>
        <w:tc>
          <w:tcPr>
            <w:tcW w:w="1517" w:type="dxa"/>
            <w:vAlign w:val="center"/>
          </w:tcPr>
          <w:p w14:paraId="4C642334">
            <w:pPr>
              <w:jc w:val="right"/>
            </w:pPr>
            <w:r>
              <w:rPr>
                <w:rFonts w:hint="eastAsia"/>
              </w:rPr>
              <w:t>-</w:t>
            </w:r>
          </w:p>
        </w:tc>
        <w:tc>
          <w:tcPr>
            <w:tcW w:w="1860" w:type="dxa"/>
            <w:vAlign w:val="center"/>
          </w:tcPr>
          <w:p w14:paraId="552C7E6F">
            <w:pPr>
              <w:jc w:val="right"/>
            </w:pPr>
            <w:r>
              <w:rPr>
                <w:rFonts w:hint="eastAsia"/>
              </w:rPr>
              <w:t>-</w:t>
            </w:r>
          </w:p>
        </w:tc>
        <w:tc>
          <w:tcPr>
            <w:tcW w:w="1517" w:type="dxa"/>
            <w:vAlign w:val="center"/>
          </w:tcPr>
          <w:p w14:paraId="5063592C">
            <w:pPr>
              <w:jc w:val="right"/>
            </w:pPr>
            <w:r>
              <w:rPr>
                <w:rFonts w:hint="eastAsia"/>
              </w:rPr>
              <w:t>-</w:t>
            </w:r>
          </w:p>
        </w:tc>
      </w:tr>
      <w:tr w14:paraId="1784A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0BF01F7A">
            <w:r>
              <w:rPr>
                <w:rFonts w:hint="eastAsia"/>
              </w:rPr>
              <w:t>债券</w:t>
            </w:r>
          </w:p>
        </w:tc>
        <w:tc>
          <w:tcPr>
            <w:tcW w:w="897" w:type="dxa"/>
            <w:vAlign w:val="center"/>
          </w:tcPr>
          <w:p w14:paraId="5C19D83D">
            <w:r>
              <w:rPr>
                <w:rFonts w:hint="eastAsia"/>
              </w:rPr>
              <w:t>交易所市场</w:t>
            </w:r>
          </w:p>
        </w:tc>
        <w:tc>
          <w:tcPr>
            <w:tcW w:w="1860" w:type="dxa"/>
            <w:vAlign w:val="center"/>
          </w:tcPr>
          <w:p w14:paraId="1C99AAF2">
            <w:pPr>
              <w:jc w:val="right"/>
            </w:pPr>
            <w:r>
              <w:rPr>
                <w:rFonts w:hint="eastAsia"/>
              </w:rPr>
              <w:t>80,592,984.25</w:t>
            </w:r>
          </w:p>
        </w:tc>
        <w:tc>
          <w:tcPr>
            <w:tcW w:w="1517" w:type="dxa"/>
            <w:vAlign w:val="center"/>
          </w:tcPr>
          <w:p w14:paraId="0BC257DA">
            <w:pPr>
              <w:jc w:val="right"/>
            </w:pPr>
            <w:r>
              <w:rPr>
                <w:rFonts w:hint="eastAsia"/>
              </w:rPr>
              <w:t>124,703.56</w:t>
            </w:r>
          </w:p>
        </w:tc>
        <w:tc>
          <w:tcPr>
            <w:tcW w:w="1860" w:type="dxa"/>
            <w:vAlign w:val="center"/>
          </w:tcPr>
          <w:p w14:paraId="1EFAA8EC">
            <w:pPr>
              <w:jc w:val="right"/>
            </w:pPr>
            <w:r>
              <w:rPr>
                <w:rFonts w:hint="eastAsia"/>
              </w:rPr>
              <w:t>81,087,703.56</w:t>
            </w:r>
          </w:p>
        </w:tc>
        <w:tc>
          <w:tcPr>
            <w:tcW w:w="1517" w:type="dxa"/>
            <w:vAlign w:val="center"/>
          </w:tcPr>
          <w:p w14:paraId="32F8106E">
            <w:pPr>
              <w:jc w:val="right"/>
            </w:pPr>
            <w:r>
              <w:rPr>
                <w:rFonts w:hint="eastAsia"/>
              </w:rPr>
              <w:t>370,015.75</w:t>
            </w:r>
          </w:p>
        </w:tc>
      </w:tr>
      <w:tr w14:paraId="1F66F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172AF1E7"/>
        </w:tc>
        <w:tc>
          <w:tcPr>
            <w:tcW w:w="897" w:type="dxa"/>
            <w:vAlign w:val="center"/>
          </w:tcPr>
          <w:p w14:paraId="39D0E325">
            <w:r>
              <w:rPr>
                <w:rFonts w:hint="eastAsia"/>
              </w:rPr>
              <w:t>银行间市场</w:t>
            </w:r>
          </w:p>
        </w:tc>
        <w:tc>
          <w:tcPr>
            <w:tcW w:w="1860" w:type="dxa"/>
            <w:vAlign w:val="center"/>
          </w:tcPr>
          <w:p w14:paraId="72B8DA15">
            <w:pPr>
              <w:jc w:val="right"/>
            </w:pPr>
            <w:r>
              <w:rPr>
                <w:rFonts w:hint="eastAsia"/>
              </w:rPr>
              <w:t>1,303,252,623.92</w:t>
            </w:r>
          </w:p>
        </w:tc>
        <w:tc>
          <w:tcPr>
            <w:tcW w:w="1517" w:type="dxa"/>
            <w:vAlign w:val="center"/>
          </w:tcPr>
          <w:p w14:paraId="302B68B1">
            <w:pPr>
              <w:jc w:val="right"/>
            </w:pPr>
            <w:r>
              <w:rPr>
                <w:rFonts w:hint="eastAsia"/>
              </w:rPr>
              <w:t>14,410,226.25</w:t>
            </w:r>
          </w:p>
        </w:tc>
        <w:tc>
          <w:tcPr>
            <w:tcW w:w="1860" w:type="dxa"/>
            <w:vAlign w:val="center"/>
          </w:tcPr>
          <w:p w14:paraId="4552CD3F">
            <w:pPr>
              <w:jc w:val="right"/>
            </w:pPr>
            <w:r>
              <w:rPr>
                <w:rFonts w:hint="eastAsia"/>
              </w:rPr>
              <w:t>1,327,697,226.25</w:t>
            </w:r>
          </w:p>
        </w:tc>
        <w:tc>
          <w:tcPr>
            <w:tcW w:w="1517" w:type="dxa"/>
            <w:vAlign w:val="center"/>
          </w:tcPr>
          <w:p w14:paraId="33BBCBF6">
            <w:pPr>
              <w:jc w:val="right"/>
            </w:pPr>
            <w:r>
              <w:rPr>
                <w:rFonts w:hint="eastAsia"/>
              </w:rPr>
              <w:t>10,034,376.08</w:t>
            </w:r>
          </w:p>
        </w:tc>
      </w:tr>
      <w:tr w14:paraId="13D05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413E703E"/>
        </w:tc>
        <w:tc>
          <w:tcPr>
            <w:tcW w:w="897" w:type="dxa"/>
            <w:vAlign w:val="center"/>
          </w:tcPr>
          <w:p w14:paraId="599E8C93">
            <w:r>
              <w:rPr>
                <w:rFonts w:hint="eastAsia"/>
              </w:rPr>
              <w:t>合计</w:t>
            </w:r>
          </w:p>
        </w:tc>
        <w:tc>
          <w:tcPr>
            <w:tcW w:w="1860" w:type="dxa"/>
            <w:vAlign w:val="center"/>
          </w:tcPr>
          <w:p w14:paraId="3291ABA9">
            <w:pPr>
              <w:jc w:val="right"/>
            </w:pPr>
            <w:r>
              <w:rPr>
                <w:rFonts w:hint="eastAsia"/>
              </w:rPr>
              <w:t>1,383,845,608.17</w:t>
            </w:r>
          </w:p>
        </w:tc>
        <w:tc>
          <w:tcPr>
            <w:tcW w:w="1517" w:type="dxa"/>
            <w:vAlign w:val="center"/>
          </w:tcPr>
          <w:p w14:paraId="6183C942">
            <w:pPr>
              <w:jc w:val="right"/>
            </w:pPr>
            <w:r>
              <w:rPr>
                <w:rFonts w:hint="eastAsia"/>
              </w:rPr>
              <w:t>14,534,929.81</w:t>
            </w:r>
          </w:p>
        </w:tc>
        <w:tc>
          <w:tcPr>
            <w:tcW w:w="1860" w:type="dxa"/>
            <w:vAlign w:val="center"/>
          </w:tcPr>
          <w:p w14:paraId="3A28FCC1">
            <w:pPr>
              <w:jc w:val="right"/>
            </w:pPr>
            <w:r>
              <w:rPr>
                <w:rFonts w:hint="eastAsia"/>
              </w:rPr>
              <w:t>1,408,784,929.81</w:t>
            </w:r>
          </w:p>
        </w:tc>
        <w:tc>
          <w:tcPr>
            <w:tcW w:w="1517" w:type="dxa"/>
            <w:vAlign w:val="center"/>
          </w:tcPr>
          <w:p w14:paraId="0161CB05">
            <w:pPr>
              <w:jc w:val="right"/>
            </w:pPr>
            <w:r>
              <w:rPr>
                <w:rFonts w:hint="eastAsia"/>
              </w:rPr>
              <w:t>10,404,391.83</w:t>
            </w:r>
          </w:p>
        </w:tc>
      </w:tr>
      <w:tr w14:paraId="5AC4C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D9D9B5F">
            <w:r>
              <w:rPr>
                <w:rFonts w:hint="eastAsia"/>
              </w:rPr>
              <w:t>资产支持证券</w:t>
            </w:r>
          </w:p>
        </w:tc>
        <w:tc>
          <w:tcPr>
            <w:tcW w:w="1860" w:type="dxa"/>
            <w:vAlign w:val="center"/>
          </w:tcPr>
          <w:p w14:paraId="16AEFC5F">
            <w:pPr>
              <w:jc w:val="right"/>
            </w:pPr>
            <w:r>
              <w:rPr>
                <w:rFonts w:hint="eastAsia"/>
              </w:rPr>
              <w:t>-</w:t>
            </w:r>
          </w:p>
        </w:tc>
        <w:tc>
          <w:tcPr>
            <w:tcW w:w="1517" w:type="dxa"/>
            <w:vAlign w:val="center"/>
          </w:tcPr>
          <w:p w14:paraId="6A3F5522">
            <w:pPr>
              <w:jc w:val="right"/>
            </w:pPr>
            <w:r>
              <w:rPr>
                <w:rFonts w:hint="eastAsia"/>
              </w:rPr>
              <w:t>-</w:t>
            </w:r>
          </w:p>
        </w:tc>
        <w:tc>
          <w:tcPr>
            <w:tcW w:w="1860" w:type="dxa"/>
            <w:vAlign w:val="center"/>
          </w:tcPr>
          <w:p w14:paraId="76B5204C">
            <w:pPr>
              <w:jc w:val="right"/>
            </w:pPr>
            <w:r>
              <w:rPr>
                <w:rFonts w:hint="eastAsia"/>
              </w:rPr>
              <w:t>-</w:t>
            </w:r>
          </w:p>
        </w:tc>
        <w:tc>
          <w:tcPr>
            <w:tcW w:w="1517" w:type="dxa"/>
            <w:vAlign w:val="center"/>
          </w:tcPr>
          <w:p w14:paraId="27915777">
            <w:pPr>
              <w:jc w:val="right"/>
            </w:pPr>
            <w:r>
              <w:rPr>
                <w:rFonts w:hint="eastAsia"/>
              </w:rPr>
              <w:t>-</w:t>
            </w:r>
          </w:p>
        </w:tc>
      </w:tr>
      <w:tr w14:paraId="36544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C07904A">
            <w:r>
              <w:rPr>
                <w:rFonts w:hint="eastAsia"/>
              </w:rPr>
              <w:t>基金</w:t>
            </w:r>
          </w:p>
        </w:tc>
        <w:tc>
          <w:tcPr>
            <w:tcW w:w="1860" w:type="dxa"/>
            <w:vAlign w:val="center"/>
          </w:tcPr>
          <w:p w14:paraId="38765CE2">
            <w:pPr>
              <w:jc w:val="right"/>
            </w:pPr>
            <w:r>
              <w:rPr>
                <w:rFonts w:hint="eastAsia"/>
              </w:rPr>
              <w:t>-</w:t>
            </w:r>
          </w:p>
        </w:tc>
        <w:tc>
          <w:tcPr>
            <w:tcW w:w="1517" w:type="dxa"/>
            <w:vAlign w:val="center"/>
          </w:tcPr>
          <w:p w14:paraId="069FB04F">
            <w:pPr>
              <w:jc w:val="right"/>
            </w:pPr>
            <w:r>
              <w:rPr>
                <w:rFonts w:hint="eastAsia"/>
              </w:rPr>
              <w:t>-</w:t>
            </w:r>
          </w:p>
        </w:tc>
        <w:tc>
          <w:tcPr>
            <w:tcW w:w="1860" w:type="dxa"/>
            <w:vAlign w:val="center"/>
          </w:tcPr>
          <w:p w14:paraId="1754B1C9">
            <w:pPr>
              <w:jc w:val="right"/>
            </w:pPr>
            <w:r>
              <w:rPr>
                <w:rFonts w:hint="eastAsia"/>
              </w:rPr>
              <w:t>-</w:t>
            </w:r>
          </w:p>
        </w:tc>
        <w:tc>
          <w:tcPr>
            <w:tcW w:w="1517" w:type="dxa"/>
            <w:vAlign w:val="center"/>
          </w:tcPr>
          <w:p w14:paraId="39726B04">
            <w:pPr>
              <w:jc w:val="right"/>
            </w:pPr>
            <w:r>
              <w:rPr>
                <w:rFonts w:hint="eastAsia"/>
              </w:rPr>
              <w:t>-</w:t>
            </w:r>
          </w:p>
        </w:tc>
      </w:tr>
      <w:tr w14:paraId="070D1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878BFE4">
            <w:r>
              <w:rPr>
                <w:rFonts w:hint="eastAsia"/>
              </w:rPr>
              <w:t>其他</w:t>
            </w:r>
          </w:p>
        </w:tc>
        <w:tc>
          <w:tcPr>
            <w:tcW w:w="1860" w:type="dxa"/>
            <w:vAlign w:val="center"/>
          </w:tcPr>
          <w:p w14:paraId="2031B33F">
            <w:pPr>
              <w:jc w:val="right"/>
            </w:pPr>
            <w:r>
              <w:rPr>
                <w:rFonts w:hint="eastAsia"/>
              </w:rPr>
              <w:t>-</w:t>
            </w:r>
          </w:p>
        </w:tc>
        <w:tc>
          <w:tcPr>
            <w:tcW w:w="1517" w:type="dxa"/>
            <w:vAlign w:val="center"/>
          </w:tcPr>
          <w:p w14:paraId="2F7FB49A">
            <w:pPr>
              <w:jc w:val="right"/>
            </w:pPr>
            <w:r>
              <w:rPr>
                <w:rFonts w:hint="eastAsia"/>
              </w:rPr>
              <w:t>-</w:t>
            </w:r>
          </w:p>
        </w:tc>
        <w:tc>
          <w:tcPr>
            <w:tcW w:w="1860" w:type="dxa"/>
            <w:vAlign w:val="center"/>
          </w:tcPr>
          <w:p w14:paraId="35A5E35F">
            <w:pPr>
              <w:jc w:val="right"/>
            </w:pPr>
            <w:r>
              <w:rPr>
                <w:rFonts w:hint="eastAsia"/>
              </w:rPr>
              <w:t>-</w:t>
            </w:r>
          </w:p>
        </w:tc>
        <w:tc>
          <w:tcPr>
            <w:tcW w:w="1517" w:type="dxa"/>
            <w:vAlign w:val="center"/>
          </w:tcPr>
          <w:p w14:paraId="502695E1">
            <w:pPr>
              <w:jc w:val="right"/>
            </w:pPr>
            <w:r>
              <w:rPr>
                <w:rFonts w:hint="eastAsia"/>
              </w:rPr>
              <w:t>-</w:t>
            </w:r>
          </w:p>
        </w:tc>
      </w:tr>
      <w:tr w14:paraId="53BD8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F31C8D8">
            <w:r>
              <w:rPr>
                <w:rFonts w:hint="eastAsia"/>
              </w:rPr>
              <w:t>合计</w:t>
            </w:r>
          </w:p>
        </w:tc>
        <w:tc>
          <w:tcPr>
            <w:tcW w:w="1860" w:type="dxa"/>
            <w:vAlign w:val="center"/>
          </w:tcPr>
          <w:p w14:paraId="011837F2">
            <w:pPr>
              <w:jc w:val="right"/>
            </w:pPr>
            <w:r>
              <w:rPr>
                <w:rFonts w:hint="eastAsia"/>
              </w:rPr>
              <w:t>1,383,845,608.17</w:t>
            </w:r>
          </w:p>
        </w:tc>
        <w:tc>
          <w:tcPr>
            <w:tcW w:w="1517" w:type="dxa"/>
            <w:vAlign w:val="center"/>
          </w:tcPr>
          <w:p w14:paraId="051FDAA4">
            <w:pPr>
              <w:jc w:val="right"/>
            </w:pPr>
            <w:r>
              <w:rPr>
                <w:rFonts w:hint="eastAsia"/>
              </w:rPr>
              <w:t>14,534,929.81</w:t>
            </w:r>
          </w:p>
        </w:tc>
        <w:tc>
          <w:tcPr>
            <w:tcW w:w="1860" w:type="dxa"/>
            <w:vAlign w:val="center"/>
          </w:tcPr>
          <w:p w14:paraId="037AE405">
            <w:pPr>
              <w:jc w:val="right"/>
            </w:pPr>
            <w:r>
              <w:rPr>
                <w:rFonts w:hint="eastAsia"/>
              </w:rPr>
              <w:t>1,408,784,929.81</w:t>
            </w:r>
          </w:p>
        </w:tc>
        <w:tc>
          <w:tcPr>
            <w:tcW w:w="1517" w:type="dxa"/>
            <w:vAlign w:val="center"/>
          </w:tcPr>
          <w:p w14:paraId="56EA9119">
            <w:pPr>
              <w:jc w:val="right"/>
            </w:pPr>
            <w:r>
              <w:rPr>
                <w:rFonts w:hint="eastAsia"/>
              </w:rPr>
              <w:t>10,404,391.83</w:t>
            </w:r>
          </w:p>
        </w:tc>
      </w:tr>
    </w:tbl>
    <w:p w14:paraId="41D6DD78">
      <w:pPr>
        <w:pStyle w:val="35"/>
      </w:pPr>
      <w:bookmarkStart w:id="74" w:name="_Toc74"/>
      <w:r>
        <w:t>衍生金融资产/负债</w:t>
      </w:r>
      <w:bookmarkEnd w:id="74"/>
    </w:p>
    <w:p w14:paraId="3EA63C1D">
      <w:pPr>
        <w:pStyle w:val="36"/>
      </w:pPr>
      <w:bookmarkStart w:id="75" w:name="_Toc75"/>
      <w:r>
        <w:t>衍生金融资产/负债期末余额</w:t>
      </w:r>
      <w:bookmarkEnd w:id="75"/>
    </w:p>
    <w:p w14:paraId="27609F1A">
      <w:pPr>
        <w:pStyle w:val="18"/>
        <w:rPr>
          <w:rFonts w:hint="eastAsia"/>
        </w:rPr>
      </w:pPr>
      <w:r>
        <w:rPr>
          <w:rFonts w:hint="eastAsia"/>
        </w:rPr>
        <w:t>无。</w:t>
      </w:r>
    </w:p>
    <w:p w14:paraId="398ECA42">
      <w:pPr>
        <w:pStyle w:val="35"/>
      </w:pPr>
      <w:bookmarkStart w:id="76" w:name="_Toc76"/>
      <w:r>
        <w:t xml:space="preserve"> 买入返售金融资产</w:t>
      </w:r>
      <w:bookmarkEnd w:id="76"/>
    </w:p>
    <w:p w14:paraId="2B4DA34A">
      <w:pPr>
        <w:pStyle w:val="36"/>
      </w:pPr>
      <w:bookmarkStart w:id="77" w:name="_Toc77"/>
      <w:r>
        <w:t>各项买入返售金融资产期末余额</w:t>
      </w:r>
      <w:bookmarkEnd w:id="77"/>
    </w:p>
    <w:p w14:paraId="796F398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4"/>
        <w:gridCol w:w="2519"/>
        <w:gridCol w:w="3322"/>
      </w:tblGrid>
      <w:tr w14:paraId="3A5D5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64C0F504">
            <w:r>
              <w:rPr>
                <w:rFonts w:hint="eastAsia"/>
              </w:rPr>
              <w:t>项目</w:t>
            </w:r>
          </w:p>
        </w:tc>
        <w:tc>
          <w:tcPr>
            <w:tcW w:w="2519" w:type="dxa"/>
            <w:gridSpan w:val="2"/>
            <w:vAlign w:val="center"/>
          </w:tcPr>
          <w:p w14:paraId="1DBD169E">
            <w:r>
              <w:rPr>
                <w:rFonts w:hint="eastAsia"/>
              </w:rPr>
              <w:t>本期末2025年12月31日</w:t>
            </w:r>
          </w:p>
        </w:tc>
      </w:tr>
      <w:tr w14:paraId="7D7E4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2A2559C9"/>
        </w:tc>
        <w:tc>
          <w:tcPr>
            <w:tcW w:w="2519" w:type="dxa"/>
            <w:vAlign w:val="center"/>
          </w:tcPr>
          <w:p w14:paraId="29C4792C">
            <w:r>
              <w:rPr>
                <w:rFonts w:hint="eastAsia"/>
              </w:rPr>
              <w:t>账面余额</w:t>
            </w:r>
          </w:p>
        </w:tc>
        <w:tc>
          <w:tcPr>
            <w:tcW w:w="3322" w:type="dxa"/>
            <w:vAlign w:val="center"/>
          </w:tcPr>
          <w:p w14:paraId="7F0121A2">
            <w:r>
              <w:rPr>
                <w:rFonts w:hint="eastAsia"/>
              </w:rPr>
              <w:t>其中：买断式逆回购</w:t>
            </w:r>
          </w:p>
        </w:tc>
      </w:tr>
      <w:tr w14:paraId="6431C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244CF859">
            <w:r>
              <w:rPr>
                <w:rFonts w:hint="eastAsia"/>
              </w:rPr>
              <w:t>交易所市场</w:t>
            </w:r>
          </w:p>
        </w:tc>
        <w:tc>
          <w:tcPr>
            <w:tcW w:w="2519" w:type="dxa"/>
            <w:vAlign w:val="center"/>
          </w:tcPr>
          <w:p w14:paraId="3EC8876C">
            <w:pPr>
              <w:jc w:val="right"/>
            </w:pPr>
            <w:r>
              <w:rPr>
                <w:rFonts w:hint="eastAsia"/>
              </w:rPr>
              <w:t>-</w:t>
            </w:r>
          </w:p>
        </w:tc>
        <w:tc>
          <w:tcPr>
            <w:tcW w:w="3322" w:type="dxa"/>
            <w:vAlign w:val="center"/>
          </w:tcPr>
          <w:p w14:paraId="6783A198">
            <w:pPr>
              <w:jc w:val="right"/>
            </w:pPr>
            <w:r>
              <w:rPr>
                <w:rFonts w:hint="eastAsia"/>
              </w:rPr>
              <w:t>-</w:t>
            </w:r>
          </w:p>
        </w:tc>
      </w:tr>
      <w:tr w14:paraId="08503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5AA22083">
            <w:r>
              <w:rPr>
                <w:rFonts w:hint="eastAsia"/>
              </w:rPr>
              <w:t>银行间市场</w:t>
            </w:r>
          </w:p>
        </w:tc>
        <w:tc>
          <w:tcPr>
            <w:tcW w:w="2519" w:type="dxa"/>
            <w:vAlign w:val="center"/>
          </w:tcPr>
          <w:p w14:paraId="25D63783">
            <w:pPr>
              <w:jc w:val="right"/>
            </w:pPr>
            <w:r>
              <w:rPr>
                <w:rFonts w:hint="eastAsia"/>
              </w:rPr>
              <w:t>-</w:t>
            </w:r>
          </w:p>
        </w:tc>
        <w:tc>
          <w:tcPr>
            <w:tcW w:w="3322" w:type="dxa"/>
            <w:vAlign w:val="center"/>
          </w:tcPr>
          <w:p w14:paraId="25393023">
            <w:pPr>
              <w:jc w:val="right"/>
            </w:pPr>
            <w:r>
              <w:rPr>
                <w:rFonts w:hint="eastAsia"/>
              </w:rPr>
              <w:t>-</w:t>
            </w:r>
          </w:p>
        </w:tc>
      </w:tr>
      <w:tr w14:paraId="2511B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26C1DF85">
            <w:r>
              <w:rPr>
                <w:rFonts w:hint="eastAsia"/>
              </w:rPr>
              <w:t>合计</w:t>
            </w:r>
          </w:p>
        </w:tc>
        <w:tc>
          <w:tcPr>
            <w:tcW w:w="2519" w:type="dxa"/>
            <w:vAlign w:val="center"/>
          </w:tcPr>
          <w:p w14:paraId="465B271C">
            <w:pPr>
              <w:jc w:val="right"/>
            </w:pPr>
            <w:r>
              <w:rPr>
                <w:rFonts w:hint="eastAsia"/>
              </w:rPr>
              <w:t>-</w:t>
            </w:r>
          </w:p>
        </w:tc>
        <w:tc>
          <w:tcPr>
            <w:tcW w:w="3322" w:type="dxa"/>
            <w:vAlign w:val="center"/>
          </w:tcPr>
          <w:p w14:paraId="10EB1C50">
            <w:pPr>
              <w:jc w:val="right"/>
            </w:pPr>
            <w:r>
              <w:rPr>
                <w:rFonts w:hint="eastAsia"/>
              </w:rPr>
              <w:t>-</w:t>
            </w:r>
          </w:p>
        </w:tc>
      </w:tr>
      <w:tr w14:paraId="3BA4F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0873B9DC">
            <w:r>
              <w:rPr>
                <w:rFonts w:hint="eastAsia"/>
              </w:rPr>
              <w:t>项目</w:t>
            </w:r>
          </w:p>
        </w:tc>
        <w:tc>
          <w:tcPr>
            <w:tcW w:w="2519" w:type="dxa"/>
            <w:gridSpan w:val="2"/>
            <w:vAlign w:val="center"/>
          </w:tcPr>
          <w:p w14:paraId="0519EADC">
            <w:r>
              <w:rPr>
                <w:rFonts w:hint="eastAsia"/>
              </w:rPr>
              <w:t>上年度末2024年12月31日</w:t>
            </w:r>
          </w:p>
        </w:tc>
      </w:tr>
      <w:tr w14:paraId="65F6A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3D907ACF"/>
        </w:tc>
        <w:tc>
          <w:tcPr>
            <w:tcW w:w="2519" w:type="dxa"/>
            <w:vAlign w:val="center"/>
          </w:tcPr>
          <w:p w14:paraId="1F1BC068">
            <w:r>
              <w:rPr>
                <w:rFonts w:hint="eastAsia"/>
              </w:rPr>
              <w:t>账面余额</w:t>
            </w:r>
          </w:p>
        </w:tc>
        <w:tc>
          <w:tcPr>
            <w:tcW w:w="3322" w:type="dxa"/>
            <w:vAlign w:val="center"/>
          </w:tcPr>
          <w:p w14:paraId="6BDB1990">
            <w:r>
              <w:rPr>
                <w:rFonts w:hint="eastAsia"/>
              </w:rPr>
              <w:t>其中：买断式逆回购</w:t>
            </w:r>
          </w:p>
        </w:tc>
      </w:tr>
      <w:tr w14:paraId="5F878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5320C67E">
            <w:r>
              <w:rPr>
                <w:rFonts w:hint="eastAsia"/>
              </w:rPr>
              <w:t>交易所市场</w:t>
            </w:r>
          </w:p>
        </w:tc>
        <w:tc>
          <w:tcPr>
            <w:tcW w:w="2519" w:type="dxa"/>
            <w:vAlign w:val="center"/>
          </w:tcPr>
          <w:p w14:paraId="2DC4269F">
            <w:pPr>
              <w:jc w:val="right"/>
            </w:pPr>
            <w:r>
              <w:rPr>
                <w:rFonts w:hint="eastAsia"/>
              </w:rPr>
              <w:t>-</w:t>
            </w:r>
          </w:p>
        </w:tc>
        <w:tc>
          <w:tcPr>
            <w:tcW w:w="3322" w:type="dxa"/>
            <w:vAlign w:val="center"/>
          </w:tcPr>
          <w:p w14:paraId="011C8CD0">
            <w:pPr>
              <w:jc w:val="right"/>
            </w:pPr>
            <w:r>
              <w:rPr>
                <w:rFonts w:hint="eastAsia"/>
              </w:rPr>
              <w:t>-</w:t>
            </w:r>
          </w:p>
        </w:tc>
      </w:tr>
      <w:tr w14:paraId="67A2B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49C4FE64">
            <w:r>
              <w:rPr>
                <w:rFonts w:hint="eastAsia"/>
              </w:rPr>
              <w:t>银行间市场</w:t>
            </w:r>
          </w:p>
        </w:tc>
        <w:tc>
          <w:tcPr>
            <w:tcW w:w="2519" w:type="dxa"/>
            <w:vAlign w:val="center"/>
          </w:tcPr>
          <w:p w14:paraId="2DCD3607">
            <w:pPr>
              <w:jc w:val="right"/>
            </w:pPr>
            <w:r>
              <w:rPr>
                <w:rFonts w:hint="eastAsia"/>
              </w:rPr>
              <w:t>30,001,867.46</w:t>
            </w:r>
          </w:p>
        </w:tc>
        <w:tc>
          <w:tcPr>
            <w:tcW w:w="3322" w:type="dxa"/>
            <w:vAlign w:val="center"/>
          </w:tcPr>
          <w:p w14:paraId="5BD013EA">
            <w:pPr>
              <w:jc w:val="right"/>
            </w:pPr>
            <w:r>
              <w:rPr>
                <w:rFonts w:hint="eastAsia"/>
              </w:rPr>
              <w:t>-</w:t>
            </w:r>
          </w:p>
        </w:tc>
      </w:tr>
      <w:tr w14:paraId="7CA6B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61C9B14A">
            <w:r>
              <w:rPr>
                <w:rFonts w:hint="eastAsia"/>
              </w:rPr>
              <w:t>合计</w:t>
            </w:r>
          </w:p>
        </w:tc>
        <w:tc>
          <w:tcPr>
            <w:tcW w:w="2519" w:type="dxa"/>
            <w:vAlign w:val="center"/>
          </w:tcPr>
          <w:p w14:paraId="4A7EB8D4">
            <w:pPr>
              <w:jc w:val="right"/>
            </w:pPr>
            <w:r>
              <w:rPr>
                <w:rFonts w:hint="eastAsia"/>
              </w:rPr>
              <w:t>30,001,867.46</w:t>
            </w:r>
          </w:p>
        </w:tc>
        <w:tc>
          <w:tcPr>
            <w:tcW w:w="3322" w:type="dxa"/>
            <w:vAlign w:val="center"/>
          </w:tcPr>
          <w:p w14:paraId="2C2467DA">
            <w:pPr>
              <w:jc w:val="right"/>
            </w:pPr>
            <w:r>
              <w:rPr>
                <w:rFonts w:hint="eastAsia"/>
              </w:rPr>
              <w:t>-</w:t>
            </w:r>
          </w:p>
        </w:tc>
      </w:tr>
    </w:tbl>
    <w:p w14:paraId="11FA3102">
      <w:pPr>
        <w:pStyle w:val="36"/>
      </w:pPr>
      <w:bookmarkStart w:id="78" w:name="_Toc78"/>
      <w:r>
        <w:t xml:space="preserve"> 期末买断式逆回购交易中取得的债券</w:t>
      </w:r>
      <w:bookmarkEnd w:id="78"/>
    </w:p>
    <w:p w14:paraId="6A32CA8C">
      <w:pPr>
        <w:pStyle w:val="18"/>
        <w:rPr>
          <w:rFonts w:hint="eastAsia"/>
        </w:rPr>
      </w:pPr>
      <w:r>
        <w:rPr>
          <w:rFonts w:hint="eastAsia"/>
        </w:rPr>
        <w:t>无。</w:t>
      </w:r>
    </w:p>
    <w:p w14:paraId="0FF475F5">
      <w:pPr>
        <w:pStyle w:val="35"/>
      </w:pPr>
      <w:bookmarkStart w:id="79" w:name="_Toc79"/>
      <w:r>
        <w:t xml:space="preserve"> 其他资产</w:t>
      </w:r>
      <w:bookmarkEnd w:id="79"/>
    </w:p>
    <w:p w14:paraId="150BDC27">
      <w:pPr>
        <w:pStyle w:val="18"/>
        <w:rPr>
          <w:rFonts w:hint="eastAsia"/>
        </w:rPr>
      </w:pPr>
      <w:r>
        <w:rPr>
          <w:rFonts w:hint="eastAsia"/>
        </w:rPr>
        <w:t>无。</w:t>
      </w:r>
    </w:p>
    <w:p w14:paraId="3246E222">
      <w:pPr>
        <w:pStyle w:val="35"/>
      </w:pPr>
      <w:bookmarkStart w:id="80" w:name="_Toc80"/>
      <w:r>
        <w:t>其他负债</w:t>
      </w:r>
      <w:bookmarkEnd w:id="80"/>
    </w:p>
    <w:p w14:paraId="1A30E58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3EF0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2766F89">
            <w:pPr>
              <w:jc w:val="center"/>
            </w:pPr>
            <w:r>
              <w:rPr>
                <w:rFonts w:hint="eastAsia"/>
                <w:b/>
              </w:rPr>
              <w:t>项目</w:t>
            </w:r>
          </w:p>
        </w:tc>
        <w:tc>
          <w:tcPr>
            <w:tcW w:w="2768" w:type="dxa"/>
            <w:shd w:val="clear" w:color="auto" w:fill="BFBFBF"/>
            <w:vAlign w:val="center"/>
          </w:tcPr>
          <w:p w14:paraId="06F13130">
            <w:pPr>
              <w:jc w:val="center"/>
            </w:pPr>
            <w:r>
              <w:rPr>
                <w:rFonts w:hint="eastAsia"/>
                <w:b/>
              </w:rPr>
              <w:t>本期末2025年12月31日</w:t>
            </w:r>
          </w:p>
        </w:tc>
        <w:tc>
          <w:tcPr>
            <w:tcW w:w="2768" w:type="dxa"/>
            <w:shd w:val="clear" w:color="auto" w:fill="BFBFBF"/>
            <w:vAlign w:val="center"/>
          </w:tcPr>
          <w:p w14:paraId="300E0130">
            <w:pPr>
              <w:jc w:val="center"/>
            </w:pPr>
            <w:r>
              <w:rPr>
                <w:rFonts w:hint="eastAsia"/>
                <w:b/>
              </w:rPr>
              <w:t>上年度末2024年12月31日</w:t>
            </w:r>
          </w:p>
        </w:tc>
      </w:tr>
      <w:tr w14:paraId="1D7A8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58F513">
            <w:r>
              <w:rPr>
                <w:rFonts w:hint="eastAsia"/>
              </w:rPr>
              <w:t>应付券商交易单元保证金</w:t>
            </w:r>
          </w:p>
        </w:tc>
        <w:tc>
          <w:tcPr>
            <w:tcW w:w="2768" w:type="dxa"/>
            <w:vAlign w:val="center"/>
          </w:tcPr>
          <w:p w14:paraId="4E8FEF2C">
            <w:pPr>
              <w:jc w:val="right"/>
            </w:pPr>
            <w:r>
              <w:rPr>
                <w:rFonts w:hint="eastAsia"/>
              </w:rPr>
              <w:t>-</w:t>
            </w:r>
          </w:p>
        </w:tc>
        <w:tc>
          <w:tcPr>
            <w:tcW w:w="2768" w:type="dxa"/>
            <w:vAlign w:val="center"/>
          </w:tcPr>
          <w:p w14:paraId="538935B8">
            <w:pPr>
              <w:jc w:val="right"/>
            </w:pPr>
            <w:r>
              <w:rPr>
                <w:rFonts w:hint="eastAsia"/>
              </w:rPr>
              <w:t>-</w:t>
            </w:r>
          </w:p>
        </w:tc>
      </w:tr>
      <w:tr w14:paraId="24410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29548F">
            <w:r>
              <w:rPr>
                <w:rFonts w:hint="eastAsia"/>
              </w:rPr>
              <w:t>应付赎回费</w:t>
            </w:r>
          </w:p>
        </w:tc>
        <w:tc>
          <w:tcPr>
            <w:tcW w:w="2768" w:type="dxa"/>
            <w:vAlign w:val="center"/>
          </w:tcPr>
          <w:p w14:paraId="031064F4">
            <w:pPr>
              <w:jc w:val="right"/>
            </w:pPr>
            <w:r>
              <w:rPr>
                <w:rFonts w:hint="eastAsia"/>
              </w:rPr>
              <w:t>-</w:t>
            </w:r>
          </w:p>
        </w:tc>
        <w:tc>
          <w:tcPr>
            <w:tcW w:w="2768" w:type="dxa"/>
            <w:vAlign w:val="center"/>
          </w:tcPr>
          <w:p w14:paraId="5C003EB8">
            <w:pPr>
              <w:jc w:val="right"/>
            </w:pPr>
            <w:r>
              <w:rPr>
                <w:rFonts w:hint="eastAsia"/>
              </w:rPr>
              <w:t>-</w:t>
            </w:r>
          </w:p>
        </w:tc>
      </w:tr>
      <w:tr w14:paraId="6592C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7D28AD">
            <w:r>
              <w:rPr>
                <w:rFonts w:hint="eastAsia"/>
              </w:rPr>
              <w:t>应付证券出借违约金</w:t>
            </w:r>
          </w:p>
        </w:tc>
        <w:tc>
          <w:tcPr>
            <w:tcW w:w="2768" w:type="dxa"/>
            <w:vAlign w:val="center"/>
          </w:tcPr>
          <w:p w14:paraId="1B7F7FA4">
            <w:pPr>
              <w:jc w:val="right"/>
            </w:pPr>
            <w:r>
              <w:rPr>
                <w:rFonts w:hint="eastAsia"/>
              </w:rPr>
              <w:t>-</w:t>
            </w:r>
          </w:p>
        </w:tc>
        <w:tc>
          <w:tcPr>
            <w:tcW w:w="2768" w:type="dxa"/>
            <w:vAlign w:val="center"/>
          </w:tcPr>
          <w:p w14:paraId="2DA779D1">
            <w:pPr>
              <w:jc w:val="right"/>
            </w:pPr>
            <w:r>
              <w:rPr>
                <w:rFonts w:hint="eastAsia"/>
              </w:rPr>
              <w:t>-</w:t>
            </w:r>
          </w:p>
        </w:tc>
      </w:tr>
      <w:tr w14:paraId="1EA83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221FA2">
            <w:r>
              <w:rPr>
                <w:rFonts w:hint="eastAsia"/>
              </w:rPr>
              <w:t>应付交易费用</w:t>
            </w:r>
          </w:p>
        </w:tc>
        <w:tc>
          <w:tcPr>
            <w:tcW w:w="2768" w:type="dxa"/>
            <w:vAlign w:val="center"/>
          </w:tcPr>
          <w:p w14:paraId="52BE1E84">
            <w:pPr>
              <w:jc w:val="right"/>
            </w:pPr>
            <w:r>
              <w:rPr>
                <w:rFonts w:hint="eastAsia"/>
              </w:rPr>
              <w:t>40,205.61</w:t>
            </w:r>
          </w:p>
        </w:tc>
        <w:tc>
          <w:tcPr>
            <w:tcW w:w="2768" w:type="dxa"/>
            <w:vAlign w:val="center"/>
          </w:tcPr>
          <w:p w14:paraId="3F29D781">
            <w:pPr>
              <w:jc w:val="right"/>
            </w:pPr>
            <w:r>
              <w:rPr>
                <w:rFonts w:hint="eastAsia"/>
              </w:rPr>
              <w:t>42,826.00</w:t>
            </w:r>
          </w:p>
        </w:tc>
      </w:tr>
      <w:tr w14:paraId="4AAE9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8679DA">
            <w:r>
              <w:rPr>
                <w:rFonts w:hint="eastAsia"/>
              </w:rPr>
              <w:t>其中：交易所市场</w:t>
            </w:r>
          </w:p>
        </w:tc>
        <w:tc>
          <w:tcPr>
            <w:tcW w:w="2768" w:type="dxa"/>
            <w:vAlign w:val="center"/>
          </w:tcPr>
          <w:p w14:paraId="432810EE">
            <w:pPr>
              <w:jc w:val="right"/>
            </w:pPr>
            <w:r>
              <w:rPr>
                <w:rFonts w:hint="eastAsia"/>
              </w:rPr>
              <w:t>-1,234.49</w:t>
            </w:r>
          </w:p>
        </w:tc>
        <w:tc>
          <w:tcPr>
            <w:tcW w:w="2768" w:type="dxa"/>
            <w:vAlign w:val="center"/>
          </w:tcPr>
          <w:p w14:paraId="0D914590">
            <w:pPr>
              <w:jc w:val="right"/>
            </w:pPr>
            <w:r>
              <w:rPr>
                <w:rFonts w:hint="eastAsia"/>
              </w:rPr>
              <w:t>-1,234.49</w:t>
            </w:r>
          </w:p>
        </w:tc>
      </w:tr>
      <w:tr w14:paraId="52F91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83E1C6">
            <w:r>
              <w:rPr>
                <w:rFonts w:hint="eastAsia"/>
              </w:rPr>
              <w:t xml:space="preserve">      银行间市场</w:t>
            </w:r>
          </w:p>
        </w:tc>
        <w:tc>
          <w:tcPr>
            <w:tcW w:w="2768" w:type="dxa"/>
            <w:vAlign w:val="center"/>
          </w:tcPr>
          <w:p w14:paraId="65E79B18">
            <w:pPr>
              <w:jc w:val="right"/>
            </w:pPr>
            <w:r>
              <w:rPr>
                <w:rFonts w:hint="eastAsia"/>
              </w:rPr>
              <w:t>41,440.10</w:t>
            </w:r>
          </w:p>
        </w:tc>
        <w:tc>
          <w:tcPr>
            <w:tcW w:w="2768" w:type="dxa"/>
            <w:vAlign w:val="center"/>
          </w:tcPr>
          <w:p w14:paraId="495BD298">
            <w:pPr>
              <w:jc w:val="right"/>
            </w:pPr>
            <w:r>
              <w:rPr>
                <w:rFonts w:hint="eastAsia"/>
              </w:rPr>
              <w:t>44,060.49</w:t>
            </w:r>
          </w:p>
        </w:tc>
      </w:tr>
      <w:tr w14:paraId="139A1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EC14C3">
            <w:r>
              <w:rPr>
                <w:rFonts w:hint="eastAsia"/>
              </w:rPr>
              <w:t>应付利息</w:t>
            </w:r>
          </w:p>
        </w:tc>
        <w:tc>
          <w:tcPr>
            <w:tcW w:w="2768" w:type="dxa"/>
            <w:vAlign w:val="center"/>
          </w:tcPr>
          <w:p w14:paraId="30B16293">
            <w:pPr>
              <w:jc w:val="right"/>
            </w:pPr>
            <w:r>
              <w:rPr>
                <w:rFonts w:hint="eastAsia"/>
              </w:rPr>
              <w:t>-</w:t>
            </w:r>
          </w:p>
        </w:tc>
        <w:tc>
          <w:tcPr>
            <w:tcW w:w="2768" w:type="dxa"/>
            <w:vAlign w:val="center"/>
          </w:tcPr>
          <w:p w14:paraId="4E45A36A">
            <w:pPr>
              <w:jc w:val="right"/>
            </w:pPr>
            <w:r>
              <w:rPr>
                <w:rFonts w:hint="eastAsia"/>
              </w:rPr>
              <w:t>-</w:t>
            </w:r>
          </w:p>
        </w:tc>
      </w:tr>
      <w:tr w14:paraId="07FF3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591933">
            <w:r>
              <w:rPr>
                <w:rFonts w:hint="eastAsia"/>
              </w:rPr>
              <w:t>预提费用</w:t>
            </w:r>
          </w:p>
        </w:tc>
        <w:tc>
          <w:tcPr>
            <w:tcW w:w="2768" w:type="dxa"/>
            <w:vAlign w:val="center"/>
          </w:tcPr>
          <w:p w14:paraId="16AF814D">
            <w:pPr>
              <w:jc w:val="right"/>
            </w:pPr>
            <w:r>
              <w:rPr>
                <w:rFonts w:hint="eastAsia"/>
              </w:rPr>
              <w:t>169,300.00</w:t>
            </w:r>
          </w:p>
        </w:tc>
        <w:tc>
          <w:tcPr>
            <w:tcW w:w="2768" w:type="dxa"/>
            <w:vAlign w:val="center"/>
          </w:tcPr>
          <w:p w14:paraId="389FDA93">
            <w:pPr>
              <w:jc w:val="right"/>
            </w:pPr>
            <w:r>
              <w:rPr>
                <w:rFonts w:hint="eastAsia"/>
              </w:rPr>
              <w:t>160,000.00</w:t>
            </w:r>
          </w:p>
        </w:tc>
      </w:tr>
      <w:tr w14:paraId="09D12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739D90">
            <w:r>
              <w:rPr>
                <w:rFonts w:hint="eastAsia"/>
              </w:rPr>
              <w:t>合计</w:t>
            </w:r>
          </w:p>
        </w:tc>
        <w:tc>
          <w:tcPr>
            <w:tcW w:w="2768" w:type="dxa"/>
            <w:vAlign w:val="center"/>
          </w:tcPr>
          <w:p w14:paraId="471D79F5">
            <w:pPr>
              <w:jc w:val="right"/>
            </w:pPr>
            <w:r>
              <w:rPr>
                <w:rFonts w:hint="eastAsia"/>
              </w:rPr>
              <w:t>209,505.61</w:t>
            </w:r>
          </w:p>
        </w:tc>
        <w:tc>
          <w:tcPr>
            <w:tcW w:w="2768" w:type="dxa"/>
            <w:vAlign w:val="center"/>
          </w:tcPr>
          <w:p w14:paraId="1B0B4A78">
            <w:pPr>
              <w:jc w:val="right"/>
            </w:pPr>
            <w:r>
              <w:rPr>
                <w:rFonts w:hint="eastAsia"/>
              </w:rPr>
              <w:t>202,826.00</w:t>
            </w:r>
          </w:p>
        </w:tc>
      </w:tr>
    </w:tbl>
    <w:p w14:paraId="65CF2F8C">
      <w:pPr>
        <w:pStyle w:val="35"/>
      </w:pPr>
      <w:bookmarkStart w:id="81" w:name="_Toc81"/>
      <w:r>
        <w:t xml:space="preserve">实收基金 </w:t>
      </w:r>
      <w:bookmarkEnd w:id="81"/>
    </w:p>
    <w:p w14:paraId="78EDBC4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769AE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50541ED5">
            <w:pPr>
              <w:jc w:val="center"/>
            </w:pPr>
            <w:r>
              <w:rPr>
                <w:rFonts w:hint="eastAsia"/>
                <w:b/>
              </w:rPr>
              <w:t>项目</w:t>
            </w:r>
          </w:p>
        </w:tc>
        <w:tc>
          <w:tcPr>
            <w:tcW w:w="2491" w:type="dxa"/>
            <w:gridSpan w:val="2"/>
            <w:shd w:val="clear" w:color="auto" w:fill="BFBFBF"/>
            <w:vAlign w:val="center"/>
          </w:tcPr>
          <w:p w14:paraId="712B2123">
            <w:pPr>
              <w:jc w:val="center"/>
            </w:pPr>
            <w:r>
              <w:rPr>
                <w:rFonts w:hint="eastAsia"/>
                <w:b/>
              </w:rPr>
              <w:t>本期2025年1月1日至2025年12月31日</w:t>
            </w:r>
          </w:p>
        </w:tc>
      </w:tr>
      <w:tr w14:paraId="74BC4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5681318D"/>
        </w:tc>
        <w:tc>
          <w:tcPr>
            <w:tcW w:w="2491" w:type="dxa"/>
            <w:shd w:val="clear" w:color="auto" w:fill="BFBFBF"/>
            <w:vAlign w:val="center"/>
          </w:tcPr>
          <w:p w14:paraId="55746F09">
            <w:pPr>
              <w:jc w:val="center"/>
            </w:pPr>
            <w:r>
              <w:rPr>
                <w:rFonts w:hint="eastAsia"/>
                <w:b/>
              </w:rPr>
              <w:t>基金份额（份）</w:t>
            </w:r>
          </w:p>
        </w:tc>
        <w:tc>
          <w:tcPr>
            <w:tcW w:w="2907" w:type="dxa"/>
            <w:shd w:val="clear" w:color="auto" w:fill="BFBFBF"/>
            <w:vAlign w:val="center"/>
          </w:tcPr>
          <w:p w14:paraId="06F805FF">
            <w:pPr>
              <w:jc w:val="center"/>
            </w:pPr>
            <w:r>
              <w:rPr>
                <w:rFonts w:hint="eastAsia"/>
                <w:b/>
              </w:rPr>
              <w:t>账面金额</w:t>
            </w:r>
          </w:p>
        </w:tc>
      </w:tr>
      <w:tr w14:paraId="7B784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DADB6C9">
            <w:r>
              <w:rPr>
                <w:rFonts w:hint="eastAsia"/>
              </w:rPr>
              <w:t>上年度末</w:t>
            </w:r>
          </w:p>
        </w:tc>
        <w:tc>
          <w:tcPr>
            <w:tcW w:w="2491" w:type="dxa"/>
            <w:vAlign w:val="center"/>
          </w:tcPr>
          <w:p w14:paraId="74A5D124">
            <w:pPr>
              <w:jc w:val="right"/>
            </w:pPr>
            <w:r>
              <w:rPr>
                <w:rFonts w:hint="eastAsia"/>
              </w:rPr>
              <w:t>956,432,604.28</w:t>
            </w:r>
          </w:p>
        </w:tc>
        <w:tc>
          <w:tcPr>
            <w:tcW w:w="2907" w:type="dxa"/>
            <w:vAlign w:val="center"/>
          </w:tcPr>
          <w:p w14:paraId="2050568D">
            <w:pPr>
              <w:jc w:val="right"/>
            </w:pPr>
            <w:r>
              <w:rPr>
                <w:rFonts w:hint="eastAsia"/>
              </w:rPr>
              <w:t>956,432,604.28</w:t>
            </w:r>
          </w:p>
        </w:tc>
      </w:tr>
      <w:tr w14:paraId="405A6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3656ED2">
            <w:r>
              <w:rPr>
                <w:rFonts w:hint="eastAsia"/>
              </w:rPr>
              <w:t>本期申购</w:t>
            </w:r>
          </w:p>
        </w:tc>
        <w:tc>
          <w:tcPr>
            <w:tcW w:w="2491" w:type="dxa"/>
            <w:vAlign w:val="center"/>
          </w:tcPr>
          <w:p w14:paraId="666F2299">
            <w:pPr>
              <w:jc w:val="right"/>
            </w:pPr>
            <w:r>
              <w:rPr>
                <w:rFonts w:hint="eastAsia"/>
              </w:rPr>
              <w:t>175,378.41</w:t>
            </w:r>
          </w:p>
        </w:tc>
        <w:tc>
          <w:tcPr>
            <w:tcW w:w="2907" w:type="dxa"/>
            <w:vAlign w:val="center"/>
          </w:tcPr>
          <w:p w14:paraId="73074CC7">
            <w:pPr>
              <w:jc w:val="right"/>
            </w:pPr>
            <w:r>
              <w:rPr>
                <w:rFonts w:hint="eastAsia"/>
              </w:rPr>
              <w:t>175,378.41</w:t>
            </w:r>
          </w:p>
        </w:tc>
      </w:tr>
      <w:tr w14:paraId="12C24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9048C57">
            <w:r>
              <w:rPr>
                <w:rFonts w:hint="eastAsia"/>
              </w:rPr>
              <w:t>本期赎回（以“-”号填列）</w:t>
            </w:r>
          </w:p>
        </w:tc>
        <w:tc>
          <w:tcPr>
            <w:tcW w:w="2491" w:type="dxa"/>
            <w:vAlign w:val="center"/>
          </w:tcPr>
          <w:p w14:paraId="45A42C91">
            <w:pPr>
              <w:jc w:val="right"/>
            </w:pPr>
            <w:r>
              <w:rPr>
                <w:rFonts w:hint="eastAsia"/>
              </w:rPr>
              <w:t>-3.80</w:t>
            </w:r>
          </w:p>
        </w:tc>
        <w:tc>
          <w:tcPr>
            <w:tcW w:w="2907" w:type="dxa"/>
            <w:vAlign w:val="center"/>
          </w:tcPr>
          <w:p w14:paraId="0B4C2059">
            <w:pPr>
              <w:jc w:val="right"/>
            </w:pPr>
            <w:r>
              <w:rPr>
                <w:rFonts w:hint="eastAsia"/>
              </w:rPr>
              <w:t>-3.80</w:t>
            </w:r>
          </w:p>
        </w:tc>
      </w:tr>
      <w:tr w14:paraId="7B40F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E2C2CEF">
            <w:r>
              <w:rPr>
                <w:rFonts w:hint="eastAsia"/>
              </w:rPr>
              <w:t>基金拆分/份额折算前</w:t>
            </w:r>
          </w:p>
        </w:tc>
        <w:tc>
          <w:tcPr>
            <w:tcW w:w="2491" w:type="dxa"/>
            <w:vAlign w:val="center"/>
          </w:tcPr>
          <w:p w14:paraId="44F57E47">
            <w:pPr>
              <w:jc w:val="right"/>
            </w:pPr>
            <w:r>
              <w:rPr>
                <w:rFonts w:hint="eastAsia"/>
              </w:rPr>
              <w:t>-</w:t>
            </w:r>
          </w:p>
        </w:tc>
        <w:tc>
          <w:tcPr>
            <w:tcW w:w="2907" w:type="dxa"/>
            <w:vAlign w:val="center"/>
          </w:tcPr>
          <w:p w14:paraId="11FEB32D">
            <w:pPr>
              <w:jc w:val="right"/>
            </w:pPr>
            <w:r>
              <w:rPr>
                <w:rFonts w:hint="eastAsia"/>
              </w:rPr>
              <w:t>-</w:t>
            </w:r>
          </w:p>
        </w:tc>
      </w:tr>
      <w:tr w14:paraId="17A9E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642CDB5">
            <w:r>
              <w:rPr>
                <w:rFonts w:hint="eastAsia"/>
              </w:rPr>
              <w:t>基金拆分/份额折算调整</w:t>
            </w:r>
          </w:p>
        </w:tc>
        <w:tc>
          <w:tcPr>
            <w:tcW w:w="2491" w:type="dxa"/>
            <w:vAlign w:val="center"/>
          </w:tcPr>
          <w:p w14:paraId="5C815743">
            <w:pPr>
              <w:jc w:val="right"/>
            </w:pPr>
            <w:r>
              <w:rPr>
                <w:rFonts w:hint="eastAsia"/>
              </w:rPr>
              <w:t>-</w:t>
            </w:r>
          </w:p>
        </w:tc>
        <w:tc>
          <w:tcPr>
            <w:tcW w:w="2907" w:type="dxa"/>
            <w:vAlign w:val="center"/>
          </w:tcPr>
          <w:p w14:paraId="51548423">
            <w:pPr>
              <w:jc w:val="right"/>
            </w:pPr>
            <w:r>
              <w:rPr>
                <w:rFonts w:hint="eastAsia"/>
              </w:rPr>
              <w:t>-</w:t>
            </w:r>
          </w:p>
        </w:tc>
      </w:tr>
      <w:tr w14:paraId="2AB55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0D369FF">
            <w:r>
              <w:rPr>
                <w:rFonts w:hint="eastAsia"/>
              </w:rPr>
              <w:t>本期申购</w:t>
            </w:r>
          </w:p>
        </w:tc>
        <w:tc>
          <w:tcPr>
            <w:tcW w:w="2491" w:type="dxa"/>
            <w:vAlign w:val="center"/>
          </w:tcPr>
          <w:p w14:paraId="0684A8FE">
            <w:pPr>
              <w:jc w:val="right"/>
            </w:pPr>
            <w:r>
              <w:rPr>
                <w:rFonts w:hint="eastAsia"/>
              </w:rPr>
              <w:t>-</w:t>
            </w:r>
          </w:p>
        </w:tc>
        <w:tc>
          <w:tcPr>
            <w:tcW w:w="2907" w:type="dxa"/>
            <w:vAlign w:val="center"/>
          </w:tcPr>
          <w:p w14:paraId="0F2AA057">
            <w:pPr>
              <w:jc w:val="right"/>
            </w:pPr>
            <w:r>
              <w:rPr>
                <w:rFonts w:hint="eastAsia"/>
              </w:rPr>
              <w:t>-</w:t>
            </w:r>
          </w:p>
        </w:tc>
      </w:tr>
      <w:tr w14:paraId="0FAC3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375952A">
            <w:r>
              <w:rPr>
                <w:rFonts w:hint="eastAsia"/>
              </w:rPr>
              <w:t>本期赎回（以“-”号填列）</w:t>
            </w:r>
          </w:p>
        </w:tc>
        <w:tc>
          <w:tcPr>
            <w:tcW w:w="2491" w:type="dxa"/>
            <w:vAlign w:val="center"/>
          </w:tcPr>
          <w:p w14:paraId="4D30D642">
            <w:pPr>
              <w:jc w:val="right"/>
            </w:pPr>
            <w:r>
              <w:rPr>
                <w:rFonts w:hint="eastAsia"/>
              </w:rPr>
              <w:t>-</w:t>
            </w:r>
          </w:p>
        </w:tc>
        <w:tc>
          <w:tcPr>
            <w:tcW w:w="2907" w:type="dxa"/>
            <w:vAlign w:val="center"/>
          </w:tcPr>
          <w:p w14:paraId="6658450D">
            <w:pPr>
              <w:jc w:val="right"/>
            </w:pPr>
            <w:r>
              <w:rPr>
                <w:rFonts w:hint="eastAsia"/>
              </w:rPr>
              <w:t>-</w:t>
            </w:r>
          </w:p>
        </w:tc>
      </w:tr>
      <w:tr w14:paraId="594F0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79DEC24">
            <w:r>
              <w:rPr>
                <w:rFonts w:hint="eastAsia"/>
              </w:rPr>
              <w:t>本期末</w:t>
            </w:r>
          </w:p>
        </w:tc>
        <w:tc>
          <w:tcPr>
            <w:tcW w:w="2491" w:type="dxa"/>
            <w:vAlign w:val="center"/>
          </w:tcPr>
          <w:p w14:paraId="6C15466F">
            <w:pPr>
              <w:jc w:val="right"/>
            </w:pPr>
            <w:r>
              <w:rPr>
                <w:rFonts w:hint="eastAsia"/>
              </w:rPr>
              <w:t>956,607,978.89</w:t>
            </w:r>
          </w:p>
        </w:tc>
        <w:tc>
          <w:tcPr>
            <w:tcW w:w="2907" w:type="dxa"/>
            <w:vAlign w:val="center"/>
          </w:tcPr>
          <w:p w14:paraId="61538308">
            <w:pPr>
              <w:jc w:val="right"/>
            </w:pPr>
            <w:r>
              <w:rPr>
                <w:rFonts w:hint="eastAsia"/>
              </w:rPr>
              <w:t>956,607,978.89</w:t>
            </w:r>
          </w:p>
        </w:tc>
      </w:tr>
    </w:tbl>
    <w:p w14:paraId="4A6A979C">
      <w:pPr>
        <w:pStyle w:val="47"/>
        <w:rPr>
          <w:rFonts w:hint="eastAsia"/>
        </w:rPr>
      </w:pPr>
      <w:r>
        <w:rPr>
          <w:rFonts w:hint="eastAsia"/>
        </w:rPr>
        <w:t>注：本基金申购含红利再投份额（如有）、转换入份额（如有）；赎回含转出份额（如有）。</w:t>
      </w:r>
    </w:p>
    <w:p w14:paraId="309A7363">
      <w:pPr>
        <w:pStyle w:val="35"/>
      </w:pPr>
      <w:bookmarkStart w:id="82" w:name="_Toc82"/>
      <w:r>
        <w:t xml:space="preserve"> 未分配利润 </w:t>
      </w:r>
      <w:bookmarkEnd w:id="82"/>
    </w:p>
    <w:p w14:paraId="3B6A208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222A5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44B4B60A">
            <w:pPr>
              <w:jc w:val="center"/>
            </w:pPr>
            <w:r>
              <w:rPr>
                <w:rFonts w:hint="eastAsia"/>
                <w:b/>
              </w:rPr>
              <w:t>项目</w:t>
            </w:r>
          </w:p>
        </w:tc>
        <w:tc>
          <w:tcPr>
            <w:tcW w:w="2076" w:type="dxa"/>
            <w:shd w:val="clear" w:color="auto" w:fill="BFBFBF"/>
            <w:vAlign w:val="center"/>
          </w:tcPr>
          <w:p w14:paraId="2FD43552">
            <w:pPr>
              <w:jc w:val="center"/>
            </w:pPr>
            <w:r>
              <w:rPr>
                <w:rFonts w:hint="eastAsia"/>
                <w:b/>
              </w:rPr>
              <w:t>已实现部分</w:t>
            </w:r>
          </w:p>
        </w:tc>
        <w:tc>
          <w:tcPr>
            <w:tcW w:w="2076" w:type="dxa"/>
            <w:shd w:val="clear" w:color="auto" w:fill="BFBFBF"/>
            <w:vAlign w:val="center"/>
          </w:tcPr>
          <w:p w14:paraId="690CC559">
            <w:pPr>
              <w:jc w:val="center"/>
            </w:pPr>
            <w:r>
              <w:rPr>
                <w:rFonts w:hint="eastAsia"/>
                <w:b/>
              </w:rPr>
              <w:t>未实现部分</w:t>
            </w:r>
          </w:p>
        </w:tc>
        <w:tc>
          <w:tcPr>
            <w:tcW w:w="2076" w:type="dxa"/>
            <w:shd w:val="clear" w:color="auto" w:fill="BFBFBF"/>
            <w:vAlign w:val="center"/>
          </w:tcPr>
          <w:p w14:paraId="716CE41F">
            <w:pPr>
              <w:jc w:val="center"/>
            </w:pPr>
            <w:r>
              <w:rPr>
                <w:rFonts w:hint="eastAsia"/>
                <w:b/>
              </w:rPr>
              <w:t>未分配利润合计</w:t>
            </w:r>
          </w:p>
        </w:tc>
      </w:tr>
      <w:tr w14:paraId="650F5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646439A">
            <w:r>
              <w:rPr>
                <w:rFonts w:hint="eastAsia"/>
              </w:rPr>
              <w:t>上年度末</w:t>
            </w:r>
          </w:p>
        </w:tc>
        <w:tc>
          <w:tcPr>
            <w:tcW w:w="2076" w:type="dxa"/>
            <w:vAlign w:val="center"/>
          </w:tcPr>
          <w:p w14:paraId="1CE3AC92">
            <w:pPr>
              <w:jc w:val="right"/>
            </w:pPr>
            <w:r>
              <w:rPr>
                <w:rFonts w:hint="eastAsia"/>
              </w:rPr>
              <w:t>107,461,239.53</w:t>
            </w:r>
          </w:p>
        </w:tc>
        <w:tc>
          <w:tcPr>
            <w:tcW w:w="2076" w:type="dxa"/>
            <w:vAlign w:val="center"/>
          </w:tcPr>
          <w:p w14:paraId="3FE60746">
            <w:pPr>
              <w:jc w:val="right"/>
            </w:pPr>
            <w:r>
              <w:rPr>
                <w:rFonts w:hint="eastAsia"/>
              </w:rPr>
              <w:t>28,157,300.44</w:t>
            </w:r>
          </w:p>
        </w:tc>
        <w:tc>
          <w:tcPr>
            <w:tcW w:w="2076" w:type="dxa"/>
            <w:vAlign w:val="center"/>
          </w:tcPr>
          <w:p w14:paraId="702FF6CE">
            <w:pPr>
              <w:jc w:val="right"/>
            </w:pPr>
            <w:r>
              <w:rPr>
                <w:rFonts w:hint="eastAsia"/>
              </w:rPr>
              <w:t>135,618,539.97</w:t>
            </w:r>
          </w:p>
        </w:tc>
      </w:tr>
      <w:tr w14:paraId="498CE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1C9BFD5">
            <w:r>
              <w:rPr>
                <w:rFonts w:hint="eastAsia"/>
              </w:rPr>
              <w:t>加：会计政策变更</w:t>
            </w:r>
          </w:p>
        </w:tc>
        <w:tc>
          <w:tcPr>
            <w:tcW w:w="2076" w:type="dxa"/>
            <w:vAlign w:val="center"/>
          </w:tcPr>
          <w:p w14:paraId="53080447">
            <w:pPr>
              <w:jc w:val="right"/>
            </w:pPr>
            <w:r>
              <w:rPr>
                <w:rFonts w:hint="eastAsia"/>
              </w:rPr>
              <w:t>-</w:t>
            </w:r>
          </w:p>
        </w:tc>
        <w:tc>
          <w:tcPr>
            <w:tcW w:w="2076" w:type="dxa"/>
            <w:vAlign w:val="center"/>
          </w:tcPr>
          <w:p w14:paraId="319FB44E">
            <w:pPr>
              <w:jc w:val="right"/>
            </w:pPr>
            <w:r>
              <w:rPr>
                <w:rFonts w:hint="eastAsia"/>
              </w:rPr>
              <w:t>-</w:t>
            </w:r>
          </w:p>
        </w:tc>
        <w:tc>
          <w:tcPr>
            <w:tcW w:w="2076" w:type="dxa"/>
            <w:vAlign w:val="center"/>
          </w:tcPr>
          <w:p w14:paraId="4AD037F0">
            <w:pPr>
              <w:jc w:val="right"/>
            </w:pPr>
            <w:r>
              <w:rPr>
                <w:rFonts w:hint="eastAsia"/>
              </w:rPr>
              <w:t>-</w:t>
            </w:r>
          </w:p>
        </w:tc>
      </w:tr>
      <w:tr w14:paraId="150E1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87299D5">
            <w:r>
              <w:rPr>
                <w:rFonts w:hint="eastAsia"/>
              </w:rPr>
              <w:t xml:space="preserve">      前期差错更正</w:t>
            </w:r>
          </w:p>
        </w:tc>
        <w:tc>
          <w:tcPr>
            <w:tcW w:w="2076" w:type="dxa"/>
            <w:vAlign w:val="center"/>
          </w:tcPr>
          <w:p w14:paraId="3224FD92">
            <w:pPr>
              <w:jc w:val="right"/>
            </w:pPr>
            <w:r>
              <w:rPr>
                <w:rFonts w:hint="eastAsia"/>
              </w:rPr>
              <w:t>-</w:t>
            </w:r>
          </w:p>
        </w:tc>
        <w:tc>
          <w:tcPr>
            <w:tcW w:w="2076" w:type="dxa"/>
            <w:vAlign w:val="center"/>
          </w:tcPr>
          <w:p w14:paraId="72F3078C">
            <w:pPr>
              <w:jc w:val="right"/>
            </w:pPr>
            <w:r>
              <w:rPr>
                <w:rFonts w:hint="eastAsia"/>
              </w:rPr>
              <w:t>-</w:t>
            </w:r>
          </w:p>
        </w:tc>
        <w:tc>
          <w:tcPr>
            <w:tcW w:w="2076" w:type="dxa"/>
            <w:vAlign w:val="center"/>
          </w:tcPr>
          <w:p w14:paraId="3E95F395">
            <w:pPr>
              <w:jc w:val="right"/>
            </w:pPr>
            <w:r>
              <w:rPr>
                <w:rFonts w:hint="eastAsia"/>
              </w:rPr>
              <w:t>-</w:t>
            </w:r>
          </w:p>
        </w:tc>
      </w:tr>
      <w:tr w14:paraId="6F5C6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7A3A3A7">
            <w:r>
              <w:rPr>
                <w:rFonts w:hint="eastAsia"/>
              </w:rPr>
              <w:t xml:space="preserve">      其他</w:t>
            </w:r>
          </w:p>
        </w:tc>
        <w:tc>
          <w:tcPr>
            <w:tcW w:w="2076" w:type="dxa"/>
            <w:vAlign w:val="center"/>
          </w:tcPr>
          <w:p w14:paraId="23725663">
            <w:pPr>
              <w:jc w:val="right"/>
            </w:pPr>
            <w:r>
              <w:rPr>
                <w:rFonts w:hint="eastAsia"/>
              </w:rPr>
              <w:t>-</w:t>
            </w:r>
          </w:p>
        </w:tc>
        <w:tc>
          <w:tcPr>
            <w:tcW w:w="2076" w:type="dxa"/>
            <w:vAlign w:val="center"/>
          </w:tcPr>
          <w:p w14:paraId="604BD0C4">
            <w:pPr>
              <w:jc w:val="right"/>
            </w:pPr>
            <w:r>
              <w:rPr>
                <w:rFonts w:hint="eastAsia"/>
              </w:rPr>
              <w:t>-</w:t>
            </w:r>
          </w:p>
        </w:tc>
        <w:tc>
          <w:tcPr>
            <w:tcW w:w="2076" w:type="dxa"/>
            <w:vAlign w:val="center"/>
          </w:tcPr>
          <w:p w14:paraId="738A7552">
            <w:pPr>
              <w:jc w:val="right"/>
            </w:pPr>
            <w:r>
              <w:rPr>
                <w:rFonts w:hint="eastAsia"/>
              </w:rPr>
              <w:t>-</w:t>
            </w:r>
          </w:p>
        </w:tc>
      </w:tr>
      <w:tr w14:paraId="2026D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F82C004">
            <w:r>
              <w:rPr>
                <w:rFonts w:hint="eastAsia"/>
              </w:rPr>
              <w:t>本期期初</w:t>
            </w:r>
          </w:p>
        </w:tc>
        <w:tc>
          <w:tcPr>
            <w:tcW w:w="2076" w:type="dxa"/>
            <w:vAlign w:val="center"/>
          </w:tcPr>
          <w:p w14:paraId="321814C4">
            <w:pPr>
              <w:jc w:val="right"/>
            </w:pPr>
            <w:r>
              <w:rPr>
                <w:rFonts w:hint="eastAsia"/>
              </w:rPr>
              <w:t>107,461,239.53</w:t>
            </w:r>
          </w:p>
        </w:tc>
        <w:tc>
          <w:tcPr>
            <w:tcW w:w="2076" w:type="dxa"/>
            <w:vAlign w:val="center"/>
          </w:tcPr>
          <w:p w14:paraId="33591F4F">
            <w:pPr>
              <w:jc w:val="right"/>
            </w:pPr>
            <w:r>
              <w:rPr>
                <w:rFonts w:hint="eastAsia"/>
              </w:rPr>
              <w:t>28,157,300.44</w:t>
            </w:r>
          </w:p>
        </w:tc>
        <w:tc>
          <w:tcPr>
            <w:tcW w:w="2076" w:type="dxa"/>
            <w:vAlign w:val="center"/>
          </w:tcPr>
          <w:p w14:paraId="7E289473">
            <w:pPr>
              <w:jc w:val="right"/>
            </w:pPr>
            <w:r>
              <w:rPr>
                <w:rFonts w:hint="eastAsia"/>
              </w:rPr>
              <w:t>135,618,539.97</w:t>
            </w:r>
          </w:p>
        </w:tc>
      </w:tr>
      <w:tr w14:paraId="4E2E2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B30EEEF">
            <w:r>
              <w:rPr>
                <w:rFonts w:hint="eastAsia"/>
              </w:rPr>
              <w:t>本期利润</w:t>
            </w:r>
          </w:p>
        </w:tc>
        <w:tc>
          <w:tcPr>
            <w:tcW w:w="2076" w:type="dxa"/>
            <w:vAlign w:val="center"/>
          </w:tcPr>
          <w:p w14:paraId="679208F6">
            <w:pPr>
              <w:jc w:val="right"/>
            </w:pPr>
            <w:r>
              <w:rPr>
                <w:rFonts w:hint="eastAsia"/>
              </w:rPr>
              <w:t>22,778,870.03</w:t>
            </w:r>
          </w:p>
        </w:tc>
        <w:tc>
          <w:tcPr>
            <w:tcW w:w="2076" w:type="dxa"/>
            <w:vAlign w:val="center"/>
          </w:tcPr>
          <w:p w14:paraId="75819448">
            <w:pPr>
              <w:jc w:val="right"/>
            </w:pPr>
            <w:r>
              <w:rPr>
                <w:rFonts w:hint="eastAsia"/>
              </w:rPr>
              <w:t>-10,743,664.44</w:t>
            </w:r>
          </w:p>
        </w:tc>
        <w:tc>
          <w:tcPr>
            <w:tcW w:w="2076" w:type="dxa"/>
            <w:vAlign w:val="center"/>
          </w:tcPr>
          <w:p w14:paraId="411A26DB">
            <w:pPr>
              <w:jc w:val="right"/>
            </w:pPr>
            <w:r>
              <w:rPr>
                <w:rFonts w:hint="eastAsia"/>
              </w:rPr>
              <w:t>12,035,205.59</w:t>
            </w:r>
          </w:p>
        </w:tc>
      </w:tr>
      <w:tr w14:paraId="698BC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384F4B6">
            <w:r>
              <w:rPr>
                <w:rFonts w:hint="eastAsia"/>
              </w:rPr>
              <w:t>本期基金份额交易产生的变动数</w:t>
            </w:r>
          </w:p>
        </w:tc>
        <w:tc>
          <w:tcPr>
            <w:tcW w:w="2076" w:type="dxa"/>
            <w:vAlign w:val="center"/>
          </w:tcPr>
          <w:p w14:paraId="0CE1821D">
            <w:pPr>
              <w:jc w:val="right"/>
            </w:pPr>
            <w:r>
              <w:rPr>
                <w:rFonts w:hint="eastAsia"/>
              </w:rPr>
              <w:t>21,490.93</w:t>
            </w:r>
          </w:p>
        </w:tc>
        <w:tc>
          <w:tcPr>
            <w:tcW w:w="2076" w:type="dxa"/>
            <w:vAlign w:val="center"/>
          </w:tcPr>
          <w:p w14:paraId="55D7D0F3">
            <w:pPr>
              <w:jc w:val="right"/>
            </w:pPr>
            <w:r>
              <w:rPr>
                <w:rFonts w:hint="eastAsia"/>
              </w:rPr>
              <w:t>3,114.14</w:t>
            </w:r>
          </w:p>
        </w:tc>
        <w:tc>
          <w:tcPr>
            <w:tcW w:w="2076" w:type="dxa"/>
            <w:vAlign w:val="center"/>
          </w:tcPr>
          <w:p w14:paraId="1F600B75">
            <w:pPr>
              <w:jc w:val="right"/>
            </w:pPr>
            <w:r>
              <w:rPr>
                <w:rFonts w:hint="eastAsia"/>
              </w:rPr>
              <w:t>24,605.07</w:t>
            </w:r>
          </w:p>
        </w:tc>
      </w:tr>
      <w:tr w14:paraId="65EC5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576F7B1">
            <w:r>
              <w:rPr>
                <w:rFonts w:hint="eastAsia"/>
              </w:rPr>
              <w:t>其中：基金申购款</w:t>
            </w:r>
          </w:p>
        </w:tc>
        <w:tc>
          <w:tcPr>
            <w:tcW w:w="2076" w:type="dxa"/>
            <w:vAlign w:val="center"/>
          </w:tcPr>
          <w:p w14:paraId="40462A19">
            <w:pPr>
              <w:jc w:val="right"/>
            </w:pPr>
            <w:r>
              <w:rPr>
                <w:rFonts w:hint="eastAsia"/>
              </w:rPr>
              <w:t>21,491.38</w:t>
            </w:r>
          </w:p>
        </w:tc>
        <w:tc>
          <w:tcPr>
            <w:tcW w:w="2076" w:type="dxa"/>
            <w:vAlign w:val="center"/>
          </w:tcPr>
          <w:p w14:paraId="22DCE3A3">
            <w:pPr>
              <w:jc w:val="right"/>
            </w:pPr>
            <w:r>
              <w:rPr>
                <w:rFonts w:hint="eastAsia"/>
              </w:rPr>
              <w:t>3,114.21</w:t>
            </w:r>
          </w:p>
        </w:tc>
        <w:tc>
          <w:tcPr>
            <w:tcW w:w="2076" w:type="dxa"/>
            <w:vAlign w:val="center"/>
          </w:tcPr>
          <w:p w14:paraId="535741BF">
            <w:pPr>
              <w:jc w:val="right"/>
            </w:pPr>
            <w:r>
              <w:rPr>
                <w:rFonts w:hint="eastAsia"/>
              </w:rPr>
              <w:t>24,605.59</w:t>
            </w:r>
          </w:p>
        </w:tc>
      </w:tr>
      <w:tr w14:paraId="574CF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1F6A1DB">
            <w:r>
              <w:rPr>
                <w:rFonts w:hint="eastAsia"/>
              </w:rPr>
              <w:t xml:space="preserve">      基金赎回款</w:t>
            </w:r>
          </w:p>
        </w:tc>
        <w:tc>
          <w:tcPr>
            <w:tcW w:w="2076" w:type="dxa"/>
            <w:vAlign w:val="center"/>
          </w:tcPr>
          <w:p w14:paraId="06EC8458">
            <w:pPr>
              <w:jc w:val="right"/>
            </w:pPr>
            <w:r>
              <w:rPr>
                <w:rFonts w:hint="eastAsia"/>
              </w:rPr>
              <w:t>-0.45</w:t>
            </w:r>
          </w:p>
        </w:tc>
        <w:tc>
          <w:tcPr>
            <w:tcW w:w="2076" w:type="dxa"/>
            <w:vAlign w:val="center"/>
          </w:tcPr>
          <w:p w14:paraId="46688AE3">
            <w:pPr>
              <w:jc w:val="right"/>
            </w:pPr>
            <w:r>
              <w:rPr>
                <w:rFonts w:hint="eastAsia"/>
              </w:rPr>
              <w:t>-0.07</w:t>
            </w:r>
          </w:p>
        </w:tc>
        <w:tc>
          <w:tcPr>
            <w:tcW w:w="2076" w:type="dxa"/>
            <w:vAlign w:val="center"/>
          </w:tcPr>
          <w:p w14:paraId="6753A7B6">
            <w:pPr>
              <w:jc w:val="right"/>
            </w:pPr>
            <w:r>
              <w:rPr>
                <w:rFonts w:hint="eastAsia"/>
              </w:rPr>
              <w:t>-0.52</w:t>
            </w:r>
          </w:p>
        </w:tc>
      </w:tr>
      <w:tr w14:paraId="7F655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4E5B6A4">
            <w:r>
              <w:rPr>
                <w:rFonts w:hint="eastAsia"/>
              </w:rPr>
              <w:t>本期已分配利润</w:t>
            </w:r>
          </w:p>
        </w:tc>
        <w:tc>
          <w:tcPr>
            <w:tcW w:w="2076" w:type="dxa"/>
            <w:vAlign w:val="center"/>
          </w:tcPr>
          <w:p w14:paraId="757FACF9">
            <w:pPr>
              <w:jc w:val="right"/>
            </w:pPr>
            <w:r>
              <w:rPr>
                <w:rFonts w:hint="eastAsia"/>
              </w:rPr>
              <w:t>-</w:t>
            </w:r>
          </w:p>
        </w:tc>
        <w:tc>
          <w:tcPr>
            <w:tcW w:w="2076" w:type="dxa"/>
            <w:vAlign w:val="center"/>
          </w:tcPr>
          <w:p w14:paraId="6262E427">
            <w:pPr>
              <w:jc w:val="right"/>
            </w:pPr>
            <w:r>
              <w:rPr>
                <w:rFonts w:hint="eastAsia"/>
              </w:rPr>
              <w:t>-</w:t>
            </w:r>
          </w:p>
        </w:tc>
        <w:tc>
          <w:tcPr>
            <w:tcW w:w="2076" w:type="dxa"/>
            <w:vAlign w:val="center"/>
          </w:tcPr>
          <w:p w14:paraId="1E95A8B7">
            <w:pPr>
              <w:jc w:val="right"/>
            </w:pPr>
            <w:r>
              <w:rPr>
                <w:rFonts w:hint="eastAsia"/>
              </w:rPr>
              <w:t>-</w:t>
            </w:r>
          </w:p>
        </w:tc>
      </w:tr>
      <w:tr w14:paraId="0B6DF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7F8B9F0">
            <w:r>
              <w:rPr>
                <w:rFonts w:hint="eastAsia"/>
              </w:rPr>
              <w:t>本期末</w:t>
            </w:r>
          </w:p>
        </w:tc>
        <w:tc>
          <w:tcPr>
            <w:tcW w:w="2076" w:type="dxa"/>
            <w:vAlign w:val="center"/>
          </w:tcPr>
          <w:p w14:paraId="2886FBBD">
            <w:pPr>
              <w:jc w:val="right"/>
            </w:pPr>
            <w:r>
              <w:rPr>
                <w:rFonts w:hint="eastAsia"/>
              </w:rPr>
              <w:t>130,261,600.49</w:t>
            </w:r>
          </w:p>
        </w:tc>
        <w:tc>
          <w:tcPr>
            <w:tcW w:w="2076" w:type="dxa"/>
            <w:vAlign w:val="center"/>
          </w:tcPr>
          <w:p w14:paraId="491412AA">
            <w:pPr>
              <w:jc w:val="right"/>
            </w:pPr>
            <w:r>
              <w:rPr>
                <w:rFonts w:hint="eastAsia"/>
              </w:rPr>
              <w:t>17,416,750.14</w:t>
            </w:r>
          </w:p>
        </w:tc>
        <w:tc>
          <w:tcPr>
            <w:tcW w:w="2076" w:type="dxa"/>
            <w:vAlign w:val="center"/>
          </w:tcPr>
          <w:p w14:paraId="4FFDA07D">
            <w:pPr>
              <w:jc w:val="right"/>
            </w:pPr>
            <w:r>
              <w:rPr>
                <w:rFonts w:hint="eastAsia"/>
              </w:rPr>
              <w:t>147,678,350.63</w:t>
            </w:r>
          </w:p>
        </w:tc>
      </w:tr>
    </w:tbl>
    <w:p w14:paraId="111C812C">
      <w:pPr>
        <w:pStyle w:val="35"/>
      </w:pPr>
      <w:bookmarkStart w:id="83" w:name="_Toc83"/>
      <w:r>
        <w:t xml:space="preserve"> 存款利息收入</w:t>
      </w:r>
      <w:bookmarkEnd w:id="83"/>
    </w:p>
    <w:p w14:paraId="727303B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0F95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DB0950D">
            <w:pPr>
              <w:jc w:val="center"/>
            </w:pPr>
            <w:r>
              <w:rPr>
                <w:rFonts w:hint="eastAsia"/>
                <w:b/>
              </w:rPr>
              <w:t>项目</w:t>
            </w:r>
          </w:p>
        </w:tc>
        <w:tc>
          <w:tcPr>
            <w:tcW w:w="2768" w:type="dxa"/>
            <w:shd w:val="clear" w:color="auto" w:fill="BFBFBF"/>
            <w:vAlign w:val="center"/>
          </w:tcPr>
          <w:p w14:paraId="096BFE84">
            <w:pPr>
              <w:jc w:val="center"/>
            </w:pPr>
            <w:r>
              <w:rPr>
                <w:rFonts w:hint="eastAsia"/>
                <w:b/>
              </w:rPr>
              <w:t>本期2025年1月1日至2025年12月31日</w:t>
            </w:r>
          </w:p>
        </w:tc>
        <w:tc>
          <w:tcPr>
            <w:tcW w:w="2768" w:type="dxa"/>
            <w:shd w:val="clear" w:color="auto" w:fill="BFBFBF"/>
            <w:vAlign w:val="center"/>
          </w:tcPr>
          <w:p w14:paraId="1F998E28">
            <w:pPr>
              <w:jc w:val="center"/>
            </w:pPr>
            <w:r>
              <w:rPr>
                <w:rFonts w:hint="eastAsia"/>
                <w:b/>
              </w:rPr>
              <w:t>上年度可比期间2024年1月1日至2024年12月31日</w:t>
            </w:r>
          </w:p>
        </w:tc>
      </w:tr>
      <w:tr w14:paraId="0857D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756EC0">
            <w:r>
              <w:rPr>
                <w:rFonts w:hint="eastAsia"/>
              </w:rPr>
              <w:t>活期存款利息收入</w:t>
            </w:r>
          </w:p>
        </w:tc>
        <w:tc>
          <w:tcPr>
            <w:tcW w:w="2768" w:type="dxa"/>
            <w:vAlign w:val="center"/>
          </w:tcPr>
          <w:p w14:paraId="1F86C9A9">
            <w:pPr>
              <w:jc w:val="right"/>
            </w:pPr>
            <w:r>
              <w:rPr>
                <w:rFonts w:hint="eastAsia"/>
              </w:rPr>
              <w:t>10,747.89</w:t>
            </w:r>
          </w:p>
        </w:tc>
        <w:tc>
          <w:tcPr>
            <w:tcW w:w="2768" w:type="dxa"/>
            <w:vAlign w:val="center"/>
          </w:tcPr>
          <w:p w14:paraId="6BBAA067">
            <w:pPr>
              <w:jc w:val="right"/>
            </w:pPr>
            <w:r>
              <w:rPr>
                <w:rFonts w:hint="eastAsia"/>
              </w:rPr>
              <w:t>9,813.44</w:t>
            </w:r>
          </w:p>
        </w:tc>
      </w:tr>
      <w:tr w14:paraId="1C81A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B5FC33">
            <w:r>
              <w:rPr>
                <w:rFonts w:hint="eastAsia"/>
              </w:rPr>
              <w:t>定期存款利息收入</w:t>
            </w:r>
          </w:p>
        </w:tc>
        <w:tc>
          <w:tcPr>
            <w:tcW w:w="2768" w:type="dxa"/>
            <w:vAlign w:val="center"/>
          </w:tcPr>
          <w:p w14:paraId="210CAA49">
            <w:pPr>
              <w:jc w:val="right"/>
            </w:pPr>
            <w:r>
              <w:rPr>
                <w:rFonts w:hint="eastAsia"/>
              </w:rPr>
              <w:t>-</w:t>
            </w:r>
          </w:p>
        </w:tc>
        <w:tc>
          <w:tcPr>
            <w:tcW w:w="2768" w:type="dxa"/>
            <w:vAlign w:val="center"/>
          </w:tcPr>
          <w:p w14:paraId="115876AA">
            <w:pPr>
              <w:jc w:val="right"/>
            </w:pPr>
            <w:r>
              <w:rPr>
                <w:rFonts w:hint="eastAsia"/>
              </w:rPr>
              <w:t>-</w:t>
            </w:r>
          </w:p>
        </w:tc>
      </w:tr>
      <w:tr w14:paraId="3A872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14354D">
            <w:r>
              <w:rPr>
                <w:rFonts w:hint="eastAsia"/>
              </w:rPr>
              <w:t>其他存款利息收入</w:t>
            </w:r>
          </w:p>
        </w:tc>
        <w:tc>
          <w:tcPr>
            <w:tcW w:w="2768" w:type="dxa"/>
            <w:vAlign w:val="center"/>
          </w:tcPr>
          <w:p w14:paraId="1D696F9A">
            <w:pPr>
              <w:jc w:val="right"/>
            </w:pPr>
            <w:r>
              <w:rPr>
                <w:rFonts w:hint="eastAsia"/>
              </w:rPr>
              <w:t>-</w:t>
            </w:r>
          </w:p>
        </w:tc>
        <w:tc>
          <w:tcPr>
            <w:tcW w:w="2768" w:type="dxa"/>
            <w:vAlign w:val="center"/>
          </w:tcPr>
          <w:p w14:paraId="526FE7AA">
            <w:pPr>
              <w:jc w:val="right"/>
            </w:pPr>
            <w:r>
              <w:rPr>
                <w:rFonts w:hint="eastAsia"/>
              </w:rPr>
              <w:t>-</w:t>
            </w:r>
          </w:p>
        </w:tc>
      </w:tr>
      <w:tr w14:paraId="59EDB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ECDFF5">
            <w:r>
              <w:rPr>
                <w:rFonts w:hint="eastAsia"/>
              </w:rPr>
              <w:t>结算备付金利息收入</w:t>
            </w:r>
          </w:p>
        </w:tc>
        <w:tc>
          <w:tcPr>
            <w:tcW w:w="2768" w:type="dxa"/>
            <w:vAlign w:val="center"/>
          </w:tcPr>
          <w:p w14:paraId="46A5BA37">
            <w:pPr>
              <w:jc w:val="right"/>
            </w:pPr>
            <w:r>
              <w:rPr>
                <w:rFonts w:hint="eastAsia"/>
              </w:rPr>
              <w:t>263.24</w:t>
            </w:r>
          </w:p>
        </w:tc>
        <w:tc>
          <w:tcPr>
            <w:tcW w:w="2768" w:type="dxa"/>
            <w:vAlign w:val="center"/>
          </w:tcPr>
          <w:p w14:paraId="5047F842">
            <w:pPr>
              <w:jc w:val="right"/>
            </w:pPr>
            <w:r>
              <w:rPr>
                <w:rFonts w:hint="eastAsia"/>
              </w:rPr>
              <w:t>1,466.73</w:t>
            </w:r>
          </w:p>
        </w:tc>
      </w:tr>
      <w:tr w14:paraId="42BA2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3F8230">
            <w:r>
              <w:rPr>
                <w:rFonts w:hint="eastAsia"/>
              </w:rPr>
              <w:t>其他</w:t>
            </w:r>
          </w:p>
        </w:tc>
        <w:tc>
          <w:tcPr>
            <w:tcW w:w="2768" w:type="dxa"/>
            <w:vAlign w:val="center"/>
          </w:tcPr>
          <w:p w14:paraId="6B199D67">
            <w:pPr>
              <w:jc w:val="right"/>
            </w:pPr>
            <w:r>
              <w:rPr>
                <w:rFonts w:hint="eastAsia"/>
              </w:rPr>
              <w:t>24.99</w:t>
            </w:r>
          </w:p>
        </w:tc>
        <w:tc>
          <w:tcPr>
            <w:tcW w:w="2768" w:type="dxa"/>
            <w:vAlign w:val="center"/>
          </w:tcPr>
          <w:p w14:paraId="4BB83C0F">
            <w:pPr>
              <w:jc w:val="right"/>
            </w:pPr>
            <w:r>
              <w:rPr>
                <w:rFonts w:hint="eastAsia"/>
              </w:rPr>
              <w:t>96.33</w:t>
            </w:r>
          </w:p>
        </w:tc>
      </w:tr>
      <w:tr w14:paraId="277B9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42CFE3">
            <w:r>
              <w:rPr>
                <w:rFonts w:hint="eastAsia"/>
              </w:rPr>
              <w:t>合计</w:t>
            </w:r>
          </w:p>
        </w:tc>
        <w:tc>
          <w:tcPr>
            <w:tcW w:w="2768" w:type="dxa"/>
            <w:vAlign w:val="center"/>
          </w:tcPr>
          <w:p w14:paraId="0CCD4419">
            <w:pPr>
              <w:jc w:val="right"/>
            </w:pPr>
            <w:r>
              <w:rPr>
                <w:rFonts w:hint="eastAsia"/>
              </w:rPr>
              <w:t>11,036.12</w:t>
            </w:r>
          </w:p>
        </w:tc>
        <w:tc>
          <w:tcPr>
            <w:tcW w:w="2768" w:type="dxa"/>
            <w:vAlign w:val="center"/>
          </w:tcPr>
          <w:p w14:paraId="6AA52416">
            <w:pPr>
              <w:jc w:val="right"/>
            </w:pPr>
            <w:r>
              <w:rPr>
                <w:rFonts w:hint="eastAsia"/>
              </w:rPr>
              <w:t>11,376.50</w:t>
            </w:r>
          </w:p>
        </w:tc>
      </w:tr>
    </w:tbl>
    <w:p w14:paraId="3D0EB76F">
      <w:pPr>
        <w:pStyle w:val="35"/>
      </w:pPr>
      <w:bookmarkStart w:id="84" w:name="_Toc84"/>
      <w:r>
        <w:t>股票投资收益</w:t>
      </w:r>
      <w:bookmarkEnd w:id="84"/>
    </w:p>
    <w:p w14:paraId="2C63FEB9">
      <w:pPr>
        <w:pStyle w:val="36"/>
      </w:pPr>
      <w:bookmarkStart w:id="85" w:name="_Toc85"/>
      <w:r>
        <w:t>股票投资收益——买卖股票差价收入</w:t>
      </w:r>
      <w:bookmarkEnd w:id="85"/>
    </w:p>
    <w:p w14:paraId="525ADC2B">
      <w:pPr>
        <w:pStyle w:val="18"/>
        <w:rPr>
          <w:rFonts w:hint="eastAsia"/>
        </w:rPr>
      </w:pPr>
      <w:r>
        <w:rPr>
          <w:rFonts w:hint="eastAsia"/>
        </w:rPr>
        <w:t>无。</w:t>
      </w:r>
    </w:p>
    <w:p w14:paraId="4ED61A24">
      <w:pPr>
        <w:pStyle w:val="35"/>
      </w:pPr>
      <w:bookmarkStart w:id="86" w:name="_Toc86"/>
      <w:r>
        <w:t>基金投资收益</w:t>
      </w:r>
      <w:bookmarkEnd w:id="86"/>
    </w:p>
    <w:p w14:paraId="53C72CF9">
      <w:pPr>
        <w:pStyle w:val="18"/>
        <w:rPr>
          <w:rFonts w:hint="eastAsia"/>
        </w:rPr>
      </w:pPr>
      <w:r>
        <w:rPr>
          <w:rFonts w:hint="eastAsia"/>
        </w:rPr>
        <w:t>无。</w:t>
      </w:r>
    </w:p>
    <w:p w14:paraId="1590D436">
      <w:pPr>
        <w:pStyle w:val="35"/>
      </w:pPr>
      <w:bookmarkStart w:id="87" w:name="_Toc87"/>
      <w:r>
        <w:t>债券投资收益</w:t>
      </w:r>
      <w:bookmarkEnd w:id="87"/>
    </w:p>
    <w:p w14:paraId="61B7BCDA">
      <w:pPr>
        <w:pStyle w:val="36"/>
      </w:pPr>
      <w:bookmarkStart w:id="88" w:name="_Toc88"/>
      <w:r>
        <w:t>债券投资收益项目构成</w:t>
      </w:r>
      <w:bookmarkEnd w:id="88"/>
    </w:p>
    <w:p w14:paraId="28ACD79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145E3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298C1A7D">
            <w:pPr>
              <w:jc w:val="center"/>
            </w:pPr>
            <w:r>
              <w:rPr>
                <w:rFonts w:hint="eastAsia"/>
                <w:b/>
              </w:rPr>
              <w:t>项目</w:t>
            </w:r>
          </w:p>
        </w:tc>
        <w:tc>
          <w:tcPr>
            <w:tcW w:w="2469" w:type="dxa"/>
            <w:shd w:val="clear" w:color="auto" w:fill="BFBFBF"/>
            <w:vAlign w:val="center"/>
          </w:tcPr>
          <w:p w14:paraId="01CEB742">
            <w:pPr>
              <w:jc w:val="center"/>
            </w:pPr>
            <w:r>
              <w:rPr>
                <w:rFonts w:hint="eastAsia"/>
                <w:b/>
              </w:rPr>
              <w:t>本期2025年1月1日至2025年12月31日</w:t>
            </w:r>
          </w:p>
        </w:tc>
        <w:tc>
          <w:tcPr>
            <w:tcW w:w="2801" w:type="dxa"/>
            <w:shd w:val="clear" w:color="auto" w:fill="BFBFBF"/>
            <w:vAlign w:val="center"/>
          </w:tcPr>
          <w:p w14:paraId="1B1195C7">
            <w:pPr>
              <w:jc w:val="center"/>
            </w:pPr>
            <w:r>
              <w:rPr>
                <w:rFonts w:hint="eastAsia"/>
                <w:b/>
              </w:rPr>
              <w:t>上年度可比期间2024年1月1日至2024年12月31日</w:t>
            </w:r>
          </w:p>
        </w:tc>
      </w:tr>
      <w:tr w14:paraId="04877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B248F77">
            <w:r>
              <w:rPr>
                <w:rFonts w:hint="eastAsia"/>
              </w:rPr>
              <w:t>债券投资收益——利息收入</w:t>
            </w:r>
          </w:p>
        </w:tc>
        <w:tc>
          <w:tcPr>
            <w:tcW w:w="2469" w:type="dxa"/>
            <w:vAlign w:val="center"/>
          </w:tcPr>
          <w:p w14:paraId="3DEE2CE8">
            <w:pPr>
              <w:jc w:val="right"/>
            </w:pPr>
            <w:r>
              <w:rPr>
                <w:rFonts w:hint="eastAsia"/>
              </w:rPr>
              <w:t>29,098,875.25</w:t>
            </w:r>
          </w:p>
        </w:tc>
        <w:tc>
          <w:tcPr>
            <w:tcW w:w="2801" w:type="dxa"/>
            <w:vAlign w:val="center"/>
          </w:tcPr>
          <w:p w14:paraId="386638DE">
            <w:pPr>
              <w:jc w:val="right"/>
            </w:pPr>
            <w:r>
              <w:rPr>
                <w:rFonts w:hint="eastAsia"/>
              </w:rPr>
              <w:t>30,590,544.73</w:t>
            </w:r>
          </w:p>
        </w:tc>
      </w:tr>
      <w:tr w14:paraId="47F5C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F3AD835">
            <w:r>
              <w:rPr>
                <w:rFonts w:hint="eastAsia"/>
              </w:rPr>
              <w:t>债券投资收益——买卖债券（债转股及债券到期兑付）差价收入</w:t>
            </w:r>
          </w:p>
        </w:tc>
        <w:tc>
          <w:tcPr>
            <w:tcW w:w="2469" w:type="dxa"/>
            <w:vAlign w:val="center"/>
          </w:tcPr>
          <w:p w14:paraId="53C5A0B4">
            <w:pPr>
              <w:jc w:val="right"/>
            </w:pPr>
            <w:r>
              <w:rPr>
                <w:rFonts w:hint="eastAsia"/>
              </w:rPr>
              <w:t>2,726,956.59</w:t>
            </w:r>
          </w:p>
        </w:tc>
        <w:tc>
          <w:tcPr>
            <w:tcW w:w="2801" w:type="dxa"/>
            <w:vAlign w:val="center"/>
          </w:tcPr>
          <w:p w14:paraId="39168450">
            <w:pPr>
              <w:jc w:val="right"/>
            </w:pPr>
            <w:r>
              <w:rPr>
                <w:rFonts w:hint="eastAsia"/>
              </w:rPr>
              <w:t>27,242,390.55</w:t>
            </w:r>
          </w:p>
        </w:tc>
      </w:tr>
      <w:tr w14:paraId="386E8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61B5590">
            <w:r>
              <w:rPr>
                <w:rFonts w:hint="eastAsia"/>
              </w:rPr>
              <w:t>债券投资收益——赎回差价收入</w:t>
            </w:r>
          </w:p>
        </w:tc>
        <w:tc>
          <w:tcPr>
            <w:tcW w:w="2469" w:type="dxa"/>
            <w:vAlign w:val="center"/>
          </w:tcPr>
          <w:p w14:paraId="5AC2AED2">
            <w:pPr>
              <w:jc w:val="right"/>
            </w:pPr>
            <w:r>
              <w:rPr>
                <w:rFonts w:hint="eastAsia"/>
              </w:rPr>
              <w:t>-</w:t>
            </w:r>
          </w:p>
        </w:tc>
        <w:tc>
          <w:tcPr>
            <w:tcW w:w="2801" w:type="dxa"/>
            <w:vAlign w:val="center"/>
          </w:tcPr>
          <w:p w14:paraId="1659D415">
            <w:pPr>
              <w:jc w:val="right"/>
            </w:pPr>
            <w:r>
              <w:rPr>
                <w:rFonts w:hint="eastAsia"/>
              </w:rPr>
              <w:t>-</w:t>
            </w:r>
          </w:p>
        </w:tc>
      </w:tr>
      <w:tr w14:paraId="5BF5A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C71B217">
            <w:r>
              <w:rPr>
                <w:rFonts w:hint="eastAsia"/>
              </w:rPr>
              <w:t>债券投资收益——申购差价收入</w:t>
            </w:r>
          </w:p>
        </w:tc>
        <w:tc>
          <w:tcPr>
            <w:tcW w:w="2469" w:type="dxa"/>
            <w:vAlign w:val="center"/>
          </w:tcPr>
          <w:p w14:paraId="52A6E3CF">
            <w:pPr>
              <w:jc w:val="right"/>
            </w:pPr>
            <w:r>
              <w:rPr>
                <w:rFonts w:hint="eastAsia"/>
              </w:rPr>
              <w:t>-</w:t>
            </w:r>
          </w:p>
        </w:tc>
        <w:tc>
          <w:tcPr>
            <w:tcW w:w="2801" w:type="dxa"/>
            <w:vAlign w:val="center"/>
          </w:tcPr>
          <w:p w14:paraId="7A38B41C">
            <w:pPr>
              <w:jc w:val="right"/>
            </w:pPr>
            <w:r>
              <w:rPr>
                <w:rFonts w:hint="eastAsia"/>
              </w:rPr>
              <w:t>-</w:t>
            </w:r>
          </w:p>
        </w:tc>
      </w:tr>
      <w:tr w14:paraId="557C1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03A3269">
            <w:r>
              <w:rPr>
                <w:rFonts w:hint="eastAsia"/>
              </w:rPr>
              <w:t>合计</w:t>
            </w:r>
          </w:p>
        </w:tc>
        <w:tc>
          <w:tcPr>
            <w:tcW w:w="2469" w:type="dxa"/>
            <w:vAlign w:val="center"/>
          </w:tcPr>
          <w:p w14:paraId="30CC5E3D">
            <w:pPr>
              <w:jc w:val="right"/>
            </w:pPr>
            <w:r>
              <w:rPr>
                <w:rFonts w:hint="eastAsia"/>
              </w:rPr>
              <w:t>31,825,831.84</w:t>
            </w:r>
          </w:p>
        </w:tc>
        <w:tc>
          <w:tcPr>
            <w:tcW w:w="2801" w:type="dxa"/>
            <w:vAlign w:val="center"/>
          </w:tcPr>
          <w:p w14:paraId="63298C01">
            <w:pPr>
              <w:jc w:val="right"/>
            </w:pPr>
            <w:r>
              <w:rPr>
                <w:rFonts w:hint="eastAsia"/>
              </w:rPr>
              <w:t>57,832,935.28</w:t>
            </w:r>
          </w:p>
        </w:tc>
      </w:tr>
    </w:tbl>
    <w:p w14:paraId="4B0AD85D">
      <w:pPr>
        <w:pStyle w:val="36"/>
      </w:pPr>
      <w:bookmarkStart w:id="89" w:name="_Toc89"/>
      <w:r>
        <w:t>债券投资收益——买卖债券差价收入</w:t>
      </w:r>
      <w:bookmarkEnd w:id="89"/>
    </w:p>
    <w:p w14:paraId="6FCB116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EF07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2185A75">
            <w:pPr>
              <w:jc w:val="center"/>
            </w:pPr>
            <w:r>
              <w:rPr>
                <w:rFonts w:hint="eastAsia"/>
                <w:b/>
              </w:rPr>
              <w:t>项目</w:t>
            </w:r>
          </w:p>
        </w:tc>
        <w:tc>
          <w:tcPr>
            <w:tcW w:w="2768" w:type="dxa"/>
            <w:shd w:val="clear" w:color="auto" w:fill="BFBFBF"/>
            <w:vAlign w:val="center"/>
          </w:tcPr>
          <w:p w14:paraId="0490891F">
            <w:pPr>
              <w:jc w:val="center"/>
            </w:pPr>
            <w:r>
              <w:rPr>
                <w:rFonts w:hint="eastAsia"/>
                <w:b/>
              </w:rPr>
              <w:t>本期2025年1月1日至2025年12月31日</w:t>
            </w:r>
          </w:p>
        </w:tc>
        <w:tc>
          <w:tcPr>
            <w:tcW w:w="2768" w:type="dxa"/>
            <w:shd w:val="clear" w:color="auto" w:fill="BFBFBF"/>
            <w:vAlign w:val="center"/>
          </w:tcPr>
          <w:p w14:paraId="7CCCD20C">
            <w:pPr>
              <w:jc w:val="center"/>
            </w:pPr>
            <w:r>
              <w:rPr>
                <w:rFonts w:hint="eastAsia"/>
                <w:b/>
              </w:rPr>
              <w:t>上年度可比期间2024年1月1日至2024年12月31日</w:t>
            </w:r>
          </w:p>
        </w:tc>
      </w:tr>
      <w:tr w14:paraId="324B4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B1D203">
            <w:r>
              <w:rPr>
                <w:rFonts w:hint="eastAsia"/>
              </w:rPr>
              <w:t>卖出债券（债转股及债券到期兑付）成交总额</w:t>
            </w:r>
          </w:p>
        </w:tc>
        <w:tc>
          <w:tcPr>
            <w:tcW w:w="2768" w:type="dxa"/>
            <w:vAlign w:val="center"/>
          </w:tcPr>
          <w:p w14:paraId="5CD1901D">
            <w:pPr>
              <w:jc w:val="right"/>
            </w:pPr>
            <w:r>
              <w:rPr>
                <w:rFonts w:hint="eastAsia"/>
              </w:rPr>
              <w:t>4,284,777,269.28</w:t>
            </w:r>
          </w:p>
        </w:tc>
        <w:tc>
          <w:tcPr>
            <w:tcW w:w="2768" w:type="dxa"/>
            <w:vAlign w:val="center"/>
          </w:tcPr>
          <w:p w14:paraId="3FC36539">
            <w:pPr>
              <w:jc w:val="right"/>
            </w:pPr>
            <w:r>
              <w:rPr>
                <w:rFonts w:hint="eastAsia"/>
              </w:rPr>
              <w:t>8,076,336,388.48</w:t>
            </w:r>
          </w:p>
        </w:tc>
      </w:tr>
      <w:tr w14:paraId="7DD03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BD8D3D">
            <w:r>
              <w:rPr>
                <w:rFonts w:hint="eastAsia"/>
              </w:rPr>
              <w:t>减：卖出债券（债转股及债券到期兑付）成本总额</w:t>
            </w:r>
          </w:p>
        </w:tc>
        <w:tc>
          <w:tcPr>
            <w:tcW w:w="2768" w:type="dxa"/>
            <w:vAlign w:val="center"/>
          </w:tcPr>
          <w:p w14:paraId="07146B8C">
            <w:pPr>
              <w:jc w:val="right"/>
            </w:pPr>
            <w:r>
              <w:rPr>
                <w:rFonts w:hint="eastAsia"/>
              </w:rPr>
              <w:t>4,249,044,952.33</w:t>
            </w:r>
          </w:p>
        </w:tc>
        <w:tc>
          <w:tcPr>
            <w:tcW w:w="2768" w:type="dxa"/>
            <w:vAlign w:val="center"/>
          </w:tcPr>
          <w:p w14:paraId="41980F13">
            <w:pPr>
              <w:jc w:val="right"/>
            </w:pPr>
            <w:r>
              <w:rPr>
                <w:rFonts w:hint="eastAsia"/>
              </w:rPr>
              <w:t>7,971,038,718.08</w:t>
            </w:r>
          </w:p>
        </w:tc>
      </w:tr>
      <w:tr w14:paraId="4E4DE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395108">
            <w:r>
              <w:rPr>
                <w:rFonts w:hint="eastAsia"/>
              </w:rPr>
              <w:t>减：应计利息总额</w:t>
            </w:r>
          </w:p>
        </w:tc>
        <w:tc>
          <w:tcPr>
            <w:tcW w:w="2768" w:type="dxa"/>
            <w:vAlign w:val="center"/>
          </w:tcPr>
          <w:p w14:paraId="36CD54EC">
            <w:pPr>
              <w:jc w:val="right"/>
            </w:pPr>
            <w:r>
              <w:rPr>
                <w:rFonts w:hint="eastAsia"/>
              </w:rPr>
              <w:t>32,951,155.36</w:t>
            </w:r>
          </w:p>
        </w:tc>
        <w:tc>
          <w:tcPr>
            <w:tcW w:w="2768" w:type="dxa"/>
            <w:vAlign w:val="center"/>
          </w:tcPr>
          <w:p w14:paraId="42F1C0C6">
            <w:pPr>
              <w:jc w:val="right"/>
            </w:pPr>
            <w:r>
              <w:rPr>
                <w:rFonts w:hint="eastAsia"/>
              </w:rPr>
              <w:t>77,955,454.85</w:t>
            </w:r>
          </w:p>
        </w:tc>
      </w:tr>
      <w:tr w14:paraId="3A8CE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6CDFD2">
            <w:r>
              <w:rPr>
                <w:rFonts w:hint="eastAsia"/>
              </w:rPr>
              <w:t>减：交易费用</w:t>
            </w:r>
          </w:p>
        </w:tc>
        <w:tc>
          <w:tcPr>
            <w:tcW w:w="2768" w:type="dxa"/>
            <w:vAlign w:val="center"/>
          </w:tcPr>
          <w:p w14:paraId="6EA95866">
            <w:pPr>
              <w:jc w:val="right"/>
            </w:pPr>
            <w:r>
              <w:rPr>
                <w:rFonts w:hint="eastAsia"/>
              </w:rPr>
              <w:t>54,205.00</w:t>
            </w:r>
          </w:p>
        </w:tc>
        <w:tc>
          <w:tcPr>
            <w:tcW w:w="2768" w:type="dxa"/>
            <w:vAlign w:val="center"/>
          </w:tcPr>
          <w:p w14:paraId="3B452F6C">
            <w:pPr>
              <w:jc w:val="right"/>
            </w:pPr>
            <w:r>
              <w:rPr>
                <w:rFonts w:hint="eastAsia"/>
              </w:rPr>
              <w:t>99,825.00</w:t>
            </w:r>
          </w:p>
        </w:tc>
      </w:tr>
      <w:tr w14:paraId="62869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85DB4B">
            <w:r>
              <w:rPr>
                <w:rFonts w:hint="eastAsia"/>
              </w:rPr>
              <w:t>买卖债券差价收入</w:t>
            </w:r>
          </w:p>
        </w:tc>
        <w:tc>
          <w:tcPr>
            <w:tcW w:w="2768" w:type="dxa"/>
            <w:vAlign w:val="center"/>
          </w:tcPr>
          <w:p w14:paraId="4C1C9AE8">
            <w:pPr>
              <w:jc w:val="right"/>
            </w:pPr>
            <w:r>
              <w:rPr>
                <w:rFonts w:hint="eastAsia"/>
              </w:rPr>
              <w:t>2,726,956.59</w:t>
            </w:r>
          </w:p>
        </w:tc>
        <w:tc>
          <w:tcPr>
            <w:tcW w:w="2768" w:type="dxa"/>
            <w:vAlign w:val="center"/>
          </w:tcPr>
          <w:p w14:paraId="63E64FFE">
            <w:pPr>
              <w:jc w:val="right"/>
            </w:pPr>
            <w:r>
              <w:rPr>
                <w:rFonts w:hint="eastAsia"/>
              </w:rPr>
              <w:t>27,242,390.55</w:t>
            </w:r>
          </w:p>
        </w:tc>
      </w:tr>
    </w:tbl>
    <w:p w14:paraId="3BF521B8">
      <w:pPr>
        <w:pStyle w:val="47"/>
        <w:rPr>
          <w:rFonts w:hint="eastAsia"/>
        </w:rPr>
      </w:pPr>
      <w:r>
        <w:rPr>
          <w:rFonts w:hint="eastAsia"/>
        </w:rPr>
        <w:t>注：上述交易费用（如有）包含债券买卖产生的交易费用。</w:t>
      </w:r>
    </w:p>
    <w:p w14:paraId="32D22455">
      <w:pPr>
        <w:pStyle w:val="35"/>
      </w:pPr>
      <w:bookmarkStart w:id="90" w:name="_Toc90"/>
      <w:r>
        <w:t>资产支持证券投资收益</w:t>
      </w:r>
      <w:bookmarkEnd w:id="90"/>
    </w:p>
    <w:p w14:paraId="16D23E4C">
      <w:pPr>
        <w:pStyle w:val="36"/>
      </w:pPr>
      <w:bookmarkStart w:id="91" w:name="_Toc91"/>
      <w:r>
        <w:t>资产支持证券投资收益——买卖资产支持证券差价收入</w:t>
      </w:r>
      <w:bookmarkEnd w:id="91"/>
    </w:p>
    <w:p w14:paraId="007354FE">
      <w:pPr>
        <w:pStyle w:val="18"/>
        <w:rPr>
          <w:rFonts w:hint="eastAsia"/>
        </w:rPr>
      </w:pPr>
      <w:r>
        <w:rPr>
          <w:rFonts w:hint="eastAsia"/>
        </w:rPr>
        <w:t>无。</w:t>
      </w:r>
    </w:p>
    <w:p w14:paraId="7420A326">
      <w:pPr>
        <w:pStyle w:val="35"/>
      </w:pPr>
      <w:bookmarkStart w:id="92" w:name="_Toc92"/>
      <w:r>
        <w:t>衍生工具收益</w:t>
      </w:r>
      <w:bookmarkEnd w:id="92"/>
    </w:p>
    <w:p w14:paraId="54E34B8B">
      <w:pPr>
        <w:pStyle w:val="36"/>
      </w:pPr>
      <w:bookmarkStart w:id="93" w:name="_Toc93"/>
      <w:r>
        <w:t xml:space="preserve">衍生工具收益——买卖权证差价收入 </w:t>
      </w:r>
      <w:bookmarkEnd w:id="93"/>
    </w:p>
    <w:p w14:paraId="768A72C3">
      <w:pPr>
        <w:pStyle w:val="18"/>
        <w:rPr>
          <w:rFonts w:hint="eastAsia"/>
        </w:rPr>
      </w:pPr>
      <w:r>
        <w:rPr>
          <w:rFonts w:hint="eastAsia"/>
        </w:rPr>
        <w:t>无。</w:t>
      </w:r>
    </w:p>
    <w:p w14:paraId="1F3EF2DB">
      <w:pPr>
        <w:pStyle w:val="36"/>
      </w:pPr>
      <w:bookmarkStart w:id="94" w:name="_Toc94"/>
      <w:r>
        <w:t>衍生工具收益——其他投资收益</w:t>
      </w:r>
      <w:bookmarkEnd w:id="94"/>
    </w:p>
    <w:p w14:paraId="0B14DF67">
      <w:pPr>
        <w:pStyle w:val="18"/>
        <w:rPr>
          <w:rFonts w:hint="eastAsia"/>
        </w:rPr>
      </w:pPr>
      <w:r>
        <w:rPr>
          <w:rFonts w:hint="eastAsia"/>
        </w:rPr>
        <w:t>无。</w:t>
      </w:r>
    </w:p>
    <w:p w14:paraId="0CC67153">
      <w:pPr>
        <w:pStyle w:val="35"/>
      </w:pPr>
      <w:bookmarkStart w:id="95" w:name="_Toc95"/>
      <w:r>
        <w:t>股利收益</w:t>
      </w:r>
      <w:bookmarkEnd w:id="95"/>
    </w:p>
    <w:p w14:paraId="53026FF3">
      <w:pPr>
        <w:pStyle w:val="18"/>
        <w:rPr>
          <w:rFonts w:hint="eastAsia"/>
        </w:rPr>
      </w:pPr>
      <w:r>
        <w:rPr>
          <w:rFonts w:hint="eastAsia"/>
        </w:rPr>
        <w:t>无。</w:t>
      </w:r>
    </w:p>
    <w:p w14:paraId="132EAD26">
      <w:pPr>
        <w:pStyle w:val="35"/>
      </w:pPr>
      <w:bookmarkStart w:id="96" w:name="_Toc96"/>
      <w:r>
        <w:t>公允价值变动收益</w:t>
      </w:r>
      <w:bookmarkEnd w:id="96"/>
    </w:p>
    <w:p w14:paraId="6F045F6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5872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F24BC26">
            <w:pPr>
              <w:jc w:val="center"/>
            </w:pPr>
            <w:r>
              <w:rPr>
                <w:rFonts w:hint="eastAsia"/>
                <w:b/>
              </w:rPr>
              <w:t>项目名称</w:t>
            </w:r>
          </w:p>
        </w:tc>
        <w:tc>
          <w:tcPr>
            <w:tcW w:w="2768" w:type="dxa"/>
            <w:shd w:val="clear" w:color="auto" w:fill="BFBFBF"/>
            <w:vAlign w:val="center"/>
          </w:tcPr>
          <w:p w14:paraId="5E62A820">
            <w:pPr>
              <w:jc w:val="center"/>
            </w:pPr>
            <w:r>
              <w:rPr>
                <w:rFonts w:hint="eastAsia"/>
                <w:b/>
              </w:rPr>
              <w:t>本期2025年1月1日至2025年12月31日</w:t>
            </w:r>
          </w:p>
        </w:tc>
        <w:tc>
          <w:tcPr>
            <w:tcW w:w="2768" w:type="dxa"/>
            <w:shd w:val="clear" w:color="auto" w:fill="BFBFBF"/>
            <w:vAlign w:val="center"/>
          </w:tcPr>
          <w:p w14:paraId="68444417">
            <w:pPr>
              <w:jc w:val="center"/>
            </w:pPr>
            <w:r>
              <w:rPr>
                <w:rFonts w:hint="eastAsia"/>
                <w:b/>
              </w:rPr>
              <w:t>上年度可比期间2024年1月1日至2024年12月31日</w:t>
            </w:r>
          </w:p>
        </w:tc>
      </w:tr>
      <w:tr w14:paraId="4E66C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64FD89">
            <w:r>
              <w:rPr>
                <w:rFonts w:hint="eastAsia"/>
              </w:rPr>
              <w:t>1.交易性金融资产</w:t>
            </w:r>
          </w:p>
        </w:tc>
        <w:tc>
          <w:tcPr>
            <w:tcW w:w="2768" w:type="dxa"/>
            <w:vAlign w:val="center"/>
          </w:tcPr>
          <w:p w14:paraId="66855611">
            <w:pPr>
              <w:jc w:val="right"/>
            </w:pPr>
            <w:r>
              <w:rPr>
                <w:rFonts w:hint="eastAsia"/>
              </w:rPr>
              <w:t>-10,743,664.44</w:t>
            </w:r>
          </w:p>
        </w:tc>
        <w:tc>
          <w:tcPr>
            <w:tcW w:w="2768" w:type="dxa"/>
            <w:vAlign w:val="center"/>
          </w:tcPr>
          <w:p w14:paraId="596ED090">
            <w:pPr>
              <w:jc w:val="right"/>
            </w:pPr>
            <w:r>
              <w:rPr>
                <w:rFonts w:hint="eastAsia"/>
              </w:rPr>
              <w:t>9,397,907.37</w:t>
            </w:r>
          </w:p>
        </w:tc>
      </w:tr>
      <w:tr w14:paraId="42A0C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9D5B51">
            <w:r>
              <w:rPr>
                <w:rFonts w:hint="eastAsia"/>
              </w:rPr>
              <w:t>——股票投资</w:t>
            </w:r>
          </w:p>
        </w:tc>
        <w:tc>
          <w:tcPr>
            <w:tcW w:w="2768" w:type="dxa"/>
            <w:vAlign w:val="center"/>
          </w:tcPr>
          <w:p w14:paraId="5C5A7D91">
            <w:pPr>
              <w:jc w:val="right"/>
            </w:pPr>
            <w:r>
              <w:rPr>
                <w:rFonts w:hint="eastAsia"/>
              </w:rPr>
              <w:t>-</w:t>
            </w:r>
          </w:p>
        </w:tc>
        <w:tc>
          <w:tcPr>
            <w:tcW w:w="2768" w:type="dxa"/>
            <w:vAlign w:val="center"/>
          </w:tcPr>
          <w:p w14:paraId="7683C31F">
            <w:pPr>
              <w:jc w:val="right"/>
            </w:pPr>
            <w:r>
              <w:rPr>
                <w:rFonts w:hint="eastAsia"/>
              </w:rPr>
              <w:t>-</w:t>
            </w:r>
          </w:p>
        </w:tc>
      </w:tr>
      <w:tr w14:paraId="05E26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763EFD">
            <w:r>
              <w:rPr>
                <w:rFonts w:hint="eastAsia"/>
              </w:rPr>
              <w:t>——债券投资</w:t>
            </w:r>
          </w:p>
        </w:tc>
        <w:tc>
          <w:tcPr>
            <w:tcW w:w="2768" w:type="dxa"/>
            <w:vAlign w:val="center"/>
          </w:tcPr>
          <w:p w14:paraId="52F796F1">
            <w:pPr>
              <w:jc w:val="right"/>
            </w:pPr>
            <w:r>
              <w:rPr>
                <w:rFonts w:hint="eastAsia"/>
              </w:rPr>
              <w:t>-10,743,664.44</w:t>
            </w:r>
          </w:p>
        </w:tc>
        <w:tc>
          <w:tcPr>
            <w:tcW w:w="2768" w:type="dxa"/>
            <w:vAlign w:val="center"/>
          </w:tcPr>
          <w:p w14:paraId="35110A2D">
            <w:pPr>
              <w:jc w:val="right"/>
            </w:pPr>
            <w:r>
              <w:rPr>
                <w:rFonts w:hint="eastAsia"/>
              </w:rPr>
              <w:t>9,397,907.37</w:t>
            </w:r>
          </w:p>
        </w:tc>
      </w:tr>
      <w:tr w14:paraId="0066E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EEFD8E">
            <w:r>
              <w:rPr>
                <w:rFonts w:hint="eastAsia"/>
              </w:rPr>
              <w:t>——资产支持证券投资</w:t>
            </w:r>
          </w:p>
        </w:tc>
        <w:tc>
          <w:tcPr>
            <w:tcW w:w="2768" w:type="dxa"/>
            <w:vAlign w:val="center"/>
          </w:tcPr>
          <w:p w14:paraId="26799C1F">
            <w:pPr>
              <w:jc w:val="right"/>
            </w:pPr>
            <w:r>
              <w:rPr>
                <w:rFonts w:hint="eastAsia"/>
              </w:rPr>
              <w:t>-</w:t>
            </w:r>
          </w:p>
        </w:tc>
        <w:tc>
          <w:tcPr>
            <w:tcW w:w="2768" w:type="dxa"/>
            <w:vAlign w:val="center"/>
          </w:tcPr>
          <w:p w14:paraId="67AEA0C7">
            <w:pPr>
              <w:jc w:val="right"/>
            </w:pPr>
            <w:r>
              <w:rPr>
                <w:rFonts w:hint="eastAsia"/>
              </w:rPr>
              <w:t>-</w:t>
            </w:r>
          </w:p>
        </w:tc>
      </w:tr>
      <w:tr w14:paraId="5ED7D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231A7B">
            <w:r>
              <w:rPr>
                <w:rFonts w:hint="eastAsia"/>
              </w:rPr>
              <w:t>——贵金属投资</w:t>
            </w:r>
          </w:p>
        </w:tc>
        <w:tc>
          <w:tcPr>
            <w:tcW w:w="2768" w:type="dxa"/>
            <w:vAlign w:val="center"/>
          </w:tcPr>
          <w:p w14:paraId="2E7998C9">
            <w:pPr>
              <w:jc w:val="right"/>
            </w:pPr>
            <w:r>
              <w:rPr>
                <w:rFonts w:hint="eastAsia"/>
              </w:rPr>
              <w:t>-</w:t>
            </w:r>
          </w:p>
        </w:tc>
        <w:tc>
          <w:tcPr>
            <w:tcW w:w="2768" w:type="dxa"/>
            <w:vAlign w:val="center"/>
          </w:tcPr>
          <w:p w14:paraId="07827D46">
            <w:pPr>
              <w:jc w:val="right"/>
            </w:pPr>
            <w:r>
              <w:rPr>
                <w:rFonts w:hint="eastAsia"/>
              </w:rPr>
              <w:t>-</w:t>
            </w:r>
          </w:p>
        </w:tc>
      </w:tr>
      <w:tr w14:paraId="4516E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48B4DE">
            <w:r>
              <w:rPr>
                <w:rFonts w:hint="eastAsia"/>
              </w:rPr>
              <w:t>——其他</w:t>
            </w:r>
          </w:p>
        </w:tc>
        <w:tc>
          <w:tcPr>
            <w:tcW w:w="2768" w:type="dxa"/>
            <w:vAlign w:val="center"/>
          </w:tcPr>
          <w:p w14:paraId="6A3BE0ED">
            <w:pPr>
              <w:jc w:val="right"/>
            </w:pPr>
            <w:r>
              <w:rPr>
                <w:rFonts w:hint="eastAsia"/>
              </w:rPr>
              <w:t>-</w:t>
            </w:r>
          </w:p>
        </w:tc>
        <w:tc>
          <w:tcPr>
            <w:tcW w:w="2768" w:type="dxa"/>
            <w:vAlign w:val="center"/>
          </w:tcPr>
          <w:p w14:paraId="0C805484">
            <w:pPr>
              <w:jc w:val="right"/>
            </w:pPr>
            <w:r>
              <w:rPr>
                <w:rFonts w:hint="eastAsia"/>
              </w:rPr>
              <w:t>-</w:t>
            </w:r>
          </w:p>
        </w:tc>
      </w:tr>
      <w:tr w14:paraId="48573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FC5120">
            <w:r>
              <w:rPr>
                <w:rFonts w:hint="eastAsia"/>
              </w:rPr>
              <w:t>2.衍生工具</w:t>
            </w:r>
          </w:p>
        </w:tc>
        <w:tc>
          <w:tcPr>
            <w:tcW w:w="2768" w:type="dxa"/>
            <w:vAlign w:val="center"/>
          </w:tcPr>
          <w:p w14:paraId="43810481">
            <w:pPr>
              <w:jc w:val="right"/>
            </w:pPr>
            <w:r>
              <w:rPr>
                <w:rFonts w:hint="eastAsia"/>
              </w:rPr>
              <w:t>-</w:t>
            </w:r>
          </w:p>
        </w:tc>
        <w:tc>
          <w:tcPr>
            <w:tcW w:w="2768" w:type="dxa"/>
            <w:vAlign w:val="center"/>
          </w:tcPr>
          <w:p w14:paraId="6AC1217B">
            <w:pPr>
              <w:jc w:val="right"/>
            </w:pPr>
            <w:r>
              <w:rPr>
                <w:rFonts w:hint="eastAsia"/>
              </w:rPr>
              <w:t>-</w:t>
            </w:r>
          </w:p>
        </w:tc>
      </w:tr>
      <w:tr w14:paraId="0B470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85FD1A">
            <w:r>
              <w:rPr>
                <w:rFonts w:hint="eastAsia"/>
              </w:rPr>
              <w:t>——权证投资</w:t>
            </w:r>
          </w:p>
        </w:tc>
        <w:tc>
          <w:tcPr>
            <w:tcW w:w="2768" w:type="dxa"/>
            <w:vAlign w:val="center"/>
          </w:tcPr>
          <w:p w14:paraId="76E2DAEB">
            <w:pPr>
              <w:jc w:val="right"/>
            </w:pPr>
            <w:r>
              <w:rPr>
                <w:rFonts w:hint="eastAsia"/>
              </w:rPr>
              <w:t>-</w:t>
            </w:r>
          </w:p>
        </w:tc>
        <w:tc>
          <w:tcPr>
            <w:tcW w:w="2768" w:type="dxa"/>
            <w:vAlign w:val="center"/>
          </w:tcPr>
          <w:p w14:paraId="115ADEB1">
            <w:pPr>
              <w:jc w:val="right"/>
            </w:pPr>
            <w:r>
              <w:rPr>
                <w:rFonts w:hint="eastAsia"/>
              </w:rPr>
              <w:t>-</w:t>
            </w:r>
          </w:p>
        </w:tc>
      </w:tr>
      <w:tr w14:paraId="1EFEA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3620FC">
            <w:r>
              <w:rPr>
                <w:rFonts w:hint="eastAsia"/>
              </w:rPr>
              <w:t>——期货投资</w:t>
            </w:r>
          </w:p>
        </w:tc>
        <w:tc>
          <w:tcPr>
            <w:tcW w:w="2768" w:type="dxa"/>
            <w:vAlign w:val="center"/>
          </w:tcPr>
          <w:p w14:paraId="608E906D">
            <w:pPr>
              <w:jc w:val="right"/>
            </w:pPr>
            <w:r>
              <w:rPr>
                <w:rFonts w:hint="eastAsia"/>
              </w:rPr>
              <w:t>-</w:t>
            </w:r>
          </w:p>
        </w:tc>
        <w:tc>
          <w:tcPr>
            <w:tcW w:w="2768" w:type="dxa"/>
            <w:vAlign w:val="center"/>
          </w:tcPr>
          <w:p w14:paraId="1CDF37C0">
            <w:pPr>
              <w:jc w:val="right"/>
            </w:pPr>
            <w:r>
              <w:rPr>
                <w:rFonts w:hint="eastAsia"/>
              </w:rPr>
              <w:t>-</w:t>
            </w:r>
          </w:p>
        </w:tc>
      </w:tr>
      <w:tr w14:paraId="30822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6D879A">
            <w:r>
              <w:rPr>
                <w:rFonts w:hint="eastAsia"/>
              </w:rPr>
              <w:t>3.其他</w:t>
            </w:r>
          </w:p>
        </w:tc>
        <w:tc>
          <w:tcPr>
            <w:tcW w:w="2768" w:type="dxa"/>
            <w:vAlign w:val="center"/>
          </w:tcPr>
          <w:p w14:paraId="5DBB1331">
            <w:pPr>
              <w:jc w:val="right"/>
            </w:pPr>
            <w:r>
              <w:rPr>
                <w:rFonts w:hint="eastAsia"/>
              </w:rPr>
              <w:t>-</w:t>
            </w:r>
          </w:p>
        </w:tc>
        <w:tc>
          <w:tcPr>
            <w:tcW w:w="2768" w:type="dxa"/>
            <w:vAlign w:val="center"/>
          </w:tcPr>
          <w:p w14:paraId="1D517735">
            <w:pPr>
              <w:jc w:val="right"/>
            </w:pPr>
            <w:r>
              <w:rPr>
                <w:rFonts w:hint="eastAsia"/>
              </w:rPr>
              <w:t>-</w:t>
            </w:r>
          </w:p>
        </w:tc>
      </w:tr>
      <w:tr w14:paraId="0DD60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C5AB03">
            <w:r>
              <w:rPr>
                <w:rFonts w:hint="eastAsia"/>
              </w:rPr>
              <w:t>减：应税金融商品公允价值变动产生的预估增值税</w:t>
            </w:r>
          </w:p>
        </w:tc>
        <w:tc>
          <w:tcPr>
            <w:tcW w:w="2768" w:type="dxa"/>
            <w:vAlign w:val="center"/>
          </w:tcPr>
          <w:p w14:paraId="4E4A00F6">
            <w:pPr>
              <w:jc w:val="right"/>
            </w:pPr>
            <w:r>
              <w:rPr>
                <w:rFonts w:hint="eastAsia"/>
              </w:rPr>
              <w:t>-</w:t>
            </w:r>
          </w:p>
        </w:tc>
        <w:tc>
          <w:tcPr>
            <w:tcW w:w="2768" w:type="dxa"/>
            <w:vAlign w:val="center"/>
          </w:tcPr>
          <w:p w14:paraId="5EF4EFB8">
            <w:pPr>
              <w:jc w:val="right"/>
            </w:pPr>
            <w:r>
              <w:rPr>
                <w:rFonts w:hint="eastAsia"/>
              </w:rPr>
              <w:t>-</w:t>
            </w:r>
          </w:p>
        </w:tc>
      </w:tr>
      <w:tr w14:paraId="5F103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14B4B0">
            <w:r>
              <w:rPr>
                <w:rFonts w:hint="eastAsia"/>
              </w:rPr>
              <w:t>合计</w:t>
            </w:r>
          </w:p>
        </w:tc>
        <w:tc>
          <w:tcPr>
            <w:tcW w:w="2768" w:type="dxa"/>
            <w:vAlign w:val="center"/>
          </w:tcPr>
          <w:p w14:paraId="2646275E">
            <w:pPr>
              <w:jc w:val="right"/>
            </w:pPr>
            <w:r>
              <w:rPr>
                <w:rFonts w:hint="eastAsia"/>
              </w:rPr>
              <w:t>-10,743,664.44</w:t>
            </w:r>
          </w:p>
        </w:tc>
        <w:tc>
          <w:tcPr>
            <w:tcW w:w="2768" w:type="dxa"/>
            <w:vAlign w:val="center"/>
          </w:tcPr>
          <w:p w14:paraId="378191CC">
            <w:pPr>
              <w:jc w:val="right"/>
            </w:pPr>
            <w:r>
              <w:rPr>
                <w:rFonts w:hint="eastAsia"/>
              </w:rPr>
              <w:t>9,397,907.37</w:t>
            </w:r>
          </w:p>
        </w:tc>
      </w:tr>
    </w:tbl>
    <w:p w14:paraId="07558543">
      <w:pPr>
        <w:pStyle w:val="35"/>
      </w:pPr>
      <w:bookmarkStart w:id="97" w:name="_Toc97"/>
      <w:r>
        <w:t>其他收入</w:t>
      </w:r>
      <w:bookmarkEnd w:id="97"/>
    </w:p>
    <w:p w14:paraId="20DA1F84">
      <w:pPr>
        <w:pStyle w:val="18"/>
        <w:rPr>
          <w:rFonts w:hint="eastAsia"/>
        </w:rPr>
      </w:pPr>
      <w:r>
        <w:rPr>
          <w:rFonts w:hint="eastAsia"/>
        </w:rPr>
        <w:t>无。</w:t>
      </w:r>
    </w:p>
    <w:p w14:paraId="41922908">
      <w:pPr>
        <w:pStyle w:val="35"/>
      </w:pPr>
      <w:bookmarkStart w:id="98" w:name="_Toc98"/>
      <w:r>
        <w:t>其他费用</w:t>
      </w:r>
      <w:bookmarkEnd w:id="98"/>
    </w:p>
    <w:p w14:paraId="641FAD9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A0F7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CA41172">
            <w:pPr>
              <w:jc w:val="center"/>
            </w:pPr>
            <w:r>
              <w:rPr>
                <w:rFonts w:hint="eastAsia"/>
                <w:b/>
              </w:rPr>
              <w:t>项目</w:t>
            </w:r>
          </w:p>
        </w:tc>
        <w:tc>
          <w:tcPr>
            <w:tcW w:w="2768" w:type="dxa"/>
            <w:shd w:val="clear" w:color="auto" w:fill="BFBFBF"/>
            <w:vAlign w:val="center"/>
          </w:tcPr>
          <w:p w14:paraId="27217F9B">
            <w:pPr>
              <w:jc w:val="center"/>
            </w:pPr>
            <w:r>
              <w:rPr>
                <w:rFonts w:hint="eastAsia"/>
                <w:b/>
              </w:rPr>
              <w:t>本期2025年1月1日至2025年12月31日</w:t>
            </w:r>
          </w:p>
        </w:tc>
        <w:tc>
          <w:tcPr>
            <w:tcW w:w="2768" w:type="dxa"/>
            <w:shd w:val="clear" w:color="auto" w:fill="BFBFBF"/>
            <w:vAlign w:val="center"/>
          </w:tcPr>
          <w:p w14:paraId="531838B6">
            <w:pPr>
              <w:jc w:val="center"/>
            </w:pPr>
            <w:r>
              <w:rPr>
                <w:rFonts w:hint="eastAsia"/>
                <w:b/>
              </w:rPr>
              <w:t>上年度可比期间2024年1月1日至2024年12月31日</w:t>
            </w:r>
          </w:p>
        </w:tc>
      </w:tr>
      <w:tr w14:paraId="2CB8B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EAF2E8">
            <w:r>
              <w:rPr>
                <w:rFonts w:hint="eastAsia"/>
              </w:rPr>
              <w:t>审计费用</w:t>
            </w:r>
          </w:p>
        </w:tc>
        <w:tc>
          <w:tcPr>
            <w:tcW w:w="2768" w:type="dxa"/>
            <w:vAlign w:val="center"/>
          </w:tcPr>
          <w:p w14:paraId="2C9FEFD8">
            <w:pPr>
              <w:jc w:val="right"/>
            </w:pPr>
            <w:r>
              <w:rPr>
                <w:rFonts w:hint="eastAsia"/>
              </w:rPr>
              <w:t>40,000.00</w:t>
            </w:r>
          </w:p>
        </w:tc>
        <w:tc>
          <w:tcPr>
            <w:tcW w:w="2768" w:type="dxa"/>
            <w:vAlign w:val="center"/>
          </w:tcPr>
          <w:p w14:paraId="0E90BF7A">
            <w:pPr>
              <w:jc w:val="right"/>
            </w:pPr>
            <w:r>
              <w:rPr>
                <w:rFonts w:hint="eastAsia"/>
              </w:rPr>
              <w:t>40,000.00</w:t>
            </w:r>
          </w:p>
        </w:tc>
      </w:tr>
      <w:tr w14:paraId="53505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C3E35D">
            <w:r>
              <w:rPr>
                <w:rFonts w:hint="eastAsia"/>
              </w:rPr>
              <w:t>信息披露费</w:t>
            </w:r>
          </w:p>
        </w:tc>
        <w:tc>
          <w:tcPr>
            <w:tcW w:w="2768" w:type="dxa"/>
            <w:vAlign w:val="center"/>
          </w:tcPr>
          <w:p w14:paraId="294DCCF4">
            <w:pPr>
              <w:jc w:val="right"/>
            </w:pPr>
            <w:r>
              <w:rPr>
                <w:rFonts w:hint="eastAsia"/>
              </w:rPr>
              <w:t>120,000.00</w:t>
            </w:r>
          </w:p>
        </w:tc>
        <w:tc>
          <w:tcPr>
            <w:tcW w:w="2768" w:type="dxa"/>
            <w:vAlign w:val="center"/>
          </w:tcPr>
          <w:p w14:paraId="1AAFC7C5">
            <w:pPr>
              <w:jc w:val="right"/>
            </w:pPr>
            <w:r>
              <w:rPr>
                <w:rFonts w:hint="eastAsia"/>
              </w:rPr>
              <w:t>120,000.00</w:t>
            </w:r>
          </w:p>
        </w:tc>
      </w:tr>
      <w:tr w14:paraId="20B64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D84A2E">
            <w:r>
              <w:rPr>
                <w:rFonts w:hint="eastAsia"/>
              </w:rPr>
              <w:t>证券出借违约金</w:t>
            </w:r>
          </w:p>
        </w:tc>
        <w:tc>
          <w:tcPr>
            <w:tcW w:w="2768" w:type="dxa"/>
            <w:vAlign w:val="center"/>
          </w:tcPr>
          <w:p w14:paraId="379688A1">
            <w:pPr>
              <w:jc w:val="right"/>
            </w:pPr>
            <w:r>
              <w:rPr>
                <w:rFonts w:hint="eastAsia"/>
              </w:rPr>
              <w:t>-</w:t>
            </w:r>
          </w:p>
        </w:tc>
        <w:tc>
          <w:tcPr>
            <w:tcW w:w="2768" w:type="dxa"/>
            <w:vAlign w:val="center"/>
          </w:tcPr>
          <w:p w14:paraId="54C5DC1D">
            <w:pPr>
              <w:jc w:val="right"/>
            </w:pPr>
            <w:r>
              <w:rPr>
                <w:rFonts w:hint="eastAsia"/>
              </w:rPr>
              <w:t>-</w:t>
            </w:r>
          </w:p>
        </w:tc>
      </w:tr>
      <w:tr w14:paraId="12A1D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CCDB30">
            <w:r>
              <w:rPr>
                <w:rFonts w:hint="eastAsia"/>
              </w:rPr>
              <w:t>账户维护费</w:t>
            </w:r>
          </w:p>
        </w:tc>
        <w:tc>
          <w:tcPr>
            <w:tcW w:w="2768" w:type="dxa"/>
            <w:vAlign w:val="center"/>
          </w:tcPr>
          <w:p w14:paraId="4114E834">
            <w:pPr>
              <w:jc w:val="right"/>
            </w:pPr>
            <w:r>
              <w:rPr>
                <w:rFonts w:hint="eastAsia"/>
              </w:rPr>
              <w:t>46,500.00</w:t>
            </w:r>
          </w:p>
        </w:tc>
        <w:tc>
          <w:tcPr>
            <w:tcW w:w="2768" w:type="dxa"/>
            <w:vAlign w:val="center"/>
          </w:tcPr>
          <w:p w14:paraId="7B57B02E">
            <w:pPr>
              <w:jc w:val="right"/>
            </w:pPr>
            <w:r>
              <w:rPr>
                <w:rFonts w:hint="eastAsia"/>
              </w:rPr>
              <w:t>37,200.00</w:t>
            </w:r>
          </w:p>
        </w:tc>
      </w:tr>
      <w:tr w14:paraId="1D02A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173296">
            <w:r>
              <w:rPr>
                <w:rFonts w:hint="eastAsia"/>
              </w:rPr>
              <w:t>银行费用</w:t>
            </w:r>
          </w:p>
        </w:tc>
        <w:tc>
          <w:tcPr>
            <w:tcW w:w="2768" w:type="dxa"/>
            <w:vAlign w:val="center"/>
          </w:tcPr>
          <w:p w14:paraId="638238BF">
            <w:pPr>
              <w:jc w:val="right"/>
            </w:pPr>
            <w:r>
              <w:rPr>
                <w:rFonts w:hint="eastAsia"/>
              </w:rPr>
              <w:t>40,119.41</w:t>
            </w:r>
          </w:p>
        </w:tc>
        <w:tc>
          <w:tcPr>
            <w:tcW w:w="2768" w:type="dxa"/>
            <w:vAlign w:val="center"/>
          </w:tcPr>
          <w:p w14:paraId="07633EAE">
            <w:pPr>
              <w:jc w:val="right"/>
            </w:pPr>
            <w:r>
              <w:rPr>
                <w:rFonts w:hint="eastAsia"/>
              </w:rPr>
              <w:t>24,831.63</w:t>
            </w:r>
          </w:p>
        </w:tc>
      </w:tr>
      <w:tr w14:paraId="62AA0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9E7B7C">
            <w:r>
              <w:rPr>
                <w:rFonts w:hint="eastAsia"/>
              </w:rPr>
              <w:t>合计</w:t>
            </w:r>
          </w:p>
        </w:tc>
        <w:tc>
          <w:tcPr>
            <w:tcW w:w="2768" w:type="dxa"/>
            <w:vAlign w:val="center"/>
          </w:tcPr>
          <w:p w14:paraId="2BB77C22">
            <w:pPr>
              <w:jc w:val="right"/>
            </w:pPr>
            <w:r>
              <w:rPr>
                <w:rFonts w:hint="eastAsia"/>
              </w:rPr>
              <w:t>246,619.41</w:t>
            </w:r>
          </w:p>
        </w:tc>
        <w:tc>
          <w:tcPr>
            <w:tcW w:w="2768" w:type="dxa"/>
            <w:vAlign w:val="center"/>
          </w:tcPr>
          <w:p w14:paraId="40CCAD5C">
            <w:pPr>
              <w:jc w:val="right"/>
            </w:pPr>
            <w:r>
              <w:rPr>
                <w:rFonts w:hint="eastAsia"/>
              </w:rPr>
              <w:t>222,031.63</w:t>
            </w:r>
          </w:p>
        </w:tc>
      </w:tr>
    </w:tbl>
    <w:p w14:paraId="78184874">
      <w:pPr>
        <w:pStyle w:val="28"/>
      </w:pPr>
      <w:bookmarkStart w:id="99" w:name="_Toc99"/>
      <w:r>
        <w:t>或有事项、资产负债表日后事项的说明</w:t>
      </w:r>
      <w:bookmarkEnd w:id="99"/>
    </w:p>
    <w:p w14:paraId="492B8D77">
      <w:pPr>
        <w:pStyle w:val="35"/>
      </w:pPr>
      <w:bookmarkStart w:id="100" w:name="_Toc100"/>
      <w:r>
        <w:t>或有事项</w:t>
      </w:r>
      <w:bookmarkEnd w:id="100"/>
    </w:p>
    <w:p w14:paraId="68D178CA">
      <w:pPr>
        <w:pStyle w:val="18"/>
        <w:rPr>
          <w:rFonts w:hint="eastAsia"/>
        </w:rPr>
      </w:pPr>
      <w:r>
        <w:rPr>
          <w:rFonts w:hint="eastAsia"/>
        </w:rPr>
        <w:t>无。</w:t>
      </w:r>
    </w:p>
    <w:p w14:paraId="35D0AD15">
      <w:pPr>
        <w:pStyle w:val="35"/>
      </w:pPr>
      <w:bookmarkStart w:id="101" w:name="_Toc101"/>
      <w:r>
        <w:t>资产负债表日后事项</w:t>
      </w:r>
      <w:bookmarkEnd w:id="101"/>
    </w:p>
    <w:p w14:paraId="5992D81B">
      <w:pPr>
        <w:pStyle w:val="18"/>
        <w:rPr>
          <w:rFonts w:hint="eastAsia"/>
        </w:rPr>
      </w:pPr>
      <w:r>
        <w:rPr>
          <w:rFonts w:hint="eastAsia"/>
        </w:rPr>
        <w:t>截至财务报告批准报出日，本基金无需要披露的资产负债表日后事项。</w:t>
      </w:r>
    </w:p>
    <w:p w14:paraId="367FA788">
      <w:pPr>
        <w:pStyle w:val="28"/>
      </w:pPr>
      <w:bookmarkStart w:id="102" w:name="_Toc102"/>
      <w:r>
        <w:t>关联方关系</w:t>
      </w:r>
      <w:bookmarkEnd w:id="10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5A393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290FA709">
            <w:pPr>
              <w:jc w:val="center"/>
            </w:pPr>
            <w:r>
              <w:rPr>
                <w:rFonts w:hint="eastAsia"/>
                <w:b/>
              </w:rPr>
              <w:t>关联方名称</w:t>
            </w:r>
          </w:p>
        </w:tc>
        <w:tc>
          <w:tcPr>
            <w:tcW w:w="3322" w:type="dxa"/>
            <w:shd w:val="clear" w:color="auto" w:fill="BFBFBF"/>
            <w:vAlign w:val="center"/>
          </w:tcPr>
          <w:p w14:paraId="44DA3BF4">
            <w:pPr>
              <w:jc w:val="center"/>
            </w:pPr>
            <w:r>
              <w:rPr>
                <w:rFonts w:hint="eastAsia"/>
                <w:b/>
              </w:rPr>
              <w:t>与本基金的关系</w:t>
            </w:r>
          </w:p>
        </w:tc>
      </w:tr>
      <w:tr w14:paraId="20FCD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984FAAA">
            <w:r>
              <w:rPr>
                <w:rFonts w:hint="eastAsia"/>
              </w:rPr>
              <w:t>南方基金管理股份有限公司(“南方基金”)</w:t>
            </w:r>
          </w:p>
        </w:tc>
        <w:tc>
          <w:tcPr>
            <w:tcW w:w="3322" w:type="dxa"/>
            <w:vAlign w:val="center"/>
          </w:tcPr>
          <w:p w14:paraId="47BB2754">
            <w:r>
              <w:rPr>
                <w:rFonts w:hint="eastAsia"/>
              </w:rPr>
              <w:t>基金管理人、登记机构、基金销售机构</w:t>
            </w:r>
          </w:p>
        </w:tc>
      </w:tr>
      <w:tr w14:paraId="5A857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52927F9">
            <w:r>
              <w:rPr>
                <w:rFonts w:hint="eastAsia"/>
              </w:rPr>
              <w:t>招商银行股份有限公司("招商银行")</w:t>
            </w:r>
          </w:p>
        </w:tc>
        <w:tc>
          <w:tcPr>
            <w:tcW w:w="3322" w:type="dxa"/>
            <w:vAlign w:val="center"/>
          </w:tcPr>
          <w:p w14:paraId="49AB780E">
            <w:r>
              <w:rPr>
                <w:rFonts w:hint="eastAsia"/>
              </w:rPr>
              <w:t>基金托管人、基金销售机构</w:t>
            </w:r>
          </w:p>
        </w:tc>
      </w:tr>
      <w:tr w14:paraId="44F61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8E61879">
            <w:r>
              <w:rPr>
                <w:rFonts w:hint="eastAsia"/>
              </w:rPr>
              <w:t>华泰证券股份有限公司(“华泰证券”)</w:t>
            </w:r>
          </w:p>
        </w:tc>
        <w:tc>
          <w:tcPr>
            <w:tcW w:w="3322" w:type="dxa"/>
            <w:vAlign w:val="center"/>
          </w:tcPr>
          <w:p w14:paraId="550727F6">
            <w:r>
              <w:rPr>
                <w:rFonts w:hint="eastAsia"/>
              </w:rPr>
              <w:t>基金管理人的股东</w:t>
            </w:r>
          </w:p>
        </w:tc>
      </w:tr>
      <w:tr w14:paraId="53E2D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E6FDAE4">
            <w:r>
              <w:rPr>
                <w:rFonts w:hint="eastAsia"/>
              </w:rPr>
              <w:t>兴业证券股份有限公司(“兴业证券”)</w:t>
            </w:r>
          </w:p>
        </w:tc>
        <w:tc>
          <w:tcPr>
            <w:tcW w:w="3322" w:type="dxa"/>
            <w:vAlign w:val="center"/>
          </w:tcPr>
          <w:p w14:paraId="7DD7A196">
            <w:r>
              <w:rPr>
                <w:rFonts w:hint="eastAsia"/>
              </w:rPr>
              <w:t>基金管理人的股东</w:t>
            </w:r>
          </w:p>
        </w:tc>
      </w:tr>
      <w:tr w14:paraId="73FD9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5C58B95">
            <w:r>
              <w:rPr>
                <w:rFonts w:hint="eastAsia"/>
              </w:rPr>
              <w:t>厦门国际信托有限公司(“厦门国际信托”)</w:t>
            </w:r>
          </w:p>
        </w:tc>
        <w:tc>
          <w:tcPr>
            <w:tcW w:w="3322" w:type="dxa"/>
            <w:vAlign w:val="center"/>
          </w:tcPr>
          <w:p w14:paraId="7572DFF9">
            <w:r>
              <w:rPr>
                <w:rFonts w:hint="eastAsia"/>
              </w:rPr>
              <w:t>基金管理人的股东</w:t>
            </w:r>
          </w:p>
        </w:tc>
      </w:tr>
      <w:tr w14:paraId="2F9A9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8BC0844">
            <w:r>
              <w:rPr>
                <w:rFonts w:hint="eastAsia"/>
              </w:rPr>
              <w:t>深圳市投资控股有限公司(“深圳投资控股”)</w:t>
            </w:r>
          </w:p>
        </w:tc>
        <w:tc>
          <w:tcPr>
            <w:tcW w:w="3322" w:type="dxa"/>
            <w:vAlign w:val="center"/>
          </w:tcPr>
          <w:p w14:paraId="51591164">
            <w:r>
              <w:rPr>
                <w:rFonts w:hint="eastAsia"/>
              </w:rPr>
              <w:t>基金管理人的股东</w:t>
            </w:r>
          </w:p>
        </w:tc>
      </w:tr>
      <w:tr w14:paraId="4861A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74821F2">
            <w:r>
              <w:rPr>
                <w:rFonts w:hint="eastAsia"/>
              </w:rPr>
              <w:t>厦门合泽吉企业管理合伙企业(有限合伙)</w:t>
            </w:r>
          </w:p>
        </w:tc>
        <w:tc>
          <w:tcPr>
            <w:tcW w:w="3322" w:type="dxa"/>
            <w:vAlign w:val="center"/>
          </w:tcPr>
          <w:p w14:paraId="71CF0EC0">
            <w:r>
              <w:rPr>
                <w:rFonts w:hint="eastAsia"/>
              </w:rPr>
              <w:t>基金管理人的股东</w:t>
            </w:r>
          </w:p>
        </w:tc>
      </w:tr>
      <w:tr w14:paraId="7B68D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FEB0C92">
            <w:r>
              <w:rPr>
                <w:rFonts w:hint="eastAsia"/>
              </w:rPr>
              <w:t>厦门合泽祥企业管理合伙企业(有限合伙)</w:t>
            </w:r>
          </w:p>
        </w:tc>
        <w:tc>
          <w:tcPr>
            <w:tcW w:w="3322" w:type="dxa"/>
            <w:vAlign w:val="center"/>
          </w:tcPr>
          <w:p w14:paraId="1B41ECC0">
            <w:r>
              <w:rPr>
                <w:rFonts w:hint="eastAsia"/>
              </w:rPr>
              <w:t>基金管理人的股东</w:t>
            </w:r>
          </w:p>
        </w:tc>
      </w:tr>
      <w:tr w14:paraId="2A9B7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53A0E21">
            <w:r>
              <w:rPr>
                <w:rFonts w:hint="eastAsia"/>
              </w:rPr>
              <w:t>厦门合泽益企业管理合伙企业(有限合伙)</w:t>
            </w:r>
          </w:p>
        </w:tc>
        <w:tc>
          <w:tcPr>
            <w:tcW w:w="3322" w:type="dxa"/>
            <w:vAlign w:val="center"/>
          </w:tcPr>
          <w:p w14:paraId="6CEB72AD">
            <w:r>
              <w:rPr>
                <w:rFonts w:hint="eastAsia"/>
              </w:rPr>
              <w:t>基金管理人的股东</w:t>
            </w:r>
          </w:p>
        </w:tc>
      </w:tr>
      <w:tr w14:paraId="7E5E3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3CC3B8D">
            <w:r>
              <w:rPr>
                <w:rFonts w:hint="eastAsia"/>
              </w:rPr>
              <w:t>厦门合泽盈企业管理合伙企业(有限合伙)</w:t>
            </w:r>
          </w:p>
        </w:tc>
        <w:tc>
          <w:tcPr>
            <w:tcW w:w="3322" w:type="dxa"/>
            <w:vAlign w:val="center"/>
          </w:tcPr>
          <w:p w14:paraId="3222E898">
            <w:r>
              <w:rPr>
                <w:rFonts w:hint="eastAsia"/>
              </w:rPr>
              <w:t>基金管理人的股东</w:t>
            </w:r>
          </w:p>
        </w:tc>
      </w:tr>
      <w:tr w14:paraId="5FFC9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DFD6161">
            <w:r>
              <w:rPr>
                <w:rFonts w:hint="eastAsia"/>
              </w:rPr>
              <w:t>南方资本管理有限公司(“南方资本”)</w:t>
            </w:r>
          </w:p>
        </w:tc>
        <w:tc>
          <w:tcPr>
            <w:tcW w:w="3322" w:type="dxa"/>
            <w:vAlign w:val="center"/>
          </w:tcPr>
          <w:p w14:paraId="4DBF079B">
            <w:r>
              <w:rPr>
                <w:rFonts w:hint="eastAsia"/>
              </w:rPr>
              <w:t>基金管理人的子公司</w:t>
            </w:r>
          </w:p>
        </w:tc>
      </w:tr>
      <w:tr w14:paraId="523D9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CA02240">
            <w:r>
              <w:rPr>
                <w:rFonts w:hint="eastAsia"/>
              </w:rPr>
              <w:t>南方东英资产管理有限公司(“南方东英”)</w:t>
            </w:r>
          </w:p>
        </w:tc>
        <w:tc>
          <w:tcPr>
            <w:tcW w:w="3322" w:type="dxa"/>
            <w:vAlign w:val="center"/>
          </w:tcPr>
          <w:p w14:paraId="72604C72">
            <w:r>
              <w:rPr>
                <w:rFonts w:hint="eastAsia"/>
              </w:rPr>
              <w:t>基金管理人的子公司</w:t>
            </w:r>
          </w:p>
        </w:tc>
      </w:tr>
    </w:tbl>
    <w:p w14:paraId="307EE462">
      <w:pPr>
        <w:pStyle w:val="47"/>
        <w:rPr>
          <w:rFonts w:hint="eastAsia"/>
        </w:rPr>
      </w:pPr>
      <w:r>
        <w:rPr>
          <w:rFonts w:hint="eastAsia"/>
        </w:rPr>
        <w:t>注：下述关联交易均在正常业务范围内按一般商业条款订立。</w:t>
      </w:r>
    </w:p>
    <w:p w14:paraId="44B81B3C">
      <w:pPr>
        <w:pStyle w:val="28"/>
      </w:pPr>
      <w:bookmarkStart w:id="103" w:name="_Toc103"/>
      <w:r>
        <w:t>本报告期及上年度可比期间的关联方交易</w:t>
      </w:r>
      <w:bookmarkEnd w:id="103"/>
    </w:p>
    <w:p w14:paraId="47F55E6B">
      <w:pPr>
        <w:pStyle w:val="35"/>
      </w:pPr>
      <w:bookmarkStart w:id="104" w:name="_Toc104"/>
      <w:r>
        <w:t>通过关联方交易单元进行的交易</w:t>
      </w:r>
      <w:bookmarkEnd w:id="104"/>
    </w:p>
    <w:p w14:paraId="1BFAA6F9">
      <w:pPr>
        <w:pStyle w:val="36"/>
      </w:pPr>
      <w:bookmarkStart w:id="105" w:name="_Toc105"/>
      <w:r>
        <w:t>股票交易</w:t>
      </w:r>
      <w:bookmarkEnd w:id="105"/>
    </w:p>
    <w:p w14:paraId="721C74EF">
      <w:pPr>
        <w:pStyle w:val="18"/>
        <w:rPr>
          <w:rFonts w:hint="eastAsia"/>
        </w:rPr>
      </w:pPr>
      <w:r>
        <w:rPr>
          <w:rFonts w:hint="eastAsia"/>
        </w:rPr>
        <w:t>无。</w:t>
      </w:r>
    </w:p>
    <w:p w14:paraId="24CC583B">
      <w:pPr>
        <w:pStyle w:val="36"/>
      </w:pPr>
      <w:bookmarkStart w:id="106" w:name="_Toc106"/>
      <w:r>
        <w:t>债券交易</w:t>
      </w:r>
      <w:bookmarkEnd w:id="106"/>
    </w:p>
    <w:p w14:paraId="0757B88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8E91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08D6F01C">
            <w:pPr>
              <w:jc w:val="center"/>
            </w:pPr>
            <w:r>
              <w:rPr>
                <w:rFonts w:hint="eastAsia"/>
                <w:b/>
              </w:rPr>
              <w:t>关联方名称</w:t>
            </w:r>
          </w:p>
        </w:tc>
        <w:tc>
          <w:tcPr>
            <w:tcW w:w="1661" w:type="dxa"/>
            <w:gridSpan w:val="2"/>
            <w:shd w:val="clear" w:color="auto" w:fill="BFBFBF"/>
            <w:vAlign w:val="center"/>
          </w:tcPr>
          <w:p w14:paraId="7D4DE3F0">
            <w:pPr>
              <w:jc w:val="center"/>
            </w:pPr>
            <w:r>
              <w:rPr>
                <w:rFonts w:hint="eastAsia"/>
                <w:b/>
              </w:rPr>
              <w:t>本期2025年1月1日至2025年12月31日</w:t>
            </w:r>
          </w:p>
        </w:tc>
        <w:tc>
          <w:tcPr>
            <w:tcW w:w="1661" w:type="dxa"/>
            <w:gridSpan w:val="2"/>
            <w:shd w:val="clear" w:color="auto" w:fill="BFBFBF"/>
            <w:vAlign w:val="center"/>
          </w:tcPr>
          <w:p w14:paraId="2448BE00">
            <w:pPr>
              <w:jc w:val="center"/>
            </w:pPr>
            <w:r>
              <w:rPr>
                <w:rFonts w:hint="eastAsia"/>
                <w:b/>
              </w:rPr>
              <w:t>上年度可比期间2024年1月1日至2024年12月31日</w:t>
            </w:r>
          </w:p>
        </w:tc>
      </w:tr>
      <w:tr w14:paraId="6A100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BABB760"/>
        </w:tc>
        <w:tc>
          <w:tcPr>
            <w:tcW w:w="1661" w:type="dxa"/>
            <w:shd w:val="clear" w:color="auto" w:fill="BFBFBF"/>
            <w:vAlign w:val="center"/>
          </w:tcPr>
          <w:p w14:paraId="3668A515">
            <w:pPr>
              <w:jc w:val="center"/>
            </w:pPr>
            <w:r>
              <w:rPr>
                <w:rFonts w:hint="eastAsia"/>
                <w:b/>
              </w:rPr>
              <w:t>成交金额</w:t>
            </w:r>
          </w:p>
        </w:tc>
        <w:tc>
          <w:tcPr>
            <w:tcW w:w="1661" w:type="dxa"/>
            <w:shd w:val="clear" w:color="auto" w:fill="BFBFBF"/>
            <w:vAlign w:val="center"/>
          </w:tcPr>
          <w:p w14:paraId="5FE885F8">
            <w:pPr>
              <w:jc w:val="center"/>
            </w:pPr>
            <w:r>
              <w:rPr>
                <w:rFonts w:hint="eastAsia"/>
                <w:b/>
              </w:rPr>
              <w:t>占当期债券成交总额的比例</w:t>
            </w:r>
          </w:p>
        </w:tc>
        <w:tc>
          <w:tcPr>
            <w:tcW w:w="1661" w:type="dxa"/>
            <w:shd w:val="clear" w:color="auto" w:fill="BFBFBF"/>
            <w:vAlign w:val="center"/>
          </w:tcPr>
          <w:p w14:paraId="003FB65D">
            <w:pPr>
              <w:jc w:val="center"/>
            </w:pPr>
            <w:r>
              <w:rPr>
                <w:rFonts w:hint="eastAsia"/>
                <w:b/>
              </w:rPr>
              <w:t>成交金额</w:t>
            </w:r>
          </w:p>
        </w:tc>
        <w:tc>
          <w:tcPr>
            <w:tcW w:w="1661" w:type="dxa"/>
            <w:shd w:val="clear" w:color="auto" w:fill="BFBFBF"/>
            <w:vAlign w:val="center"/>
          </w:tcPr>
          <w:p w14:paraId="25EC5919">
            <w:pPr>
              <w:jc w:val="center"/>
            </w:pPr>
            <w:r>
              <w:rPr>
                <w:rFonts w:hint="eastAsia"/>
                <w:b/>
              </w:rPr>
              <w:t>占当期债券成交总额的比例</w:t>
            </w:r>
          </w:p>
        </w:tc>
      </w:tr>
      <w:tr w14:paraId="2860D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E17DF9A">
            <w:r>
              <w:rPr>
                <w:rFonts w:hint="eastAsia"/>
              </w:rPr>
              <w:t>华泰证券</w:t>
            </w:r>
          </w:p>
        </w:tc>
        <w:tc>
          <w:tcPr>
            <w:tcW w:w="1661" w:type="dxa"/>
            <w:vAlign w:val="center"/>
          </w:tcPr>
          <w:p w14:paraId="2E9122F2">
            <w:pPr>
              <w:jc w:val="right"/>
            </w:pPr>
            <w:r>
              <w:rPr>
                <w:rFonts w:hint="eastAsia"/>
              </w:rPr>
              <w:t>150,382,970.00</w:t>
            </w:r>
          </w:p>
        </w:tc>
        <w:tc>
          <w:tcPr>
            <w:tcW w:w="1661" w:type="dxa"/>
            <w:vAlign w:val="center"/>
          </w:tcPr>
          <w:p w14:paraId="6A7EFB6E">
            <w:pPr>
              <w:jc w:val="right"/>
            </w:pPr>
            <w:r>
              <w:rPr>
                <w:rFonts w:hint="eastAsia"/>
              </w:rPr>
              <w:t>100.00%</w:t>
            </w:r>
          </w:p>
        </w:tc>
        <w:tc>
          <w:tcPr>
            <w:tcW w:w="1661" w:type="dxa"/>
            <w:vAlign w:val="center"/>
          </w:tcPr>
          <w:p w14:paraId="536E72CE">
            <w:pPr>
              <w:jc w:val="right"/>
            </w:pPr>
            <w:r>
              <w:rPr>
                <w:rFonts w:hint="eastAsia"/>
              </w:rPr>
              <w:t>291,863,130.00</w:t>
            </w:r>
          </w:p>
        </w:tc>
        <w:tc>
          <w:tcPr>
            <w:tcW w:w="1661" w:type="dxa"/>
            <w:vAlign w:val="center"/>
          </w:tcPr>
          <w:p w14:paraId="0946AFA4">
            <w:pPr>
              <w:jc w:val="right"/>
            </w:pPr>
            <w:r>
              <w:rPr>
                <w:rFonts w:hint="eastAsia"/>
              </w:rPr>
              <w:t>100.00%</w:t>
            </w:r>
          </w:p>
        </w:tc>
      </w:tr>
    </w:tbl>
    <w:p w14:paraId="1C423427">
      <w:pPr>
        <w:pStyle w:val="36"/>
      </w:pPr>
      <w:bookmarkStart w:id="107" w:name="_Toc107"/>
      <w:r>
        <w:t>债券回购交易</w:t>
      </w:r>
      <w:bookmarkEnd w:id="107"/>
    </w:p>
    <w:p w14:paraId="7C16443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4C9D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403EAAE0">
            <w:pPr>
              <w:jc w:val="center"/>
            </w:pPr>
            <w:r>
              <w:rPr>
                <w:rFonts w:hint="eastAsia"/>
                <w:b/>
              </w:rPr>
              <w:t>关联方名称</w:t>
            </w:r>
          </w:p>
        </w:tc>
        <w:tc>
          <w:tcPr>
            <w:tcW w:w="1661" w:type="dxa"/>
            <w:gridSpan w:val="2"/>
            <w:shd w:val="clear" w:color="auto" w:fill="BFBFBF"/>
            <w:vAlign w:val="center"/>
          </w:tcPr>
          <w:p w14:paraId="6B901FCB">
            <w:pPr>
              <w:jc w:val="center"/>
            </w:pPr>
            <w:r>
              <w:rPr>
                <w:rFonts w:hint="eastAsia"/>
                <w:b/>
              </w:rPr>
              <w:t>本期2025年1月1日至2025年12月31日</w:t>
            </w:r>
          </w:p>
        </w:tc>
        <w:tc>
          <w:tcPr>
            <w:tcW w:w="1661" w:type="dxa"/>
            <w:gridSpan w:val="2"/>
            <w:shd w:val="clear" w:color="auto" w:fill="BFBFBF"/>
            <w:vAlign w:val="center"/>
          </w:tcPr>
          <w:p w14:paraId="1FAE25F5">
            <w:pPr>
              <w:jc w:val="center"/>
            </w:pPr>
            <w:r>
              <w:rPr>
                <w:rFonts w:hint="eastAsia"/>
                <w:b/>
              </w:rPr>
              <w:t>上年度可比期间2024年1月1日至2024年12月31日</w:t>
            </w:r>
          </w:p>
        </w:tc>
      </w:tr>
      <w:tr w14:paraId="2AF55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387D341"/>
        </w:tc>
        <w:tc>
          <w:tcPr>
            <w:tcW w:w="1661" w:type="dxa"/>
            <w:shd w:val="clear" w:color="auto" w:fill="BFBFBF"/>
            <w:vAlign w:val="center"/>
          </w:tcPr>
          <w:p w14:paraId="6AA33D97">
            <w:pPr>
              <w:jc w:val="center"/>
            </w:pPr>
            <w:r>
              <w:rPr>
                <w:rFonts w:hint="eastAsia"/>
                <w:b/>
              </w:rPr>
              <w:t>成交金额</w:t>
            </w:r>
          </w:p>
        </w:tc>
        <w:tc>
          <w:tcPr>
            <w:tcW w:w="1661" w:type="dxa"/>
            <w:shd w:val="clear" w:color="auto" w:fill="BFBFBF"/>
            <w:vAlign w:val="center"/>
          </w:tcPr>
          <w:p w14:paraId="2AB7C514">
            <w:pPr>
              <w:jc w:val="center"/>
            </w:pPr>
            <w:r>
              <w:rPr>
                <w:rFonts w:hint="eastAsia"/>
                <w:b/>
              </w:rPr>
              <w:t>占当期债券回购成交总额的比例</w:t>
            </w:r>
          </w:p>
        </w:tc>
        <w:tc>
          <w:tcPr>
            <w:tcW w:w="1661" w:type="dxa"/>
            <w:shd w:val="clear" w:color="auto" w:fill="BFBFBF"/>
            <w:vAlign w:val="center"/>
          </w:tcPr>
          <w:p w14:paraId="6A1B44F4">
            <w:pPr>
              <w:jc w:val="center"/>
            </w:pPr>
            <w:r>
              <w:rPr>
                <w:rFonts w:hint="eastAsia"/>
                <w:b/>
              </w:rPr>
              <w:t>成交金额</w:t>
            </w:r>
          </w:p>
        </w:tc>
        <w:tc>
          <w:tcPr>
            <w:tcW w:w="1661" w:type="dxa"/>
            <w:shd w:val="clear" w:color="auto" w:fill="BFBFBF"/>
            <w:vAlign w:val="center"/>
          </w:tcPr>
          <w:p w14:paraId="25982BB3">
            <w:pPr>
              <w:jc w:val="center"/>
            </w:pPr>
            <w:r>
              <w:rPr>
                <w:rFonts w:hint="eastAsia"/>
                <w:b/>
              </w:rPr>
              <w:t>占当期债券回购成交总额的比例</w:t>
            </w:r>
          </w:p>
        </w:tc>
      </w:tr>
      <w:tr w14:paraId="144C9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CC181FE">
            <w:r>
              <w:rPr>
                <w:rFonts w:hint="eastAsia"/>
              </w:rPr>
              <w:t>华泰证券</w:t>
            </w:r>
          </w:p>
        </w:tc>
        <w:tc>
          <w:tcPr>
            <w:tcW w:w="1661" w:type="dxa"/>
            <w:vAlign w:val="center"/>
          </w:tcPr>
          <w:p w14:paraId="6D980B3C">
            <w:pPr>
              <w:jc w:val="right"/>
            </w:pPr>
            <w:r>
              <w:rPr>
                <w:rFonts w:hint="eastAsia"/>
              </w:rPr>
              <w:t>60,000,000.00</w:t>
            </w:r>
          </w:p>
        </w:tc>
        <w:tc>
          <w:tcPr>
            <w:tcW w:w="1661" w:type="dxa"/>
            <w:vAlign w:val="center"/>
          </w:tcPr>
          <w:p w14:paraId="0A44154E">
            <w:pPr>
              <w:jc w:val="right"/>
            </w:pPr>
            <w:r>
              <w:rPr>
                <w:rFonts w:hint="eastAsia"/>
              </w:rPr>
              <w:t>100.00%</w:t>
            </w:r>
          </w:p>
        </w:tc>
        <w:tc>
          <w:tcPr>
            <w:tcW w:w="1661" w:type="dxa"/>
            <w:vAlign w:val="center"/>
          </w:tcPr>
          <w:p w14:paraId="439ACFE9">
            <w:pPr>
              <w:jc w:val="right"/>
            </w:pPr>
            <w:r>
              <w:rPr>
                <w:rFonts w:hint="eastAsia"/>
              </w:rPr>
              <w:t>-</w:t>
            </w:r>
          </w:p>
        </w:tc>
        <w:tc>
          <w:tcPr>
            <w:tcW w:w="1661" w:type="dxa"/>
            <w:vAlign w:val="center"/>
          </w:tcPr>
          <w:p w14:paraId="12F59240">
            <w:pPr>
              <w:jc w:val="right"/>
            </w:pPr>
            <w:r>
              <w:rPr>
                <w:rFonts w:hint="eastAsia"/>
              </w:rPr>
              <w:t>-</w:t>
            </w:r>
          </w:p>
        </w:tc>
      </w:tr>
    </w:tbl>
    <w:p w14:paraId="5D314FFA">
      <w:pPr>
        <w:pStyle w:val="36"/>
      </w:pPr>
      <w:bookmarkStart w:id="108" w:name="_Toc108"/>
      <w:r>
        <w:t>基金交易</w:t>
      </w:r>
      <w:bookmarkEnd w:id="108"/>
    </w:p>
    <w:p w14:paraId="76A14470">
      <w:pPr>
        <w:pStyle w:val="18"/>
        <w:rPr>
          <w:rFonts w:hint="eastAsia"/>
        </w:rPr>
      </w:pPr>
      <w:r>
        <w:rPr>
          <w:rFonts w:hint="eastAsia"/>
        </w:rPr>
        <w:t>无。</w:t>
      </w:r>
    </w:p>
    <w:p w14:paraId="21D97172">
      <w:pPr>
        <w:pStyle w:val="36"/>
      </w:pPr>
      <w:bookmarkStart w:id="109" w:name="_Toc109"/>
      <w:r>
        <w:t>权证交易</w:t>
      </w:r>
      <w:bookmarkEnd w:id="109"/>
    </w:p>
    <w:p w14:paraId="65F17D26">
      <w:pPr>
        <w:pStyle w:val="18"/>
        <w:rPr>
          <w:rFonts w:hint="eastAsia"/>
        </w:rPr>
      </w:pPr>
      <w:r>
        <w:rPr>
          <w:rFonts w:hint="eastAsia"/>
        </w:rPr>
        <w:t>无。</w:t>
      </w:r>
    </w:p>
    <w:p w14:paraId="0765E1EC">
      <w:pPr>
        <w:pStyle w:val="36"/>
      </w:pPr>
      <w:bookmarkStart w:id="110" w:name="_Toc110"/>
      <w:r>
        <w:t>应支付关联方的佣金</w:t>
      </w:r>
      <w:bookmarkEnd w:id="110"/>
    </w:p>
    <w:p w14:paraId="5C1C0F4D">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A15D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9F41AD6">
            <w:r>
              <w:rPr>
                <w:rFonts w:hint="eastAsia"/>
              </w:rPr>
              <w:t>关联方名称</w:t>
            </w:r>
          </w:p>
        </w:tc>
        <w:tc>
          <w:tcPr>
            <w:tcW w:w="1661" w:type="dxa"/>
            <w:gridSpan w:val="4"/>
            <w:vAlign w:val="center"/>
          </w:tcPr>
          <w:p w14:paraId="545344AF">
            <w:r>
              <w:rPr>
                <w:rFonts w:hint="eastAsia"/>
              </w:rPr>
              <w:t>本期2025年1月1日至2025年12月31日</w:t>
            </w:r>
          </w:p>
        </w:tc>
      </w:tr>
      <w:tr w14:paraId="2E4B9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E332862"/>
        </w:tc>
        <w:tc>
          <w:tcPr>
            <w:tcW w:w="1661" w:type="dxa"/>
            <w:vAlign w:val="center"/>
          </w:tcPr>
          <w:p w14:paraId="7A804563">
            <w:r>
              <w:rPr>
                <w:rFonts w:hint="eastAsia"/>
              </w:rPr>
              <w:t>当期佣金</w:t>
            </w:r>
          </w:p>
        </w:tc>
        <w:tc>
          <w:tcPr>
            <w:tcW w:w="1661" w:type="dxa"/>
            <w:vAlign w:val="center"/>
          </w:tcPr>
          <w:p w14:paraId="1F29ED09">
            <w:r>
              <w:rPr>
                <w:rFonts w:hint="eastAsia"/>
              </w:rPr>
              <w:t>占当期佣金总量的比例</w:t>
            </w:r>
          </w:p>
        </w:tc>
        <w:tc>
          <w:tcPr>
            <w:tcW w:w="1661" w:type="dxa"/>
            <w:vAlign w:val="center"/>
          </w:tcPr>
          <w:p w14:paraId="717596E8">
            <w:r>
              <w:rPr>
                <w:rFonts w:hint="eastAsia"/>
              </w:rPr>
              <w:t>期末应付佣金余额</w:t>
            </w:r>
          </w:p>
        </w:tc>
        <w:tc>
          <w:tcPr>
            <w:tcW w:w="1661" w:type="dxa"/>
            <w:vAlign w:val="center"/>
          </w:tcPr>
          <w:p w14:paraId="615EEDC2">
            <w:r>
              <w:rPr>
                <w:rFonts w:hint="eastAsia"/>
              </w:rPr>
              <w:t>占期末应付佣金总额的比例</w:t>
            </w:r>
          </w:p>
        </w:tc>
      </w:tr>
      <w:tr w14:paraId="0D7C0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AC9AD70">
            <w:r>
              <w:rPr>
                <w:rFonts w:hint="eastAsia"/>
              </w:rPr>
              <w:t>华泰证券</w:t>
            </w:r>
          </w:p>
        </w:tc>
        <w:tc>
          <w:tcPr>
            <w:tcW w:w="1661" w:type="dxa"/>
            <w:vAlign w:val="center"/>
          </w:tcPr>
          <w:p w14:paraId="1BC2B7A4">
            <w:pPr>
              <w:jc w:val="right"/>
            </w:pPr>
            <w:r>
              <w:rPr>
                <w:rFonts w:hint="eastAsia"/>
              </w:rPr>
              <w:t>-</w:t>
            </w:r>
          </w:p>
        </w:tc>
        <w:tc>
          <w:tcPr>
            <w:tcW w:w="1661" w:type="dxa"/>
            <w:vAlign w:val="center"/>
          </w:tcPr>
          <w:p w14:paraId="4E525235">
            <w:pPr>
              <w:jc w:val="right"/>
            </w:pPr>
            <w:r>
              <w:rPr>
                <w:rFonts w:hint="eastAsia"/>
              </w:rPr>
              <w:t>-</w:t>
            </w:r>
          </w:p>
        </w:tc>
        <w:tc>
          <w:tcPr>
            <w:tcW w:w="1661" w:type="dxa"/>
            <w:vAlign w:val="center"/>
          </w:tcPr>
          <w:p w14:paraId="36ADDB8A">
            <w:pPr>
              <w:jc w:val="right"/>
            </w:pPr>
            <w:r>
              <w:rPr>
                <w:rFonts w:hint="eastAsia"/>
              </w:rPr>
              <w:t>-1,234.49</w:t>
            </w:r>
          </w:p>
        </w:tc>
        <w:tc>
          <w:tcPr>
            <w:tcW w:w="1661" w:type="dxa"/>
            <w:vAlign w:val="center"/>
          </w:tcPr>
          <w:p w14:paraId="03FE0666">
            <w:pPr>
              <w:jc w:val="right"/>
            </w:pPr>
            <w:r>
              <w:rPr>
                <w:rFonts w:hint="eastAsia"/>
              </w:rPr>
              <w:t>100.00%</w:t>
            </w:r>
          </w:p>
        </w:tc>
      </w:tr>
      <w:tr w14:paraId="023BE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9BFF36D">
            <w:r>
              <w:rPr>
                <w:rFonts w:hint="eastAsia"/>
              </w:rPr>
              <w:t>关联方名称</w:t>
            </w:r>
          </w:p>
        </w:tc>
        <w:tc>
          <w:tcPr>
            <w:tcW w:w="1661" w:type="dxa"/>
            <w:gridSpan w:val="4"/>
            <w:vAlign w:val="center"/>
          </w:tcPr>
          <w:p w14:paraId="4D217FEE">
            <w:r>
              <w:rPr>
                <w:rFonts w:hint="eastAsia"/>
              </w:rPr>
              <w:t>上年度可比期间2024年1月1日至2024年12月31日</w:t>
            </w:r>
          </w:p>
        </w:tc>
      </w:tr>
      <w:tr w14:paraId="6E7F0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C1B543C"/>
        </w:tc>
        <w:tc>
          <w:tcPr>
            <w:tcW w:w="1661" w:type="dxa"/>
            <w:vAlign w:val="center"/>
          </w:tcPr>
          <w:p w14:paraId="4F733BF9">
            <w:r>
              <w:rPr>
                <w:rFonts w:hint="eastAsia"/>
              </w:rPr>
              <w:t>当期佣金</w:t>
            </w:r>
          </w:p>
        </w:tc>
        <w:tc>
          <w:tcPr>
            <w:tcW w:w="1661" w:type="dxa"/>
            <w:vAlign w:val="center"/>
          </w:tcPr>
          <w:p w14:paraId="73A631AC">
            <w:r>
              <w:rPr>
                <w:rFonts w:hint="eastAsia"/>
              </w:rPr>
              <w:t>占当期佣金总量的比例</w:t>
            </w:r>
          </w:p>
        </w:tc>
        <w:tc>
          <w:tcPr>
            <w:tcW w:w="1661" w:type="dxa"/>
            <w:vAlign w:val="center"/>
          </w:tcPr>
          <w:p w14:paraId="31BC67BD">
            <w:r>
              <w:rPr>
                <w:rFonts w:hint="eastAsia"/>
              </w:rPr>
              <w:t>期末应付佣金余额</w:t>
            </w:r>
          </w:p>
        </w:tc>
        <w:tc>
          <w:tcPr>
            <w:tcW w:w="1661" w:type="dxa"/>
            <w:vAlign w:val="center"/>
          </w:tcPr>
          <w:p w14:paraId="22122869">
            <w:r>
              <w:rPr>
                <w:rFonts w:hint="eastAsia"/>
              </w:rPr>
              <w:t>占期末应付佣金总额的比例</w:t>
            </w:r>
          </w:p>
        </w:tc>
      </w:tr>
      <w:tr w14:paraId="49F85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A4C3678">
            <w:r>
              <w:rPr>
                <w:rFonts w:hint="eastAsia"/>
              </w:rPr>
              <w:t>华泰证券</w:t>
            </w:r>
          </w:p>
        </w:tc>
        <w:tc>
          <w:tcPr>
            <w:tcW w:w="1661" w:type="dxa"/>
            <w:vAlign w:val="center"/>
          </w:tcPr>
          <w:p w14:paraId="70CCC1EC">
            <w:pPr>
              <w:jc w:val="right"/>
            </w:pPr>
            <w:r>
              <w:rPr>
                <w:rFonts w:hint="eastAsia"/>
              </w:rPr>
              <w:t>-</w:t>
            </w:r>
          </w:p>
        </w:tc>
        <w:tc>
          <w:tcPr>
            <w:tcW w:w="1661" w:type="dxa"/>
            <w:vAlign w:val="center"/>
          </w:tcPr>
          <w:p w14:paraId="6794E3F4">
            <w:pPr>
              <w:jc w:val="right"/>
            </w:pPr>
            <w:r>
              <w:rPr>
                <w:rFonts w:hint="eastAsia"/>
              </w:rPr>
              <w:t>-</w:t>
            </w:r>
          </w:p>
        </w:tc>
        <w:tc>
          <w:tcPr>
            <w:tcW w:w="1661" w:type="dxa"/>
            <w:vAlign w:val="center"/>
          </w:tcPr>
          <w:p w14:paraId="48AB6EC3">
            <w:pPr>
              <w:jc w:val="right"/>
            </w:pPr>
            <w:r>
              <w:rPr>
                <w:rFonts w:hint="eastAsia"/>
              </w:rPr>
              <w:t>-1,234.49</w:t>
            </w:r>
          </w:p>
        </w:tc>
        <w:tc>
          <w:tcPr>
            <w:tcW w:w="1661" w:type="dxa"/>
            <w:vAlign w:val="center"/>
          </w:tcPr>
          <w:p w14:paraId="23F33D4E">
            <w:pPr>
              <w:jc w:val="right"/>
            </w:pPr>
            <w:r>
              <w:rPr>
                <w:rFonts w:hint="eastAsia"/>
              </w:rPr>
              <w:t>100.00%</w:t>
            </w:r>
          </w:p>
        </w:tc>
      </w:tr>
    </w:tbl>
    <w:p w14:paraId="29DDF90C">
      <w:pPr>
        <w:pStyle w:val="47"/>
        <w:rPr>
          <w:rFonts w:hint="eastAsia"/>
        </w:rPr>
      </w:pPr>
      <w:r>
        <w:rPr>
          <w:rFonts w:hint="eastAsia"/>
        </w:rPr>
        <w:t>注：1.上述佣金费率参考市场价格确定。</w:t>
      </w:r>
    </w:p>
    <w:p w14:paraId="0ACB49B0">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15ED2CCA">
      <w:pPr>
        <w:pStyle w:val="35"/>
      </w:pPr>
      <w:bookmarkStart w:id="111" w:name="_Toc111"/>
      <w:r>
        <w:t>关联方报酬</w:t>
      </w:r>
      <w:bookmarkEnd w:id="111"/>
    </w:p>
    <w:p w14:paraId="20560973">
      <w:pPr>
        <w:pStyle w:val="36"/>
      </w:pPr>
      <w:bookmarkStart w:id="112" w:name="_Toc112"/>
      <w:r>
        <w:t>基金管理费</w:t>
      </w:r>
      <w:bookmarkEnd w:id="112"/>
    </w:p>
    <w:p w14:paraId="0434CAA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8ED2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62BC36A">
            <w:pPr>
              <w:jc w:val="center"/>
            </w:pPr>
            <w:r>
              <w:rPr>
                <w:rFonts w:hint="eastAsia"/>
                <w:b/>
              </w:rPr>
              <w:t>项目</w:t>
            </w:r>
          </w:p>
        </w:tc>
        <w:tc>
          <w:tcPr>
            <w:tcW w:w="2768" w:type="dxa"/>
            <w:shd w:val="clear" w:color="auto" w:fill="BFBFBF"/>
            <w:vAlign w:val="center"/>
          </w:tcPr>
          <w:p w14:paraId="6CE943DD">
            <w:pPr>
              <w:jc w:val="center"/>
            </w:pPr>
            <w:r>
              <w:rPr>
                <w:rFonts w:hint="eastAsia"/>
                <w:b/>
              </w:rPr>
              <w:t>本期2025年1月1日至2025年12月31日</w:t>
            </w:r>
          </w:p>
        </w:tc>
        <w:tc>
          <w:tcPr>
            <w:tcW w:w="2768" w:type="dxa"/>
            <w:shd w:val="clear" w:color="auto" w:fill="BFBFBF"/>
            <w:vAlign w:val="center"/>
          </w:tcPr>
          <w:p w14:paraId="492A1E3C">
            <w:pPr>
              <w:jc w:val="center"/>
            </w:pPr>
            <w:r>
              <w:rPr>
                <w:rFonts w:hint="eastAsia"/>
                <w:b/>
              </w:rPr>
              <w:t>上年度可比期间2024年1月1日至2024年12月31日</w:t>
            </w:r>
          </w:p>
        </w:tc>
      </w:tr>
      <w:tr w14:paraId="610B9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E4F184">
            <w:r>
              <w:rPr>
                <w:rFonts w:hint="eastAsia"/>
              </w:rPr>
              <w:t>当期发生的基金应支付的管理费</w:t>
            </w:r>
          </w:p>
        </w:tc>
        <w:tc>
          <w:tcPr>
            <w:tcW w:w="2768" w:type="dxa"/>
            <w:vAlign w:val="center"/>
          </w:tcPr>
          <w:p w14:paraId="17B5EA45">
            <w:pPr>
              <w:jc w:val="right"/>
            </w:pPr>
            <w:r>
              <w:rPr>
                <w:rFonts w:hint="eastAsia"/>
              </w:rPr>
              <w:t>3,291,613.83</w:t>
            </w:r>
          </w:p>
        </w:tc>
        <w:tc>
          <w:tcPr>
            <w:tcW w:w="2768" w:type="dxa"/>
            <w:vAlign w:val="center"/>
          </w:tcPr>
          <w:p w14:paraId="6552122F">
            <w:pPr>
              <w:jc w:val="right"/>
            </w:pPr>
            <w:r>
              <w:rPr>
                <w:rFonts w:hint="eastAsia"/>
              </w:rPr>
              <w:t>3,170,512.88</w:t>
            </w:r>
          </w:p>
        </w:tc>
      </w:tr>
      <w:tr w14:paraId="49ED4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B22B24">
            <w:r>
              <w:rPr>
                <w:rFonts w:hint="eastAsia"/>
              </w:rPr>
              <w:t>其中：应支付销售机构的客户维护费</w:t>
            </w:r>
          </w:p>
        </w:tc>
        <w:tc>
          <w:tcPr>
            <w:tcW w:w="2768" w:type="dxa"/>
            <w:vAlign w:val="center"/>
          </w:tcPr>
          <w:p w14:paraId="6C64ABB5">
            <w:pPr>
              <w:jc w:val="right"/>
            </w:pPr>
            <w:r>
              <w:rPr>
                <w:rFonts w:hint="eastAsia"/>
              </w:rPr>
              <w:t>-</w:t>
            </w:r>
          </w:p>
        </w:tc>
        <w:tc>
          <w:tcPr>
            <w:tcW w:w="2768" w:type="dxa"/>
            <w:vAlign w:val="center"/>
          </w:tcPr>
          <w:p w14:paraId="2E17AD8D">
            <w:pPr>
              <w:jc w:val="right"/>
            </w:pPr>
            <w:r>
              <w:rPr>
                <w:rFonts w:hint="eastAsia"/>
              </w:rPr>
              <w:t>-</w:t>
            </w:r>
          </w:p>
        </w:tc>
      </w:tr>
      <w:tr w14:paraId="7BE66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EA56A4">
            <w:r>
              <w:rPr>
                <w:rFonts w:hint="eastAsia"/>
              </w:rPr>
              <w:t xml:space="preserve">      应支付基金管理人的净管理费</w:t>
            </w:r>
          </w:p>
        </w:tc>
        <w:tc>
          <w:tcPr>
            <w:tcW w:w="2768" w:type="dxa"/>
            <w:vAlign w:val="center"/>
          </w:tcPr>
          <w:p w14:paraId="147C2574">
            <w:pPr>
              <w:jc w:val="right"/>
            </w:pPr>
            <w:r>
              <w:rPr>
                <w:rFonts w:hint="eastAsia"/>
              </w:rPr>
              <w:t>3,291,613.83</w:t>
            </w:r>
          </w:p>
        </w:tc>
        <w:tc>
          <w:tcPr>
            <w:tcW w:w="2768" w:type="dxa"/>
            <w:vAlign w:val="center"/>
          </w:tcPr>
          <w:p w14:paraId="13FC9484">
            <w:pPr>
              <w:jc w:val="right"/>
            </w:pPr>
            <w:r>
              <w:rPr>
                <w:rFonts w:hint="eastAsia"/>
              </w:rPr>
              <w:t>3,170,512.88</w:t>
            </w:r>
          </w:p>
        </w:tc>
      </w:tr>
    </w:tbl>
    <w:p w14:paraId="3E05256E">
      <w:pPr>
        <w:pStyle w:val="47"/>
        <w:rPr>
          <w:rFonts w:hint="eastAsia"/>
        </w:rPr>
      </w:pPr>
      <w:r>
        <w:rPr>
          <w:rFonts w:hint="eastAsia"/>
        </w:rPr>
        <w:t>注：支付基金管理人南方基金的管理人报酬按前一日基金资产净值0.30%的年费率计提，逐日累计至每月月底，按月支付。其计算公式为：</w:t>
      </w:r>
    </w:p>
    <w:p w14:paraId="2244D61E">
      <w:pPr>
        <w:pStyle w:val="47"/>
        <w:rPr>
          <w:rFonts w:hint="eastAsia"/>
        </w:rPr>
      </w:pPr>
      <w:r>
        <w:tab/>
      </w:r>
      <w:r>
        <w:rPr>
          <w:rFonts w:hint="eastAsia"/>
        </w:rPr>
        <w:t>日管理人报酬＝前一日基金资产净值×0.30%÷当年天数。</w:t>
      </w:r>
    </w:p>
    <w:p w14:paraId="73535B70">
      <w:pPr>
        <w:pStyle w:val="36"/>
      </w:pPr>
      <w:bookmarkStart w:id="113" w:name="_Toc113"/>
      <w:r>
        <w:t>基金托管费</w:t>
      </w:r>
      <w:bookmarkEnd w:id="113"/>
    </w:p>
    <w:p w14:paraId="6AB307A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7227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C2B193E">
            <w:pPr>
              <w:jc w:val="center"/>
            </w:pPr>
            <w:r>
              <w:rPr>
                <w:rFonts w:hint="eastAsia"/>
                <w:b/>
              </w:rPr>
              <w:t>项目</w:t>
            </w:r>
          </w:p>
        </w:tc>
        <w:tc>
          <w:tcPr>
            <w:tcW w:w="2768" w:type="dxa"/>
            <w:shd w:val="clear" w:color="auto" w:fill="BFBFBF"/>
            <w:vAlign w:val="center"/>
          </w:tcPr>
          <w:p w14:paraId="1B851EF3">
            <w:pPr>
              <w:jc w:val="center"/>
            </w:pPr>
            <w:r>
              <w:rPr>
                <w:rFonts w:hint="eastAsia"/>
                <w:b/>
              </w:rPr>
              <w:t>本期2025年1月1日至2025年12月31日</w:t>
            </w:r>
          </w:p>
        </w:tc>
        <w:tc>
          <w:tcPr>
            <w:tcW w:w="2768" w:type="dxa"/>
            <w:shd w:val="clear" w:color="auto" w:fill="BFBFBF"/>
            <w:vAlign w:val="center"/>
          </w:tcPr>
          <w:p w14:paraId="68168C91">
            <w:pPr>
              <w:jc w:val="center"/>
            </w:pPr>
            <w:r>
              <w:rPr>
                <w:rFonts w:hint="eastAsia"/>
                <w:b/>
              </w:rPr>
              <w:t>上年度可比期间2024年1月1日至2024年12月31日</w:t>
            </w:r>
          </w:p>
        </w:tc>
      </w:tr>
      <w:tr w14:paraId="47C7C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C9DD08">
            <w:r>
              <w:rPr>
                <w:rFonts w:hint="eastAsia"/>
              </w:rPr>
              <w:t>当期发生的基金应支付的托管费</w:t>
            </w:r>
          </w:p>
        </w:tc>
        <w:tc>
          <w:tcPr>
            <w:tcW w:w="2768" w:type="dxa"/>
            <w:vAlign w:val="center"/>
          </w:tcPr>
          <w:p w14:paraId="5E719365">
            <w:pPr>
              <w:jc w:val="right"/>
            </w:pPr>
            <w:r>
              <w:rPr>
                <w:rFonts w:hint="eastAsia"/>
              </w:rPr>
              <w:t>1,097,204.67</w:t>
            </w:r>
          </w:p>
        </w:tc>
        <w:tc>
          <w:tcPr>
            <w:tcW w:w="2768" w:type="dxa"/>
            <w:vAlign w:val="center"/>
          </w:tcPr>
          <w:p w14:paraId="160685C0">
            <w:pPr>
              <w:jc w:val="right"/>
            </w:pPr>
            <w:r>
              <w:rPr>
                <w:rFonts w:hint="eastAsia"/>
              </w:rPr>
              <w:t>1,056,837.60</w:t>
            </w:r>
          </w:p>
        </w:tc>
      </w:tr>
    </w:tbl>
    <w:p w14:paraId="5B1703AD">
      <w:pPr>
        <w:pStyle w:val="47"/>
        <w:rPr>
          <w:rFonts w:hint="eastAsia"/>
        </w:rPr>
      </w:pPr>
      <w:r>
        <w:rPr>
          <w:rFonts w:hint="eastAsia"/>
        </w:rPr>
        <w:t>注：支付基金托管人的托管费按前一日基金资产净值0.10%的年费率计提，逐日累计至每月月底，按月支付。其计算公式为：</w:t>
      </w:r>
    </w:p>
    <w:p w14:paraId="5A2DDEC0">
      <w:pPr>
        <w:pStyle w:val="47"/>
        <w:rPr>
          <w:rFonts w:hint="eastAsia"/>
        </w:rPr>
      </w:pPr>
      <w:r>
        <w:tab/>
      </w:r>
      <w:r>
        <w:rPr>
          <w:rFonts w:hint="eastAsia"/>
        </w:rPr>
        <w:t>日托管费＝前一日基金资产净值×0.10%÷当年天数。</w:t>
      </w:r>
    </w:p>
    <w:p w14:paraId="1889BA03">
      <w:pPr>
        <w:pStyle w:val="36"/>
      </w:pPr>
      <w:bookmarkStart w:id="114" w:name="_Toc114"/>
      <w:r>
        <w:t>销售服务费</w:t>
      </w:r>
      <w:bookmarkEnd w:id="114"/>
    </w:p>
    <w:p w14:paraId="6D860CF2">
      <w:pPr>
        <w:pStyle w:val="18"/>
        <w:rPr>
          <w:rFonts w:hint="eastAsia"/>
        </w:rPr>
      </w:pPr>
      <w:r>
        <w:rPr>
          <w:rFonts w:hint="eastAsia"/>
        </w:rPr>
        <w:t>无。</w:t>
      </w:r>
    </w:p>
    <w:p w14:paraId="7E473AA0">
      <w:pPr>
        <w:pStyle w:val="35"/>
      </w:pPr>
      <w:bookmarkStart w:id="115" w:name="_Toc115"/>
      <w:r>
        <w:t>与关联方进行银行间同业市场的债券（含回购）交易</w:t>
      </w:r>
      <w:bookmarkEnd w:id="115"/>
    </w:p>
    <w:p w14:paraId="735B8E9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502"/>
        <w:gridCol w:w="1502"/>
        <w:gridCol w:w="1502"/>
        <w:gridCol w:w="1502"/>
        <w:gridCol w:w="883"/>
        <w:gridCol w:w="883"/>
      </w:tblGrid>
      <w:tr w14:paraId="65C42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gridSpan w:val="7"/>
            <w:shd w:val="clear" w:color="auto" w:fill="BFBFBF"/>
            <w:vAlign w:val="center"/>
          </w:tcPr>
          <w:p w14:paraId="2A298DBB">
            <w:pPr>
              <w:jc w:val="center"/>
            </w:pPr>
            <w:r>
              <w:rPr>
                <w:rFonts w:hint="eastAsia"/>
                <w:b/>
              </w:rPr>
              <w:t>本期2025年1月1日至2025年12月31日</w:t>
            </w:r>
          </w:p>
        </w:tc>
      </w:tr>
      <w:tr w14:paraId="7811E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restart"/>
            <w:shd w:val="clear" w:color="auto" w:fill="BFBFBF"/>
            <w:vAlign w:val="center"/>
          </w:tcPr>
          <w:p w14:paraId="6A986F23">
            <w:pPr>
              <w:jc w:val="center"/>
            </w:pPr>
            <w:r>
              <w:rPr>
                <w:rFonts w:hint="eastAsia"/>
                <w:b/>
              </w:rPr>
              <w:t>银行间市场交易的各关联方名称</w:t>
            </w:r>
          </w:p>
        </w:tc>
        <w:tc>
          <w:tcPr>
            <w:tcW w:w="1502" w:type="dxa"/>
            <w:gridSpan w:val="2"/>
            <w:shd w:val="clear" w:color="auto" w:fill="BFBFBF"/>
            <w:vAlign w:val="center"/>
          </w:tcPr>
          <w:p w14:paraId="07FD62DE">
            <w:pPr>
              <w:jc w:val="center"/>
            </w:pPr>
            <w:r>
              <w:rPr>
                <w:rFonts w:hint="eastAsia"/>
                <w:b/>
              </w:rPr>
              <w:t>债券交易金额</w:t>
            </w:r>
          </w:p>
        </w:tc>
        <w:tc>
          <w:tcPr>
            <w:tcW w:w="1502" w:type="dxa"/>
            <w:gridSpan w:val="2"/>
            <w:shd w:val="clear" w:color="auto" w:fill="BFBFBF"/>
            <w:vAlign w:val="center"/>
          </w:tcPr>
          <w:p w14:paraId="23BD01EB">
            <w:pPr>
              <w:jc w:val="center"/>
            </w:pPr>
            <w:r>
              <w:rPr>
                <w:rFonts w:hint="eastAsia"/>
                <w:b/>
              </w:rPr>
              <w:t>基金逆回购</w:t>
            </w:r>
          </w:p>
        </w:tc>
        <w:tc>
          <w:tcPr>
            <w:tcW w:w="883" w:type="dxa"/>
            <w:gridSpan w:val="2"/>
            <w:shd w:val="clear" w:color="auto" w:fill="BFBFBF"/>
            <w:vAlign w:val="center"/>
          </w:tcPr>
          <w:p w14:paraId="6E046C13">
            <w:pPr>
              <w:jc w:val="center"/>
            </w:pPr>
            <w:r>
              <w:rPr>
                <w:rFonts w:hint="eastAsia"/>
                <w:b/>
              </w:rPr>
              <w:t>基金正回购</w:t>
            </w:r>
          </w:p>
        </w:tc>
      </w:tr>
      <w:tr w14:paraId="5F837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continue"/>
            <w:vAlign w:val="center"/>
          </w:tcPr>
          <w:p w14:paraId="7CBF5CDE"/>
        </w:tc>
        <w:tc>
          <w:tcPr>
            <w:tcW w:w="1502" w:type="dxa"/>
            <w:shd w:val="clear" w:color="auto" w:fill="BFBFBF"/>
            <w:vAlign w:val="center"/>
          </w:tcPr>
          <w:p w14:paraId="623A41A9">
            <w:pPr>
              <w:jc w:val="center"/>
            </w:pPr>
            <w:r>
              <w:rPr>
                <w:rFonts w:hint="eastAsia"/>
                <w:b/>
              </w:rPr>
              <w:t>基金买入</w:t>
            </w:r>
          </w:p>
        </w:tc>
        <w:tc>
          <w:tcPr>
            <w:tcW w:w="1502" w:type="dxa"/>
            <w:shd w:val="clear" w:color="auto" w:fill="BFBFBF"/>
            <w:vAlign w:val="center"/>
          </w:tcPr>
          <w:p w14:paraId="78C201FC">
            <w:pPr>
              <w:jc w:val="center"/>
            </w:pPr>
            <w:r>
              <w:rPr>
                <w:rFonts w:hint="eastAsia"/>
                <w:b/>
              </w:rPr>
              <w:t>基金卖出</w:t>
            </w:r>
          </w:p>
        </w:tc>
        <w:tc>
          <w:tcPr>
            <w:tcW w:w="1502" w:type="dxa"/>
            <w:shd w:val="clear" w:color="auto" w:fill="BFBFBF"/>
            <w:vAlign w:val="center"/>
          </w:tcPr>
          <w:p w14:paraId="409891E4">
            <w:pPr>
              <w:jc w:val="center"/>
            </w:pPr>
            <w:r>
              <w:rPr>
                <w:rFonts w:hint="eastAsia"/>
                <w:b/>
              </w:rPr>
              <w:t>交易金额</w:t>
            </w:r>
          </w:p>
        </w:tc>
        <w:tc>
          <w:tcPr>
            <w:tcW w:w="1502" w:type="dxa"/>
            <w:shd w:val="clear" w:color="auto" w:fill="BFBFBF"/>
            <w:vAlign w:val="center"/>
          </w:tcPr>
          <w:p w14:paraId="76AACDA4">
            <w:pPr>
              <w:jc w:val="center"/>
            </w:pPr>
            <w:r>
              <w:rPr>
                <w:rFonts w:hint="eastAsia"/>
                <w:b/>
              </w:rPr>
              <w:t>利息收入</w:t>
            </w:r>
          </w:p>
        </w:tc>
        <w:tc>
          <w:tcPr>
            <w:tcW w:w="883" w:type="dxa"/>
            <w:shd w:val="clear" w:color="auto" w:fill="BFBFBF"/>
            <w:vAlign w:val="center"/>
          </w:tcPr>
          <w:p w14:paraId="18F5AC12">
            <w:pPr>
              <w:jc w:val="center"/>
            </w:pPr>
            <w:r>
              <w:rPr>
                <w:rFonts w:hint="eastAsia"/>
                <w:b/>
              </w:rPr>
              <w:t>交易金额</w:t>
            </w:r>
          </w:p>
        </w:tc>
        <w:tc>
          <w:tcPr>
            <w:tcW w:w="883" w:type="dxa"/>
            <w:shd w:val="clear" w:color="auto" w:fill="BFBFBF"/>
            <w:vAlign w:val="center"/>
          </w:tcPr>
          <w:p w14:paraId="4E0A26A9">
            <w:pPr>
              <w:jc w:val="center"/>
            </w:pPr>
            <w:r>
              <w:rPr>
                <w:rFonts w:hint="eastAsia"/>
                <w:b/>
              </w:rPr>
              <w:t>利息支出</w:t>
            </w:r>
          </w:p>
        </w:tc>
      </w:tr>
      <w:tr w14:paraId="5458D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4955A6F5">
            <w:r>
              <w:rPr>
                <w:rFonts w:hint="eastAsia"/>
              </w:rPr>
              <w:t>招商银行</w:t>
            </w:r>
          </w:p>
        </w:tc>
        <w:tc>
          <w:tcPr>
            <w:tcW w:w="1502" w:type="dxa"/>
            <w:vAlign w:val="center"/>
          </w:tcPr>
          <w:p w14:paraId="768B977F">
            <w:pPr>
              <w:jc w:val="right"/>
            </w:pPr>
            <w:r>
              <w:rPr>
                <w:rFonts w:hint="eastAsia"/>
              </w:rPr>
              <w:t>51,098,927.90</w:t>
            </w:r>
          </w:p>
        </w:tc>
        <w:tc>
          <w:tcPr>
            <w:tcW w:w="1502" w:type="dxa"/>
            <w:vAlign w:val="center"/>
          </w:tcPr>
          <w:p w14:paraId="77509B05">
            <w:pPr>
              <w:jc w:val="right"/>
            </w:pPr>
            <w:r>
              <w:rPr>
                <w:rFonts w:hint="eastAsia"/>
              </w:rPr>
              <w:t>-</w:t>
            </w:r>
          </w:p>
        </w:tc>
        <w:tc>
          <w:tcPr>
            <w:tcW w:w="1502" w:type="dxa"/>
            <w:vAlign w:val="center"/>
          </w:tcPr>
          <w:p w14:paraId="2CA64548">
            <w:pPr>
              <w:jc w:val="right"/>
            </w:pPr>
            <w:r>
              <w:rPr>
                <w:rFonts w:hint="eastAsia"/>
              </w:rPr>
              <w:t>-</w:t>
            </w:r>
          </w:p>
        </w:tc>
        <w:tc>
          <w:tcPr>
            <w:tcW w:w="1502" w:type="dxa"/>
            <w:vAlign w:val="center"/>
          </w:tcPr>
          <w:p w14:paraId="1D4B61D9">
            <w:pPr>
              <w:jc w:val="right"/>
            </w:pPr>
            <w:r>
              <w:rPr>
                <w:rFonts w:hint="eastAsia"/>
              </w:rPr>
              <w:t>-</w:t>
            </w:r>
          </w:p>
        </w:tc>
        <w:tc>
          <w:tcPr>
            <w:tcW w:w="883" w:type="dxa"/>
            <w:vAlign w:val="center"/>
          </w:tcPr>
          <w:p w14:paraId="62619FCC">
            <w:pPr>
              <w:jc w:val="right"/>
            </w:pPr>
            <w:r>
              <w:rPr>
                <w:rFonts w:hint="eastAsia"/>
              </w:rPr>
              <w:t>1,364,000,000.00</w:t>
            </w:r>
          </w:p>
        </w:tc>
        <w:tc>
          <w:tcPr>
            <w:tcW w:w="883" w:type="dxa"/>
            <w:vAlign w:val="center"/>
          </w:tcPr>
          <w:p w14:paraId="7D2A6736">
            <w:pPr>
              <w:jc w:val="right"/>
            </w:pPr>
            <w:r>
              <w:rPr>
                <w:rFonts w:hint="eastAsia"/>
              </w:rPr>
              <w:t>84,519.31</w:t>
            </w:r>
          </w:p>
        </w:tc>
      </w:tr>
    </w:tbl>
    <w:p w14:paraId="4A4839F3"/>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502"/>
        <w:gridCol w:w="1502"/>
        <w:gridCol w:w="1502"/>
        <w:gridCol w:w="1502"/>
        <w:gridCol w:w="883"/>
        <w:gridCol w:w="883"/>
      </w:tblGrid>
      <w:tr w14:paraId="42986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gridSpan w:val="7"/>
            <w:shd w:val="clear" w:color="auto" w:fill="BFBFBF"/>
            <w:vAlign w:val="center"/>
          </w:tcPr>
          <w:p w14:paraId="5E58AB11">
            <w:pPr>
              <w:jc w:val="center"/>
            </w:pPr>
            <w:r>
              <w:rPr>
                <w:rFonts w:hint="eastAsia"/>
                <w:b/>
              </w:rPr>
              <w:t>上年度可比期间2024年1月1日至2024年12月31日</w:t>
            </w:r>
          </w:p>
        </w:tc>
      </w:tr>
      <w:tr w14:paraId="08898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restart"/>
            <w:shd w:val="clear" w:color="auto" w:fill="BFBFBF"/>
            <w:vAlign w:val="center"/>
          </w:tcPr>
          <w:p w14:paraId="7A6CC470">
            <w:pPr>
              <w:jc w:val="center"/>
            </w:pPr>
            <w:r>
              <w:rPr>
                <w:rFonts w:hint="eastAsia"/>
                <w:b/>
              </w:rPr>
              <w:t>银行间市场交易的各关联方名称</w:t>
            </w:r>
          </w:p>
        </w:tc>
        <w:tc>
          <w:tcPr>
            <w:tcW w:w="1502" w:type="dxa"/>
            <w:gridSpan w:val="2"/>
            <w:shd w:val="clear" w:color="auto" w:fill="BFBFBF"/>
            <w:vAlign w:val="center"/>
          </w:tcPr>
          <w:p w14:paraId="1F6EEA6D">
            <w:pPr>
              <w:jc w:val="center"/>
            </w:pPr>
            <w:r>
              <w:rPr>
                <w:rFonts w:hint="eastAsia"/>
                <w:b/>
              </w:rPr>
              <w:t>债券交易金额</w:t>
            </w:r>
          </w:p>
        </w:tc>
        <w:tc>
          <w:tcPr>
            <w:tcW w:w="1502" w:type="dxa"/>
            <w:gridSpan w:val="2"/>
            <w:shd w:val="clear" w:color="auto" w:fill="BFBFBF"/>
            <w:vAlign w:val="center"/>
          </w:tcPr>
          <w:p w14:paraId="7F8C5E81">
            <w:pPr>
              <w:jc w:val="center"/>
            </w:pPr>
            <w:r>
              <w:rPr>
                <w:rFonts w:hint="eastAsia"/>
                <w:b/>
              </w:rPr>
              <w:t>基金逆回购</w:t>
            </w:r>
          </w:p>
        </w:tc>
        <w:tc>
          <w:tcPr>
            <w:tcW w:w="883" w:type="dxa"/>
            <w:gridSpan w:val="2"/>
            <w:shd w:val="clear" w:color="auto" w:fill="BFBFBF"/>
            <w:vAlign w:val="center"/>
          </w:tcPr>
          <w:p w14:paraId="56EBF23A">
            <w:pPr>
              <w:jc w:val="center"/>
            </w:pPr>
            <w:r>
              <w:rPr>
                <w:rFonts w:hint="eastAsia"/>
                <w:b/>
              </w:rPr>
              <w:t>基金正回购</w:t>
            </w:r>
          </w:p>
        </w:tc>
      </w:tr>
      <w:tr w14:paraId="2F7D1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continue"/>
            <w:vAlign w:val="center"/>
          </w:tcPr>
          <w:p w14:paraId="7A4AC253"/>
        </w:tc>
        <w:tc>
          <w:tcPr>
            <w:tcW w:w="1502" w:type="dxa"/>
            <w:shd w:val="clear" w:color="auto" w:fill="BFBFBF"/>
            <w:vAlign w:val="center"/>
          </w:tcPr>
          <w:p w14:paraId="1CA99C85">
            <w:pPr>
              <w:jc w:val="center"/>
            </w:pPr>
            <w:r>
              <w:rPr>
                <w:rFonts w:hint="eastAsia"/>
                <w:b/>
              </w:rPr>
              <w:t>基金买入</w:t>
            </w:r>
          </w:p>
        </w:tc>
        <w:tc>
          <w:tcPr>
            <w:tcW w:w="1502" w:type="dxa"/>
            <w:shd w:val="clear" w:color="auto" w:fill="BFBFBF"/>
            <w:vAlign w:val="center"/>
          </w:tcPr>
          <w:p w14:paraId="255F9832">
            <w:pPr>
              <w:jc w:val="center"/>
            </w:pPr>
            <w:r>
              <w:rPr>
                <w:rFonts w:hint="eastAsia"/>
                <w:b/>
              </w:rPr>
              <w:t>基金卖出</w:t>
            </w:r>
          </w:p>
        </w:tc>
        <w:tc>
          <w:tcPr>
            <w:tcW w:w="1502" w:type="dxa"/>
            <w:shd w:val="clear" w:color="auto" w:fill="BFBFBF"/>
            <w:vAlign w:val="center"/>
          </w:tcPr>
          <w:p w14:paraId="6AC69044">
            <w:pPr>
              <w:jc w:val="center"/>
            </w:pPr>
            <w:r>
              <w:rPr>
                <w:rFonts w:hint="eastAsia"/>
                <w:b/>
              </w:rPr>
              <w:t>交易金额</w:t>
            </w:r>
          </w:p>
        </w:tc>
        <w:tc>
          <w:tcPr>
            <w:tcW w:w="1502" w:type="dxa"/>
            <w:shd w:val="clear" w:color="auto" w:fill="BFBFBF"/>
            <w:vAlign w:val="center"/>
          </w:tcPr>
          <w:p w14:paraId="05D4540A">
            <w:pPr>
              <w:jc w:val="center"/>
            </w:pPr>
            <w:r>
              <w:rPr>
                <w:rFonts w:hint="eastAsia"/>
                <w:b/>
              </w:rPr>
              <w:t>利息收入</w:t>
            </w:r>
          </w:p>
        </w:tc>
        <w:tc>
          <w:tcPr>
            <w:tcW w:w="883" w:type="dxa"/>
            <w:shd w:val="clear" w:color="auto" w:fill="BFBFBF"/>
            <w:vAlign w:val="center"/>
          </w:tcPr>
          <w:p w14:paraId="6EE34F60">
            <w:pPr>
              <w:jc w:val="center"/>
            </w:pPr>
            <w:r>
              <w:rPr>
                <w:rFonts w:hint="eastAsia"/>
                <w:b/>
              </w:rPr>
              <w:t>交易金额</w:t>
            </w:r>
          </w:p>
        </w:tc>
        <w:tc>
          <w:tcPr>
            <w:tcW w:w="883" w:type="dxa"/>
            <w:shd w:val="clear" w:color="auto" w:fill="BFBFBF"/>
            <w:vAlign w:val="center"/>
          </w:tcPr>
          <w:p w14:paraId="27256584">
            <w:pPr>
              <w:jc w:val="center"/>
            </w:pPr>
            <w:r>
              <w:rPr>
                <w:rFonts w:hint="eastAsia"/>
                <w:b/>
              </w:rPr>
              <w:t>利息支出</w:t>
            </w:r>
          </w:p>
        </w:tc>
      </w:tr>
      <w:tr w14:paraId="32BE2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0585A873">
            <w:r>
              <w:rPr>
                <w:rFonts w:hint="eastAsia"/>
              </w:rPr>
              <w:t>招商银行</w:t>
            </w:r>
          </w:p>
        </w:tc>
        <w:tc>
          <w:tcPr>
            <w:tcW w:w="1502" w:type="dxa"/>
            <w:vAlign w:val="center"/>
          </w:tcPr>
          <w:p w14:paraId="724ED712">
            <w:pPr>
              <w:jc w:val="right"/>
            </w:pPr>
            <w:r>
              <w:rPr>
                <w:rFonts w:hint="eastAsia"/>
              </w:rPr>
              <w:t>50,045,875.34</w:t>
            </w:r>
          </w:p>
        </w:tc>
        <w:tc>
          <w:tcPr>
            <w:tcW w:w="1502" w:type="dxa"/>
            <w:vAlign w:val="center"/>
          </w:tcPr>
          <w:p w14:paraId="182D344A">
            <w:pPr>
              <w:jc w:val="right"/>
            </w:pPr>
            <w:r>
              <w:rPr>
                <w:rFonts w:hint="eastAsia"/>
              </w:rPr>
              <w:t>-</w:t>
            </w:r>
          </w:p>
        </w:tc>
        <w:tc>
          <w:tcPr>
            <w:tcW w:w="1502" w:type="dxa"/>
            <w:vAlign w:val="center"/>
          </w:tcPr>
          <w:p w14:paraId="4005E8AA">
            <w:pPr>
              <w:jc w:val="right"/>
            </w:pPr>
            <w:r>
              <w:rPr>
                <w:rFonts w:hint="eastAsia"/>
              </w:rPr>
              <w:t>-</w:t>
            </w:r>
          </w:p>
        </w:tc>
        <w:tc>
          <w:tcPr>
            <w:tcW w:w="1502" w:type="dxa"/>
            <w:vAlign w:val="center"/>
          </w:tcPr>
          <w:p w14:paraId="11267749">
            <w:pPr>
              <w:jc w:val="right"/>
            </w:pPr>
            <w:r>
              <w:rPr>
                <w:rFonts w:hint="eastAsia"/>
              </w:rPr>
              <w:t>-</w:t>
            </w:r>
          </w:p>
        </w:tc>
        <w:tc>
          <w:tcPr>
            <w:tcW w:w="883" w:type="dxa"/>
            <w:vAlign w:val="center"/>
          </w:tcPr>
          <w:p w14:paraId="733F4C6E">
            <w:pPr>
              <w:jc w:val="right"/>
            </w:pPr>
            <w:r>
              <w:rPr>
                <w:rFonts w:hint="eastAsia"/>
              </w:rPr>
              <w:t>2,363,000,000.00</w:t>
            </w:r>
          </w:p>
        </w:tc>
        <w:tc>
          <w:tcPr>
            <w:tcW w:w="883" w:type="dxa"/>
            <w:vAlign w:val="center"/>
          </w:tcPr>
          <w:p w14:paraId="6C9C4981">
            <w:pPr>
              <w:jc w:val="right"/>
            </w:pPr>
            <w:r>
              <w:rPr>
                <w:rFonts w:hint="eastAsia"/>
              </w:rPr>
              <w:t>313,692.38</w:t>
            </w:r>
          </w:p>
        </w:tc>
      </w:tr>
    </w:tbl>
    <w:p w14:paraId="2B9E6FEB">
      <w:pPr>
        <w:pStyle w:val="35"/>
      </w:pPr>
      <w:bookmarkStart w:id="116" w:name="_Toc116"/>
      <w:r>
        <w:t>报告期内转融通证券出借业务发生重大关联交易事项的说明</w:t>
      </w:r>
      <w:bookmarkEnd w:id="116"/>
    </w:p>
    <w:p w14:paraId="164F08E3">
      <w:pPr>
        <w:pStyle w:val="36"/>
      </w:pPr>
      <w:bookmarkStart w:id="117" w:name="_Toc117"/>
      <w:r>
        <w:t>与关联方通过约定申报方式进行的适用固定期限费率的证券出借业务的情况</w:t>
      </w:r>
      <w:bookmarkEnd w:id="117"/>
    </w:p>
    <w:p w14:paraId="5662F116">
      <w:pPr>
        <w:pStyle w:val="18"/>
        <w:rPr>
          <w:rFonts w:hint="eastAsia"/>
        </w:rPr>
      </w:pPr>
      <w:r>
        <w:rPr>
          <w:rFonts w:hint="eastAsia"/>
        </w:rPr>
        <w:t>无。</w:t>
      </w:r>
    </w:p>
    <w:p w14:paraId="7F4D7372">
      <w:pPr>
        <w:pStyle w:val="36"/>
      </w:pPr>
      <w:bookmarkStart w:id="118" w:name="_Toc118"/>
      <w:r>
        <w:t>与关联方通过约定申报方式进行的适用市场化期限费率的证券出借业务的情况</w:t>
      </w:r>
      <w:bookmarkEnd w:id="118"/>
    </w:p>
    <w:p w14:paraId="072EC329">
      <w:pPr>
        <w:pStyle w:val="18"/>
        <w:rPr>
          <w:rFonts w:hint="eastAsia"/>
        </w:rPr>
      </w:pPr>
      <w:r>
        <w:rPr>
          <w:rFonts w:hint="eastAsia"/>
        </w:rPr>
        <w:t>无。</w:t>
      </w:r>
    </w:p>
    <w:p w14:paraId="4F4E537D">
      <w:pPr>
        <w:pStyle w:val="35"/>
      </w:pPr>
      <w:bookmarkStart w:id="119" w:name="_Toc119"/>
      <w:r>
        <w:t>各关联方投资本基金的情况</w:t>
      </w:r>
      <w:bookmarkEnd w:id="119"/>
    </w:p>
    <w:p w14:paraId="563F74CE">
      <w:pPr>
        <w:pStyle w:val="36"/>
      </w:pPr>
      <w:bookmarkStart w:id="120" w:name="_Toc120"/>
      <w:r>
        <w:t>报告期内基金管理人运用固有资金投资本基金的情况</w:t>
      </w:r>
      <w:bookmarkEnd w:id="120"/>
    </w:p>
    <w:p w14:paraId="23F71F04">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2179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F1428A2">
            <w:pPr>
              <w:jc w:val="center"/>
            </w:pPr>
            <w:r>
              <w:rPr>
                <w:rFonts w:hint="eastAsia"/>
                <w:b/>
              </w:rPr>
              <w:t>项目</w:t>
            </w:r>
          </w:p>
        </w:tc>
        <w:tc>
          <w:tcPr>
            <w:tcW w:w="2768" w:type="dxa"/>
            <w:shd w:val="clear" w:color="auto" w:fill="BFBFBF"/>
            <w:vAlign w:val="center"/>
          </w:tcPr>
          <w:p w14:paraId="7A2DEBB3">
            <w:pPr>
              <w:jc w:val="center"/>
            </w:pPr>
            <w:r>
              <w:rPr>
                <w:rFonts w:hint="eastAsia"/>
                <w:b/>
              </w:rPr>
              <w:t>本期2025年1月1日至2025年12月31日</w:t>
            </w:r>
          </w:p>
        </w:tc>
        <w:tc>
          <w:tcPr>
            <w:tcW w:w="2768" w:type="dxa"/>
            <w:shd w:val="clear" w:color="auto" w:fill="BFBFBF"/>
            <w:vAlign w:val="center"/>
          </w:tcPr>
          <w:p w14:paraId="7799A902">
            <w:pPr>
              <w:jc w:val="center"/>
            </w:pPr>
            <w:r>
              <w:rPr>
                <w:rFonts w:hint="eastAsia"/>
                <w:b/>
              </w:rPr>
              <w:t>上年度可比期间2024年1月1日至2024年12月31日</w:t>
            </w:r>
          </w:p>
        </w:tc>
      </w:tr>
      <w:tr w14:paraId="619ED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0F21A1">
            <w:r>
              <w:rPr>
                <w:rFonts w:hint="eastAsia"/>
              </w:rPr>
              <w:t>报告期初持有的基金份额</w:t>
            </w:r>
          </w:p>
        </w:tc>
        <w:tc>
          <w:tcPr>
            <w:tcW w:w="2768" w:type="dxa"/>
            <w:vAlign w:val="center"/>
          </w:tcPr>
          <w:p w14:paraId="35191B06">
            <w:pPr>
              <w:jc w:val="right"/>
            </w:pPr>
            <w:r>
              <w:rPr>
                <w:rFonts w:hint="eastAsia"/>
              </w:rPr>
              <w:t>10,000,638.95</w:t>
            </w:r>
          </w:p>
        </w:tc>
        <w:tc>
          <w:tcPr>
            <w:tcW w:w="2768" w:type="dxa"/>
            <w:vAlign w:val="center"/>
          </w:tcPr>
          <w:p w14:paraId="3042EFCC">
            <w:pPr>
              <w:jc w:val="right"/>
            </w:pPr>
            <w:r>
              <w:rPr>
                <w:rFonts w:hint="eastAsia"/>
              </w:rPr>
              <w:t>10,000,638.95</w:t>
            </w:r>
          </w:p>
        </w:tc>
      </w:tr>
      <w:tr w14:paraId="78E48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4DD582">
            <w:r>
              <w:rPr>
                <w:rFonts w:hint="eastAsia"/>
              </w:rPr>
              <w:t>报告期间申购/买入总份额</w:t>
            </w:r>
          </w:p>
        </w:tc>
        <w:tc>
          <w:tcPr>
            <w:tcW w:w="2768" w:type="dxa"/>
            <w:vAlign w:val="center"/>
          </w:tcPr>
          <w:p w14:paraId="02EBC05A">
            <w:pPr>
              <w:jc w:val="right"/>
            </w:pPr>
            <w:r>
              <w:rPr>
                <w:rFonts w:hint="eastAsia"/>
              </w:rPr>
              <w:t>-</w:t>
            </w:r>
          </w:p>
        </w:tc>
        <w:tc>
          <w:tcPr>
            <w:tcW w:w="2768" w:type="dxa"/>
            <w:vAlign w:val="center"/>
          </w:tcPr>
          <w:p w14:paraId="3DEF5864">
            <w:pPr>
              <w:jc w:val="right"/>
            </w:pPr>
            <w:r>
              <w:rPr>
                <w:rFonts w:hint="eastAsia"/>
              </w:rPr>
              <w:t>-</w:t>
            </w:r>
          </w:p>
        </w:tc>
      </w:tr>
      <w:tr w14:paraId="7B167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9298C6">
            <w:r>
              <w:rPr>
                <w:rFonts w:hint="eastAsia"/>
              </w:rPr>
              <w:t>报告期间因拆分变动份额</w:t>
            </w:r>
          </w:p>
        </w:tc>
        <w:tc>
          <w:tcPr>
            <w:tcW w:w="2768" w:type="dxa"/>
            <w:vAlign w:val="center"/>
          </w:tcPr>
          <w:p w14:paraId="18027CFA">
            <w:pPr>
              <w:jc w:val="right"/>
            </w:pPr>
            <w:r>
              <w:rPr>
                <w:rFonts w:hint="eastAsia"/>
              </w:rPr>
              <w:t>-</w:t>
            </w:r>
          </w:p>
        </w:tc>
        <w:tc>
          <w:tcPr>
            <w:tcW w:w="2768" w:type="dxa"/>
            <w:vAlign w:val="center"/>
          </w:tcPr>
          <w:p w14:paraId="0B6A6749">
            <w:pPr>
              <w:jc w:val="right"/>
            </w:pPr>
            <w:r>
              <w:rPr>
                <w:rFonts w:hint="eastAsia"/>
              </w:rPr>
              <w:t>-</w:t>
            </w:r>
          </w:p>
        </w:tc>
      </w:tr>
      <w:tr w14:paraId="3B876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5D1B57">
            <w:r>
              <w:rPr>
                <w:rFonts w:hint="eastAsia"/>
              </w:rPr>
              <w:t>减：报告期间赎回/卖出总份额</w:t>
            </w:r>
          </w:p>
        </w:tc>
        <w:tc>
          <w:tcPr>
            <w:tcW w:w="2768" w:type="dxa"/>
            <w:vAlign w:val="center"/>
          </w:tcPr>
          <w:p w14:paraId="7459C366">
            <w:pPr>
              <w:jc w:val="right"/>
            </w:pPr>
            <w:r>
              <w:rPr>
                <w:rFonts w:hint="eastAsia"/>
              </w:rPr>
              <w:t>-</w:t>
            </w:r>
          </w:p>
        </w:tc>
        <w:tc>
          <w:tcPr>
            <w:tcW w:w="2768" w:type="dxa"/>
            <w:vAlign w:val="center"/>
          </w:tcPr>
          <w:p w14:paraId="3CB61332">
            <w:pPr>
              <w:jc w:val="right"/>
            </w:pPr>
            <w:r>
              <w:rPr>
                <w:rFonts w:hint="eastAsia"/>
              </w:rPr>
              <w:t>-</w:t>
            </w:r>
          </w:p>
        </w:tc>
      </w:tr>
      <w:tr w14:paraId="1CF3D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BCE123">
            <w:r>
              <w:rPr>
                <w:rFonts w:hint="eastAsia"/>
              </w:rPr>
              <w:t>报告期末持有的基金份额</w:t>
            </w:r>
          </w:p>
        </w:tc>
        <w:tc>
          <w:tcPr>
            <w:tcW w:w="2768" w:type="dxa"/>
            <w:vAlign w:val="center"/>
          </w:tcPr>
          <w:p w14:paraId="782DE981">
            <w:pPr>
              <w:jc w:val="right"/>
            </w:pPr>
            <w:r>
              <w:rPr>
                <w:rFonts w:hint="eastAsia"/>
              </w:rPr>
              <w:t>10,000,638.95</w:t>
            </w:r>
          </w:p>
        </w:tc>
        <w:tc>
          <w:tcPr>
            <w:tcW w:w="2768" w:type="dxa"/>
            <w:vAlign w:val="center"/>
          </w:tcPr>
          <w:p w14:paraId="6E1C37C9">
            <w:pPr>
              <w:jc w:val="right"/>
            </w:pPr>
            <w:r>
              <w:rPr>
                <w:rFonts w:hint="eastAsia"/>
              </w:rPr>
              <w:t>10,000,638.95</w:t>
            </w:r>
          </w:p>
        </w:tc>
      </w:tr>
      <w:tr w14:paraId="3E14E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986529">
            <w:r>
              <w:rPr>
                <w:rFonts w:hint="eastAsia"/>
              </w:rPr>
              <w:t>报告期末持有的基金份额占基金总份额比例</w:t>
            </w:r>
          </w:p>
        </w:tc>
        <w:tc>
          <w:tcPr>
            <w:tcW w:w="2768" w:type="dxa"/>
            <w:vAlign w:val="center"/>
          </w:tcPr>
          <w:p w14:paraId="5AD1489E">
            <w:pPr>
              <w:jc w:val="right"/>
            </w:pPr>
            <w:r>
              <w:rPr>
                <w:rFonts w:hint="eastAsia"/>
              </w:rPr>
              <w:t>1.05%</w:t>
            </w:r>
          </w:p>
        </w:tc>
        <w:tc>
          <w:tcPr>
            <w:tcW w:w="2768" w:type="dxa"/>
            <w:vAlign w:val="center"/>
          </w:tcPr>
          <w:p w14:paraId="52BA6D42">
            <w:pPr>
              <w:jc w:val="right"/>
            </w:pPr>
            <w:r>
              <w:rPr>
                <w:rFonts w:hint="eastAsia"/>
              </w:rPr>
              <w:t>1.05%</w:t>
            </w:r>
          </w:p>
        </w:tc>
      </w:tr>
    </w:tbl>
    <w:p w14:paraId="5DA07E6B">
      <w:pPr>
        <w:pStyle w:val="47"/>
        <w:rPr>
          <w:rFonts w:hint="eastAsia"/>
        </w:rPr>
      </w:pPr>
      <w:r>
        <w:rPr>
          <w:rFonts w:hint="eastAsia"/>
        </w:rPr>
        <w:t>注：基金管理人南方基金投资本基金适用的认(申)购/赎回费率按照本基金招募说明书的规定执行。</w:t>
      </w:r>
    </w:p>
    <w:p w14:paraId="04E4040C">
      <w:pPr>
        <w:pStyle w:val="36"/>
      </w:pPr>
      <w:bookmarkStart w:id="121" w:name="_Toc121"/>
      <w:r>
        <w:t>报告期末除基金管理人之外的其他关联方投资本基金的情况</w:t>
      </w:r>
      <w:bookmarkEnd w:id="121"/>
    </w:p>
    <w:p w14:paraId="76A8077E">
      <w:pPr>
        <w:pStyle w:val="18"/>
        <w:rPr>
          <w:rFonts w:hint="eastAsia"/>
        </w:rPr>
      </w:pPr>
      <w:r>
        <w:rPr>
          <w:rFonts w:hint="eastAsia"/>
        </w:rPr>
        <w:t>无。</w:t>
      </w:r>
    </w:p>
    <w:p w14:paraId="14EF294F">
      <w:pPr>
        <w:pStyle w:val="35"/>
      </w:pPr>
      <w:bookmarkStart w:id="122" w:name="_Toc122"/>
      <w:r>
        <w:t>由关联方保管的银行存款余额及当期产生的利息收入</w:t>
      </w:r>
      <w:bookmarkEnd w:id="122"/>
    </w:p>
    <w:p w14:paraId="31F3024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2303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6AF44359">
            <w:pPr>
              <w:jc w:val="center"/>
            </w:pPr>
            <w:r>
              <w:rPr>
                <w:rFonts w:hint="eastAsia"/>
                <w:b/>
              </w:rPr>
              <w:t>关联方名称</w:t>
            </w:r>
          </w:p>
        </w:tc>
        <w:tc>
          <w:tcPr>
            <w:tcW w:w="1661" w:type="dxa"/>
            <w:gridSpan w:val="2"/>
            <w:shd w:val="clear" w:color="auto" w:fill="BFBFBF"/>
            <w:vAlign w:val="center"/>
          </w:tcPr>
          <w:p w14:paraId="2F4AA8CB">
            <w:pPr>
              <w:jc w:val="center"/>
            </w:pPr>
            <w:r>
              <w:rPr>
                <w:rFonts w:hint="eastAsia"/>
                <w:b/>
              </w:rPr>
              <w:t>本期2025年1月1日至2025年12月31日</w:t>
            </w:r>
          </w:p>
        </w:tc>
        <w:tc>
          <w:tcPr>
            <w:tcW w:w="1661" w:type="dxa"/>
            <w:gridSpan w:val="2"/>
            <w:shd w:val="clear" w:color="auto" w:fill="BFBFBF"/>
            <w:vAlign w:val="center"/>
          </w:tcPr>
          <w:p w14:paraId="0D2B44DA">
            <w:pPr>
              <w:jc w:val="center"/>
            </w:pPr>
            <w:r>
              <w:rPr>
                <w:rFonts w:hint="eastAsia"/>
                <w:b/>
              </w:rPr>
              <w:t>上年度可比期间2024年1月1日至2024年12月31日</w:t>
            </w:r>
          </w:p>
        </w:tc>
      </w:tr>
      <w:tr w14:paraId="63851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41AD7F5"/>
        </w:tc>
        <w:tc>
          <w:tcPr>
            <w:tcW w:w="1661" w:type="dxa"/>
            <w:shd w:val="clear" w:color="auto" w:fill="BFBFBF"/>
            <w:vAlign w:val="center"/>
          </w:tcPr>
          <w:p w14:paraId="6A359112">
            <w:pPr>
              <w:jc w:val="center"/>
            </w:pPr>
            <w:r>
              <w:rPr>
                <w:rFonts w:hint="eastAsia"/>
                <w:b/>
              </w:rPr>
              <w:t>期末余额</w:t>
            </w:r>
          </w:p>
        </w:tc>
        <w:tc>
          <w:tcPr>
            <w:tcW w:w="1661" w:type="dxa"/>
            <w:shd w:val="clear" w:color="auto" w:fill="BFBFBF"/>
            <w:vAlign w:val="center"/>
          </w:tcPr>
          <w:p w14:paraId="488A95BC">
            <w:pPr>
              <w:jc w:val="center"/>
            </w:pPr>
            <w:r>
              <w:rPr>
                <w:rFonts w:hint="eastAsia"/>
                <w:b/>
              </w:rPr>
              <w:t>当期利息收入</w:t>
            </w:r>
          </w:p>
        </w:tc>
        <w:tc>
          <w:tcPr>
            <w:tcW w:w="1661" w:type="dxa"/>
            <w:shd w:val="clear" w:color="auto" w:fill="BFBFBF"/>
            <w:vAlign w:val="center"/>
          </w:tcPr>
          <w:p w14:paraId="1D0FA17A">
            <w:pPr>
              <w:jc w:val="center"/>
            </w:pPr>
            <w:r>
              <w:rPr>
                <w:rFonts w:hint="eastAsia"/>
                <w:b/>
              </w:rPr>
              <w:t>期末余额</w:t>
            </w:r>
          </w:p>
        </w:tc>
        <w:tc>
          <w:tcPr>
            <w:tcW w:w="1661" w:type="dxa"/>
            <w:shd w:val="clear" w:color="auto" w:fill="BFBFBF"/>
            <w:vAlign w:val="center"/>
          </w:tcPr>
          <w:p w14:paraId="4B4CCAE6">
            <w:pPr>
              <w:jc w:val="center"/>
            </w:pPr>
            <w:r>
              <w:rPr>
                <w:rFonts w:hint="eastAsia"/>
                <w:b/>
              </w:rPr>
              <w:t>当期利息收入</w:t>
            </w:r>
          </w:p>
        </w:tc>
      </w:tr>
      <w:tr w14:paraId="59519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CE47232">
            <w:r>
              <w:rPr>
                <w:rFonts w:hint="eastAsia"/>
              </w:rPr>
              <w:t>招商银行</w:t>
            </w:r>
          </w:p>
        </w:tc>
        <w:tc>
          <w:tcPr>
            <w:tcW w:w="1661" w:type="dxa"/>
            <w:vAlign w:val="center"/>
          </w:tcPr>
          <w:p w14:paraId="462934F3">
            <w:pPr>
              <w:jc w:val="right"/>
            </w:pPr>
            <w:r>
              <w:rPr>
                <w:rFonts w:hint="eastAsia"/>
              </w:rPr>
              <w:t>19,243,160.76</w:t>
            </w:r>
          </w:p>
        </w:tc>
        <w:tc>
          <w:tcPr>
            <w:tcW w:w="1661" w:type="dxa"/>
            <w:vAlign w:val="center"/>
          </w:tcPr>
          <w:p w14:paraId="7DE1CDC1">
            <w:pPr>
              <w:jc w:val="right"/>
            </w:pPr>
            <w:r>
              <w:rPr>
                <w:rFonts w:hint="eastAsia"/>
              </w:rPr>
              <w:t>10,747.89</w:t>
            </w:r>
          </w:p>
        </w:tc>
        <w:tc>
          <w:tcPr>
            <w:tcW w:w="1661" w:type="dxa"/>
            <w:vAlign w:val="center"/>
          </w:tcPr>
          <w:p w14:paraId="31B7A3D0">
            <w:pPr>
              <w:jc w:val="right"/>
            </w:pPr>
            <w:r>
              <w:rPr>
                <w:rFonts w:hint="eastAsia"/>
              </w:rPr>
              <w:t>932,215.26</w:t>
            </w:r>
          </w:p>
        </w:tc>
        <w:tc>
          <w:tcPr>
            <w:tcW w:w="1661" w:type="dxa"/>
            <w:vAlign w:val="center"/>
          </w:tcPr>
          <w:p w14:paraId="67D3E805">
            <w:pPr>
              <w:jc w:val="right"/>
            </w:pPr>
            <w:r>
              <w:rPr>
                <w:rFonts w:hint="eastAsia"/>
              </w:rPr>
              <w:t>9,813.44</w:t>
            </w:r>
          </w:p>
        </w:tc>
      </w:tr>
    </w:tbl>
    <w:p w14:paraId="2F0C854A">
      <w:pPr>
        <w:pStyle w:val="47"/>
        <w:rPr>
          <w:rFonts w:hint="eastAsia"/>
        </w:rPr>
      </w:pPr>
      <w:r>
        <w:rPr>
          <w:rFonts w:hint="eastAsia"/>
        </w:rPr>
        <w:t>注：本基金的银行存款由基金托管人保管，按银行约定利率计息。</w:t>
      </w:r>
    </w:p>
    <w:p w14:paraId="19B388B6">
      <w:pPr>
        <w:pStyle w:val="35"/>
      </w:pPr>
      <w:bookmarkStart w:id="123" w:name="_Toc123"/>
      <w:r>
        <w:t>本基金在承销期内参与关联方承销证券的情况</w:t>
      </w:r>
      <w:bookmarkEnd w:id="123"/>
    </w:p>
    <w:p w14:paraId="0925DCF8">
      <w:pPr>
        <w:pStyle w:val="18"/>
        <w:rPr>
          <w:rFonts w:hint="eastAsia"/>
        </w:rPr>
      </w:pPr>
      <w:r>
        <w:rPr>
          <w:rFonts w:hint="eastAsia"/>
        </w:rPr>
        <w:t>无。</w:t>
      </w:r>
    </w:p>
    <w:p w14:paraId="7E00A702">
      <w:pPr>
        <w:pStyle w:val="35"/>
      </w:pPr>
      <w:bookmarkStart w:id="124" w:name="_Toc124"/>
      <w:r>
        <w:t>其他关联交易事项的说明</w:t>
      </w:r>
      <w:bookmarkEnd w:id="124"/>
    </w:p>
    <w:p w14:paraId="1F639991">
      <w:pPr>
        <w:pStyle w:val="18"/>
        <w:rPr>
          <w:rFonts w:hint="eastAsia"/>
        </w:rPr>
      </w:pPr>
      <w:r>
        <w:rPr>
          <w:rFonts w:hint="eastAsia"/>
        </w:rPr>
        <w:t>无。</w:t>
      </w:r>
    </w:p>
    <w:p w14:paraId="719F2450">
      <w:pPr>
        <w:pStyle w:val="28"/>
      </w:pPr>
      <w:bookmarkStart w:id="125" w:name="_Toc125"/>
      <w:r>
        <w:t>利润分配情况——固定净值型货币市场基金之外的基金</w:t>
      </w:r>
      <w:bookmarkEnd w:id="125"/>
    </w:p>
    <w:p w14:paraId="01B0CA7C">
      <w:pPr>
        <w:pStyle w:val="47"/>
        <w:rPr>
          <w:rFonts w:hint="eastAsia"/>
        </w:rPr>
      </w:pPr>
      <w:r>
        <w:rPr>
          <w:rFonts w:hint="eastAsia"/>
        </w:rPr>
        <w:t>注：本期无。本基金报告期后分红情况（如有）详见本报告“资产负债表日后事项”部分内容。</w:t>
      </w:r>
    </w:p>
    <w:p w14:paraId="0E4509B8">
      <w:pPr>
        <w:pStyle w:val="28"/>
      </w:pPr>
      <w:bookmarkStart w:id="126" w:name="_Toc126"/>
      <w:r>
        <w:t>期末（2025年12月31日）本基金持有的流通受限证券</w:t>
      </w:r>
      <w:bookmarkEnd w:id="126"/>
    </w:p>
    <w:p w14:paraId="4C8642D1">
      <w:pPr>
        <w:pStyle w:val="35"/>
      </w:pPr>
      <w:bookmarkStart w:id="127" w:name="_Toc127"/>
      <w:r>
        <w:t>因认购新发/增发证券而于期末持有的流通受限证券</w:t>
      </w:r>
      <w:bookmarkEnd w:id="127"/>
    </w:p>
    <w:p w14:paraId="1733E385">
      <w:pPr>
        <w:pStyle w:val="18"/>
        <w:rPr>
          <w:rFonts w:hint="eastAsia"/>
        </w:rPr>
      </w:pPr>
      <w:r>
        <w:rPr>
          <w:rFonts w:hint="eastAsia"/>
        </w:rPr>
        <w:t>无。</w:t>
      </w:r>
    </w:p>
    <w:p w14:paraId="628A5295">
      <w:pPr>
        <w:pStyle w:val="35"/>
      </w:pPr>
      <w:bookmarkStart w:id="128" w:name="_Toc128"/>
      <w:r>
        <w:t>期末持有的暂时停牌等流通受限股票</w:t>
      </w:r>
      <w:bookmarkEnd w:id="128"/>
    </w:p>
    <w:p w14:paraId="0ED53DEA">
      <w:pPr>
        <w:pStyle w:val="18"/>
        <w:rPr>
          <w:rFonts w:hint="eastAsia"/>
        </w:rPr>
      </w:pPr>
      <w:r>
        <w:rPr>
          <w:rFonts w:hint="eastAsia"/>
        </w:rPr>
        <w:t>无。</w:t>
      </w:r>
    </w:p>
    <w:p w14:paraId="604686E5">
      <w:pPr>
        <w:pStyle w:val="35"/>
      </w:pPr>
      <w:bookmarkStart w:id="129" w:name="_Toc129"/>
      <w:r>
        <w:t>期末债券正回购交易中作为抵押的债券</w:t>
      </w:r>
      <w:bookmarkEnd w:id="129"/>
    </w:p>
    <w:p w14:paraId="06299829">
      <w:pPr>
        <w:pStyle w:val="36"/>
      </w:pPr>
      <w:bookmarkStart w:id="130" w:name="_Toc130"/>
      <w:r>
        <w:t>银行间市场债券正回购</w:t>
      </w:r>
      <w:bookmarkEnd w:id="130"/>
    </w:p>
    <w:p w14:paraId="73374B3A">
      <w:pPr>
        <w:pStyle w:val="18"/>
        <w:rPr>
          <w:rFonts w:hint="eastAsia"/>
        </w:rPr>
      </w:pPr>
      <w:r>
        <w:rPr>
          <w:rFonts w:hint="eastAsia"/>
        </w:rPr>
        <w:t>截至本报告期末2025年12月31日止，本基金从事银行间市场债券正回购交易形成的卖出回购证券款余额116,007,010.39元，是以如下债券作为质押：</w:t>
      </w:r>
    </w:p>
    <w:p w14:paraId="6263286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7"/>
        <w:gridCol w:w="1218"/>
        <w:gridCol w:w="1328"/>
        <w:gridCol w:w="1328"/>
        <w:gridCol w:w="1495"/>
        <w:gridCol w:w="1827"/>
      </w:tblGrid>
      <w:tr w14:paraId="18F73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shd w:val="clear" w:color="auto" w:fill="BFBFBF"/>
            <w:vAlign w:val="center"/>
          </w:tcPr>
          <w:p w14:paraId="793C11D0">
            <w:pPr>
              <w:jc w:val="center"/>
            </w:pPr>
            <w:r>
              <w:rPr>
                <w:rFonts w:hint="eastAsia"/>
                <w:b/>
              </w:rPr>
              <w:t>债券代码</w:t>
            </w:r>
          </w:p>
        </w:tc>
        <w:tc>
          <w:tcPr>
            <w:tcW w:w="1218" w:type="dxa"/>
            <w:shd w:val="clear" w:color="auto" w:fill="BFBFBF"/>
            <w:vAlign w:val="center"/>
          </w:tcPr>
          <w:p w14:paraId="6944D2B6">
            <w:pPr>
              <w:jc w:val="center"/>
            </w:pPr>
            <w:r>
              <w:rPr>
                <w:rFonts w:hint="eastAsia"/>
                <w:b/>
              </w:rPr>
              <w:t>债券名称</w:t>
            </w:r>
          </w:p>
        </w:tc>
        <w:tc>
          <w:tcPr>
            <w:tcW w:w="1328" w:type="dxa"/>
            <w:shd w:val="clear" w:color="auto" w:fill="BFBFBF"/>
            <w:vAlign w:val="center"/>
          </w:tcPr>
          <w:p w14:paraId="0F920ED6">
            <w:pPr>
              <w:jc w:val="center"/>
            </w:pPr>
            <w:r>
              <w:rPr>
                <w:rFonts w:hint="eastAsia"/>
                <w:b/>
              </w:rPr>
              <w:t>回购到期日</w:t>
            </w:r>
          </w:p>
        </w:tc>
        <w:tc>
          <w:tcPr>
            <w:tcW w:w="1328" w:type="dxa"/>
            <w:shd w:val="clear" w:color="auto" w:fill="BFBFBF"/>
            <w:vAlign w:val="center"/>
          </w:tcPr>
          <w:p w14:paraId="59775690">
            <w:pPr>
              <w:jc w:val="center"/>
            </w:pPr>
            <w:r>
              <w:rPr>
                <w:rFonts w:hint="eastAsia"/>
                <w:b/>
              </w:rPr>
              <w:t>期末估值单价</w:t>
            </w:r>
          </w:p>
        </w:tc>
        <w:tc>
          <w:tcPr>
            <w:tcW w:w="1495" w:type="dxa"/>
            <w:shd w:val="clear" w:color="auto" w:fill="BFBFBF"/>
            <w:vAlign w:val="center"/>
          </w:tcPr>
          <w:p w14:paraId="192AC6F6">
            <w:pPr>
              <w:jc w:val="center"/>
            </w:pPr>
            <w:r>
              <w:rPr>
                <w:rFonts w:hint="eastAsia"/>
                <w:b/>
              </w:rPr>
              <w:t>数量（张）</w:t>
            </w:r>
          </w:p>
        </w:tc>
        <w:tc>
          <w:tcPr>
            <w:tcW w:w="1827" w:type="dxa"/>
            <w:shd w:val="clear" w:color="auto" w:fill="BFBFBF"/>
            <w:vAlign w:val="center"/>
          </w:tcPr>
          <w:p w14:paraId="700655EB">
            <w:pPr>
              <w:jc w:val="center"/>
            </w:pPr>
            <w:r>
              <w:rPr>
                <w:rFonts w:hint="eastAsia"/>
                <w:b/>
              </w:rPr>
              <w:t>期末估值总额</w:t>
            </w:r>
          </w:p>
        </w:tc>
      </w:tr>
      <w:tr w14:paraId="1BD2E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1631292B">
            <w:r>
              <w:rPr>
                <w:rFonts w:hint="eastAsia"/>
              </w:rPr>
              <w:t>230208</w:t>
            </w:r>
          </w:p>
        </w:tc>
        <w:tc>
          <w:tcPr>
            <w:tcW w:w="1218" w:type="dxa"/>
            <w:vAlign w:val="center"/>
          </w:tcPr>
          <w:p w14:paraId="66E94C1C">
            <w:r>
              <w:rPr>
                <w:rFonts w:hint="eastAsia"/>
              </w:rPr>
              <w:t>23国开08</w:t>
            </w:r>
          </w:p>
        </w:tc>
        <w:tc>
          <w:tcPr>
            <w:tcW w:w="1328" w:type="dxa"/>
            <w:vAlign w:val="center"/>
          </w:tcPr>
          <w:p w14:paraId="70E2B321">
            <w:r>
              <w:rPr>
                <w:rFonts w:hint="eastAsia"/>
              </w:rPr>
              <w:t>2026年1月5日</w:t>
            </w:r>
          </w:p>
        </w:tc>
        <w:tc>
          <w:tcPr>
            <w:tcW w:w="1328" w:type="dxa"/>
            <w:vAlign w:val="center"/>
          </w:tcPr>
          <w:p w14:paraId="429DA274">
            <w:pPr>
              <w:jc w:val="right"/>
            </w:pPr>
            <w:r>
              <w:rPr>
                <w:rFonts w:hint="eastAsia"/>
              </w:rPr>
              <w:t>103.58</w:t>
            </w:r>
          </w:p>
        </w:tc>
        <w:tc>
          <w:tcPr>
            <w:tcW w:w="1495" w:type="dxa"/>
            <w:vAlign w:val="center"/>
          </w:tcPr>
          <w:p w14:paraId="61B1AFB4">
            <w:pPr>
              <w:jc w:val="right"/>
            </w:pPr>
            <w:r>
              <w:rPr>
                <w:rFonts w:hint="eastAsia"/>
              </w:rPr>
              <w:t>1,000,000</w:t>
            </w:r>
          </w:p>
        </w:tc>
        <w:tc>
          <w:tcPr>
            <w:tcW w:w="1827" w:type="dxa"/>
            <w:vAlign w:val="center"/>
          </w:tcPr>
          <w:p w14:paraId="62C3650F">
            <w:pPr>
              <w:jc w:val="right"/>
            </w:pPr>
            <w:r>
              <w:rPr>
                <w:rFonts w:hint="eastAsia"/>
              </w:rPr>
              <w:t>103,575,808.22</w:t>
            </w:r>
          </w:p>
        </w:tc>
      </w:tr>
      <w:tr w14:paraId="71B3A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037C6D63">
            <w:r>
              <w:rPr>
                <w:rFonts w:hint="eastAsia"/>
              </w:rPr>
              <w:t>240303</w:t>
            </w:r>
          </w:p>
        </w:tc>
        <w:tc>
          <w:tcPr>
            <w:tcW w:w="1218" w:type="dxa"/>
            <w:vAlign w:val="center"/>
          </w:tcPr>
          <w:p w14:paraId="1DAE5EF4">
            <w:r>
              <w:rPr>
                <w:rFonts w:hint="eastAsia"/>
              </w:rPr>
              <w:t>24进出03</w:t>
            </w:r>
          </w:p>
        </w:tc>
        <w:tc>
          <w:tcPr>
            <w:tcW w:w="1328" w:type="dxa"/>
            <w:vAlign w:val="center"/>
          </w:tcPr>
          <w:p w14:paraId="618F9315">
            <w:r>
              <w:rPr>
                <w:rFonts w:hint="eastAsia"/>
              </w:rPr>
              <w:t>2026年1月5日</w:t>
            </w:r>
          </w:p>
        </w:tc>
        <w:tc>
          <w:tcPr>
            <w:tcW w:w="1328" w:type="dxa"/>
            <w:vAlign w:val="center"/>
          </w:tcPr>
          <w:p w14:paraId="39107D05">
            <w:pPr>
              <w:jc w:val="right"/>
            </w:pPr>
            <w:r>
              <w:rPr>
                <w:rFonts w:hint="eastAsia"/>
              </w:rPr>
              <w:t>101.96</w:t>
            </w:r>
          </w:p>
        </w:tc>
        <w:tc>
          <w:tcPr>
            <w:tcW w:w="1495" w:type="dxa"/>
            <w:vAlign w:val="center"/>
          </w:tcPr>
          <w:p w14:paraId="2971EF62">
            <w:pPr>
              <w:jc w:val="right"/>
            </w:pPr>
            <w:r>
              <w:rPr>
                <w:rFonts w:hint="eastAsia"/>
              </w:rPr>
              <w:t>222,000</w:t>
            </w:r>
          </w:p>
        </w:tc>
        <w:tc>
          <w:tcPr>
            <w:tcW w:w="1827" w:type="dxa"/>
            <w:vAlign w:val="center"/>
          </w:tcPr>
          <w:p w14:paraId="5784A9BA">
            <w:pPr>
              <w:jc w:val="right"/>
            </w:pPr>
            <w:r>
              <w:rPr>
                <w:rFonts w:hint="eastAsia"/>
              </w:rPr>
              <w:t>22,635,965.42</w:t>
            </w:r>
          </w:p>
        </w:tc>
      </w:tr>
      <w:tr w14:paraId="0E977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3387C7E4">
            <w:r>
              <w:rPr>
                <w:rFonts w:hint="eastAsia"/>
              </w:rPr>
              <w:t>合计</w:t>
            </w:r>
          </w:p>
        </w:tc>
        <w:tc>
          <w:tcPr>
            <w:tcW w:w="1218" w:type="dxa"/>
            <w:vAlign w:val="center"/>
          </w:tcPr>
          <w:p w14:paraId="3F916874">
            <w:pPr>
              <w:jc w:val="right"/>
            </w:pPr>
            <w:r>
              <w:rPr>
                <w:rFonts w:hint="eastAsia"/>
              </w:rPr>
              <w:t>-</w:t>
            </w:r>
          </w:p>
        </w:tc>
        <w:tc>
          <w:tcPr>
            <w:tcW w:w="1328" w:type="dxa"/>
            <w:vAlign w:val="center"/>
          </w:tcPr>
          <w:p w14:paraId="41FB0446">
            <w:pPr>
              <w:jc w:val="right"/>
            </w:pPr>
            <w:r>
              <w:rPr>
                <w:rFonts w:hint="eastAsia"/>
              </w:rPr>
              <w:t>-</w:t>
            </w:r>
          </w:p>
        </w:tc>
        <w:tc>
          <w:tcPr>
            <w:tcW w:w="1328" w:type="dxa"/>
            <w:vAlign w:val="center"/>
          </w:tcPr>
          <w:p w14:paraId="4415A1FF">
            <w:pPr>
              <w:jc w:val="right"/>
            </w:pPr>
            <w:r>
              <w:rPr>
                <w:rFonts w:hint="eastAsia"/>
              </w:rPr>
              <w:t>-</w:t>
            </w:r>
          </w:p>
        </w:tc>
        <w:tc>
          <w:tcPr>
            <w:tcW w:w="1495" w:type="dxa"/>
            <w:vAlign w:val="center"/>
          </w:tcPr>
          <w:p w14:paraId="7F5BA960">
            <w:pPr>
              <w:jc w:val="right"/>
            </w:pPr>
            <w:r>
              <w:rPr>
                <w:rFonts w:hint="eastAsia"/>
              </w:rPr>
              <w:t>1,222,000</w:t>
            </w:r>
          </w:p>
        </w:tc>
        <w:tc>
          <w:tcPr>
            <w:tcW w:w="1827" w:type="dxa"/>
            <w:vAlign w:val="center"/>
          </w:tcPr>
          <w:p w14:paraId="71967B31">
            <w:pPr>
              <w:jc w:val="right"/>
            </w:pPr>
            <w:r>
              <w:rPr>
                <w:rFonts w:hint="eastAsia"/>
              </w:rPr>
              <w:t>126,211,773.64</w:t>
            </w:r>
          </w:p>
        </w:tc>
      </w:tr>
    </w:tbl>
    <w:p w14:paraId="7BEA044F">
      <w:pPr>
        <w:pStyle w:val="36"/>
      </w:pPr>
      <w:bookmarkStart w:id="131" w:name="_Toc131"/>
      <w:r>
        <w:t>交易所市场债券正回购</w:t>
      </w:r>
      <w:bookmarkEnd w:id="131"/>
    </w:p>
    <w:p w14:paraId="1A3D7835">
      <w:pPr>
        <w:pStyle w:val="18"/>
        <w:rPr>
          <w:rFonts w:hint="eastAsia"/>
        </w:rPr>
      </w:pPr>
      <w:r>
        <w:rPr>
          <w:rFonts w:hint="eastAsia"/>
        </w:rPr>
        <w:t>无。</w:t>
      </w:r>
    </w:p>
    <w:p w14:paraId="409E9573">
      <w:pPr>
        <w:pStyle w:val="35"/>
      </w:pPr>
      <w:bookmarkStart w:id="132" w:name="_Toc132"/>
      <w:r>
        <w:t>期末参与转融通证券出借业务的证券</w:t>
      </w:r>
      <w:bookmarkEnd w:id="132"/>
    </w:p>
    <w:p w14:paraId="21C830D5">
      <w:pPr>
        <w:pStyle w:val="18"/>
        <w:rPr>
          <w:rFonts w:hint="eastAsia"/>
        </w:rPr>
      </w:pPr>
      <w:r>
        <w:rPr>
          <w:rFonts w:hint="eastAsia"/>
        </w:rPr>
        <w:t>无。</w:t>
      </w:r>
    </w:p>
    <w:p w14:paraId="13C5D95F">
      <w:pPr>
        <w:pStyle w:val="28"/>
      </w:pPr>
      <w:bookmarkStart w:id="133" w:name="_Toc133"/>
      <w:r>
        <w:t>金融工具风险及管理</w:t>
      </w:r>
      <w:bookmarkEnd w:id="133"/>
    </w:p>
    <w:p w14:paraId="547F75F3">
      <w:pPr>
        <w:pStyle w:val="35"/>
      </w:pPr>
      <w:bookmarkStart w:id="134" w:name="_Toc134"/>
      <w:r>
        <w:t>风险管理政策和组织架构</w:t>
      </w:r>
      <w:bookmarkEnd w:id="134"/>
    </w:p>
    <w:p w14:paraId="1EF54478">
      <w:pPr>
        <w:pStyle w:val="18"/>
        <w:rPr>
          <w:rFonts w:hint="eastAsia"/>
        </w:rPr>
      </w:pPr>
      <w:r>
        <w:rPr>
          <w:rFonts w:hint="eastAsia"/>
        </w:rPr>
        <w:t>本基金为债券型基金，其长期平均风险和预期收益率低于股票型基金、混合型基金，高于货币市场基金。本基金投资的金融工具主要包括债券投资等。本基金在日常投资管理中面临的与这些金融工具相关的风险主要包括信用风险、流动性风险及市场风险。本基金的基金管理人制定了政策和程序来识别及分析这些风险，并设定适当的风险限额及内部控制流程，通过可靠的管理及信息系统持续监控上述各类风险。</w:t>
      </w:r>
    </w:p>
    <w:p w14:paraId="6FBFD7EB">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03F6ABF1">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7BA379AC">
      <w:pPr>
        <w:pStyle w:val="35"/>
      </w:pPr>
      <w:bookmarkStart w:id="135" w:name="_Toc135"/>
      <w:r>
        <w:t>信用风险</w:t>
      </w:r>
      <w:bookmarkEnd w:id="135"/>
    </w:p>
    <w:p w14:paraId="388F221B">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5437CEAF">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61F5EE9E">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7E4EB9CE">
      <w:pPr>
        <w:pStyle w:val="18"/>
        <w:rPr>
          <w:rFonts w:hint="eastAsia"/>
        </w:rPr>
      </w:pPr>
      <w:r>
        <w:rPr>
          <w:rFonts w:hint="eastAsia"/>
        </w:rPr>
        <w:t>于本期末，本基金持有的除国债、央行票据和政策性金融债以外的债券占基金净资产的比例为76.38%（上期末：本基金持有的除国债、央行票据和政策性金融债以外的债券占基金净资产的比例为96.03%）。</w:t>
      </w:r>
    </w:p>
    <w:p w14:paraId="2E4AB327">
      <w:pPr>
        <w:pStyle w:val="35"/>
      </w:pPr>
      <w:bookmarkStart w:id="136" w:name="_Toc136"/>
      <w:r>
        <w:t>流动性风险</w:t>
      </w:r>
      <w:bookmarkEnd w:id="136"/>
    </w:p>
    <w:p w14:paraId="12108530">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6F2C8852">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4B771AEE">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26C4DEF4">
      <w:pPr>
        <w:pStyle w:val="36"/>
      </w:pPr>
      <w:bookmarkStart w:id="137" w:name="_Toc137"/>
      <w:r>
        <w:t>报告期内本基金组合资产的流动性风险分析</w:t>
      </w:r>
      <w:bookmarkEnd w:id="137"/>
    </w:p>
    <w:p w14:paraId="6146E4C3">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29E67998">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31647FD1">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6523E7A9">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4699433E">
      <w:pPr>
        <w:pStyle w:val="35"/>
      </w:pPr>
      <w:bookmarkStart w:id="138" w:name="_Toc138"/>
      <w:r>
        <w:t>市场风险</w:t>
      </w:r>
      <w:bookmarkEnd w:id="138"/>
    </w:p>
    <w:p w14:paraId="335EE76D">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0642D149">
      <w:pPr>
        <w:pStyle w:val="36"/>
      </w:pPr>
      <w:bookmarkStart w:id="139" w:name="_Toc139"/>
      <w:r>
        <w:t>利率风险</w:t>
      </w:r>
      <w:bookmarkEnd w:id="139"/>
    </w:p>
    <w:p w14:paraId="698D59B3">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3F88A787">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6832F520">
      <w:pPr>
        <w:pStyle w:val="37"/>
      </w:pPr>
      <w:bookmarkStart w:id="140" w:name="_Toc140"/>
      <w:r>
        <w:t>利率风险敞口</w:t>
      </w:r>
      <w:bookmarkEnd w:id="140"/>
    </w:p>
    <w:p w14:paraId="303AEF2C">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3F5F2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1082D8">
            <w:r>
              <w:rPr>
                <w:rFonts w:hint="eastAsia"/>
              </w:rPr>
              <w:t>本期末2025年12月31日</w:t>
            </w:r>
          </w:p>
        </w:tc>
        <w:tc>
          <w:tcPr>
            <w:tcW w:w="1384" w:type="dxa"/>
            <w:vAlign w:val="center"/>
          </w:tcPr>
          <w:p w14:paraId="3B40A797">
            <w:r>
              <w:rPr>
                <w:rFonts w:hint="eastAsia"/>
              </w:rPr>
              <w:t>1年以内</w:t>
            </w:r>
          </w:p>
        </w:tc>
        <w:tc>
          <w:tcPr>
            <w:tcW w:w="1384" w:type="dxa"/>
            <w:vAlign w:val="center"/>
          </w:tcPr>
          <w:p w14:paraId="5AA5A31C">
            <w:r>
              <w:rPr>
                <w:rFonts w:hint="eastAsia"/>
              </w:rPr>
              <w:t>1-5年</w:t>
            </w:r>
          </w:p>
        </w:tc>
        <w:tc>
          <w:tcPr>
            <w:tcW w:w="1384" w:type="dxa"/>
            <w:vAlign w:val="center"/>
          </w:tcPr>
          <w:p w14:paraId="6D7F28E3">
            <w:r>
              <w:rPr>
                <w:rFonts w:hint="eastAsia"/>
              </w:rPr>
              <w:t>5年以上</w:t>
            </w:r>
          </w:p>
        </w:tc>
        <w:tc>
          <w:tcPr>
            <w:tcW w:w="1384" w:type="dxa"/>
            <w:vAlign w:val="center"/>
          </w:tcPr>
          <w:p w14:paraId="156B1056">
            <w:r>
              <w:rPr>
                <w:rFonts w:hint="eastAsia"/>
              </w:rPr>
              <w:t>不计息</w:t>
            </w:r>
          </w:p>
        </w:tc>
        <w:tc>
          <w:tcPr>
            <w:tcW w:w="1384" w:type="dxa"/>
            <w:vAlign w:val="center"/>
          </w:tcPr>
          <w:p w14:paraId="1E779218">
            <w:r>
              <w:rPr>
                <w:rFonts w:hint="eastAsia"/>
              </w:rPr>
              <w:t>合计</w:t>
            </w:r>
          </w:p>
        </w:tc>
      </w:tr>
      <w:tr w14:paraId="36182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000633">
            <w:r>
              <w:rPr>
                <w:rFonts w:hint="eastAsia"/>
              </w:rPr>
              <w:t>资产</w:t>
            </w:r>
          </w:p>
        </w:tc>
        <w:tc>
          <w:tcPr>
            <w:tcW w:w="1384" w:type="dxa"/>
            <w:vAlign w:val="center"/>
          </w:tcPr>
          <w:p w14:paraId="0DDA9986"/>
        </w:tc>
        <w:tc>
          <w:tcPr>
            <w:tcW w:w="1384" w:type="dxa"/>
            <w:vAlign w:val="center"/>
          </w:tcPr>
          <w:p w14:paraId="6DFC7C09"/>
        </w:tc>
        <w:tc>
          <w:tcPr>
            <w:tcW w:w="1384" w:type="dxa"/>
            <w:vAlign w:val="center"/>
          </w:tcPr>
          <w:p w14:paraId="3FEA5459"/>
        </w:tc>
        <w:tc>
          <w:tcPr>
            <w:tcW w:w="1384" w:type="dxa"/>
            <w:vAlign w:val="center"/>
          </w:tcPr>
          <w:p w14:paraId="4BC6D419"/>
        </w:tc>
        <w:tc>
          <w:tcPr>
            <w:tcW w:w="1384" w:type="dxa"/>
            <w:vAlign w:val="center"/>
          </w:tcPr>
          <w:p w14:paraId="00832307"/>
        </w:tc>
      </w:tr>
      <w:tr w14:paraId="3A328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5DF8CA">
            <w:r>
              <w:rPr>
                <w:rFonts w:hint="eastAsia"/>
              </w:rPr>
              <w:t>货币资金</w:t>
            </w:r>
          </w:p>
        </w:tc>
        <w:tc>
          <w:tcPr>
            <w:tcW w:w="1384" w:type="dxa"/>
            <w:vAlign w:val="center"/>
          </w:tcPr>
          <w:p w14:paraId="6C408C3C">
            <w:pPr>
              <w:jc w:val="right"/>
            </w:pPr>
            <w:r>
              <w:rPr>
                <w:rFonts w:hint="eastAsia"/>
              </w:rPr>
              <w:t>19,243,160.76</w:t>
            </w:r>
          </w:p>
        </w:tc>
        <w:tc>
          <w:tcPr>
            <w:tcW w:w="1384" w:type="dxa"/>
            <w:vAlign w:val="center"/>
          </w:tcPr>
          <w:p w14:paraId="2B4D8FF0">
            <w:pPr>
              <w:jc w:val="right"/>
            </w:pPr>
            <w:r>
              <w:rPr>
                <w:rFonts w:hint="eastAsia"/>
              </w:rPr>
              <w:t>-</w:t>
            </w:r>
          </w:p>
        </w:tc>
        <w:tc>
          <w:tcPr>
            <w:tcW w:w="1384" w:type="dxa"/>
            <w:vAlign w:val="center"/>
          </w:tcPr>
          <w:p w14:paraId="44223FA9">
            <w:pPr>
              <w:jc w:val="right"/>
            </w:pPr>
            <w:r>
              <w:rPr>
                <w:rFonts w:hint="eastAsia"/>
              </w:rPr>
              <w:t>-</w:t>
            </w:r>
          </w:p>
        </w:tc>
        <w:tc>
          <w:tcPr>
            <w:tcW w:w="1384" w:type="dxa"/>
            <w:vAlign w:val="center"/>
          </w:tcPr>
          <w:p w14:paraId="26CF6108">
            <w:pPr>
              <w:jc w:val="right"/>
            </w:pPr>
            <w:r>
              <w:rPr>
                <w:rFonts w:hint="eastAsia"/>
              </w:rPr>
              <w:t>-</w:t>
            </w:r>
          </w:p>
        </w:tc>
        <w:tc>
          <w:tcPr>
            <w:tcW w:w="1384" w:type="dxa"/>
            <w:vAlign w:val="center"/>
          </w:tcPr>
          <w:p w14:paraId="404186F2">
            <w:pPr>
              <w:jc w:val="right"/>
            </w:pPr>
            <w:r>
              <w:rPr>
                <w:rFonts w:hint="eastAsia"/>
              </w:rPr>
              <w:t>19,243,160.76</w:t>
            </w:r>
          </w:p>
        </w:tc>
      </w:tr>
      <w:tr w14:paraId="195B7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89C9D9">
            <w:r>
              <w:rPr>
                <w:rFonts w:hint="eastAsia"/>
              </w:rPr>
              <w:t>结算备付金</w:t>
            </w:r>
          </w:p>
        </w:tc>
        <w:tc>
          <w:tcPr>
            <w:tcW w:w="1384" w:type="dxa"/>
            <w:vAlign w:val="center"/>
          </w:tcPr>
          <w:p w14:paraId="6B43AEB8">
            <w:pPr>
              <w:jc w:val="right"/>
            </w:pPr>
            <w:r>
              <w:rPr>
                <w:rFonts w:hint="eastAsia"/>
              </w:rPr>
              <w:t>-</w:t>
            </w:r>
          </w:p>
        </w:tc>
        <w:tc>
          <w:tcPr>
            <w:tcW w:w="1384" w:type="dxa"/>
            <w:vAlign w:val="center"/>
          </w:tcPr>
          <w:p w14:paraId="6E368CBE">
            <w:pPr>
              <w:jc w:val="right"/>
            </w:pPr>
            <w:r>
              <w:rPr>
                <w:rFonts w:hint="eastAsia"/>
              </w:rPr>
              <w:t>-</w:t>
            </w:r>
          </w:p>
        </w:tc>
        <w:tc>
          <w:tcPr>
            <w:tcW w:w="1384" w:type="dxa"/>
            <w:vAlign w:val="center"/>
          </w:tcPr>
          <w:p w14:paraId="2F39C62B">
            <w:pPr>
              <w:jc w:val="right"/>
            </w:pPr>
            <w:r>
              <w:rPr>
                <w:rFonts w:hint="eastAsia"/>
              </w:rPr>
              <w:t>-</w:t>
            </w:r>
          </w:p>
        </w:tc>
        <w:tc>
          <w:tcPr>
            <w:tcW w:w="1384" w:type="dxa"/>
            <w:vAlign w:val="center"/>
          </w:tcPr>
          <w:p w14:paraId="1BDCFEFD">
            <w:pPr>
              <w:jc w:val="right"/>
            </w:pPr>
            <w:r>
              <w:rPr>
                <w:rFonts w:hint="eastAsia"/>
              </w:rPr>
              <w:t>-</w:t>
            </w:r>
          </w:p>
        </w:tc>
        <w:tc>
          <w:tcPr>
            <w:tcW w:w="1384" w:type="dxa"/>
            <w:vAlign w:val="center"/>
          </w:tcPr>
          <w:p w14:paraId="2D33E3A1">
            <w:pPr>
              <w:jc w:val="right"/>
            </w:pPr>
            <w:r>
              <w:rPr>
                <w:rFonts w:hint="eastAsia"/>
              </w:rPr>
              <w:t>-</w:t>
            </w:r>
          </w:p>
        </w:tc>
      </w:tr>
      <w:tr w14:paraId="7BB84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80A600">
            <w:r>
              <w:rPr>
                <w:rFonts w:hint="eastAsia"/>
              </w:rPr>
              <w:t>存出保证金</w:t>
            </w:r>
          </w:p>
        </w:tc>
        <w:tc>
          <w:tcPr>
            <w:tcW w:w="1384" w:type="dxa"/>
            <w:vAlign w:val="center"/>
          </w:tcPr>
          <w:p w14:paraId="47F69311">
            <w:pPr>
              <w:jc w:val="right"/>
            </w:pPr>
            <w:r>
              <w:rPr>
                <w:rFonts w:hint="eastAsia"/>
              </w:rPr>
              <w:t>6,091.28</w:t>
            </w:r>
          </w:p>
        </w:tc>
        <w:tc>
          <w:tcPr>
            <w:tcW w:w="1384" w:type="dxa"/>
            <w:vAlign w:val="center"/>
          </w:tcPr>
          <w:p w14:paraId="43D37F37">
            <w:pPr>
              <w:jc w:val="right"/>
            </w:pPr>
            <w:r>
              <w:rPr>
                <w:rFonts w:hint="eastAsia"/>
              </w:rPr>
              <w:t>-</w:t>
            </w:r>
          </w:p>
        </w:tc>
        <w:tc>
          <w:tcPr>
            <w:tcW w:w="1384" w:type="dxa"/>
            <w:vAlign w:val="center"/>
          </w:tcPr>
          <w:p w14:paraId="3A3F26D9">
            <w:pPr>
              <w:jc w:val="right"/>
            </w:pPr>
            <w:r>
              <w:rPr>
                <w:rFonts w:hint="eastAsia"/>
              </w:rPr>
              <w:t>-</w:t>
            </w:r>
          </w:p>
        </w:tc>
        <w:tc>
          <w:tcPr>
            <w:tcW w:w="1384" w:type="dxa"/>
            <w:vAlign w:val="center"/>
          </w:tcPr>
          <w:p w14:paraId="23DFA5BC">
            <w:pPr>
              <w:jc w:val="right"/>
            </w:pPr>
            <w:r>
              <w:rPr>
                <w:rFonts w:hint="eastAsia"/>
              </w:rPr>
              <w:t>-</w:t>
            </w:r>
          </w:p>
        </w:tc>
        <w:tc>
          <w:tcPr>
            <w:tcW w:w="1384" w:type="dxa"/>
            <w:vAlign w:val="center"/>
          </w:tcPr>
          <w:p w14:paraId="3D721933">
            <w:pPr>
              <w:jc w:val="right"/>
            </w:pPr>
            <w:r>
              <w:rPr>
                <w:rFonts w:hint="eastAsia"/>
              </w:rPr>
              <w:t>6,091.28</w:t>
            </w:r>
          </w:p>
        </w:tc>
      </w:tr>
      <w:tr w14:paraId="0EE69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520B4B">
            <w:r>
              <w:rPr>
                <w:rFonts w:hint="eastAsia"/>
              </w:rPr>
              <w:t>交易性金融资产</w:t>
            </w:r>
          </w:p>
        </w:tc>
        <w:tc>
          <w:tcPr>
            <w:tcW w:w="1384" w:type="dxa"/>
            <w:vAlign w:val="center"/>
          </w:tcPr>
          <w:p w14:paraId="39431634">
            <w:pPr>
              <w:jc w:val="right"/>
            </w:pPr>
            <w:r>
              <w:rPr>
                <w:rFonts w:hint="eastAsia"/>
              </w:rPr>
              <w:t>161,236,502.47</w:t>
            </w:r>
          </w:p>
        </w:tc>
        <w:tc>
          <w:tcPr>
            <w:tcW w:w="1384" w:type="dxa"/>
            <w:vAlign w:val="center"/>
          </w:tcPr>
          <w:p w14:paraId="419D57F6">
            <w:pPr>
              <w:jc w:val="right"/>
            </w:pPr>
            <w:r>
              <w:rPr>
                <w:rFonts w:hint="eastAsia"/>
              </w:rPr>
              <w:t>1,040,434,639.44</w:t>
            </w:r>
          </w:p>
        </w:tc>
        <w:tc>
          <w:tcPr>
            <w:tcW w:w="1384" w:type="dxa"/>
            <w:vAlign w:val="center"/>
          </w:tcPr>
          <w:p w14:paraId="3A72C7D1">
            <w:pPr>
              <w:jc w:val="right"/>
            </w:pPr>
            <w:r>
              <w:rPr>
                <w:rFonts w:hint="eastAsia"/>
              </w:rPr>
              <w:t>-</w:t>
            </w:r>
          </w:p>
        </w:tc>
        <w:tc>
          <w:tcPr>
            <w:tcW w:w="1384" w:type="dxa"/>
            <w:vAlign w:val="center"/>
          </w:tcPr>
          <w:p w14:paraId="1D42E9D8">
            <w:pPr>
              <w:jc w:val="right"/>
            </w:pPr>
            <w:r>
              <w:rPr>
                <w:rFonts w:hint="eastAsia"/>
              </w:rPr>
              <w:t>-</w:t>
            </w:r>
          </w:p>
        </w:tc>
        <w:tc>
          <w:tcPr>
            <w:tcW w:w="1384" w:type="dxa"/>
            <w:vAlign w:val="center"/>
          </w:tcPr>
          <w:p w14:paraId="3E0F088A">
            <w:pPr>
              <w:jc w:val="right"/>
            </w:pPr>
            <w:r>
              <w:rPr>
                <w:rFonts w:hint="eastAsia"/>
              </w:rPr>
              <w:t>1,201,671,141.91</w:t>
            </w:r>
          </w:p>
        </w:tc>
      </w:tr>
      <w:tr w14:paraId="1AB24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7B65D0">
            <w:r>
              <w:rPr>
                <w:rFonts w:hint="eastAsia"/>
              </w:rPr>
              <w:t>衍生金融资产</w:t>
            </w:r>
          </w:p>
        </w:tc>
        <w:tc>
          <w:tcPr>
            <w:tcW w:w="1384" w:type="dxa"/>
            <w:vAlign w:val="center"/>
          </w:tcPr>
          <w:p w14:paraId="504E42F9">
            <w:pPr>
              <w:jc w:val="right"/>
            </w:pPr>
            <w:r>
              <w:rPr>
                <w:rFonts w:hint="eastAsia"/>
              </w:rPr>
              <w:t>-</w:t>
            </w:r>
          </w:p>
        </w:tc>
        <w:tc>
          <w:tcPr>
            <w:tcW w:w="1384" w:type="dxa"/>
            <w:vAlign w:val="center"/>
          </w:tcPr>
          <w:p w14:paraId="110FF07B">
            <w:pPr>
              <w:jc w:val="right"/>
            </w:pPr>
            <w:r>
              <w:rPr>
                <w:rFonts w:hint="eastAsia"/>
              </w:rPr>
              <w:t>-</w:t>
            </w:r>
          </w:p>
        </w:tc>
        <w:tc>
          <w:tcPr>
            <w:tcW w:w="1384" w:type="dxa"/>
            <w:vAlign w:val="center"/>
          </w:tcPr>
          <w:p w14:paraId="5EAB18A0">
            <w:pPr>
              <w:jc w:val="right"/>
            </w:pPr>
            <w:r>
              <w:rPr>
                <w:rFonts w:hint="eastAsia"/>
              </w:rPr>
              <w:t>-</w:t>
            </w:r>
          </w:p>
        </w:tc>
        <w:tc>
          <w:tcPr>
            <w:tcW w:w="1384" w:type="dxa"/>
            <w:vAlign w:val="center"/>
          </w:tcPr>
          <w:p w14:paraId="23BCB20A">
            <w:pPr>
              <w:jc w:val="right"/>
            </w:pPr>
            <w:r>
              <w:rPr>
                <w:rFonts w:hint="eastAsia"/>
              </w:rPr>
              <w:t>-</w:t>
            </w:r>
          </w:p>
        </w:tc>
        <w:tc>
          <w:tcPr>
            <w:tcW w:w="1384" w:type="dxa"/>
            <w:vAlign w:val="center"/>
          </w:tcPr>
          <w:p w14:paraId="0A74DBE2">
            <w:pPr>
              <w:jc w:val="right"/>
            </w:pPr>
            <w:r>
              <w:rPr>
                <w:rFonts w:hint="eastAsia"/>
              </w:rPr>
              <w:t>-</w:t>
            </w:r>
          </w:p>
        </w:tc>
      </w:tr>
      <w:tr w14:paraId="02587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0E73EB">
            <w:r>
              <w:rPr>
                <w:rFonts w:hint="eastAsia"/>
              </w:rPr>
              <w:t>买入返售金融资产</w:t>
            </w:r>
          </w:p>
        </w:tc>
        <w:tc>
          <w:tcPr>
            <w:tcW w:w="1384" w:type="dxa"/>
            <w:vAlign w:val="center"/>
          </w:tcPr>
          <w:p w14:paraId="31BED4FD">
            <w:pPr>
              <w:jc w:val="right"/>
            </w:pPr>
            <w:r>
              <w:rPr>
                <w:rFonts w:hint="eastAsia"/>
              </w:rPr>
              <w:t>-</w:t>
            </w:r>
          </w:p>
        </w:tc>
        <w:tc>
          <w:tcPr>
            <w:tcW w:w="1384" w:type="dxa"/>
            <w:vAlign w:val="center"/>
          </w:tcPr>
          <w:p w14:paraId="32FECDDE">
            <w:pPr>
              <w:jc w:val="right"/>
            </w:pPr>
            <w:r>
              <w:rPr>
                <w:rFonts w:hint="eastAsia"/>
              </w:rPr>
              <w:t>-</w:t>
            </w:r>
          </w:p>
        </w:tc>
        <w:tc>
          <w:tcPr>
            <w:tcW w:w="1384" w:type="dxa"/>
            <w:vAlign w:val="center"/>
          </w:tcPr>
          <w:p w14:paraId="66EDADC0">
            <w:pPr>
              <w:jc w:val="right"/>
            </w:pPr>
            <w:r>
              <w:rPr>
                <w:rFonts w:hint="eastAsia"/>
              </w:rPr>
              <w:t>-</w:t>
            </w:r>
          </w:p>
        </w:tc>
        <w:tc>
          <w:tcPr>
            <w:tcW w:w="1384" w:type="dxa"/>
            <w:vAlign w:val="center"/>
          </w:tcPr>
          <w:p w14:paraId="3880E7A6">
            <w:pPr>
              <w:jc w:val="right"/>
            </w:pPr>
            <w:r>
              <w:rPr>
                <w:rFonts w:hint="eastAsia"/>
              </w:rPr>
              <w:t>-</w:t>
            </w:r>
          </w:p>
        </w:tc>
        <w:tc>
          <w:tcPr>
            <w:tcW w:w="1384" w:type="dxa"/>
            <w:vAlign w:val="center"/>
          </w:tcPr>
          <w:p w14:paraId="29BDE8C1">
            <w:pPr>
              <w:jc w:val="right"/>
            </w:pPr>
            <w:r>
              <w:rPr>
                <w:rFonts w:hint="eastAsia"/>
              </w:rPr>
              <w:t>-</w:t>
            </w:r>
          </w:p>
        </w:tc>
      </w:tr>
      <w:tr w14:paraId="4B624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50924A">
            <w:r>
              <w:rPr>
                <w:rFonts w:hint="eastAsia"/>
              </w:rPr>
              <w:t>债权投资</w:t>
            </w:r>
          </w:p>
        </w:tc>
        <w:tc>
          <w:tcPr>
            <w:tcW w:w="1384" w:type="dxa"/>
            <w:vAlign w:val="center"/>
          </w:tcPr>
          <w:p w14:paraId="4BD47BD6">
            <w:pPr>
              <w:jc w:val="right"/>
            </w:pPr>
            <w:r>
              <w:rPr>
                <w:rFonts w:hint="eastAsia"/>
              </w:rPr>
              <w:t>-</w:t>
            </w:r>
          </w:p>
        </w:tc>
        <w:tc>
          <w:tcPr>
            <w:tcW w:w="1384" w:type="dxa"/>
            <w:vAlign w:val="center"/>
          </w:tcPr>
          <w:p w14:paraId="21B9FC0E">
            <w:pPr>
              <w:jc w:val="right"/>
            </w:pPr>
            <w:r>
              <w:rPr>
                <w:rFonts w:hint="eastAsia"/>
              </w:rPr>
              <w:t>-</w:t>
            </w:r>
          </w:p>
        </w:tc>
        <w:tc>
          <w:tcPr>
            <w:tcW w:w="1384" w:type="dxa"/>
            <w:vAlign w:val="center"/>
          </w:tcPr>
          <w:p w14:paraId="499BCE87">
            <w:pPr>
              <w:jc w:val="right"/>
            </w:pPr>
            <w:r>
              <w:rPr>
                <w:rFonts w:hint="eastAsia"/>
              </w:rPr>
              <w:t>-</w:t>
            </w:r>
          </w:p>
        </w:tc>
        <w:tc>
          <w:tcPr>
            <w:tcW w:w="1384" w:type="dxa"/>
            <w:vAlign w:val="center"/>
          </w:tcPr>
          <w:p w14:paraId="5FFCDBF7">
            <w:pPr>
              <w:jc w:val="right"/>
            </w:pPr>
            <w:r>
              <w:rPr>
                <w:rFonts w:hint="eastAsia"/>
              </w:rPr>
              <w:t>-</w:t>
            </w:r>
          </w:p>
        </w:tc>
        <w:tc>
          <w:tcPr>
            <w:tcW w:w="1384" w:type="dxa"/>
            <w:vAlign w:val="center"/>
          </w:tcPr>
          <w:p w14:paraId="3975D617">
            <w:pPr>
              <w:jc w:val="right"/>
            </w:pPr>
            <w:r>
              <w:rPr>
                <w:rFonts w:hint="eastAsia"/>
              </w:rPr>
              <w:t>-</w:t>
            </w:r>
          </w:p>
        </w:tc>
      </w:tr>
      <w:tr w14:paraId="46256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CC0B7C">
            <w:r>
              <w:rPr>
                <w:rFonts w:hint="eastAsia"/>
              </w:rPr>
              <w:t>其他债权投资</w:t>
            </w:r>
          </w:p>
        </w:tc>
        <w:tc>
          <w:tcPr>
            <w:tcW w:w="1384" w:type="dxa"/>
            <w:vAlign w:val="center"/>
          </w:tcPr>
          <w:p w14:paraId="0DA2DCEF">
            <w:pPr>
              <w:jc w:val="right"/>
            </w:pPr>
            <w:r>
              <w:rPr>
                <w:rFonts w:hint="eastAsia"/>
              </w:rPr>
              <w:t>-</w:t>
            </w:r>
          </w:p>
        </w:tc>
        <w:tc>
          <w:tcPr>
            <w:tcW w:w="1384" w:type="dxa"/>
            <w:vAlign w:val="center"/>
          </w:tcPr>
          <w:p w14:paraId="10D6A706">
            <w:pPr>
              <w:jc w:val="right"/>
            </w:pPr>
            <w:r>
              <w:rPr>
                <w:rFonts w:hint="eastAsia"/>
              </w:rPr>
              <w:t>-</w:t>
            </w:r>
          </w:p>
        </w:tc>
        <w:tc>
          <w:tcPr>
            <w:tcW w:w="1384" w:type="dxa"/>
            <w:vAlign w:val="center"/>
          </w:tcPr>
          <w:p w14:paraId="7100F38F">
            <w:pPr>
              <w:jc w:val="right"/>
            </w:pPr>
            <w:r>
              <w:rPr>
                <w:rFonts w:hint="eastAsia"/>
              </w:rPr>
              <w:t>-</w:t>
            </w:r>
          </w:p>
        </w:tc>
        <w:tc>
          <w:tcPr>
            <w:tcW w:w="1384" w:type="dxa"/>
            <w:vAlign w:val="center"/>
          </w:tcPr>
          <w:p w14:paraId="7B354EFF">
            <w:pPr>
              <w:jc w:val="right"/>
            </w:pPr>
            <w:r>
              <w:rPr>
                <w:rFonts w:hint="eastAsia"/>
              </w:rPr>
              <w:t>-</w:t>
            </w:r>
          </w:p>
        </w:tc>
        <w:tc>
          <w:tcPr>
            <w:tcW w:w="1384" w:type="dxa"/>
            <w:vAlign w:val="center"/>
          </w:tcPr>
          <w:p w14:paraId="09D6EA70">
            <w:pPr>
              <w:jc w:val="right"/>
            </w:pPr>
            <w:r>
              <w:rPr>
                <w:rFonts w:hint="eastAsia"/>
              </w:rPr>
              <w:t>-</w:t>
            </w:r>
          </w:p>
        </w:tc>
      </w:tr>
      <w:tr w14:paraId="58105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212F3A">
            <w:r>
              <w:rPr>
                <w:rFonts w:hint="eastAsia"/>
              </w:rPr>
              <w:t>其他权益工具投资</w:t>
            </w:r>
          </w:p>
        </w:tc>
        <w:tc>
          <w:tcPr>
            <w:tcW w:w="1384" w:type="dxa"/>
            <w:vAlign w:val="center"/>
          </w:tcPr>
          <w:p w14:paraId="4514A8B6">
            <w:pPr>
              <w:jc w:val="right"/>
            </w:pPr>
            <w:r>
              <w:rPr>
                <w:rFonts w:hint="eastAsia"/>
              </w:rPr>
              <w:t>-</w:t>
            </w:r>
          </w:p>
        </w:tc>
        <w:tc>
          <w:tcPr>
            <w:tcW w:w="1384" w:type="dxa"/>
            <w:vAlign w:val="center"/>
          </w:tcPr>
          <w:p w14:paraId="399F5409">
            <w:pPr>
              <w:jc w:val="right"/>
            </w:pPr>
            <w:r>
              <w:rPr>
                <w:rFonts w:hint="eastAsia"/>
              </w:rPr>
              <w:t>-</w:t>
            </w:r>
          </w:p>
        </w:tc>
        <w:tc>
          <w:tcPr>
            <w:tcW w:w="1384" w:type="dxa"/>
            <w:vAlign w:val="center"/>
          </w:tcPr>
          <w:p w14:paraId="69A2DDCB">
            <w:pPr>
              <w:jc w:val="right"/>
            </w:pPr>
            <w:r>
              <w:rPr>
                <w:rFonts w:hint="eastAsia"/>
              </w:rPr>
              <w:t>-</w:t>
            </w:r>
          </w:p>
        </w:tc>
        <w:tc>
          <w:tcPr>
            <w:tcW w:w="1384" w:type="dxa"/>
            <w:vAlign w:val="center"/>
          </w:tcPr>
          <w:p w14:paraId="35FC48FB">
            <w:pPr>
              <w:jc w:val="right"/>
            </w:pPr>
            <w:r>
              <w:rPr>
                <w:rFonts w:hint="eastAsia"/>
              </w:rPr>
              <w:t>-</w:t>
            </w:r>
          </w:p>
        </w:tc>
        <w:tc>
          <w:tcPr>
            <w:tcW w:w="1384" w:type="dxa"/>
            <w:vAlign w:val="center"/>
          </w:tcPr>
          <w:p w14:paraId="2982BF90">
            <w:pPr>
              <w:jc w:val="right"/>
            </w:pPr>
            <w:r>
              <w:rPr>
                <w:rFonts w:hint="eastAsia"/>
              </w:rPr>
              <w:t>-</w:t>
            </w:r>
          </w:p>
        </w:tc>
      </w:tr>
      <w:tr w14:paraId="1217B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70DF43">
            <w:r>
              <w:rPr>
                <w:rFonts w:hint="eastAsia"/>
              </w:rPr>
              <w:t>应收清算款</w:t>
            </w:r>
          </w:p>
        </w:tc>
        <w:tc>
          <w:tcPr>
            <w:tcW w:w="1384" w:type="dxa"/>
            <w:vAlign w:val="center"/>
          </w:tcPr>
          <w:p w14:paraId="5E338F52">
            <w:pPr>
              <w:jc w:val="right"/>
            </w:pPr>
            <w:r>
              <w:rPr>
                <w:rFonts w:hint="eastAsia"/>
              </w:rPr>
              <w:t>-</w:t>
            </w:r>
          </w:p>
        </w:tc>
        <w:tc>
          <w:tcPr>
            <w:tcW w:w="1384" w:type="dxa"/>
            <w:vAlign w:val="center"/>
          </w:tcPr>
          <w:p w14:paraId="7BA89A42">
            <w:pPr>
              <w:jc w:val="right"/>
            </w:pPr>
            <w:r>
              <w:rPr>
                <w:rFonts w:hint="eastAsia"/>
              </w:rPr>
              <w:t>-</w:t>
            </w:r>
          </w:p>
        </w:tc>
        <w:tc>
          <w:tcPr>
            <w:tcW w:w="1384" w:type="dxa"/>
            <w:vAlign w:val="center"/>
          </w:tcPr>
          <w:p w14:paraId="021C20AD">
            <w:pPr>
              <w:jc w:val="right"/>
            </w:pPr>
            <w:r>
              <w:rPr>
                <w:rFonts w:hint="eastAsia"/>
              </w:rPr>
              <w:t>-</w:t>
            </w:r>
          </w:p>
        </w:tc>
        <w:tc>
          <w:tcPr>
            <w:tcW w:w="1384" w:type="dxa"/>
            <w:vAlign w:val="center"/>
          </w:tcPr>
          <w:p w14:paraId="24F17581">
            <w:pPr>
              <w:jc w:val="right"/>
            </w:pPr>
            <w:r>
              <w:rPr>
                <w:rFonts w:hint="eastAsia"/>
              </w:rPr>
              <w:t>-</w:t>
            </w:r>
          </w:p>
        </w:tc>
        <w:tc>
          <w:tcPr>
            <w:tcW w:w="1384" w:type="dxa"/>
            <w:vAlign w:val="center"/>
          </w:tcPr>
          <w:p w14:paraId="0593720F">
            <w:pPr>
              <w:jc w:val="right"/>
            </w:pPr>
            <w:r>
              <w:rPr>
                <w:rFonts w:hint="eastAsia"/>
              </w:rPr>
              <w:t>-</w:t>
            </w:r>
          </w:p>
        </w:tc>
      </w:tr>
      <w:tr w14:paraId="2A6BD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1CDCC3">
            <w:r>
              <w:rPr>
                <w:rFonts w:hint="eastAsia"/>
              </w:rPr>
              <w:t>应收股利</w:t>
            </w:r>
          </w:p>
        </w:tc>
        <w:tc>
          <w:tcPr>
            <w:tcW w:w="1384" w:type="dxa"/>
            <w:vAlign w:val="center"/>
          </w:tcPr>
          <w:p w14:paraId="0CA47666">
            <w:pPr>
              <w:jc w:val="right"/>
            </w:pPr>
            <w:r>
              <w:rPr>
                <w:rFonts w:hint="eastAsia"/>
              </w:rPr>
              <w:t>-</w:t>
            </w:r>
          </w:p>
        </w:tc>
        <w:tc>
          <w:tcPr>
            <w:tcW w:w="1384" w:type="dxa"/>
            <w:vAlign w:val="center"/>
          </w:tcPr>
          <w:p w14:paraId="63CE4575">
            <w:pPr>
              <w:jc w:val="right"/>
            </w:pPr>
            <w:r>
              <w:rPr>
                <w:rFonts w:hint="eastAsia"/>
              </w:rPr>
              <w:t>-</w:t>
            </w:r>
          </w:p>
        </w:tc>
        <w:tc>
          <w:tcPr>
            <w:tcW w:w="1384" w:type="dxa"/>
            <w:vAlign w:val="center"/>
          </w:tcPr>
          <w:p w14:paraId="43CA468F">
            <w:pPr>
              <w:jc w:val="right"/>
            </w:pPr>
            <w:r>
              <w:rPr>
                <w:rFonts w:hint="eastAsia"/>
              </w:rPr>
              <w:t>-</w:t>
            </w:r>
          </w:p>
        </w:tc>
        <w:tc>
          <w:tcPr>
            <w:tcW w:w="1384" w:type="dxa"/>
            <w:vAlign w:val="center"/>
          </w:tcPr>
          <w:p w14:paraId="47218B5F">
            <w:pPr>
              <w:jc w:val="right"/>
            </w:pPr>
            <w:r>
              <w:rPr>
                <w:rFonts w:hint="eastAsia"/>
              </w:rPr>
              <w:t>-</w:t>
            </w:r>
          </w:p>
        </w:tc>
        <w:tc>
          <w:tcPr>
            <w:tcW w:w="1384" w:type="dxa"/>
            <w:vAlign w:val="center"/>
          </w:tcPr>
          <w:p w14:paraId="32981904">
            <w:pPr>
              <w:jc w:val="right"/>
            </w:pPr>
            <w:r>
              <w:rPr>
                <w:rFonts w:hint="eastAsia"/>
              </w:rPr>
              <w:t>-</w:t>
            </w:r>
          </w:p>
        </w:tc>
      </w:tr>
      <w:tr w14:paraId="5379B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06691F">
            <w:r>
              <w:rPr>
                <w:rFonts w:hint="eastAsia"/>
              </w:rPr>
              <w:t>应收申购款</w:t>
            </w:r>
          </w:p>
        </w:tc>
        <w:tc>
          <w:tcPr>
            <w:tcW w:w="1384" w:type="dxa"/>
            <w:vAlign w:val="center"/>
          </w:tcPr>
          <w:p w14:paraId="6CEF3BDA">
            <w:pPr>
              <w:jc w:val="right"/>
            </w:pPr>
            <w:r>
              <w:rPr>
                <w:rFonts w:hint="eastAsia"/>
              </w:rPr>
              <w:t>-</w:t>
            </w:r>
          </w:p>
        </w:tc>
        <w:tc>
          <w:tcPr>
            <w:tcW w:w="1384" w:type="dxa"/>
            <w:vAlign w:val="center"/>
          </w:tcPr>
          <w:p w14:paraId="06C18A70">
            <w:pPr>
              <w:jc w:val="right"/>
            </w:pPr>
            <w:r>
              <w:rPr>
                <w:rFonts w:hint="eastAsia"/>
              </w:rPr>
              <w:t>-</w:t>
            </w:r>
          </w:p>
        </w:tc>
        <w:tc>
          <w:tcPr>
            <w:tcW w:w="1384" w:type="dxa"/>
            <w:vAlign w:val="center"/>
          </w:tcPr>
          <w:p w14:paraId="77DE3090">
            <w:pPr>
              <w:jc w:val="right"/>
            </w:pPr>
            <w:r>
              <w:rPr>
                <w:rFonts w:hint="eastAsia"/>
              </w:rPr>
              <w:t>-</w:t>
            </w:r>
          </w:p>
        </w:tc>
        <w:tc>
          <w:tcPr>
            <w:tcW w:w="1384" w:type="dxa"/>
            <w:vAlign w:val="center"/>
          </w:tcPr>
          <w:p w14:paraId="67924648">
            <w:pPr>
              <w:jc w:val="right"/>
            </w:pPr>
            <w:r>
              <w:rPr>
                <w:rFonts w:hint="eastAsia"/>
              </w:rPr>
              <w:t>-</w:t>
            </w:r>
          </w:p>
        </w:tc>
        <w:tc>
          <w:tcPr>
            <w:tcW w:w="1384" w:type="dxa"/>
            <w:vAlign w:val="center"/>
          </w:tcPr>
          <w:p w14:paraId="15999907">
            <w:pPr>
              <w:jc w:val="right"/>
            </w:pPr>
            <w:r>
              <w:rPr>
                <w:rFonts w:hint="eastAsia"/>
              </w:rPr>
              <w:t>-</w:t>
            </w:r>
          </w:p>
        </w:tc>
      </w:tr>
      <w:tr w14:paraId="16B9F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C0A76E">
            <w:r>
              <w:rPr>
                <w:rFonts w:hint="eastAsia"/>
              </w:rPr>
              <w:t>递延所得税资产</w:t>
            </w:r>
          </w:p>
        </w:tc>
        <w:tc>
          <w:tcPr>
            <w:tcW w:w="1384" w:type="dxa"/>
            <w:vAlign w:val="center"/>
          </w:tcPr>
          <w:p w14:paraId="7BA8C7C4">
            <w:pPr>
              <w:jc w:val="right"/>
            </w:pPr>
            <w:r>
              <w:rPr>
                <w:rFonts w:hint="eastAsia"/>
              </w:rPr>
              <w:t>-</w:t>
            </w:r>
          </w:p>
        </w:tc>
        <w:tc>
          <w:tcPr>
            <w:tcW w:w="1384" w:type="dxa"/>
            <w:vAlign w:val="center"/>
          </w:tcPr>
          <w:p w14:paraId="611369C1">
            <w:pPr>
              <w:jc w:val="right"/>
            </w:pPr>
            <w:r>
              <w:rPr>
                <w:rFonts w:hint="eastAsia"/>
              </w:rPr>
              <w:t>-</w:t>
            </w:r>
          </w:p>
        </w:tc>
        <w:tc>
          <w:tcPr>
            <w:tcW w:w="1384" w:type="dxa"/>
            <w:vAlign w:val="center"/>
          </w:tcPr>
          <w:p w14:paraId="128E5856">
            <w:pPr>
              <w:jc w:val="right"/>
            </w:pPr>
            <w:r>
              <w:rPr>
                <w:rFonts w:hint="eastAsia"/>
              </w:rPr>
              <w:t>-</w:t>
            </w:r>
          </w:p>
        </w:tc>
        <w:tc>
          <w:tcPr>
            <w:tcW w:w="1384" w:type="dxa"/>
            <w:vAlign w:val="center"/>
          </w:tcPr>
          <w:p w14:paraId="3511CC2F">
            <w:pPr>
              <w:jc w:val="right"/>
            </w:pPr>
            <w:r>
              <w:rPr>
                <w:rFonts w:hint="eastAsia"/>
              </w:rPr>
              <w:t>-</w:t>
            </w:r>
          </w:p>
        </w:tc>
        <w:tc>
          <w:tcPr>
            <w:tcW w:w="1384" w:type="dxa"/>
            <w:vAlign w:val="center"/>
          </w:tcPr>
          <w:p w14:paraId="21F83382">
            <w:pPr>
              <w:jc w:val="right"/>
            </w:pPr>
            <w:r>
              <w:rPr>
                <w:rFonts w:hint="eastAsia"/>
              </w:rPr>
              <w:t>-</w:t>
            </w:r>
          </w:p>
        </w:tc>
      </w:tr>
      <w:tr w14:paraId="795F6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2BCED8">
            <w:r>
              <w:rPr>
                <w:rFonts w:hint="eastAsia"/>
              </w:rPr>
              <w:t>其他资产</w:t>
            </w:r>
          </w:p>
        </w:tc>
        <w:tc>
          <w:tcPr>
            <w:tcW w:w="1384" w:type="dxa"/>
            <w:vAlign w:val="center"/>
          </w:tcPr>
          <w:p w14:paraId="396FB455">
            <w:pPr>
              <w:jc w:val="right"/>
            </w:pPr>
            <w:r>
              <w:rPr>
                <w:rFonts w:hint="eastAsia"/>
              </w:rPr>
              <w:t>-</w:t>
            </w:r>
          </w:p>
        </w:tc>
        <w:tc>
          <w:tcPr>
            <w:tcW w:w="1384" w:type="dxa"/>
            <w:vAlign w:val="center"/>
          </w:tcPr>
          <w:p w14:paraId="094F9E1E">
            <w:pPr>
              <w:jc w:val="right"/>
            </w:pPr>
            <w:r>
              <w:rPr>
                <w:rFonts w:hint="eastAsia"/>
              </w:rPr>
              <w:t>-</w:t>
            </w:r>
          </w:p>
        </w:tc>
        <w:tc>
          <w:tcPr>
            <w:tcW w:w="1384" w:type="dxa"/>
            <w:vAlign w:val="center"/>
          </w:tcPr>
          <w:p w14:paraId="4530630A">
            <w:pPr>
              <w:jc w:val="right"/>
            </w:pPr>
            <w:r>
              <w:rPr>
                <w:rFonts w:hint="eastAsia"/>
              </w:rPr>
              <w:t>-</w:t>
            </w:r>
          </w:p>
        </w:tc>
        <w:tc>
          <w:tcPr>
            <w:tcW w:w="1384" w:type="dxa"/>
            <w:vAlign w:val="center"/>
          </w:tcPr>
          <w:p w14:paraId="590A0F9B">
            <w:pPr>
              <w:jc w:val="right"/>
            </w:pPr>
            <w:r>
              <w:rPr>
                <w:rFonts w:hint="eastAsia"/>
              </w:rPr>
              <w:t>-</w:t>
            </w:r>
          </w:p>
        </w:tc>
        <w:tc>
          <w:tcPr>
            <w:tcW w:w="1384" w:type="dxa"/>
            <w:vAlign w:val="center"/>
          </w:tcPr>
          <w:p w14:paraId="7466E253">
            <w:pPr>
              <w:jc w:val="right"/>
            </w:pPr>
            <w:r>
              <w:rPr>
                <w:rFonts w:hint="eastAsia"/>
              </w:rPr>
              <w:t>-</w:t>
            </w:r>
          </w:p>
        </w:tc>
      </w:tr>
      <w:tr w14:paraId="15299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29D86F">
            <w:r>
              <w:rPr>
                <w:rFonts w:hint="eastAsia"/>
              </w:rPr>
              <w:t>资产总计</w:t>
            </w:r>
          </w:p>
        </w:tc>
        <w:tc>
          <w:tcPr>
            <w:tcW w:w="1384" w:type="dxa"/>
            <w:vAlign w:val="center"/>
          </w:tcPr>
          <w:p w14:paraId="4E29E489">
            <w:pPr>
              <w:jc w:val="right"/>
            </w:pPr>
            <w:r>
              <w:rPr>
                <w:rFonts w:hint="eastAsia"/>
              </w:rPr>
              <w:t>180,485,754.51</w:t>
            </w:r>
          </w:p>
        </w:tc>
        <w:tc>
          <w:tcPr>
            <w:tcW w:w="1384" w:type="dxa"/>
            <w:vAlign w:val="center"/>
          </w:tcPr>
          <w:p w14:paraId="296C920D">
            <w:pPr>
              <w:jc w:val="right"/>
            </w:pPr>
            <w:r>
              <w:rPr>
                <w:rFonts w:hint="eastAsia"/>
              </w:rPr>
              <w:t>1,040,434,639.44</w:t>
            </w:r>
          </w:p>
        </w:tc>
        <w:tc>
          <w:tcPr>
            <w:tcW w:w="1384" w:type="dxa"/>
            <w:vAlign w:val="center"/>
          </w:tcPr>
          <w:p w14:paraId="79015BF9">
            <w:pPr>
              <w:jc w:val="right"/>
            </w:pPr>
            <w:r>
              <w:rPr>
                <w:rFonts w:hint="eastAsia"/>
              </w:rPr>
              <w:t>-</w:t>
            </w:r>
          </w:p>
        </w:tc>
        <w:tc>
          <w:tcPr>
            <w:tcW w:w="1384" w:type="dxa"/>
            <w:vAlign w:val="center"/>
          </w:tcPr>
          <w:p w14:paraId="416B9F39">
            <w:pPr>
              <w:jc w:val="right"/>
            </w:pPr>
            <w:r>
              <w:rPr>
                <w:rFonts w:hint="eastAsia"/>
              </w:rPr>
              <w:t>-</w:t>
            </w:r>
          </w:p>
        </w:tc>
        <w:tc>
          <w:tcPr>
            <w:tcW w:w="1384" w:type="dxa"/>
            <w:vAlign w:val="center"/>
          </w:tcPr>
          <w:p w14:paraId="28920CB5">
            <w:pPr>
              <w:jc w:val="right"/>
            </w:pPr>
            <w:r>
              <w:rPr>
                <w:rFonts w:hint="eastAsia"/>
              </w:rPr>
              <w:t>1,220,920,393.95</w:t>
            </w:r>
          </w:p>
        </w:tc>
      </w:tr>
      <w:tr w14:paraId="79FD8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63ECCB">
            <w:r>
              <w:rPr>
                <w:rFonts w:hint="eastAsia"/>
              </w:rPr>
              <w:t>负债</w:t>
            </w:r>
          </w:p>
        </w:tc>
        <w:tc>
          <w:tcPr>
            <w:tcW w:w="1384" w:type="dxa"/>
            <w:vAlign w:val="center"/>
          </w:tcPr>
          <w:p w14:paraId="2B024526"/>
        </w:tc>
        <w:tc>
          <w:tcPr>
            <w:tcW w:w="1384" w:type="dxa"/>
            <w:vAlign w:val="center"/>
          </w:tcPr>
          <w:p w14:paraId="6A81D842"/>
        </w:tc>
        <w:tc>
          <w:tcPr>
            <w:tcW w:w="1384" w:type="dxa"/>
            <w:vAlign w:val="center"/>
          </w:tcPr>
          <w:p w14:paraId="6405B1F8"/>
        </w:tc>
        <w:tc>
          <w:tcPr>
            <w:tcW w:w="1384" w:type="dxa"/>
            <w:vAlign w:val="center"/>
          </w:tcPr>
          <w:p w14:paraId="68171147"/>
        </w:tc>
        <w:tc>
          <w:tcPr>
            <w:tcW w:w="1384" w:type="dxa"/>
            <w:vAlign w:val="center"/>
          </w:tcPr>
          <w:p w14:paraId="5D6096A2"/>
        </w:tc>
      </w:tr>
      <w:tr w14:paraId="14CC5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2D8114">
            <w:r>
              <w:rPr>
                <w:rFonts w:hint="eastAsia"/>
              </w:rPr>
              <w:t>短期借款</w:t>
            </w:r>
          </w:p>
        </w:tc>
        <w:tc>
          <w:tcPr>
            <w:tcW w:w="1384" w:type="dxa"/>
            <w:vAlign w:val="center"/>
          </w:tcPr>
          <w:p w14:paraId="7D1E13A6">
            <w:pPr>
              <w:jc w:val="right"/>
            </w:pPr>
            <w:r>
              <w:rPr>
                <w:rFonts w:hint="eastAsia"/>
              </w:rPr>
              <w:t>-</w:t>
            </w:r>
          </w:p>
        </w:tc>
        <w:tc>
          <w:tcPr>
            <w:tcW w:w="1384" w:type="dxa"/>
            <w:vAlign w:val="center"/>
          </w:tcPr>
          <w:p w14:paraId="568EBC49">
            <w:pPr>
              <w:jc w:val="right"/>
            </w:pPr>
            <w:r>
              <w:rPr>
                <w:rFonts w:hint="eastAsia"/>
              </w:rPr>
              <w:t>-</w:t>
            </w:r>
          </w:p>
        </w:tc>
        <w:tc>
          <w:tcPr>
            <w:tcW w:w="1384" w:type="dxa"/>
            <w:vAlign w:val="center"/>
          </w:tcPr>
          <w:p w14:paraId="00E559AF">
            <w:pPr>
              <w:jc w:val="right"/>
            </w:pPr>
            <w:r>
              <w:rPr>
                <w:rFonts w:hint="eastAsia"/>
              </w:rPr>
              <w:t>-</w:t>
            </w:r>
          </w:p>
        </w:tc>
        <w:tc>
          <w:tcPr>
            <w:tcW w:w="1384" w:type="dxa"/>
            <w:vAlign w:val="center"/>
          </w:tcPr>
          <w:p w14:paraId="533BE82F">
            <w:pPr>
              <w:jc w:val="right"/>
            </w:pPr>
            <w:r>
              <w:rPr>
                <w:rFonts w:hint="eastAsia"/>
              </w:rPr>
              <w:t>-</w:t>
            </w:r>
          </w:p>
        </w:tc>
        <w:tc>
          <w:tcPr>
            <w:tcW w:w="1384" w:type="dxa"/>
            <w:vAlign w:val="center"/>
          </w:tcPr>
          <w:p w14:paraId="42164301">
            <w:pPr>
              <w:jc w:val="right"/>
            </w:pPr>
            <w:r>
              <w:rPr>
                <w:rFonts w:hint="eastAsia"/>
              </w:rPr>
              <w:t>-</w:t>
            </w:r>
          </w:p>
        </w:tc>
      </w:tr>
      <w:tr w14:paraId="7D2FE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237217">
            <w:r>
              <w:rPr>
                <w:rFonts w:hint="eastAsia"/>
              </w:rPr>
              <w:t>交易性金融负债</w:t>
            </w:r>
          </w:p>
        </w:tc>
        <w:tc>
          <w:tcPr>
            <w:tcW w:w="1384" w:type="dxa"/>
            <w:vAlign w:val="center"/>
          </w:tcPr>
          <w:p w14:paraId="76831519">
            <w:pPr>
              <w:jc w:val="right"/>
            </w:pPr>
            <w:r>
              <w:rPr>
                <w:rFonts w:hint="eastAsia"/>
              </w:rPr>
              <w:t>-</w:t>
            </w:r>
          </w:p>
        </w:tc>
        <w:tc>
          <w:tcPr>
            <w:tcW w:w="1384" w:type="dxa"/>
            <w:vAlign w:val="center"/>
          </w:tcPr>
          <w:p w14:paraId="1B4866FC">
            <w:pPr>
              <w:jc w:val="right"/>
            </w:pPr>
            <w:r>
              <w:rPr>
                <w:rFonts w:hint="eastAsia"/>
              </w:rPr>
              <w:t>-</w:t>
            </w:r>
          </w:p>
        </w:tc>
        <w:tc>
          <w:tcPr>
            <w:tcW w:w="1384" w:type="dxa"/>
            <w:vAlign w:val="center"/>
          </w:tcPr>
          <w:p w14:paraId="490101FA">
            <w:pPr>
              <w:jc w:val="right"/>
            </w:pPr>
            <w:r>
              <w:rPr>
                <w:rFonts w:hint="eastAsia"/>
              </w:rPr>
              <w:t>-</w:t>
            </w:r>
          </w:p>
        </w:tc>
        <w:tc>
          <w:tcPr>
            <w:tcW w:w="1384" w:type="dxa"/>
            <w:vAlign w:val="center"/>
          </w:tcPr>
          <w:p w14:paraId="24D5E1D3">
            <w:pPr>
              <w:jc w:val="right"/>
            </w:pPr>
            <w:r>
              <w:rPr>
                <w:rFonts w:hint="eastAsia"/>
              </w:rPr>
              <w:t>-</w:t>
            </w:r>
          </w:p>
        </w:tc>
        <w:tc>
          <w:tcPr>
            <w:tcW w:w="1384" w:type="dxa"/>
            <w:vAlign w:val="center"/>
          </w:tcPr>
          <w:p w14:paraId="20B7F245">
            <w:pPr>
              <w:jc w:val="right"/>
            </w:pPr>
            <w:r>
              <w:rPr>
                <w:rFonts w:hint="eastAsia"/>
              </w:rPr>
              <w:t>-</w:t>
            </w:r>
          </w:p>
        </w:tc>
      </w:tr>
      <w:tr w14:paraId="5A686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D1F313">
            <w:r>
              <w:rPr>
                <w:rFonts w:hint="eastAsia"/>
              </w:rPr>
              <w:t>衍生金融负债</w:t>
            </w:r>
          </w:p>
        </w:tc>
        <w:tc>
          <w:tcPr>
            <w:tcW w:w="1384" w:type="dxa"/>
            <w:vAlign w:val="center"/>
          </w:tcPr>
          <w:p w14:paraId="2AEEC9E0">
            <w:pPr>
              <w:jc w:val="right"/>
            </w:pPr>
            <w:r>
              <w:rPr>
                <w:rFonts w:hint="eastAsia"/>
              </w:rPr>
              <w:t>-</w:t>
            </w:r>
          </w:p>
        </w:tc>
        <w:tc>
          <w:tcPr>
            <w:tcW w:w="1384" w:type="dxa"/>
            <w:vAlign w:val="center"/>
          </w:tcPr>
          <w:p w14:paraId="1D4BA493">
            <w:pPr>
              <w:jc w:val="right"/>
            </w:pPr>
            <w:r>
              <w:rPr>
                <w:rFonts w:hint="eastAsia"/>
              </w:rPr>
              <w:t>-</w:t>
            </w:r>
          </w:p>
        </w:tc>
        <w:tc>
          <w:tcPr>
            <w:tcW w:w="1384" w:type="dxa"/>
            <w:vAlign w:val="center"/>
          </w:tcPr>
          <w:p w14:paraId="0A13FABB">
            <w:pPr>
              <w:jc w:val="right"/>
            </w:pPr>
            <w:r>
              <w:rPr>
                <w:rFonts w:hint="eastAsia"/>
              </w:rPr>
              <w:t>-</w:t>
            </w:r>
          </w:p>
        </w:tc>
        <w:tc>
          <w:tcPr>
            <w:tcW w:w="1384" w:type="dxa"/>
            <w:vAlign w:val="center"/>
          </w:tcPr>
          <w:p w14:paraId="44AB7B78">
            <w:pPr>
              <w:jc w:val="right"/>
            </w:pPr>
            <w:r>
              <w:rPr>
                <w:rFonts w:hint="eastAsia"/>
              </w:rPr>
              <w:t>-</w:t>
            </w:r>
          </w:p>
        </w:tc>
        <w:tc>
          <w:tcPr>
            <w:tcW w:w="1384" w:type="dxa"/>
            <w:vAlign w:val="center"/>
          </w:tcPr>
          <w:p w14:paraId="11323C96">
            <w:pPr>
              <w:jc w:val="right"/>
            </w:pPr>
            <w:r>
              <w:rPr>
                <w:rFonts w:hint="eastAsia"/>
              </w:rPr>
              <w:t>-</w:t>
            </w:r>
          </w:p>
        </w:tc>
      </w:tr>
      <w:tr w14:paraId="21BE6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D5B666">
            <w:r>
              <w:rPr>
                <w:rFonts w:hint="eastAsia"/>
              </w:rPr>
              <w:t>卖出回购金融资产款</w:t>
            </w:r>
          </w:p>
        </w:tc>
        <w:tc>
          <w:tcPr>
            <w:tcW w:w="1384" w:type="dxa"/>
            <w:vAlign w:val="center"/>
          </w:tcPr>
          <w:p w14:paraId="449F72D4">
            <w:pPr>
              <w:jc w:val="right"/>
            </w:pPr>
            <w:r>
              <w:rPr>
                <w:rFonts w:hint="eastAsia"/>
              </w:rPr>
              <w:t>116,007,010.39</w:t>
            </w:r>
          </w:p>
        </w:tc>
        <w:tc>
          <w:tcPr>
            <w:tcW w:w="1384" w:type="dxa"/>
            <w:vAlign w:val="center"/>
          </w:tcPr>
          <w:p w14:paraId="5602237F">
            <w:pPr>
              <w:jc w:val="right"/>
            </w:pPr>
            <w:r>
              <w:rPr>
                <w:rFonts w:hint="eastAsia"/>
              </w:rPr>
              <w:t>-</w:t>
            </w:r>
          </w:p>
        </w:tc>
        <w:tc>
          <w:tcPr>
            <w:tcW w:w="1384" w:type="dxa"/>
            <w:vAlign w:val="center"/>
          </w:tcPr>
          <w:p w14:paraId="1648D4E1">
            <w:pPr>
              <w:jc w:val="right"/>
            </w:pPr>
            <w:r>
              <w:rPr>
                <w:rFonts w:hint="eastAsia"/>
              </w:rPr>
              <w:t>-</w:t>
            </w:r>
          </w:p>
        </w:tc>
        <w:tc>
          <w:tcPr>
            <w:tcW w:w="1384" w:type="dxa"/>
            <w:vAlign w:val="center"/>
          </w:tcPr>
          <w:p w14:paraId="39DAAEE1">
            <w:pPr>
              <w:jc w:val="right"/>
            </w:pPr>
            <w:r>
              <w:rPr>
                <w:rFonts w:hint="eastAsia"/>
              </w:rPr>
              <w:t>-</w:t>
            </w:r>
          </w:p>
        </w:tc>
        <w:tc>
          <w:tcPr>
            <w:tcW w:w="1384" w:type="dxa"/>
            <w:vAlign w:val="center"/>
          </w:tcPr>
          <w:p w14:paraId="07CB39AC">
            <w:pPr>
              <w:jc w:val="right"/>
            </w:pPr>
            <w:r>
              <w:rPr>
                <w:rFonts w:hint="eastAsia"/>
              </w:rPr>
              <w:t>116,007,010.39</w:t>
            </w:r>
          </w:p>
        </w:tc>
      </w:tr>
      <w:tr w14:paraId="2E334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2733D2">
            <w:r>
              <w:rPr>
                <w:rFonts w:hint="eastAsia"/>
              </w:rPr>
              <w:t>应付清算款</w:t>
            </w:r>
          </w:p>
        </w:tc>
        <w:tc>
          <w:tcPr>
            <w:tcW w:w="1384" w:type="dxa"/>
            <w:vAlign w:val="center"/>
          </w:tcPr>
          <w:p w14:paraId="502DD7D1">
            <w:pPr>
              <w:jc w:val="right"/>
            </w:pPr>
            <w:r>
              <w:rPr>
                <w:rFonts w:hint="eastAsia"/>
              </w:rPr>
              <w:t>-</w:t>
            </w:r>
          </w:p>
        </w:tc>
        <w:tc>
          <w:tcPr>
            <w:tcW w:w="1384" w:type="dxa"/>
            <w:vAlign w:val="center"/>
          </w:tcPr>
          <w:p w14:paraId="6CD8C29F">
            <w:pPr>
              <w:jc w:val="right"/>
            </w:pPr>
            <w:r>
              <w:rPr>
                <w:rFonts w:hint="eastAsia"/>
              </w:rPr>
              <w:t>-</w:t>
            </w:r>
          </w:p>
        </w:tc>
        <w:tc>
          <w:tcPr>
            <w:tcW w:w="1384" w:type="dxa"/>
            <w:vAlign w:val="center"/>
          </w:tcPr>
          <w:p w14:paraId="255929A2">
            <w:pPr>
              <w:jc w:val="right"/>
            </w:pPr>
            <w:r>
              <w:rPr>
                <w:rFonts w:hint="eastAsia"/>
              </w:rPr>
              <w:t>-</w:t>
            </w:r>
          </w:p>
        </w:tc>
        <w:tc>
          <w:tcPr>
            <w:tcW w:w="1384" w:type="dxa"/>
            <w:vAlign w:val="center"/>
          </w:tcPr>
          <w:p w14:paraId="15E8A7D2">
            <w:pPr>
              <w:jc w:val="right"/>
            </w:pPr>
            <w:r>
              <w:rPr>
                <w:rFonts w:hint="eastAsia"/>
              </w:rPr>
              <w:t>-</w:t>
            </w:r>
          </w:p>
        </w:tc>
        <w:tc>
          <w:tcPr>
            <w:tcW w:w="1384" w:type="dxa"/>
            <w:vAlign w:val="center"/>
          </w:tcPr>
          <w:p w14:paraId="4C726A27">
            <w:pPr>
              <w:jc w:val="right"/>
            </w:pPr>
            <w:r>
              <w:rPr>
                <w:rFonts w:hint="eastAsia"/>
              </w:rPr>
              <w:t>-</w:t>
            </w:r>
          </w:p>
        </w:tc>
      </w:tr>
      <w:tr w14:paraId="66CEF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5ECFED">
            <w:r>
              <w:rPr>
                <w:rFonts w:hint="eastAsia"/>
              </w:rPr>
              <w:t>应付赎回款</w:t>
            </w:r>
          </w:p>
        </w:tc>
        <w:tc>
          <w:tcPr>
            <w:tcW w:w="1384" w:type="dxa"/>
            <w:vAlign w:val="center"/>
          </w:tcPr>
          <w:p w14:paraId="5A0E5071">
            <w:pPr>
              <w:jc w:val="right"/>
            </w:pPr>
            <w:r>
              <w:rPr>
                <w:rFonts w:hint="eastAsia"/>
              </w:rPr>
              <w:t>-</w:t>
            </w:r>
          </w:p>
        </w:tc>
        <w:tc>
          <w:tcPr>
            <w:tcW w:w="1384" w:type="dxa"/>
            <w:vAlign w:val="center"/>
          </w:tcPr>
          <w:p w14:paraId="1E31CE3C">
            <w:pPr>
              <w:jc w:val="right"/>
            </w:pPr>
            <w:r>
              <w:rPr>
                <w:rFonts w:hint="eastAsia"/>
              </w:rPr>
              <w:t>-</w:t>
            </w:r>
          </w:p>
        </w:tc>
        <w:tc>
          <w:tcPr>
            <w:tcW w:w="1384" w:type="dxa"/>
            <w:vAlign w:val="center"/>
          </w:tcPr>
          <w:p w14:paraId="45A8B20F">
            <w:pPr>
              <w:jc w:val="right"/>
            </w:pPr>
            <w:r>
              <w:rPr>
                <w:rFonts w:hint="eastAsia"/>
              </w:rPr>
              <w:t>-</w:t>
            </w:r>
          </w:p>
        </w:tc>
        <w:tc>
          <w:tcPr>
            <w:tcW w:w="1384" w:type="dxa"/>
            <w:vAlign w:val="center"/>
          </w:tcPr>
          <w:p w14:paraId="18A15CB0">
            <w:pPr>
              <w:jc w:val="right"/>
            </w:pPr>
            <w:r>
              <w:rPr>
                <w:rFonts w:hint="eastAsia"/>
              </w:rPr>
              <w:t>-</w:t>
            </w:r>
          </w:p>
        </w:tc>
        <w:tc>
          <w:tcPr>
            <w:tcW w:w="1384" w:type="dxa"/>
            <w:vAlign w:val="center"/>
          </w:tcPr>
          <w:p w14:paraId="6624AAF9">
            <w:pPr>
              <w:jc w:val="right"/>
            </w:pPr>
            <w:r>
              <w:rPr>
                <w:rFonts w:hint="eastAsia"/>
              </w:rPr>
              <w:t>-</w:t>
            </w:r>
          </w:p>
        </w:tc>
      </w:tr>
      <w:tr w14:paraId="49E6E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71EA64">
            <w:r>
              <w:rPr>
                <w:rFonts w:hint="eastAsia"/>
              </w:rPr>
              <w:t>应付管理人报酬</w:t>
            </w:r>
          </w:p>
        </w:tc>
        <w:tc>
          <w:tcPr>
            <w:tcW w:w="1384" w:type="dxa"/>
            <w:vAlign w:val="center"/>
          </w:tcPr>
          <w:p w14:paraId="13478CF9">
            <w:pPr>
              <w:jc w:val="right"/>
            </w:pPr>
            <w:r>
              <w:rPr>
                <w:rFonts w:hint="eastAsia"/>
              </w:rPr>
              <w:t>-</w:t>
            </w:r>
          </w:p>
        </w:tc>
        <w:tc>
          <w:tcPr>
            <w:tcW w:w="1384" w:type="dxa"/>
            <w:vAlign w:val="center"/>
          </w:tcPr>
          <w:p w14:paraId="550F06D9">
            <w:pPr>
              <w:jc w:val="right"/>
            </w:pPr>
            <w:r>
              <w:rPr>
                <w:rFonts w:hint="eastAsia"/>
              </w:rPr>
              <w:t>-</w:t>
            </w:r>
          </w:p>
        </w:tc>
        <w:tc>
          <w:tcPr>
            <w:tcW w:w="1384" w:type="dxa"/>
            <w:vAlign w:val="center"/>
          </w:tcPr>
          <w:p w14:paraId="125D8D9A">
            <w:pPr>
              <w:jc w:val="right"/>
            </w:pPr>
            <w:r>
              <w:rPr>
                <w:rFonts w:hint="eastAsia"/>
              </w:rPr>
              <w:t>-</w:t>
            </w:r>
          </w:p>
        </w:tc>
        <w:tc>
          <w:tcPr>
            <w:tcW w:w="1384" w:type="dxa"/>
            <w:vAlign w:val="center"/>
          </w:tcPr>
          <w:p w14:paraId="0B02B18A">
            <w:pPr>
              <w:jc w:val="right"/>
            </w:pPr>
            <w:r>
              <w:rPr>
                <w:rFonts w:hint="eastAsia"/>
              </w:rPr>
              <w:t>281,091.78</w:t>
            </w:r>
          </w:p>
        </w:tc>
        <w:tc>
          <w:tcPr>
            <w:tcW w:w="1384" w:type="dxa"/>
            <w:vAlign w:val="center"/>
          </w:tcPr>
          <w:p w14:paraId="26BB38CE">
            <w:pPr>
              <w:jc w:val="right"/>
            </w:pPr>
            <w:r>
              <w:rPr>
                <w:rFonts w:hint="eastAsia"/>
              </w:rPr>
              <w:t>281,091.78</w:t>
            </w:r>
          </w:p>
        </w:tc>
      </w:tr>
      <w:tr w14:paraId="2ADAE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CBE58F">
            <w:r>
              <w:rPr>
                <w:rFonts w:hint="eastAsia"/>
              </w:rPr>
              <w:t>应付托管费</w:t>
            </w:r>
          </w:p>
        </w:tc>
        <w:tc>
          <w:tcPr>
            <w:tcW w:w="1384" w:type="dxa"/>
            <w:vAlign w:val="center"/>
          </w:tcPr>
          <w:p w14:paraId="65244F82">
            <w:pPr>
              <w:jc w:val="right"/>
            </w:pPr>
            <w:r>
              <w:rPr>
                <w:rFonts w:hint="eastAsia"/>
              </w:rPr>
              <w:t>-</w:t>
            </w:r>
          </w:p>
        </w:tc>
        <w:tc>
          <w:tcPr>
            <w:tcW w:w="1384" w:type="dxa"/>
            <w:vAlign w:val="center"/>
          </w:tcPr>
          <w:p w14:paraId="0CC62B27">
            <w:pPr>
              <w:jc w:val="right"/>
            </w:pPr>
            <w:r>
              <w:rPr>
                <w:rFonts w:hint="eastAsia"/>
              </w:rPr>
              <w:t>-</w:t>
            </w:r>
          </w:p>
        </w:tc>
        <w:tc>
          <w:tcPr>
            <w:tcW w:w="1384" w:type="dxa"/>
            <w:vAlign w:val="center"/>
          </w:tcPr>
          <w:p w14:paraId="7EAE2127">
            <w:pPr>
              <w:jc w:val="right"/>
            </w:pPr>
            <w:r>
              <w:rPr>
                <w:rFonts w:hint="eastAsia"/>
              </w:rPr>
              <w:t>-</w:t>
            </w:r>
          </w:p>
        </w:tc>
        <w:tc>
          <w:tcPr>
            <w:tcW w:w="1384" w:type="dxa"/>
            <w:vAlign w:val="center"/>
          </w:tcPr>
          <w:p w14:paraId="6CE3977D">
            <w:pPr>
              <w:jc w:val="right"/>
            </w:pPr>
            <w:r>
              <w:rPr>
                <w:rFonts w:hint="eastAsia"/>
              </w:rPr>
              <w:t>93,697.27</w:t>
            </w:r>
          </w:p>
        </w:tc>
        <w:tc>
          <w:tcPr>
            <w:tcW w:w="1384" w:type="dxa"/>
            <w:vAlign w:val="center"/>
          </w:tcPr>
          <w:p w14:paraId="51AF9A6F">
            <w:pPr>
              <w:jc w:val="right"/>
            </w:pPr>
            <w:r>
              <w:rPr>
                <w:rFonts w:hint="eastAsia"/>
              </w:rPr>
              <w:t>93,697.27</w:t>
            </w:r>
          </w:p>
        </w:tc>
      </w:tr>
      <w:tr w14:paraId="2B2BF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DB9EB5">
            <w:r>
              <w:rPr>
                <w:rFonts w:hint="eastAsia"/>
              </w:rPr>
              <w:t>应付销售服务费</w:t>
            </w:r>
          </w:p>
        </w:tc>
        <w:tc>
          <w:tcPr>
            <w:tcW w:w="1384" w:type="dxa"/>
            <w:vAlign w:val="center"/>
          </w:tcPr>
          <w:p w14:paraId="6B75222F">
            <w:pPr>
              <w:jc w:val="right"/>
            </w:pPr>
            <w:r>
              <w:rPr>
                <w:rFonts w:hint="eastAsia"/>
              </w:rPr>
              <w:t>-</w:t>
            </w:r>
          </w:p>
        </w:tc>
        <w:tc>
          <w:tcPr>
            <w:tcW w:w="1384" w:type="dxa"/>
            <w:vAlign w:val="center"/>
          </w:tcPr>
          <w:p w14:paraId="6B106E62">
            <w:pPr>
              <w:jc w:val="right"/>
            </w:pPr>
            <w:r>
              <w:rPr>
                <w:rFonts w:hint="eastAsia"/>
              </w:rPr>
              <w:t>-</w:t>
            </w:r>
          </w:p>
        </w:tc>
        <w:tc>
          <w:tcPr>
            <w:tcW w:w="1384" w:type="dxa"/>
            <w:vAlign w:val="center"/>
          </w:tcPr>
          <w:p w14:paraId="2C3CB777">
            <w:pPr>
              <w:jc w:val="right"/>
            </w:pPr>
            <w:r>
              <w:rPr>
                <w:rFonts w:hint="eastAsia"/>
              </w:rPr>
              <w:t>-</w:t>
            </w:r>
          </w:p>
        </w:tc>
        <w:tc>
          <w:tcPr>
            <w:tcW w:w="1384" w:type="dxa"/>
            <w:vAlign w:val="center"/>
          </w:tcPr>
          <w:p w14:paraId="014BFAAC">
            <w:pPr>
              <w:jc w:val="right"/>
            </w:pPr>
            <w:r>
              <w:rPr>
                <w:rFonts w:hint="eastAsia"/>
              </w:rPr>
              <w:t>-</w:t>
            </w:r>
          </w:p>
        </w:tc>
        <w:tc>
          <w:tcPr>
            <w:tcW w:w="1384" w:type="dxa"/>
            <w:vAlign w:val="center"/>
          </w:tcPr>
          <w:p w14:paraId="3894FA4F">
            <w:pPr>
              <w:jc w:val="right"/>
            </w:pPr>
            <w:r>
              <w:rPr>
                <w:rFonts w:hint="eastAsia"/>
              </w:rPr>
              <w:t>-</w:t>
            </w:r>
          </w:p>
        </w:tc>
      </w:tr>
      <w:tr w14:paraId="5E774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5B0808">
            <w:r>
              <w:rPr>
                <w:rFonts w:hint="eastAsia"/>
              </w:rPr>
              <w:t>应付投资顾问费</w:t>
            </w:r>
          </w:p>
        </w:tc>
        <w:tc>
          <w:tcPr>
            <w:tcW w:w="1384" w:type="dxa"/>
            <w:vAlign w:val="center"/>
          </w:tcPr>
          <w:p w14:paraId="7F25EE57">
            <w:pPr>
              <w:jc w:val="right"/>
            </w:pPr>
            <w:r>
              <w:rPr>
                <w:rFonts w:hint="eastAsia"/>
              </w:rPr>
              <w:t>-</w:t>
            </w:r>
          </w:p>
        </w:tc>
        <w:tc>
          <w:tcPr>
            <w:tcW w:w="1384" w:type="dxa"/>
            <w:vAlign w:val="center"/>
          </w:tcPr>
          <w:p w14:paraId="69E66AD6">
            <w:pPr>
              <w:jc w:val="right"/>
            </w:pPr>
            <w:r>
              <w:rPr>
                <w:rFonts w:hint="eastAsia"/>
              </w:rPr>
              <w:t>-</w:t>
            </w:r>
          </w:p>
        </w:tc>
        <w:tc>
          <w:tcPr>
            <w:tcW w:w="1384" w:type="dxa"/>
            <w:vAlign w:val="center"/>
          </w:tcPr>
          <w:p w14:paraId="6A58A253">
            <w:pPr>
              <w:jc w:val="right"/>
            </w:pPr>
            <w:r>
              <w:rPr>
                <w:rFonts w:hint="eastAsia"/>
              </w:rPr>
              <w:t>-</w:t>
            </w:r>
          </w:p>
        </w:tc>
        <w:tc>
          <w:tcPr>
            <w:tcW w:w="1384" w:type="dxa"/>
            <w:vAlign w:val="center"/>
          </w:tcPr>
          <w:p w14:paraId="2CA4D5B9">
            <w:pPr>
              <w:jc w:val="right"/>
            </w:pPr>
            <w:r>
              <w:rPr>
                <w:rFonts w:hint="eastAsia"/>
              </w:rPr>
              <w:t>-</w:t>
            </w:r>
          </w:p>
        </w:tc>
        <w:tc>
          <w:tcPr>
            <w:tcW w:w="1384" w:type="dxa"/>
            <w:vAlign w:val="center"/>
          </w:tcPr>
          <w:p w14:paraId="14891BEB">
            <w:pPr>
              <w:jc w:val="right"/>
            </w:pPr>
            <w:r>
              <w:rPr>
                <w:rFonts w:hint="eastAsia"/>
              </w:rPr>
              <w:t>-</w:t>
            </w:r>
          </w:p>
        </w:tc>
      </w:tr>
      <w:tr w14:paraId="12C88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5BEB9C">
            <w:r>
              <w:rPr>
                <w:rFonts w:hint="eastAsia"/>
              </w:rPr>
              <w:t>应交税费</w:t>
            </w:r>
          </w:p>
        </w:tc>
        <w:tc>
          <w:tcPr>
            <w:tcW w:w="1384" w:type="dxa"/>
            <w:vAlign w:val="center"/>
          </w:tcPr>
          <w:p w14:paraId="44126985">
            <w:pPr>
              <w:jc w:val="right"/>
            </w:pPr>
            <w:r>
              <w:rPr>
                <w:rFonts w:hint="eastAsia"/>
              </w:rPr>
              <w:t>-</w:t>
            </w:r>
          </w:p>
        </w:tc>
        <w:tc>
          <w:tcPr>
            <w:tcW w:w="1384" w:type="dxa"/>
            <w:vAlign w:val="center"/>
          </w:tcPr>
          <w:p w14:paraId="633E1BF0">
            <w:pPr>
              <w:jc w:val="right"/>
            </w:pPr>
            <w:r>
              <w:rPr>
                <w:rFonts w:hint="eastAsia"/>
              </w:rPr>
              <w:t>-</w:t>
            </w:r>
          </w:p>
        </w:tc>
        <w:tc>
          <w:tcPr>
            <w:tcW w:w="1384" w:type="dxa"/>
            <w:vAlign w:val="center"/>
          </w:tcPr>
          <w:p w14:paraId="56DDD6E3">
            <w:pPr>
              <w:jc w:val="right"/>
            </w:pPr>
            <w:r>
              <w:rPr>
                <w:rFonts w:hint="eastAsia"/>
              </w:rPr>
              <w:t>-</w:t>
            </w:r>
          </w:p>
        </w:tc>
        <w:tc>
          <w:tcPr>
            <w:tcW w:w="1384" w:type="dxa"/>
            <w:vAlign w:val="center"/>
          </w:tcPr>
          <w:p w14:paraId="049681C9">
            <w:pPr>
              <w:jc w:val="right"/>
            </w:pPr>
            <w:r>
              <w:rPr>
                <w:rFonts w:hint="eastAsia"/>
              </w:rPr>
              <w:t>42,759.38</w:t>
            </w:r>
          </w:p>
        </w:tc>
        <w:tc>
          <w:tcPr>
            <w:tcW w:w="1384" w:type="dxa"/>
            <w:vAlign w:val="center"/>
          </w:tcPr>
          <w:p w14:paraId="69A4DACA">
            <w:pPr>
              <w:jc w:val="right"/>
            </w:pPr>
            <w:r>
              <w:rPr>
                <w:rFonts w:hint="eastAsia"/>
              </w:rPr>
              <w:t>42,759.38</w:t>
            </w:r>
          </w:p>
        </w:tc>
      </w:tr>
      <w:tr w14:paraId="305DB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1C0A80">
            <w:r>
              <w:rPr>
                <w:rFonts w:hint="eastAsia"/>
              </w:rPr>
              <w:t>应付利润</w:t>
            </w:r>
          </w:p>
        </w:tc>
        <w:tc>
          <w:tcPr>
            <w:tcW w:w="1384" w:type="dxa"/>
            <w:vAlign w:val="center"/>
          </w:tcPr>
          <w:p w14:paraId="78C8B63B">
            <w:pPr>
              <w:jc w:val="right"/>
            </w:pPr>
            <w:r>
              <w:rPr>
                <w:rFonts w:hint="eastAsia"/>
              </w:rPr>
              <w:t>-</w:t>
            </w:r>
          </w:p>
        </w:tc>
        <w:tc>
          <w:tcPr>
            <w:tcW w:w="1384" w:type="dxa"/>
            <w:vAlign w:val="center"/>
          </w:tcPr>
          <w:p w14:paraId="7429DA79">
            <w:pPr>
              <w:jc w:val="right"/>
            </w:pPr>
            <w:r>
              <w:rPr>
                <w:rFonts w:hint="eastAsia"/>
              </w:rPr>
              <w:t>-</w:t>
            </w:r>
          </w:p>
        </w:tc>
        <w:tc>
          <w:tcPr>
            <w:tcW w:w="1384" w:type="dxa"/>
            <w:vAlign w:val="center"/>
          </w:tcPr>
          <w:p w14:paraId="2E86395B">
            <w:pPr>
              <w:jc w:val="right"/>
            </w:pPr>
            <w:r>
              <w:rPr>
                <w:rFonts w:hint="eastAsia"/>
              </w:rPr>
              <w:t>-</w:t>
            </w:r>
          </w:p>
        </w:tc>
        <w:tc>
          <w:tcPr>
            <w:tcW w:w="1384" w:type="dxa"/>
            <w:vAlign w:val="center"/>
          </w:tcPr>
          <w:p w14:paraId="0C75BF76">
            <w:pPr>
              <w:jc w:val="right"/>
            </w:pPr>
            <w:r>
              <w:rPr>
                <w:rFonts w:hint="eastAsia"/>
              </w:rPr>
              <w:t>-</w:t>
            </w:r>
          </w:p>
        </w:tc>
        <w:tc>
          <w:tcPr>
            <w:tcW w:w="1384" w:type="dxa"/>
            <w:vAlign w:val="center"/>
          </w:tcPr>
          <w:p w14:paraId="7AB93AA3">
            <w:pPr>
              <w:jc w:val="right"/>
            </w:pPr>
            <w:r>
              <w:rPr>
                <w:rFonts w:hint="eastAsia"/>
              </w:rPr>
              <w:t>-</w:t>
            </w:r>
          </w:p>
        </w:tc>
      </w:tr>
      <w:tr w14:paraId="21519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44EDE1">
            <w:r>
              <w:rPr>
                <w:rFonts w:hint="eastAsia"/>
              </w:rPr>
              <w:t>递延所得税负债</w:t>
            </w:r>
          </w:p>
        </w:tc>
        <w:tc>
          <w:tcPr>
            <w:tcW w:w="1384" w:type="dxa"/>
            <w:vAlign w:val="center"/>
          </w:tcPr>
          <w:p w14:paraId="08F90AC7">
            <w:pPr>
              <w:jc w:val="right"/>
            </w:pPr>
            <w:r>
              <w:rPr>
                <w:rFonts w:hint="eastAsia"/>
              </w:rPr>
              <w:t>-</w:t>
            </w:r>
          </w:p>
        </w:tc>
        <w:tc>
          <w:tcPr>
            <w:tcW w:w="1384" w:type="dxa"/>
            <w:vAlign w:val="center"/>
          </w:tcPr>
          <w:p w14:paraId="6E25EAC8">
            <w:pPr>
              <w:jc w:val="right"/>
            </w:pPr>
            <w:r>
              <w:rPr>
                <w:rFonts w:hint="eastAsia"/>
              </w:rPr>
              <w:t>-</w:t>
            </w:r>
          </w:p>
        </w:tc>
        <w:tc>
          <w:tcPr>
            <w:tcW w:w="1384" w:type="dxa"/>
            <w:vAlign w:val="center"/>
          </w:tcPr>
          <w:p w14:paraId="73211AE5">
            <w:pPr>
              <w:jc w:val="right"/>
            </w:pPr>
            <w:r>
              <w:rPr>
                <w:rFonts w:hint="eastAsia"/>
              </w:rPr>
              <w:t>-</w:t>
            </w:r>
          </w:p>
        </w:tc>
        <w:tc>
          <w:tcPr>
            <w:tcW w:w="1384" w:type="dxa"/>
            <w:vAlign w:val="center"/>
          </w:tcPr>
          <w:p w14:paraId="28495AD1">
            <w:pPr>
              <w:jc w:val="right"/>
            </w:pPr>
            <w:r>
              <w:rPr>
                <w:rFonts w:hint="eastAsia"/>
              </w:rPr>
              <w:t>-</w:t>
            </w:r>
          </w:p>
        </w:tc>
        <w:tc>
          <w:tcPr>
            <w:tcW w:w="1384" w:type="dxa"/>
            <w:vAlign w:val="center"/>
          </w:tcPr>
          <w:p w14:paraId="20EE5FB1">
            <w:pPr>
              <w:jc w:val="right"/>
            </w:pPr>
            <w:r>
              <w:rPr>
                <w:rFonts w:hint="eastAsia"/>
              </w:rPr>
              <w:t>-</w:t>
            </w:r>
          </w:p>
        </w:tc>
      </w:tr>
      <w:tr w14:paraId="6BDA9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9FE296">
            <w:r>
              <w:rPr>
                <w:rFonts w:hint="eastAsia"/>
              </w:rPr>
              <w:t>其他负债</w:t>
            </w:r>
          </w:p>
        </w:tc>
        <w:tc>
          <w:tcPr>
            <w:tcW w:w="1384" w:type="dxa"/>
            <w:vAlign w:val="center"/>
          </w:tcPr>
          <w:p w14:paraId="3BA42122">
            <w:pPr>
              <w:jc w:val="right"/>
            </w:pPr>
            <w:r>
              <w:rPr>
                <w:rFonts w:hint="eastAsia"/>
              </w:rPr>
              <w:t>-</w:t>
            </w:r>
          </w:p>
        </w:tc>
        <w:tc>
          <w:tcPr>
            <w:tcW w:w="1384" w:type="dxa"/>
            <w:vAlign w:val="center"/>
          </w:tcPr>
          <w:p w14:paraId="7AF4AE9C">
            <w:pPr>
              <w:jc w:val="right"/>
            </w:pPr>
            <w:r>
              <w:rPr>
                <w:rFonts w:hint="eastAsia"/>
              </w:rPr>
              <w:t>-</w:t>
            </w:r>
          </w:p>
        </w:tc>
        <w:tc>
          <w:tcPr>
            <w:tcW w:w="1384" w:type="dxa"/>
            <w:vAlign w:val="center"/>
          </w:tcPr>
          <w:p w14:paraId="41523AD7">
            <w:pPr>
              <w:jc w:val="right"/>
            </w:pPr>
            <w:r>
              <w:rPr>
                <w:rFonts w:hint="eastAsia"/>
              </w:rPr>
              <w:t>-</w:t>
            </w:r>
          </w:p>
        </w:tc>
        <w:tc>
          <w:tcPr>
            <w:tcW w:w="1384" w:type="dxa"/>
            <w:vAlign w:val="center"/>
          </w:tcPr>
          <w:p w14:paraId="3CBBB2AF">
            <w:pPr>
              <w:jc w:val="right"/>
            </w:pPr>
            <w:r>
              <w:rPr>
                <w:rFonts w:hint="eastAsia"/>
              </w:rPr>
              <w:t>209,505.61</w:t>
            </w:r>
          </w:p>
        </w:tc>
        <w:tc>
          <w:tcPr>
            <w:tcW w:w="1384" w:type="dxa"/>
            <w:vAlign w:val="center"/>
          </w:tcPr>
          <w:p w14:paraId="68213A5F">
            <w:pPr>
              <w:jc w:val="right"/>
            </w:pPr>
            <w:r>
              <w:rPr>
                <w:rFonts w:hint="eastAsia"/>
              </w:rPr>
              <w:t>209,505.61</w:t>
            </w:r>
          </w:p>
        </w:tc>
      </w:tr>
      <w:tr w14:paraId="174F7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AA03FB">
            <w:r>
              <w:rPr>
                <w:rFonts w:hint="eastAsia"/>
              </w:rPr>
              <w:t>负债总计</w:t>
            </w:r>
          </w:p>
        </w:tc>
        <w:tc>
          <w:tcPr>
            <w:tcW w:w="1384" w:type="dxa"/>
            <w:vAlign w:val="center"/>
          </w:tcPr>
          <w:p w14:paraId="47916221">
            <w:pPr>
              <w:jc w:val="right"/>
            </w:pPr>
            <w:r>
              <w:rPr>
                <w:rFonts w:hint="eastAsia"/>
              </w:rPr>
              <w:t>116,007,010.39</w:t>
            </w:r>
          </w:p>
        </w:tc>
        <w:tc>
          <w:tcPr>
            <w:tcW w:w="1384" w:type="dxa"/>
            <w:vAlign w:val="center"/>
          </w:tcPr>
          <w:p w14:paraId="50AC3566">
            <w:pPr>
              <w:jc w:val="right"/>
            </w:pPr>
            <w:r>
              <w:rPr>
                <w:rFonts w:hint="eastAsia"/>
              </w:rPr>
              <w:t>-</w:t>
            </w:r>
          </w:p>
        </w:tc>
        <w:tc>
          <w:tcPr>
            <w:tcW w:w="1384" w:type="dxa"/>
            <w:vAlign w:val="center"/>
          </w:tcPr>
          <w:p w14:paraId="2B76E47C">
            <w:pPr>
              <w:jc w:val="right"/>
            </w:pPr>
            <w:r>
              <w:rPr>
                <w:rFonts w:hint="eastAsia"/>
              </w:rPr>
              <w:t>-</w:t>
            </w:r>
          </w:p>
        </w:tc>
        <w:tc>
          <w:tcPr>
            <w:tcW w:w="1384" w:type="dxa"/>
            <w:vAlign w:val="center"/>
          </w:tcPr>
          <w:p w14:paraId="41DDA030">
            <w:pPr>
              <w:jc w:val="right"/>
            </w:pPr>
            <w:r>
              <w:rPr>
                <w:rFonts w:hint="eastAsia"/>
              </w:rPr>
              <w:t>627,054.04</w:t>
            </w:r>
          </w:p>
        </w:tc>
        <w:tc>
          <w:tcPr>
            <w:tcW w:w="1384" w:type="dxa"/>
            <w:vAlign w:val="center"/>
          </w:tcPr>
          <w:p w14:paraId="68C609EC">
            <w:pPr>
              <w:jc w:val="right"/>
            </w:pPr>
            <w:r>
              <w:rPr>
                <w:rFonts w:hint="eastAsia"/>
              </w:rPr>
              <w:t>116,634,064.43</w:t>
            </w:r>
          </w:p>
        </w:tc>
      </w:tr>
      <w:tr w14:paraId="7D4F2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AB257E">
            <w:r>
              <w:rPr>
                <w:rFonts w:hint="eastAsia"/>
              </w:rPr>
              <w:t>利率敏感度缺口</w:t>
            </w:r>
          </w:p>
        </w:tc>
        <w:tc>
          <w:tcPr>
            <w:tcW w:w="1384" w:type="dxa"/>
            <w:vAlign w:val="center"/>
          </w:tcPr>
          <w:p w14:paraId="6B8BA772">
            <w:pPr>
              <w:jc w:val="right"/>
            </w:pPr>
            <w:r>
              <w:rPr>
                <w:rFonts w:hint="eastAsia"/>
              </w:rPr>
              <w:t>64,478,744.12</w:t>
            </w:r>
          </w:p>
        </w:tc>
        <w:tc>
          <w:tcPr>
            <w:tcW w:w="1384" w:type="dxa"/>
            <w:vAlign w:val="center"/>
          </w:tcPr>
          <w:p w14:paraId="1CF8467A">
            <w:pPr>
              <w:jc w:val="right"/>
            </w:pPr>
            <w:r>
              <w:rPr>
                <w:rFonts w:hint="eastAsia"/>
              </w:rPr>
              <w:t>1,040,434,639.44</w:t>
            </w:r>
          </w:p>
        </w:tc>
        <w:tc>
          <w:tcPr>
            <w:tcW w:w="1384" w:type="dxa"/>
            <w:vAlign w:val="center"/>
          </w:tcPr>
          <w:p w14:paraId="42322470">
            <w:pPr>
              <w:jc w:val="right"/>
            </w:pPr>
            <w:r>
              <w:rPr>
                <w:rFonts w:hint="eastAsia"/>
              </w:rPr>
              <w:t>-</w:t>
            </w:r>
          </w:p>
        </w:tc>
        <w:tc>
          <w:tcPr>
            <w:tcW w:w="1384" w:type="dxa"/>
            <w:vAlign w:val="center"/>
          </w:tcPr>
          <w:p w14:paraId="75CE0D45">
            <w:pPr>
              <w:jc w:val="right"/>
            </w:pPr>
            <w:r>
              <w:rPr>
                <w:rFonts w:hint="eastAsia"/>
              </w:rPr>
              <w:t>-627,054.04</w:t>
            </w:r>
          </w:p>
        </w:tc>
        <w:tc>
          <w:tcPr>
            <w:tcW w:w="1384" w:type="dxa"/>
            <w:vAlign w:val="center"/>
          </w:tcPr>
          <w:p w14:paraId="09C07EBF">
            <w:pPr>
              <w:jc w:val="right"/>
            </w:pPr>
            <w:r>
              <w:rPr>
                <w:rFonts w:hint="eastAsia"/>
              </w:rPr>
              <w:t>1,104,286,329.52</w:t>
            </w:r>
          </w:p>
        </w:tc>
      </w:tr>
      <w:tr w14:paraId="0A8B0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00A704">
            <w:r>
              <w:rPr>
                <w:rFonts w:hint="eastAsia"/>
              </w:rPr>
              <w:t>上年度末2024年12月31日</w:t>
            </w:r>
          </w:p>
        </w:tc>
        <w:tc>
          <w:tcPr>
            <w:tcW w:w="1384" w:type="dxa"/>
            <w:vAlign w:val="center"/>
          </w:tcPr>
          <w:p w14:paraId="7FC35916">
            <w:r>
              <w:rPr>
                <w:rFonts w:hint="eastAsia"/>
              </w:rPr>
              <w:t>1年以内</w:t>
            </w:r>
          </w:p>
        </w:tc>
        <w:tc>
          <w:tcPr>
            <w:tcW w:w="1384" w:type="dxa"/>
            <w:vAlign w:val="center"/>
          </w:tcPr>
          <w:p w14:paraId="670C3906">
            <w:r>
              <w:rPr>
                <w:rFonts w:hint="eastAsia"/>
              </w:rPr>
              <w:t>1-5年</w:t>
            </w:r>
          </w:p>
        </w:tc>
        <w:tc>
          <w:tcPr>
            <w:tcW w:w="1384" w:type="dxa"/>
            <w:vAlign w:val="center"/>
          </w:tcPr>
          <w:p w14:paraId="1215BD85">
            <w:r>
              <w:rPr>
                <w:rFonts w:hint="eastAsia"/>
              </w:rPr>
              <w:t>5年以上</w:t>
            </w:r>
          </w:p>
        </w:tc>
        <w:tc>
          <w:tcPr>
            <w:tcW w:w="1384" w:type="dxa"/>
            <w:vAlign w:val="center"/>
          </w:tcPr>
          <w:p w14:paraId="4E75CD65">
            <w:r>
              <w:rPr>
                <w:rFonts w:hint="eastAsia"/>
              </w:rPr>
              <w:t>不计息</w:t>
            </w:r>
          </w:p>
        </w:tc>
        <w:tc>
          <w:tcPr>
            <w:tcW w:w="1384" w:type="dxa"/>
            <w:vAlign w:val="center"/>
          </w:tcPr>
          <w:p w14:paraId="16E67F69">
            <w:r>
              <w:rPr>
                <w:rFonts w:hint="eastAsia"/>
              </w:rPr>
              <w:t>合计</w:t>
            </w:r>
          </w:p>
        </w:tc>
      </w:tr>
      <w:tr w14:paraId="4BB9C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F6ED1F">
            <w:r>
              <w:rPr>
                <w:rFonts w:hint="eastAsia"/>
              </w:rPr>
              <w:t>资产</w:t>
            </w:r>
          </w:p>
        </w:tc>
        <w:tc>
          <w:tcPr>
            <w:tcW w:w="1384" w:type="dxa"/>
            <w:vAlign w:val="center"/>
          </w:tcPr>
          <w:p w14:paraId="375A2AAB"/>
        </w:tc>
        <w:tc>
          <w:tcPr>
            <w:tcW w:w="1384" w:type="dxa"/>
            <w:vAlign w:val="center"/>
          </w:tcPr>
          <w:p w14:paraId="3A6A0D78"/>
        </w:tc>
        <w:tc>
          <w:tcPr>
            <w:tcW w:w="1384" w:type="dxa"/>
            <w:vAlign w:val="center"/>
          </w:tcPr>
          <w:p w14:paraId="27C5CA42"/>
        </w:tc>
        <w:tc>
          <w:tcPr>
            <w:tcW w:w="1384" w:type="dxa"/>
            <w:vAlign w:val="center"/>
          </w:tcPr>
          <w:p w14:paraId="756CBD64"/>
        </w:tc>
        <w:tc>
          <w:tcPr>
            <w:tcW w:w="1384" w:type="dxa"/>
            <w:vAlign w:val="center"/>
          </w:tcPr>
          <w:p w14:paraId="213CDDFA"/>
        </w:tc>
      </w:tr>
      <w:tr w14:paraId="5676B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317E13">
            <w:r>
              <w:rPr>
                <w:rFonts w:hint="eastAsia"/>
              </w:rPr>
              <w:t>货币资金</w:t>
            </w:r>
          </w:p>
        </w:tc>
        <w:tc>
          <w:tcPr>
            <w:tcW w:w="1384" w:type="dxa"/>
            <w:vAlign w:val="center"/>
          </w:tcPr>
          <w:p w14:paraId="58B5E5AD">
            <w:pPr>
              <w:jc w:val="right"/>
            </w:pPr>
            <w:r>
              <w:rPr>
                <w:rFonts w:hint="eastAsia"/>
              </w:rPr>
              <w:t>932,215.26</w:t>
            </w:r>
          </w:p>
        </w:tc>
        <w:tc>
          <w:tcPr>
            <w:tcW w:w="1384" w:type="dxa"/>
            <w:vAlign w:val="center"/>
          </w:tcPr>
          <w:p w14:paraId="2A41CBBD">
            <w:pPr>
              <w:jc w:val="right"/>
            </w:pPr>
            <w:r>
              <w:rPr>
                <w:rFonts w:hint="eastAsia"/>
              </w:rPr>
              <w:t>-</w:t>
            </w:r>
          </w:p>
        </w:tc>
        <w:tc>
          <w:tcPr>
            <w:tcW w:w="1384" w:type="dxa"/>
            <w:vAlign w:val="center"/>
          </w:tcPr>
          <w:p w14:paraId="679F9786">
            <w:pPr>
              <w:jc w:val="right"/>
            </w:pPr>
            <w:r>
              <w:rPr>
                <w:rFonts w:hint="eastAsia"/>
              </w:rPr>
              <w:t>-</w:t>
            </w:r>
          </w:p>
        </w:tc>
        <w:tc>
          <w:tcPr>
            <w:tcW w:w="1384" w:type="dxa"/>
            <w:vAlign w:val="center"/>
          </w:tcPr>
          <w:p w14:paraId="12829950">
            <w:pPr>
              <w:jc w:val="right"/>
            </w:pPr>
            <w:r>
              <w:rPr>
                <w:rFonts w:hint="eastAsia"/>
              </w:rPr>
              <w:t>-</w:t>
            </w:r>
          </w:p>
        </w:tc>
        <w:tc>
          <w:tcPr>
            <w:tcW w:w="1384" w:type="dxa"/>
            <w:vAlign w:val="center"/>
          </w:tcPr>
          <w:p w14:paraId="27DE5D01">
            <w:pPr>
              <w:jc w:val="right"/>
            </w:pPr>
            <w:r>
              <w:rPr>
                <w:rFonts w:hint="eastAsia"/>
              </w:rPr>
              <w:t>932,215.26</w:t>
            </w:r>
          </w:p>
        </w:tc>
      </w:tr>
      <w:tr w14:paraId="6A650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B2237B">
            <w:r>
              <w:rPr>
                <w:rFonts w:hint="eastAsia"/>
              </w:rPr>
              <w:t>结算备付金</w:t>
            </w:r>
          </w:p>
        </w:tc>
        <w:tc>
          <w:tcPr>
            <w:tcW w:w="1384" w:type="dxa"/>
            <w:vAlign w:val="center"/>
          </w:tcPr>
          <w:p w14:paraId="579EAAF5">
            <w:pPr>
              <w:jc w:val="right"/>
            </w:pPr>
            <w:r>
              <w:rPr>
                <w:rFonts w:hint="eastAsia"/>
              </w:rPr>
              <w:t>-</w:t>
            </w:r>
          </w:p>
        </w:tc>
        <w:tc>
          <w:tcPr>
            <w:tcW w:w="1384" w:type="dxa"/>
            <w:vAlign w:val="center"/>
          </w:tcPr>
          <w:p w14:paraId="7EDDF56B">
            <w:pPr>
              <w:jc w:val="right"/>
            </w:pPr>
            <w:r>
              <w:rPr>
                <w:rFonts w:hint="eastAsia"/>
              </w:rPr>
              <w:t>-</w:t>
            </w:r>
          </w:p>
        </w:tc>
        <w:tc>
          <w:tcPr>
            <w:tcW w:w="1384" w:type="dxa"/>
            <w:vAlign w:val="center"/>
          </w:tcPr>
          <w:p w14:paraId="08641BF4">
            <w:pPr>
              <w:jc w:val="right"/>
            </w:pPr>
            <w:r>
              <w:rPr>
                <w:rFonts w:hint="eastAsia"/>
              </w:rPr>
              <w:t>-</w:t>
            </w:r>
          </w:p>
        </w:tc>
        <w:tc>
          <w:tcPr>
            <w:tcW w:w="1384" w:type="dxa"/>
            <w:vAlign w:val="center"/>
          </w:tcPr>
          <w:p w14:paraId="6ACFFE0A">
            <w:pPr>
              <w:jc w:val="right"/>
            </w:pPr>
            <w:r>
              <w:rPr>
                <w:rFonts w:hint="eastAsia"/>
              </w:rPr>
              <w:t>-</w:t>
            </w:r>
          </w:p>
        </w:tc>
        <w:tc>
          <w:tcPr>
            <w:tcW w:w="1384" w:type="dxa"/>
            <w:vAlign w:val="center"/>
          </w:tcPr>
          <w:p w14:paraId="525C4265">
            <w:pPr>
              <w:jc w:val="right"/>
            </w:pPr>
            <w:r>
              <w:rPr>
                <w:rFonts w:hint="eastAsia"/>
              </w:rPr>
              <w:t>-</w:t>
            </w:r>
          </w:p>
        </w:tc>
      </w:tr>
      <w:tr w14:paraId="45F41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DAFA38">
            <w:r>
              <w:rPr>
                <w:rFonts w:hint="eastAsia"/>
              </w:rPr>
              <w:t>存出保证金</w:t>
            </w:r>
          </w:p>
        </w:tc>
        <w:tc>
          <w:tcPr>
            <w:tcW w:w="1384" w:type="dxa"/>
            <w:vAlign w:val="center"/>
          </w:tcPr>
          <w:p w14:paraId="7B5CF221">
            <w:pPr>
              <w:jc w:val="right"/>
            </w:pPr>
            <w:r>
              <w:rPr>
                <w:rFonts w:hint="eastAsia"/>
              </w:rPr>
              <w:t>6,189.15</w:t>
            </w:r>
          </w:p>
        </w:tc>
        <w:tc>
          <w:tcPr>
            <w:tcW w:w="1384" w:type="dxa"/>
            <w:vAlign w:val="center"/>
          </w:tcPr>
          <w:p w14:paraId="5D24E889">
            <w:pPr>
              <w:jc w:val="right"/>
            </w:pPr>
            <w:r>
              <w:rPr>
                <w:rFonts w:hint="eastAsia"/>
              </w:rPr>
              <w:t>-</w:t>
            </w:r>
          </w:p>
        </w:tc>
        <w:tc>
          <w:tcPr>
            <w:tcW w:w="1384" w:type="dxa"/>
            <w:vAlign w:val="center"/>
          </w:tcPr>
          <w:p w14:paraId="129994A4">
            <w:pPr>
              <w:jc w:val="right"/>
            </w:pPr>
            <w:r>
              <w:rPr>
                <w:rFonts w:hint="eastAsia"/>
              </w:rPr>
              <w:t>-</w:t>
            </w:r>
          </w:p>
        </w:tc>
        <w:tc>
          <w:tcPr>
            <w:tcW w:w="1384" w:type="dxa"/>
            <w:vAlign w:val="center"/>
          </w:tcPr>
          <w:p w14:paraId="44134936">
            <w:pPr>
              <w:jc w:val="right"/>
            </w:pPr>
            <w:r>
              <w:rPr>
                <w:rFonts w:hint="eastAsia"/>
              </w:rPr>
              <w:t>-</w:t>
            </w:r>
          </w:p>
        </w:tc>
        <w:tc>
          <w:tcPr>
            <w:tcW w:w="1384" w:type="dxa"/>
            <w:vAlign w:val="center"/>
          </w:tcPr>
          <w:p w14:paraId="7D77368B">
            <w:pPr>
              <w:jc w:val="right"/>
            </w:pPr>
            <w:r>
              <w:rPr>
                <w:rFonts w:hint="eastAsia"/>
              </w:rPr>
              <w:t>6,189.15</w:t>
            </w:r>
          </w:p>
        </w:tc>
      </w:tr>
      <w:tr w14:paraId="2C53B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D2D100">
            <w:r>
              <w:rPr>
                <w:rFonts w:hint="eastAsia"/>
              </w:rPr>
              <w:t>交易性金融资产</w:t>
            </w:r>
          </w:p>
        </w:tc>
        <w:tc>
          <w:tcPr>
            <w:tcW w:w="1384" w:type="dxa"/>
            <w:vAlign w:val="center"/>
          </w:tcPr>
          <w:p w14:paraId="2859CAD4">
            <w:pPr>
              <w:jc w:val="right"/>
            </w:pPr>
            <w:r>
              <w:rPr>
                <w:rFonts w:hint="eastAsia"/>
              </w:rPr>
              <w:t>70,987,892.05</w:t>
            </w:r>
          </w:p>
        </w:tc>
        <w:tc>
          <w:tcPr>
            <w:tcW w:w="1384" w:type="dxa"/>
            <w:vAlign w:val="center"/>
          </w:tcPr>
          <w:p w14:paraId="0049639B">
            <w:pPr>
              <w:jc w:val="right"/>
            </w:pPr>
            <w:r>
              <w:rPr>
                <w:rFonts w:hint="eastAsia"/>
              </w:rPr>
              <w:t>1,214,592,367.01</w:t>
            </w:r>
          </w:p>
        </w:tc>
        <w:tc>
          <w:tcPr>
            <w:tcW w:w="1384" w:type="dxa"/>
            <w:vAlign w:val="center"/>
          </w:tcPr>
          <w:p w14:paraId="0E8032E3">
            <w:pPr>
              <w:jc w:val="right"/>
            </w:pPr>
            <w:r>
              <w:rPr>
                <w:rFonts w:hint="eastAsia"/>
              </w:rPr>
              <w:t>123,204,670.75</w:t>
            </w:r>
          </w:p>
        </w:tc>
        <w:tc>
          <w:tcPr>
            <w:tcW w:w="1384" w:type="dxa"/>
            <w:vAlign w:val="center"/>
          </w:tcPr>
          <w:p w14:paraId="09994291">
            <w:pPr>
              <w:jc w:val="right"/>
            </w:pPr>
            <w:r>
              <w:rPr>
                <w:rFonts w:hint="eastAsia"/>
              </w:rPr>
              <w:t>-</w:t>
            </w:r>
          </w:p>
        </w:tc>
        <w:tc>
          <w:tcPr>
            <w:tcW w:w="1384" w:type="dxa"/>
            <w:vAlign w:val="center"/>
          </w:tcPr>
          <w:p w14:paraId="119D23D4">
            <w:pPr>
              <w:jc w:val="right"/>
            </w:pPr>
            <w:r>
              <w:rPr>
                <w:rFonts w:hint="eastAsia"/>
              </w:rPr>
              <w:t>1,408,784,929.81</w:t>
            </w:r>
          </w:p>
        </w:tc>
      </w:tr>
      <w:tr w14:paraId="5FDD2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6E0BB8">
            <w:r>
              <w:rPr>
                <w:rFonts w:hint="eastAsia"/>
              </w:rPr>
              <w:t>衍生金融资产</w:t>
            </w:r>
          </w:p>
        </w:tc>
        <w:tc>
          <w:tcPr>
            <w:tcW w:w="1384" w:type="dxa"/>
            <w:vAlign w:val="center"/>
          </w:tcPr>
          <w:p w14:paraId="624B4991">
            <w:pPr>
              <w:jc w:val="right"/>
            </w:pPr>
            <w:r>
              <w:rPr>
                <w:rFonts w:hint="eastAsia"/>
              </w:rPr>
              <w:t>-</w:t>
            </w:r>
          </w:p>
        </w:tc>
        <w:tc>
          <w:tcPr>
            <w:tcW w:w="1384" w:type="dxa"/>
            <w:vAlign w:val="center"/>
          </w:tcPr>
          <w:p w14:paraId="7C6AE870">
            <w:pPr>
              <w:jc w:val="right"/>
            </w:pPr>
            <w:r>
              <w:rPr>
                <w:rFonts w:hint="eastAsia"/>
              </w:rPr>
              <w:t>-</w:t>
            </w:r>
          </w:p>
        </w:tc>
        <w:tc>
          <w:tcPr>
            <w:tcW w:w="1384" w:type="dxa"/>
            <w:vAlign w:val="center"/>
          </w:tcPr>
          <w:p w14:paraId="0E47468B">
            <w:pPr>
              <w:jc w:val="right"/>
            </w:pPr>
            <w:r>
              <w:rPr>
                <w:rFonts w:hint="eastAsia"/>
              </w:rPr>
              <w:t>-</w:t>
            </w:r>
          </w:p>
        </w:tc>
        <w:tc>
          <w:tcPr>
            <w:tcW w:w="1384" w:type="dxa"/>
            <w:vAlign w:val="center"/>
          </w:tcPr>
          <w:p w14:paraId="4374C9B4">
            <w:pPr>
              <w:jc w:val="right"/>
            </w:pPr>
            <w:r>
              <w:rPr>
                <w:rFonts w:hint="eastAsia"/>
              </w:rPr>
              <w:t>-</w:t>
            </w:r>
          </w:p>
        </w:tc>
        <w:tc>
          <w:tcPr>
            <w:tcW w:w="1384" w:type="dxa"/>
            <w:vAlign w:val="center"/>
          </w:tcPr>
          <w:p w14:paraId="46D03EEA">
            <w:pPr>
              <w:jc w:val="right"/>
            </w:pPr>
            <w:r>
              <w:rPr>
                <w:rFonts w:hint="eastAsia"/>
              </w:rPr>
              <w:t>-</w:t>
            </w:r>
          </w:p>
        </w:tc>
      </w:tr>
      <w:tr w14:paraId="42B44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DD81BD">
            <w:r>
              <w:rPr>
                <w:rFonts w:hint="eastAsia"/>
              </w:rPr>
              <w:t>买入返售金融资产</w:t>
            </w:r>
          </w:p>
        </w:tc>
        <w:tc>
          <w:tcPr>
            <w:tcW w:w="1384" w:type="dxa"/>
            <w:vAlign w:val="center"/>
          </w:tcPr>
          <w:p w14:paraId="2B567278">
            <w:pPr>
              <w:jc w:val="right"/>
            </w:pPr>
            <w:r>
              <w:rPr>
                <w:rFonts w:hint="eastAsia"/>
              </w:rPr>
              <w:t>30,001,867.46</w:t>
            </w:r>
          </w:p>
        </w:tc>
        <w:tc>
          <w:tcPr>
            <w:tcW w:w="1384" w:type="dxa"/>
            <w:vAlign w:val="center"/>
          </w:tcPr>
          <w:p w14:paraId="17CABDD7">
            <w:pPr>
              <w:jc w:val="right"/>
            </w:pPr>
            <w:r>
              <w:rPr>
                <w:rFonts w:hint="eastAsia"/>
              </w:rPr>
              <w:t>-</w:t>
            </w:r>
          </w:p>
        </w:tc>
        <w:tc>
          <w:tcPr>
            <w:tcW w:w="1384" w:type="dxa"/>
            <w:vAlign w:val="center"/>
          </w:tcPr>
          <w:p w14:paraId="107DD525">
            <w:pPr>
              <w:jc w:val="right"/>
            </w:pPr>
            <w:r>
              <w:rPr>
                <w:rFonts w:hint="eastAsia"/>
              </w:rPr>
              <w:t>-</w:t>
            </w:r>
          </w:p>
        </w:tc>
        <w:tc>
          <w:tcPr>
            <w:tcW w:w="1384" w:type="dxa"/>
            <w:vAlign w:val="center"/>
          </w:tcPr>
          <w:p w14:paraId="3748DFB5">
            <w:pPr>
              <w:jc w:val="right"/>
            </w:pPr>
            <w:r>
              <w:rPr>
                <w:rFonts w:hint="eastAsia"/>
              </w:rPr>
              <w:t>-</w:t>
            </w:r>
          </w:p>
        </w:tc>
        <w:tc>
          <w:tcPr>
            <w:tcW w:w="1384" w:type="dxa"/>
            <w:vAlign w:val="center"/>
          </w:tcPr>
          <w:p w14:paraId="221E58CF">
            <w:pPr>
              <w:jc w:val="right"/>
            </w:pPr>
            <w:r>
              <w:rPr>
                <w:rFonts w:hint="eastAsia"/>
              </w:rPr>
              <w:t>30,001,867.46</w:t>
            </w:r>
          </w:p>
        </w:tc>
      </w:tr>
      <w:tr w14:paraId="04257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5DB702">
            <w:r>
              <w:rPr>
                <w:rFonts w:hint="eastAsia"/>
              </w:rPr>
              <w:t>债权投资</w:t>
            </w:r>
          </w:p>
        </w:tc>
        <w:tc>
          <w:tcPr>
            <w:tcW w:w="1384" w:type="dxa"/>
            <w:vAlign w:val="center"/>
          </w:tcPr>
          <w:p w14:paraId="5ED26549">
            <w:pPr>
              <w:jc w:val="right"/>
            </w:pPr>
            <w:r>
              <w:rPr>
                <w:rFonts w:hint="eastAsia"/>
              </w:rPr>
              <w:t>-</w:t>
            </w:r>
          </w:p>
        </w:tc>
        <w:tc>
          <w:tcPr>
            <w:tcW w:w="1384" w:type="dxa"/>
            <w:vAlign w:val="center"/>
          </w:tcPr>
          <w:p w14:paraId="09D7B8B6">
            <w:pPr>
              <w:jc w:val="right"/>
            </w:pPr>
            <w:r>
              <w:rPr>
                <w:rFonts w:hint="eastAsia"/>
              </w:rPr>
              <w:t>-</w:t>
            </w:r>
          </w:p>
        </w:tc>
        <w:tc>
          <w:tcPr>
            <w:tcW w:w="1384" w:type="dxa"/>
            <w:vAlign w:val="center"/>
          </w:tcPr>
          <w:p w14:paraId="28F88BC3">
            <w:pPr>
              <w:jc w:val="right"/>
            </w:pPr>
            <w:r>
              <w:rPr>
                <w:rFonts w:hint="eastAsia"/>
              </w:rPr>
              <w:t>-</w:t>
            </w:r>
          </w:p>
        </w:tc>
        <w:tc>
          <w:tcPr>
            <w:tcW w:w="1384" w:type="dxa"/>
            <w:vAlign w:val="center"/>
          </w:tcPr>
          <w:p w14:paraId="229C855E">
            <w:pPr>
              <w:jc w:val="right"/>
            </w:pPr>
            <w:r>
              <w:rPr>
                <w:rFonts w:hint="eastAsia"/>
              </w:rPr>
              <w:t>-</w:t>
            </w:r>
          </w:p>
        </w:tc>
        <w:tc>
          <w:tcPr>
            <w:tcW w:w="1384" w:type="dxa"/>
            <w:vAlign w:val="center"/>
          </w:tcPr>
          <w:p w14:paraId="767D5A26">
            <w:pPr>
              <w:jc w:val="right"/>
            </w:pPr>
            <w:r>
              <w:rPr>
                <w:rFonts w:hint="eastAsia"/>
              </w:rPr>
              <w:t>-</w:t>
            </w:r>
          </w:p>
        </w:tc>
      </w:tr>
      <w:tr w14:paraId="2EC6F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3E60E9">
            <w:r>
              <w:rPr>
                <w:rFonts w:hint="eastAsia"/>
              </w:rPr>
              <w:t>其他债权投资</w:t>
            </w:r>
          </w:p>
        </w:tc>
        <w:tc>
          <w:tcPr>
            <w:tcW w:w="1384" w:type="dxa"/>
            <w:vAlign w:val="center"/>
          </w:tcPr>
          <w:p w14:paraId="10A9F01E">
            <w:pPr>
              <w:jc w:val="right"/>
            </w:pPr>
            <w:r>
              <w:rPr>
                <w:rFonts w:hint="eastAsia"/>
              </w:rPr>
              <w:t>-</w:t>
            </w:r>
          </w:p>
        </w:tc>
        <w:tc>
          <w:tcPr>
            <w:tcW w:w="1384" w:type="dxa"/>
            <w:vAlign w:val="center"/>
          </w:tcPr>
          <w:p w14:paraId="158F596B">
            <w:pPr>
              <w:jc w:val="right"/>
            </w:pPr>
            <w:r>
              <w:rPr>
                <w:rFonts w:hint="eastAsia"/>
              </w:rPr>
              <w:t>-</w:t>
            </w:r>
          </w:p>
        </w:tc>
        <w:tc>
          <w:tcPr>
            <w:tcW w:w="1384" w:type="dxa"/>
            <w:vAlign w:val="center"/>
          </w:tcPr>
          <w:p w14:paraId="2B794B43">
            <w:pPr>
              <w:jc w:val="right"/>
            </w:pPr>
            <w:r>
              <w:rPr>
                <w:rFonts w:hint="eastAsia"/>
              </w:rPr>
              <w:t>-</w:t>
            </w:r>
          </w:p>
        </w:tc>
        <w:tc>
          <w:tcPr>
            <w:tcW w:w="1384" w:type="dxa"/>
            <w:vAlign w:val="center"/>
          </w:tcPr>
          <w:p w14:paraId="04C6151F">
            <w:pPr>
              <w:jc w:val="right"/>
            </w:pPr>
            <w:r>
              <w:rPr>
                <w:rFonts w:hint="eastAsia"/>
              </w:rPr>
              <w:t>-</w:t>
            </w:r>
          </w:p>
        </w:tc>
        <w:tc>
          <w:tcPr>
            <w:tcW w:w="1384" w:type="dxa"/>
            <w:vAlign w:val="center"/>
          </w:tcPr>
          <w:p w14:paraId="1DD08C9A">
            <w:pPr>
              <w:jc w:val="right"/>
            </w:pPr>
            <w:r>
              <w:rPr>
                <w:rFonts w:hint="eastAsia"/>
              </w:rPr>
              <w:t>-</w:t>
            </w:r>
          </w:p>
        </w:tc>
      </w:tr>
      <w:tr w14:paraId="2341F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BB28DC">
            <w:r>
              <w:rPr>
                <w:rFonts w:hint="eastAsia"/>
              </w:rPr>
              <w:t>其他权益工具投资</w:t>
            </w:r>
          </w:p>
        </w:tc>
        <w:tc>
          <w:tcPr>
            <w:tcW w:w="1384" w:type="dxa"/>
            <w:vAlign w:val="center"/>
          </w:tcPr>
          <w:p w14:paraId="01DBA4E9">
            <w:pPr>
              <w:jc w:val="right"/>
            </w:pPr>
            <w:r>
              <w:rPr>
                <w:rFonts w:hint="eastAsia"/>
              </w:rPr>
              <w:t>-</w:t>
            </w:r>
          </w:p>
        </w:tc>
        <w:tc>
          <w:tcPr>
            <w:tcW w:w="1384" w:type="dxa"/>
            <w:vAlign w:val="center"/>
          </w:tcPr>
          <w:p w14:paraId="3D6F9817">
            <w:pPr>
              <w:jc w:val="right"/>
            </w:pPr>
            <w:r>
              <w:rPr>
                <w:rFonts w:hint="eastAsia"/>
              </w:rPr>
              <w:t>-</w:t>
            </w:r>
          </w:p>
        </w:tc>
        <w:tc>
          <w:tcPr>
            <w:tcW w:w="1384" w:type="dxa"/>
            <w:vAlign w:val="center"/>
          </w:tcPr>
          <w:p w14:paraId="53E6932D">
            <w:pPr>
              <w:jc w:val="right"/>
            </w:pPr>
            <w:r>
              <w:rPr>
                <w:rFonts w:hint="eastAsia"/>
              </w:rPr>
              <w:t>-</w:t>
            </w:r>
          </w:p>
        </w:tc>
        <w:tc>
          <w:tcPr>
            <w:tcW w:w="1384" w:type="dxa"/>
            <w:vAlign w:val="center"/>
          </w:tcPr>
          <w:p w14:paraId="0274AE8A">
            <w:pPr>
              <w:jc w:val="right"/>
            </w:pPr>
            <w:r>
              <w:rPr>
                <w:rFonts w:hint="eastAsia"/>
              </w:rPr>
              <w:t>-</w:t>
            </w:r>
          </w:p>
        </w:tc>
        <w:tc>
          <w:tcPr>
            <w:tcW w:w="1384" w:type="dxa"/>
            <w:vAlign w:val="center"/>
          </w:tcPr>
          <w:p w14:paraId="71FDBEBE">
            <w:pPr>
              <w:jc w:val="right"/>
            </w:pPr>
            <w:r>
              <w:rPr>
                <w:rFonts w:hint="eastAsia"/>
              </w:rPr>
              <w:t>-</w:t>
            </w:r>
          </w:p>
        </w:tc>
      </w:tr>
      <w:tr w14:paraId="716FE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66BBBD">
            <w:r>
              <w:rPr>
                <w:rFonts w:hint="eastAsia"/>
              </w:rPr>
              <w:t>应收清算款</w:t>
            </w:r>
          </w:p>
        </w:tc>
        <w:tc>
          <w:tcPr>
            <w:tcW w:w="1384" w:type="dxa"/>
            <w:vAlign w:val="center"/>
          </w:tcPr>
          <w:p w14:paraId="32624FDA">
            <w:pPr>
              <w:jc w:val="right"/>
            </w:pPr>
            <w:r>
              <w:rPr>
                <w:rFonts w:hint="eastAsia"/>
              </w:rPr>
              <w:t>-</w:t>
            </w:r>
          </w:p>
        </w:tc>
        <w:tc>
          <w:tcPr>
            <w:tcW w:w="1384" w:type="dxa"/>
            <w:vAlign w:val="center"/>
          </w:tcPr>
          <w:p w14:paraId="5AFE3386">
            <w:pPr>
              <w:jc w:val="right"/>
            </w:pPr>
            <w:r>
              <w:rPr>
                <w:rFonts w:hint="eastAsia"/>
              </w:rPr>
              <w:t>-</w:t>
            </w:r>
          </w:p>
        </w:tc>
        <w:tc>
          <w:tcPr>
            <w:tcW w:w="1384" w:type="dxa"/>
            <w:vAlign w:val="center"/>
          </w:tcPr>
          <w:p w14:paraId="644F6B1B">
            <w:pPr>
              <w:jc w:val="right"/>
            </w:pPr>
            <w:r>
              <w:rPr>
                <w:rFonts w:hint="eastAsia"/>
              </w:rPr>
              <w:t>-</w:t>
            </w:r>
          </w:p>
        </w:tc>
        <w:tc>
          <w:tcPr>
            <w:tcW w:w="1384" w:type="dxa"/>
            <w:vAlign w:val="center"/>
          </w:tcPr>
          <w:p w14:paraId="19FB3E9E">
            <w:pPr>
              <w:jc w:val="right"/>
            </w:pPr>
            <w:r>
              <w:rPr>
                <w:rFonts w:hint="eastAsia"/>
              </w:rPr>
              <w:t>-</w:t>
            </w:r>
          </w:p>
        </w:tc>
        <w:tc>
          <w:tcPr>
            <w:tcW w:w="1384" w:type="dxa"/>
            <w:vAlign w:val="center"/>
          </w:tcPr>
          <w:p w14:paraId="434792C8">
            <w:pPr>
              <w:jc w:val="right"/>
            </w:pPr>
            <w:r>
              <w:rPr>
                <w:rFonts w:hint="eastAsia"/>
              </w:rPr>
              <w:t>-</w:t>
            </w:r>
          </w:p>
        </w:tc>
      </w:tr>
      <w:tr w14:paraId="51DA9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96E671">
            <w:r>
              <w:rPr>
                <w:rFonts w:hint="eastAsia"/>
              </w:rPr>
              <w:t>应收股利</w:t>
            </w:r>
          </w:p>
        </w:tc>
        <w:tc>
          <w:tcPr>
            <w:tcW w:w="1384" w:type="dxa"/>
            <w:vAlign w:val="center"/>
          </w:tcPr>
          <w:p w14:paraId="302818F4">
            <w:pPr>
              <w:jc w:val="right"/>
            </w:pPr>
            <w:r>
              <w:rPr>
                <w:rFonts w:hint="eastAsia"/>
              </w:rPr>
              <w:t>-</w:t>
            </w:r>
          </w:p>
        </w:tc>
        <w:tc>
          <w:tcPr>
            <w:tcW w:w="1384" w:type="dxa"/>
            <w:vAlign w:val="center"/>
          </w:tcPr>
          <w:p w14:paraId="4CD21FCE">
            <w:pPr>
              <w:jc w:val="right"/>
            </w:pPr>
            <w:r>
              <w:rPr>
                <w:rFonts w:hint="eastAsia"/>
              </w:rPr>
              <w:t>-</w:t>
            </w:r>
          </w:p>
        </w:tc>
        <w:tc>
          <w:tcPr>
            <w:tcW w:w="1384" w:type="dxa"/>
            <w:vAlign w:val="center"/>
          </w:tcPr>
          <w:p w14:paraId="64E67EBE">
            <w:pPr>
              <w:jc w:val="right"/>
            </w:pPr>
            <w:r>
              <w:rPr>
                <w:rFonts w:hint="eastAsia"/>
              </w:rPr>
              <w:t>-</w:t>
            </w:r>
          </w:p>
        </w:tc>
        <w:tc>
          <w:tcPr>
            <w:tcW w:w="1384" w:type="dxa"/>
            <w:vAlign w:val="center"/>
          </w:tcPr>
          <w:p w14:paraId="4DC6233F">
            <w:pPr>
              <w:jc w:val="right"/>
            </w:pPr>
            <w:r>
              <w:rPr>
                <w:rFonts w:hint="eastAsia"/>
              </w:rPr>
              <w:t>-</w:t>
            </w:r>
          </w:p>
        </w:tc>
        <w:tc>
          <w:tcPr>
            <w:tcW w:w="1384" w:type="dxa"/>
            <w:vAlign w:val="center"/>
          </w:tcPr>
          <w:p w14:paraId="4CB7BF97">
            <w:pPr>
              <w:jc w:val="right"/>
            </w:pPr>
            <w:r>
              <w:rPr>
                <w:rFonts w:hint="eastAsia"/>
              </w:rPr>
              <w:t>-</w:t>
            </w:r>
          </w:p>
        </w:tc>
      </w:tr>
      <w:tr w14:paraId="77FD7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BD1639">
            <w:r>
              <w:rPr>
                <w:rFonts w:hint="eastAsia"/>
              </w:rPr>
              <w:t>应收申购款</w:t>
            </w:r>
          </w:p>
        </w:tc>
        <w:tc>
          <w:tcPr>
            <w:tcW w:w="1384" w:type="dxa"/>
            <w:vAlign w:val="center"/>
          </w:tcPr>
          <w:p w14:paraId="09AFCEA1">
            <w:pPr>
              <w:jc w:val="right"/>
            </w:pPr>
            <w:r>
              <w:rPr>
                <w:rFonts w:hint="eastAsia"/>
              </w:rPr>
              <w:t>-</w:t>
            </w:r>
          </w:p>
        </w:tc>
        <w:tc>
          <w:tcPr>
            <w:tcW w:w="1384" w:type="dxa"/>
            <w:vAlign w:val="center"/>
          </w:tcPr>
          <w:p w14:paraId="2912D57F">
            <w:pPr>
              <w:jc w:val="right"/>
            </w:pPr>
            <w:r>
              <w:rPr>
                <w:rFonts w:hint="eastAsia"/>
              </w:rPr>
              <w:t>-</w:t>
            </w:r>
          </w:p>
        </w:tc>
        <w:tc>
          <w:tcPr>
            <w:tcW w:w="1384" w:type="dxa"/>
            <w:vAlign w:val="center"/>
          </w:tcPr>
          <w:p w14:paraId="17A956C9">
            <w:pPr>
              <w:jc w:val="right"/>
            </w:pPr>
            <w:r>
              <w:rPr>
                <w:rFonts w:hint="eastAsia"/>
              </w:rPr>
              <w:t>-</w:t>
            </w:r>
          </w:p>
        </w:tc>
        <w:tc>
          <w:tcPr>
            <w:tcW w:w="1384" w:type="dxa"/>
            <w:vAlign w:val="center"/>
          </w:tcPr>
          <w:p w14:paraId="5E31A798">
            <w:pPr>
              <w:jc w:val="right"/>
            </w:pPr>
            <w:r>
              <w:rPr>
                <w:rFonts w:hint="eastAsia"/>
              </w:rPr>
              <w:t>-</w:t>
            </w:r>
          </w:p>
        </w:tc>
        <w:tc>
          <w:tcPr>
            <w:tcW w:w="1384" w:type="dxa"/>
            <w:vAlign w:val="center"/>
          </w:tcPr>
          <w:p w14:paraId="2F022C99">
            <w:pPr>
              <w:jc w:val="right"/>
            </w:pPr>
            <w:r>
              <w:rPr>
                <w:rFonts w:hint="eastAsia"/>
              </w:rPr>
              <w:t>-</w:t>
            </w:r>
          </w:p>
        </w:tc>
      </w:tr>
      <w:tr w14:paraId="482E2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05AF83">
            <w:r>
              <w:rPr>
                <w:rFonts w:hint="eastAsia"/>
              </w:rPr>
              <w:t>递延所得税资产</w:t>
            </w:r>
          </w:p>
        </w:tc>
        <w:tc>
          <w:tcPr>
            <w:tcW w:w="1384" w:type="dxa"/>
            <w:vAlign w:val="center"/>
          </w:tcPr>
          <w:p w14:paraId="2BEAC8EE">
            <w:pPr>
              <w:jc w:val="right"/>
            </w:pPr>
            <w:r>
              <w:rPr>
                <w:rFonts w:hint="eastAsia"/>
              </w:rPr>
              <w:t>-</w:t>
            </w:r>
          </w:p>
        </w:tc>
        <w:tc>
          <w:tcPr>
            <w:tcW w:w="1384" w:type="dxa"/>
            <w:vAlign w:val="center"/>
          </w:tcPr>
          <w:p w14:paraId="5C27A0AD">
            <w:pPr>
              <w:jc w:val="right"/>
            </w:pPr>
            <w:r>
              <w:rPr>
                <w:rFonts w:hint="eastAsia"/>
              </w:rPr>
              <w:t>-</w:t>
            </w:r>
          </w:p>
        </w:tc>
        <w:tc>
          <w:tcPr>
            <w:tcW w:w="1384" w:type="dxa"/>
            <w:vAlign w:val="center"/>
          </w:tcPr>
          <w:p w14:paraId="4CE949C2">
            <w:pPr>
              <w:jc w:val="right"/>
            </w:pPr>
            <w:r>
              <w:rPr>
                <w:rFonts w:hint="eastAsia"/>
              </w:rPr>
              <w:t>-</w:t>
            </w:r>
          </w:p>
        </w:tc>
        <w:tc>
          <w:tcPr>
            <w:tcW w:w="1384" w:type="dxa"/>
            <w:vAlign w:val="center"/>
          </w:tcPr>
          <w:p w14:paraId="19BBF9D0">
            <w:pPr>
              <w:jc w:val="right"/>
            </w:pPr>
            <w:r>
              <w:rPr>
                <w:rFonts w:hint="eastAsia"/>
              </w:rPr>
              <w:t>-</w:t>
            </w:r>
          </w:p>
        </w:tc>
        <w:tc>
          <w:tcPr>
            <w:tcW w:w="1384" w:type="dxa"/>
            <w:vAlign w:val="center"/>
          </w:tcPr>
          <w:p w14:paraId="6704A7B5">
            <w:pPr>
              <w:jc w:val="right"/>
            </w:pPr>
            <w:r>
              <w:rPr>
                <w:rFonts w:hint="eastAsia"/>
              </w:rPr>
              <w:t>-</w:t>
            </w:r>
          </w:p>
        </w:tc>
      </w:tr>
      <w:tr w14:paraId="7E99A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D26288">
            <w:r>
              <w:rPr>
                <w:rFonts w:hint="eastAsia"/>
              </w:rPr>
              <w:t>其他资产</w:t>
            </w:r>
          </w:p>
        </w:tc>
        <w:tc>
          <w:tcPr>
            <w:tcW w:w="1384" w:type="dxa"/>
            <w:vAlign w:val="center"/>
          </w:tcPr>
          <w:p w14:paraId="06F3DACF">
            <w:pPr>
              <w:jc w:val="right"/>
            </w:pPr>
            <w:r>
              <w:rPr>
                <w:rFonts w:hint="eastAsia"/>
              </w:rPr>
              <w:t>-</w:t>
            </w:r>
          </w:p>
        </w:tc>
        <w:tc>
          <w:tcPr>
            <w:tcW w:w="1384" w:type="dxa"/>
            <w:vAlign w:val="center"/>
          </w:tcPr>
          <w:p w14:paraId="32027C36">
            <w:pPr>
              <w:jc w:val="right"/>
            </w:pPr>
            <w:r>
              <w:rPr>
                <w:rFonts w:hint="eastAsia"/>
              </w:rPr>
              <w:t>-</w:t>
            </w:r>
          </w:p>
        </w:tc>
        <w:tc>
          <w:tcPr>
            <w:tcW w:w="1384" w:type="dxa"/>
            <w:vAlign w:val="center"/>
          </w:tcPr>
          <w:p w14:paraId="7F7B82F5">
            <w:pPr>
              <w:jc w:val="right"/>
            </w:pPr>
            <w:r>
              <w:rPr>
                <w:rFonts w:hint="eastAsia"/>
              </w:rPr>
              <w:t>-</w:t>
            </w:r>
          </w:p>
        </w:tc>
        <w:tc>
          <w:tcPr>
            <w:tcW w:w="1384" w:type="dxa"/>
            <w:vAlign w:val="center"/>
          </w:tcPr>
          <w:p w14:paraId="03BF5EED">
            <w:pPr>
              <w:jc w:val="right"/>
            </w:pPr>
            <w:r>
              <w:rPr>
                <w:rFonts w:hint="eastAsia"/>
              </w:rPr>
              <w:t>-</w:t>
            </w:r>
          </w:p>
        </w:tc>
        <w:tc>
          <w:tcPr>
            <w:tcW w:w="1384" w:type="dxa"/>
            <w:vAlign w:val="center"/>
          </w:tcPr>
          <w:p w14:paraId="7DE3E1DF">
            <w:pPr>
              <w:jc w:val="right"/>
            </w:pPr>
            <w:r>
              <w:rPr>
                <w:rFonts w:hint="eastAsia"/>
              </w:rPr>
              <w:t>-</w:t>
            </w:r>
          </w:p>
        </w:tc>
      </w:tr>
      <w:tr w14:paraId="173DC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0BBB89">
            <w:r>
              <w:rPr>
                <w:rFonts w:hint="eastAsia"/>
              </w:rPr>
              <w:t>资产总计</w:t>
            </w:r>
          </w:p>
        </w:tc>
        <w:tc>
          <w:tcPr>
            <w:tcW w:w="1384" w:type="dxa"/>
            <w:vAlign w:val="center"/>
          </w:tcPr>
          <w:p w14:paraId="6B2E1F66">
            <w:pPr>
              <w:jc w:val="right"/>
            </w:pPr>
            <w:r>
              <w:rPr>
                <w:rFonts w:hint="eastAsia"/>
              </w:rPr>
              <w:t>101,928,163.92</w:t>
            </w:r>
          </w:p>
        </w:tc>
        <w:tc>
          <w:tcPr>
            <w:tcW w:w="1384" w:type="dxa"/>
            <w:vAlign w:val="center"/>
          </w:tcPr>
          <w:p w14:paraId="19F5EC13">
            <w:pPr>
              <w:jc w:val="right"/>
            </w:pPr>
            <w:r>
              <w:rPr>
                <w:rFonts w:hint="eastAsia"/>
              </w:rPr>
              <w:t>1,214,592,367.01</w:t>
            </w:r>
          </w:p>
        </w:tc>
        <w:tc>
          <w:tcPr>
            <w:tcW w:w="1384" w:type="dxa"/>
            <w:vAlign w:val="center"/>
          </w:tcPr>
          <w:p w14:paraId="586FA242">
            <w:pPr>
              <w:jc w:val="right"/>
            </w:pPr>
            <w:r>
              <w:rPr>
                <w:rFonts w:hint="eastAsia"/>
              </w:rPr>
              <w:t>123,204,670.75</w:t>
            </w:r>
          </w:p>
        </w:tc>
        <w:tc>
          <w:tcPr>
            <w:tcW w:w="1384" w:type="dxa"/>
            <w:vAlign w:val="center"/>
          </w:tcPr>
          <w:p w14:paraId="5D3FD11A">
            <w:pPr>
              <w:jc w:val="right"/>
            </w:pPr>
            <w:r>
              <w:rPr>
                <w:rFonts w:hint="eastAsia"/>
              </w:rPr>
              <w:t>-</w:t>
            </w:r>
          </w:p>
        </w:tc>
        <w:tc>
          <w:tcPr>
            <w:tcW w:w="1384" w:type="dxa"/>
            <w:vAlign w:val="center"/>
          </w:tcPr>
          <w:p w14:paraId="50208D4C">
            <w:pPr>
              <w:jc w:val="right"/>
            </w:pPr>
            <w:r>
              <w:rPr>
                <w:rFonts w:hint="eastAsia"/>
              </w:rPr>
              <w:t>1,439,725,201.68</w:t>
            </w:r>
          </w:p>
        </w:tc>
      </w:tr>
      <w:tr w14:paraId="4B2C1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93EBD3">
            <w:r>
              <w:rPr>
                <w:rFonts w:hint="eastAsia"/>
              </w:rPr>
              <w:t>负债</w:t>
            </w:r>
          </w:p>
        </w:tc>
        <w:tc>
          <w:tcPr>
            <w:tcW w:w="1384" w:type="dxa"/>
            <w:vAlign w:val="center"/>
          </w:tcPr>
          <w:p w14:paraId="086F962A"/>
        </w:tc>
        <w:tc>
          <w:tcPr>
            <w:tcW w:w="1384" w:type="dxa"/>
            <w:vAlign w:val="center"/>
          </w:tcPr>
          <w:p w14:paraId="2F2529D1"/>
        </w:tc>
        <w:tc>
          <w:tcPr>
            <w:tcW w:w="1384" w:type="dxa"/>
            <w:vAlign w:val="center"/>
          </w:tcPr>
          <w:p w14:paraId="3083AE2A"/>
        </w:tc>
        <w:tc>
          <w:tcPr>
            <w:tcW w:w="1384" w:type="dxa"/>
            <w:vAlign w:val="center"/>
          </w:tcPr>
          <w:p w14:paraId="3020EFE3"/>
        </w:tc>
        <w:tc>
          <w:tcPr>
            <w:tcW w:w="1384" w:type="dxa"/>
            <w:vAlign w:val="center"/>
          </w:tcPr>
          <w:p w14:paraId="29FDD0EA"/>
        </w:tc>
      </w:tr>
      <w:tr w14:paraId="7137D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D32C6E">
            <w:r>
              <w:rPr>
                <w:rFonts w:hint="eastAsia"/>
              </w:rPr>
              <w:t>短期借款</w:t>
            </w:r>
          </w:p>
        </w:tc>
        <w:tc>
          <w:tcPr>
            <w:tcW w:w="1384" w:type="dxa"/>
            <w:vAlign w:val="center"/>
          </w:tcPr>
          <w:p w14:paraId="5856BD55">
            <w:pPr>
              <w:jc w:val="right"/>
            </w:pPr>
            <w:r>
              <w:rPr>
                <w:rFonts w:hint="eastAsia"/>
              </w:rPr>
              <w:t>-</w:t>
            </w:r>
          </w:p>
        </w:tc>
        <w:tc>
          <w:tcPr>
            <w:tcW w:w="1384" w:type="dxa"/>
            <w:vAlign w:val="center"/>
          </w:tcPr>
          <w:p w14:paraId="285C6586">
            <w:pPr>
              <w:jc w:val="right"/>
            </w:pPr>
            <w:r>
              <w:rPr>
                <w:rFonts w:hint="eastAsia"/>
              </w:rPr>
              <w:t>-</w:t>
            </w:r>
          </w:p>
        </w:tc>
        <w:tc>
          <w:tcPr>
            <w:tcW w:w="1384" w:type="dxa"/>
            <w:vAlign w:val="center"/>
          </w:tcPr>
          <w:p w14:paraId="201EA481">
            <w:pPr>
              <w:jc w:val="right"/>
            </w:pPr>
            <w:r>
              <w:rPr>
                <w:rFonts w:hint="eastAsia"/>
              </w:rPr>
              <w:t>-</w:t>
            </w:r>
          </w:p>
        </w:tc>
        <w:tc>
          <w:tcPr>
            <w:tcW w:w="1384" w:type="dxa"/>
            <w:vAlign w:val="center"/>
          </w:tcPr>
          <w:p w14:paraId="71CC03DD">
            <w:pPr>
              <w:jc w:val="right"/>
            </w:pPr>
            <w:r>
              <w:rPr>
                <w:rFonts w:hint="eastAsia"/>
              </w:rPr>
              <w:t>-</w:t>
            </w:r>
          </w:p>
        </w:tc>
        <w:tc>
          <w:tcPr>
            <w:tcW w:w="1384" w:type="dxa"/>
            <w:vAlign w:val="center"/>
          </w:tcPr>
          <w:p w14:paraId="1C2A1800">
            <w:pPr>
              <w:jc w:val="right"/>
            </w:pPr>
            <w:r>
              <w:rPr>
                <w:rFonts w:hint="eastAsia"/>
              </w:rPr>
              <w:t>-</w:t>
            </w:r>
          </w:p>
        </w:tc>
      </w:tr>
      <w:tr w14:paraId="24BB7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45A23A">
            <w:r>
              <w:rPr>
                <w:rFonts w:hint="eastAsia"/>
              </w:rPr>
              <w:t>交易性金融负债</w:t>
            </w:r>
          </w:p>
        </w:tc>
        <w:tc>
          <w:tcPr>
            <w:tcW w:w="1384" w:type="dxa"/>
            <w:vAlign w:val="center"/>
          </w:tcPr>
          <w:p w14:paraId="45AD087F">
            <w:pPr>
              <w:jc w:val="right"/>
            </w:pPr>
            <w:r>
              <w:rPr>
                <w:rFonts w:hint="eastAsia"/>
              </w:rPr>
              <w:t>-</w:t>
            </w:r>
          </w:p>
        </w:tc>
        <w:tc>
          <w:tcPr>
            <w:tcW w:w="1384" w:type="dxa"/>
            <w:vAlign w:val="center"/>
          </w:tcPr>
          <w:p w14:paraId="49EE3D17">
            <w:pPr>
              <w:jc w:val="right"/>
            </w:pPr>
            <w:r>
              <w:rPr>
                <w:rFonts w:hint="eastAsia"/>
              </w:rPr>
              <w:t>-</w:t>
            </w:r>
          </w:p>
        </w:tc>
        <w:tc>
          <w:tcPr>
            <w:tcW w:w="1384" w:type="dxa"/>
            <w:vAlign w:val="center"/>
          </w:tcPr>
          <w:p w14:paraId="32427A07">
            <w:pPr>
              <w:jc w:val="right"/>
            </w:pPr>
            <w:r>
              <w:rPr>
                <w:rFonts w:hint="eastAsia"/>
              </w:rPr>
              <w:t>-</w:t>
            </w:r>
          </w:p>
        </w:tc>
        <w:tc>
          <w:tcPr>
            <w:tcW w:w="1384" w:type="dxa"/>
            <w:vAlign w:val="center"/>
          </w:tcPr>
          <w:p w14:paraId="5EF99EDF">
            <w:pPr>
              <w:jc w:val="right"/>
            </w:pPr>
            <w:r>
              <w:rPr>
                <w:rFonts w:hint="eastAsia"/>
              </w:rPr>
              <w:t>-</w:t>
            </w:r>
          </w:p>
        </w:tc>
        <w:tc>
          <w:tcPr>
            <w:tcW w:w="1384" w:type="dxa"/>
            <w:vAlign w:val="center"/>
          </w:tcPr>
          <w:p w14:paraId="580392CB">
            <w:pPr>
              <w:jc w:val="right"/>
            </w:pPr>
            <w:r>
              <w:rPr>
                <w:rFonts w:hint="eastAsia"/>
              </w:rPr>
              <w:t>-</w:t>
            </w:r>
          </w:p>
        </w:tc>
      </w:tr>
      <w:tr w14:paraId="323CC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587D5F">
            <w:r>
              <w:rPr>
                <w:rFonts w:hint="eastAsia"/>
              </w:rPr>
              <w:t>衍生金融负债</w:t>
            </w:r>
          </w:p>
        </w:tc>
        <w:tc>
          <w:tcPr>
            <w:tcW w:w="1384" w:type="dxa"/>
            <w:vAlign w:val="center"/>
          </w:tcPr>
          <w:p w14:paraId="4135253D">
            <w:pPr>
              <w:jc w:val="right"/>
            </w:pPr>
            <w:r>
              <w:rPr>
                <w:rFonts w:hint="eastAsia"/>
              </w:rPr>
              <w:t>-</w:t>
            </w:r>
          </w:p>
        </w:tc>
        <w:tc>
          <w:tcPr>
            <w:tcW w:w="1384" w:type="dxa"/>
            <w:vAlign w:val="center"/>
          </w:tcPr>
          <w:p w14:paraId="60C22B43">
            <w:pPr>
              <w:jc w:val="right"/>
            </w:pPr>
            <w:r>
              <w:rPr>
                <w:rFonts w:hint="eastAsia"/>
              </w:rPr>
              <w:t>-</w:t>
            </w:r>
          </w:p>
        </w:tc>
        <w:tc>
          <w:tcPr>
            <w:tcW w:w="1384" w:type="dxa"/>
            <w:vAlign w:val="center"/>
          </w:tcPr>
          <w:p w14:paraId="563AADF1">
            <w:pPr>
              <w:jc w:val="right"/>
            </w:pPr>
            <w:r>
              <w:rPr>
                <w:rFonts w:hint="eastAsia"/>
              </w:rPr>
              <w:t>-</w:t>
            </w:r>
          </w:p>
        </w:tc>
        <w:tc>
          <w:tcPr>
            <w:tcW w:w="1384" w:type="dxa"/>
            <w:vAlign w:val="center"/>
          </w:tcPr>
          <w:p w14:paraId="1D81BDED">
            <w:pPr>
              <w:jc w:val="right"/>
            </w:pPr>
            <w:r>
              <w:rPr>
                <w:rFonts w:hint="eastAsia"/>
              </w:rPr>
              <w:t>-</w:t>
            </w:r>
          </w:p>
        </w:tc>
        <w:tc>
          <w:tcPr>
            <w:tcW w:w="1384" w:type="dxa"/>
            <w:vAlign w:val="center"/>
          </w:tcPr>
          <w:p w14:paraId="2EF48E40">
            <w:pPr>
              <w:jc w:val="right"/>
            </w:pPr>
            <w:r>
              <w:rPr>
                <w:rFonts w:hint="eastAsia"/>
              </w:rPr>
              <w:t>-</w:t>
            </w:r>
          </w:p>
        </w:tc>
      </w:tr>
      <w:tr w14:paraId="68293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DB0F4A">
            <w:r>
              <w:rPr>
                <w:rFonts w:hint="eastAsia"/>
              </w:rPr>
              <w:t>卖出回购金融资产款</w:t>
            </w:r>
          </w:p>
        </w:tc>
        <w:tc>
          <w:tcPr>
            <w:tcW w:w="1384" w:type="dxa"/>
            <w:vAlign w:val="center"/>
          </w:tcPr>
          <w:p w14:paraId="44CB6001">
            <w:pPr>
              <w:jc w:val="right"/>
            </w:pPr>
            <w:r>
              <w:rPr>
                <w:rFonts w:hint="eastAsia"/>
              </w:rPr>
              <w:t>347,064,374.20</w:t>
            </w:r>
          </w:p>
        </w:tc>
        <w:tc>
          <w:tcPr>
            <w:tcW w:w="1384" w:type="dxa"/>
            <w:vAlign w:val="center"/>
          </w:tcPr>
          <w:p w14:paraId="1C16F20B">
            <w:pPr>
              <w:jc w:val="right"/>
            </w:pPr>
            <w:r>
              <w:rPr>
                <w:rFonts w:hint="eastAsia"/>
              </w:rPr>
              <w:t>-</w:t>
            </w:r>
          </w:p>
        </w:tc>
        <w:tc>
          <w:tcPr>
            <w:tcW w:w="1384" w:type="dxa"/>
            <w:vAlign w:val="center"/>
          </w:tcPr>
          <w:p w14:paraId="7A353190">
            <w:pPr>
              <w:jc w:val="right"/>
            </w:pPr>
            <w:r>
              <w:rPr>
                <w:rFonts w:hint="eastAsia"/>
              </w:rPr>
              <w:t>-</w:t>
            </w:r>
          </w:p>
        </w:tc>
        <w:tc>
          <w:tcPr>
            <w:tcW w:w="1384" w:type="dxa"/>
            <w:vAlign w:val="center"/>
          </w:tcPr>
          <w:p w14:paraId="6C75F589">
            <w:pPr>
              <w:jc w:val="right"/>
            </w:pPr>
            <w:r>
              <w:rPr>
                <w:rFonts w:hint="eastAsia"/>
              </w:rPr>
              <w:t>-</w:t>
            </w:r>
          </w:p>
        </w:tc>
        <w:tc>
          <w:tcPr>
            <w:tcW w:w="1384" w:type="dxa"/>
            <w:vAlign w:val="center"/>
          </w:tcPr>
          <w:p w14:paraId="2FE4927D">
            <w:pPr>
              <w:jc w:val="right"/>
            </w:pPr>
            <w:r>
              <w:rPr>
                <w:rFonts w:hint="eastAsia"/>
              </w:rPr>
              <w:t>347,064,374.20</w:t>
            </w:r>
          </w:p>
        </w:tc>
      </w:tr>
      <w:tr w14:paraId="4E9C1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7BE6DE">
            <w:r>
              <w:rPr>
                <w:rFonts w:hint="eastAsia"/>
              </w:rPr>
              <w:t>应付清算款</w:t>
            </w:r>
          </w:p>
        </w:tc>
        <w:tc>
          <w:tcPr>
            <w:tcW w:w="1384" w:type="dxa"/>
            <w:vAlign w:val="center"/>
          </w:tcPr>
          <w:p w14:paraId="3F7614BF">
            <w:pPr>
              <w:jc w:val="right"/>
            </w:pPr>
            <w:r>
              <w:rPr>
                <w:rFonts w:hint="eastAsia"/>
              </w:rPr>
              <w:t>-</w:t>
            </w:r>
          </w:p>
        </w:tc>
        <w:tc>
          <w:tcPr>
            <w:tcW w:w="1384" w:type="dxa"/>
            <w:vAlign w:val="center"/>
          </w:tcPr>
          <w:p w14:paraId="4D442020">
            <w:pPr>
              <w:jc w:val="right"/>
            </w:pPr>
            <w:r>
              <w:rPr>
                <w:rFonts w:hint="eastAsia"/>
              </w:rPr>
              <w:t>-</w:t>
            </w:r>
          </w:p>
        </w:tc>
        <w:tc>
          <w:tcPr>
            <w:tcW w:w="1384" w:type="dxa"/>
            <w:vAlign w:val="center"/>
          </w:tcPr>
          <w:p w14:paraId="7A8447EF">
            <w:pPr>
              <w:jc w:val="right"/>
            </w:pPr>
            <w:r>
              <w:rPr>
                <w:rFonts w:hint="eastAsia"/>
              </w:rPr>
              <w:t>-</w:t>
            </w:r>
          </w:p>
        </w:tc>
        <w:tc>
          <w:tcPr>
            <w:tcW w:w="1384" w:type="dxa"/>
            <w:vAlign w:val="center"/>
          </w:tcPr>
          <w:p w14:paraId="65C468C7">
            <w:pPr>
              <w:jc w:val="right"/>
            </w:pPr>
            <w:r>
              <w:rPr>
                <w:rFonts w:hint="eastAsia"/>
              </w:rPr>
              <w:t>-</w:t>
            </w:r>
          </w:p>
        </w:tc>
        <w:tc>
          <w:tcPr>
            <w:tcW w:w="1384" w:type="dxa"/>
            <w:vAlign w:val="center"/>
          </w:tcPr>
          <w:p w14:paraId="5979F70A">
            <w:pPr>
              <w:jc w:val="right"/>
            </w:pPr>
            <w:r>
              <w:rPr>
                <w:rFonts w:hint="eastAsia"/>
              </w:rPr>
              <w:t>-</w:t>
            </w:r>
          </w:p>
        </w:tc>
      </w:tr>
      <w:tr w14:paraId="20C65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8537E1">
            <w:r>
              <w:rPr>
                <w:rFonts w:hint="eastAsia"/>
              </w:rPr>
              <w:t>应付赎回款</w:t>
            </w:r>
          </w:p>
        </w:tc>
        <w:tc>
          <w:tcPr>
            <w:tcW w:w="1384" w:type="dxa"/>
            <w:vAlign w:val="center"/>
          </w:tcPr>
          <w:p w14:paraId="676B8CEA">
            <w:pPr>
              <w:jc w:val="right"/>
            </w:pPr>
            <w:r>
              <w:rPr>
                <w:rFonts w:hint="eastAsia"/>
              </w:rPr>
              <w:t>-</w:t>
            </w:r>
          </w:p>
        </w:tc>
        <w:tc>
          <w:tcPr>
            <w:tcW w:w="1384" w:type="dxa"/>
            <w:vAlign w:val="center"/>
          </w:tcPr>
          <w:p w14:paraId="12B987BC">
            <w:pPr>
              <w:jc w:val="right"/>
            </w:pPr>
            <w:r>
              <w:rPr>
                <w:rFonts w:hint="eastAsia"/>
              </w:rPr>
              <w:t>-</w:t>
            </w:r>
          </w:p>
        </w:tc>
        <w:tc>
          <w:tcPr>
            <w:tcW w:w="1384" w:type="dxa"/>
            <w:vAlign w:val="center"/>
          </w:tcPr>
          <w:p w14:paraId="77639351">
            <w:pPr>
              <w:jc w:val="right"/>
            </w:pPr>
            <w:r>
              <w:rPr>
                <w:rFonts w:hint="eastAsia"/>
              </w:rPr>
              <w:t>-</w:t>
            </w:r>
          </w:p>
        </w:tc>
        <w:tc>
          <w:tcPr>
            <w:tcW w:w="1384" w:type="dxa"/>
            <w:vAlign w:val="center"/>
          </w:tcPr>
          <w:p w14:paraId="03865AB0">
            <w:pPr>
              <w:jc w:val="right"/>
            </w:pPr>
            <w:r>
              <w:rPr>
                <w:rFonts w:hint="eastAsia"/>
              </w:rPr>
              <w:t>-</w:t>
            </w:r>
          </w:p>
        </w:tc>
        <w:tc>
          <w:tcPr>
            <w:tcW w:w="1384" w:type="dxa"/>
            <w:vAlign w:val="center"/>
          </w:tcPr>
          <w:p w14:paraId="2C2F500E">
            <w:pPr>
              <w:jc w:val="right"/>
            </w:pPr>
            <w:r>
              <w:rPr>
                <w:rFonts w:hint="eastAsia"/>
              </w:rPr>
              <w:t>-</w:t>
            </w:r>
          </w:p>
        </w:tc>
      </w:tr>
      <w:tr w14:paraId="016DC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53B03A">
            <w:r>
              <w:rPr>
                <w:rFonts w:hint="eastAsia"/>
              </w:rPr>
              <w:t>应付管理人报酬</w:t>
            </w:r>
          </w:p>
        </w:tc>
        <w:tc>
          <w:tcPr>
            <w:tcW w:w="1384" w:type="dxa"/>
            <w:vAlign w:val="center"/>
          </w:tcPr>
          <w:p w14:paraId="79F25429">
            <w:pPr>
              <w:jc w:val="right"/>
            </w:pPr>
            <w:r>
              <w:rPr>
                <w:rFonts w:hint="eastAsia"/>
              </w:rPr>
              <w:t>-</w:t>
            </w:r>
          </w:p>
        </w:tc>
        <w:tc>
          <w:tcPr>
            <w:tcW w:w="1384" w:type="dxa"/>
            <w:vAlign w:val="center"/>
          </w:tcPr>
          <w:p w14:paraId="5B093C6C">
            <w:pPr>
              <w:jc w:val="right"/>
            </w:pPr>
            <w:r>
              <w:rPr>
                <w:rFonts w:hint="eastAsia"/>
              </w:rPr>
              <w:t>-</w:t>
            </w:r>
          </w:p>
        </w:tc>
        <w:tc>
          <w:tcPr>
            <w:tcW w:w="1384" w:type="dxa"/>
            <w:vAlign w:val="center"/>
          </w:tcPr>
          <w:p w14:paraId="57EE88FC">
            <w:pPr>
              <w:jc w:val="right"/>
            </w:pPr>
            <w:r>
              <w:rPr>
                <w:rFonts w:hint="eastAsia"/>
              </w:rPr>
              <w:t>-</w:t>
            </w:r>
          </w:p>
        </w:tc>
        <w:tc>
          <w:tcPr>
            <w:tcW w:w="1384" w:type="dxa"/>
            <w:vAlign w:val="center"/>
          </w:tcPr>
          <w:p w14:paraId="3D50DA90">
            <w:pPr>
              <w:jc w:val="right"/>
            </w:pPr>
            <w:r>
              <w:rPr>
                <w:rFonts w:hint="eastAsia"/>
              </w:rPr>
              <w:t>275,569.64</w:t>
            </w:r>
          </w:p>
        </w:tc>
        <w:tc>
          <w:tcPr>
            <w:tcW w:w="1384" w:type="dxa"/>
            <w:vAlign w:val="center"/>
          </w:tcPr>
          <w:p w14:paraId="3C2D74BB">
            <w:pPr>
              <w:jc w:val="right"/>
            </w:pPr>
            <w:r>
              <w:rPr>
                <w:rFonts w:hint="eastAsia"/>
              </w:rPr>
              <w:t>275,569.64</w:t>
            </w:r>
          </w:p>
        </w:tc>
      </w:tr>
      <w:tr w14:paraId="33DB5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F20C78">
            <w:r>
              <w:rPr>
                <w:rFonts w:hint="eastAsia"/>
              </w:rPr>
              <w:t>应付托管费</w:t>
            </w:r>
          </w:p>
        </w:tc>
        <w:tc>
          <w:tcPr>
            <w:tcW w:w="1384" w:type="dxa"/>
            <w:vAlign w:val="center"/>
          </w:tcPr>
          <w:p w14:paraId="42BA0B45">
            <w:pPr>
              <w:jc w:val="right"/>
            </w:pPr>
            <w:r>
              <w:rPr>
                <w:rFonts w:hint="eastAsia"/>
              </w:rPr>
              <w:t>-</w:t>
            </w:r>
          </w:p>
        </w:tc>
        <w:tc>
          <w:tcPr>
            <w:tcW w:w="1384" w:type="dxa"/>
            <w:vAlign w:val="center"/>
          </w:tcPr>
          <w:p w14:paraId="224E37B8">
            <w:pPr>
              <w:jc w:val="right"/>
            </w:pPr>
            <w:r>
              <w:rPr>
                <w:rFonts w:hint="eastAsia"/>
              </w:rPr>
              <w:t>-</w:t>
            </w:r>
          </w:p>
        </w:tc>
        <w:tc>
          <w:tcPr>
            <w:tcW w:w="1384" w:type="dxa"/>
            <w:vAlign w:val="center"/>
          </w:tcPr>
          <w:p w14:paraId="25498475">
            <w:pPr>
              <w:jc w:val="right"/>
            </w:pPr>
            <w:r>
              <w:rPr>
                <w:rFonts w:hint="eastAsia"/>
              </w:rPr>
              <w:t>-</w:t>
            </w:r>
          </w:p>
        </w:tc>
        <w:tc>
          <w:tcPr>
            <w:tcW w:w="1384" w:type="dxa"/>
            <w:vAlign w:val="center"/>
          </w:tcPr>
          <w:p w14:paraId="1CC32881">
            <w:pPr>
              <w:jc w:val="right"/>
            </w:pPr>
            <w:r>
              <w:rPr>
                <w:rFonts w:hint="eastAsia"/>
              </w:rPr>
              <w:t>91,856.54</w:t>
            </w:r>
          </w:p>
        </w:tc>
        <w:tc>
          <w:tcPr>
            <w:tcW w:w="1384" w:type="dxa"/>
            <w:vAlign w:val="center"/>
          </w:tcPr>
          <w:p w14:paraId="711D284C">
            <w:pPr>
              <w:jc w:val="right"/>
            </w:pPr>
            <w:r>
              <w:rPr>
                <w:rFonts w:hint="eastAsia"/>
              </w:rPr>
              <w:t>91,856.54</w:t>
            </w:r>
          </w:p>
        </w:tc>
      </w:tr>
      <w:tr w14:paraId="2C37D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953F55">
            <w:r>
              <w:rPr>
                <w:rFonts w:hint="eastAsia"/>
              </w:rPr>
              <w:t>应付销售服务费</w:t>
            </w:r>
          </w:p>
        </w:tc>
        <w:tc>
          <w:tcPr>
            <w:tcW w:w="1384" w:type="dxa"/>
            <w:vAlign w:val="center"/>
          </w:tcPr>
          <w:p w14:paraId="06FC1B2D">
            <w:pPr>
              <w:jc w:val="right"/>
            </w:pPr>
            <w:r>
              <w:rPr>
                <w:rFonts w:hint="eastAsia"/>
              </w:rPr>
              <w:t>-</w:t>
            </w:r>
          </w:p>
        </w:tc>
        <w:tc>
          <w:tcPr>
            <w:tcW w:w="1384" w:type="dxa"/>
            <w:vAlign w:val="center"/>
          </w:tcPr>
          <w:p w14:paraId="638CCDA6">
            <w:pPr>
              <w:jc w:val="right"/>
            </w:pPr>
            <w:r>
              <w:rPr>
                <w:rFonts w:hint="eastAsia"/>
              </w:rPr>
              <w:t>-</w:t>
            </w:r>
          </w:p>
        </w:tc>
        <w:tc>
          <w:tcPr>
            <w:tcW w:w="1384" w:type="dxa"/>
            <w:vAlign w:val="center"/>
          </w:tcPr>
          <w:p w14:paraId="23129800">
            <w:pPr>
              <w:jc w:val="right"/>
            </w:pPr>
            <w:r>
              <w:rPr>
                <w:rFonts w:hint="eastAsia"/>
              </w:rPr>
              <w:t>-</w:t>
            </w:r>
          </w:p>
        </w:tc>
        <w:tc>
          <w:tcPr>
            <w:tcW w:w="1384" w:type="dxa"/>
            <w:vAlign w:val="center"/>
          </w:tcPr>
          <w:p w14:paraId="52FA75E5">
            <w:pPr>
              <w:jc w:val="right"/>
            </w:pPr>
            <w:r>
              <w:rPr>
                <w:rFonts w:hint="eastAsia"/>
              </w:rPr>
              <w:t>-</w:t>
            </w:r>
          </w:p>
        </w:tc>
        <w:tc>
          <w:tcPr>
            <w:tcW w:w="1384" w:type="dxa"/>
            <w:vAlign w:val="center"/>
          </w:tcPr>
          <w:p w14:paraId="2B14F282">
            <w:pPr>
              <w:jc w:val="right"/>
            </w:pPr>
            <w:r>
              <w:rPr>
                <w:rFonts w:hint="eastAsia"/>
              </w:rPr>
              <w:t>-</w:t>
            </w:r>
          </w:p>
        </w:tc>
      </w:tr>
      <w:tr w14:paraId="6EBA2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D9DD9A">
            <w:r>
              <w:rPr>
                <w:rFonts w:hint="eastAsia"/>
              </w:rPr>
              <w:t>应付投资顾问费</w:t>
            </w:r>
          </w:p>
        </w:tc>
        <w:tc>
          <w:tcPr>
            <w:tcW w:w="1384" w:type="dxa"/>
            <w:vAlign w:val="center"/>
          </w:tcPr>
          <w:p w14:paraId="06F926B3">
            <w:pPr>
              <w:jc w:val="right"/>
            </w:pPr>
            <w:r>
              <w:rPr>
                <w:rFonts w:hint="eastAsia"/>
              </w:rPr>
              <w:t>-</w:t>
            </w:r>
          </w:p>
        </w:tc>
        <w:tc>
          <w:tcPr>
            <w:tcW w:w="1384" w:type="dxa"/>
            <w:vAlign w:val="center"/>
          </w:tcPr>
          <w:p w14:paraId="7F87B7C7">
            <w:pPr>
              <w:jc w:val="right"/>
            </w:pPr>
            <w:r>
              <w:rPr>
                <w:rFonts w:hint="eastAsia"/>
              </w:rPr>
              <w:t>-</w:t>
            </w:r>
          </w:p>
        </w:tc>
        <w:tc>
          <w:tcPr>
            <w:tcW w:w="1384" w:type="dxa"/>
            <w:vAlign w:val="center"/>
          </w:tcPr>
          <w:p w14:paraId="6D5936CE">
            <w:pPr>
              <w:jc w:val="right"/>
            </w:pPr>
            <w:r>
              <w:rPr>
                <w:rFonts w:hint="eastAsia"/>
              </w:rPr>
              <w:t>-</w:t>
            </w:r>
          </w:p>
        </w:tc>
        <w:tc>
          <w:tcPr>
            <w:tcW w:w="1384" w:type="dxa"/>
            <w:vAlign w:val="center"/>
          </w:tcPr>
          <w:p w14:paraId="081F9135">
            <w:pPr>
              <w:jc w:val="right"/>
            </w:pPr>
            <w:r>
              <w:rPr>
                <w:rFonts w:hint="eastAsia"/>
              </w:rPr>
              <w:t>-</w:t>
            </w:r>
          </w:p>
        </w:tc>
        <w:tc>
          <w:tcPr>
            <w:tcW w:w="1384" w:type="dxa"/>
            <w:vAlign w:val="center"/>
          </w:tcPr>
          <w:p w14:paraId="7C39D644">
            <w:pPr>
              <w:jc w:val="right"/>
            </w:pPr>
            <w:r>
              <w:rPr>
                <w:rFonts w:hint="eastAsia"/>
              </w:rPr>
              <w:t>-</w:t>
            </w:r>
          </w:p>
        </w:tc>
      </w:tr>
      <w:tr w14:paraId="18CEE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6CD863">
            <w:r>
              <w:rPr>
                <w:rFonts w:hint="eastAsia"/>
              </w:rPr>
              <w:t>应交税费</w:t>
            </w:r>
          </w:p>
        </w:tc>
        <w:tc>
          <w:tcPr>
            <w:tcW w:w="1384" w:type="dxa"/>
            <w:vAlign w:val="center"/>
          </w:tcPr>
          <w:p w14:paraId="5DD39134">
            <w:pPr>
              <w:jc w:val="right"/>
            </w:pPr>
            <w:r>
              <w:rPr>
                <w:rFonts w:hint="eastAsia"/>
              </w:rPr>
              <w:t>-</w:t>
            </w:r>
          </w:p>
        </w:tc>
        <w:tc>
          <w:tcPr>
            <w:tcW w:w="1384" w:type="dxa"/>
            <w:vAlign w:val="center"/>
          </w:tcPr>
          <w:p w14:paraId="6731B08E">
            <w:pPr>
              <w:jc w:val="right"/>
            </w:pPr>
            <w:r>
              <w:rPr>
                <w:rFonts w:hint="eastAsia"/>
              </w:rPr>
              <w:t>-</w:t>
            </w:r>
          </w:p>
        </w:tc>
        <w:tc>
          <w:tcPr>
            <w:tcW w:w="1384" w:type="dxa"/>
            <w:vAlign w:val="center"/>
          </w:tcPr>
          <w:p w14:paraId="7712FF7C">
            <w:pPr>
              <w:jc w:val="right"/>
            </w:pPr>
            <w:r>
              <w:rPr>
                <w:rFonts w:hint="eastAsia"/>
              </w:rPr>
              <w:t>-</w:t>
            </w:r>
          </w:p>
        </w:tc>
        <w:tc>
          <w:tcPr>
            <w:tcW w:w="1384" w:type="dxa"/>
            <w:vAlign w:val="center"/>
          </w:tcPr>
          <w:p w14:paraId="01DCE86D">
            <w:pPr>
              <w:jc w:val="right"/>
            </w:pPr>
            <w:r>
              <w:rPr>
                <w:rFonts w:hint="eastAsia"/>
              </w:rPr>
              <w:t>39,431.05</w:t>
            </w:r>
          </w:p>
        </w:tc>
        <w:tc>
          <w:tcPr>
            <w:tcW w:w="1384" w:type="dxa"/>
            <w:vAlign w:val="center"/>
          </w:tcPr>
          <w:p w14:paraId="045A9BD8">
            <w:pPr>
              <w:jc w:val="right"/>
            </w:pPr>
            <w:r>
              <w:rPr>
                <w:rFonts w:hint="eastAsia"/>
              </w:rPr>
              <w:t>39,431.05</w:t>
            </w:r>
          </w:p>
        </w:tc>
      </w:tr>
      <w:tr w14:paraId="2A08E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22837F">
            <w:r>
              <w:rPr>
                <w:rFonts w:hint="eastAsia"/>
              </w:rPr>
              <w:t>应付利润</w:t>
            </w:r>
          </w:p>
        </w:tc>
        <w:tc>
          <w:tcPr>
            <w:tcW w:w="1384" w:type="dxa"/>
            <w:vAlign w:val="center"/>
          </w:tcPr>
          <w:p w14:paraId="4DE31905">
            <w:pPr>
              <w:jc w:val="right"/>
            </w:pPr>
            <w:r>
              <w:rPr>
                <w:rFonts w:hint="eastAsia"/>
              </w:rPr>
              <w:t>-</w:t>
            </w:r>
          </w:p>
        </w:tc>
        <w:tc>
          <w:tcPr>
            <w:tcW w:w="1384" w:type="dxa"/>
            <w:vAlign w:val="center"/>
          </w:tcPr>
          <w:p w14:paraId="49CF9058">
            <w:pPr>
              <w:jc w:val="right"/>
            </w:pPr>
            <w:r>
              <w:rPr>
                <w:rFonts w:hint="eastAsia"/>
              </w:rPr>
              <w:t>-</w:t>
            </w:r>
          </w:p>
        </w:tc>
        <w:tc>
          <w:tcPr>
            <w:tcW w:w="1384" w:type="dxa"/>
            <w:vAlign w:val="center"/>
          </w:tcPr>
          <w:p w14:paraId="0BC5CE8F">
            <w:pPr>
              <w:jc w:val="right"/>
            </w:pPr>
            <w:r>
              <w:rPr>
                <w:rFonts w:hint="eastAsia"/>
              </w:rPr>
              <w:t>-</w:t>
            </w:r>
          </w:p>
        </w:tc>
        <w:tc>
          <w:tcPr>
            <w:tcW w:w="1384" w:type="dxa"/>
            <w:vAlign w:val="center"/>
          </w:tcPr>
          <w:p w14:paraId="15704AE4">
            <w:pPr>
              <w:jc w:val="right"/>
            </w:pPr>
            <w:r>
              <w:rPr>
                <w:rFonts w:hint="eastAsia"/>
              </w:rPr>
              <w:t>-</w:t>
            </w:r>
          </w:p>
        </w:tc>
        <w:tc>
          <w:tcPr>
            <w:tcW w:w="1384" w:type="dxa"/>
            <w:vAlign w:val="center"/>
          </w:tcPr>
          <w:p w14:paraId="11E29399">
            <w:pPr>
              <w:jc w:val="right"/>
            </w:pPr>
            <w:r>
              <w:rPr>
                <w:rFonts w:hint="eastAsia"/>
              </w:rPr>
              <w:t>-</w:t>
            </w:r>
          </w:p>
        </w:tc>
      </w:tr>
      <w:tr w14:paraId="3EE6C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FF4F9D">
            <w:r>
              <w:rPr>
                <w:rFonts w:hint="eastAsia"/>
              </w:rPr>
              <w:t>递延所得税负债</w:t>
            </w:r>
          </w:p>
        </w:tc>
        <w:tc>
          <w:tcPr>
            <w:tcW w:w="1384" w:type="dxa"/>
            <w:vAlign w:val="center"/>
          </w:tcPr>
          <w:p w14:paraId="17973F3D">
            <w:pPr>
              <w:jc w:val="right"/>
            </w:pPr>
            <w:r>
              <w:rPr>
                <w:rFonts w:hint="eastAsia"/>
              </w:rPr>
              <w:t>-</w:t>
            </w:r>
          </w:p>
        </w:tc>
        <w:tc>
          <w:tcPr>
            <w:tcW w:w="1384" w:type="dxa"/>
            <w:vAlign w:val="center"/>
          </w:tcPr>
          <w:p w14:paraId="46BF37B0">
            <w:pPr>
              <w:jc w:val="right"/>
            </w:pPr>
            <w:r>
              <w:rPr>
                <w:rFonts w:hint="eastAsia"/>
              </w:rPr>
              <w:t>-</w:t>
            </w:r>
          </w:p>
        </w:tc>
        <w:tc>
          <w:tcPr>
            <w:tcW w:w="1384" w:type="dxa"/>
            <w:vAlign w:val="center"/>
          </w:tcPr>
          <w:p w14:paraId="6B4FF85C">
            <w:pPr>
              <w:jc w:val="right"/>
            </w:pPr>
            <w:r>
              <w:rPr>
                <w:rFonts w:hint="eastAsia"/>
              </w:rPr>
              <w:t>-</w:t>
            </w:r>
          </w:p>
        </w:tc>
        <w:tc>
          <w:tcPr>
            <w:tcW w:w="1384" w:type="dxa"/>
            <w:vAlign w:val="center"/>
          </w:tcPr>
          <w:p w14:paraId="279FD5B8">
            <w:pPr>
              <w:jc w:val="right"/>
            </w:pPr>
            <w:r>
              <w:rPr>
                <w:rFonts w:hint="eastAsia"/>
              </w:rPr>
              <w:t>-</w:t>
            </w:r>
          </w:p>
        </w:tc>
        <w:tc>
          <w:tcPr>
            <w:tcW w:w="1384" w:type="dxa"/>
            <w:vAlign w:val="center"/>
          </w:tcPr>
          <w:p w14:paraId="22274791">
            <w:pPr>
              <w:jc w:val="right"/>
            </w:pPr>
            <w:r>
              <w:rPr>
                <w:rFonts w:hint="eastAsia"/>
              </w:rPr>
              <w:t>-</w:t>
            </w:r>
          </w:p>
        </w:tc>
      </w:tr>
      <w:tr w14:paraId="40D64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9EBDD0">
            <w:r>
              <w:rPr>
                <w:rFonts w:hint="eastAsia"/>
              </w:rPr>
              <w:t>其他负债</w:t>
            </w:r>
          </w:p>
        </w:tc>
        <w:tc>
          <w:tcPr>
            <w:tcW w:w="1384" w:type="dxa"/>
            <w:vAlign w:val="center"/>
          </w:tcPr>
          <w:p w14:paraId="63730BA5">
            <w:pPr>
              <w:jc w:val="right"/>
            </w:pPr>
            <w:r>
              <w:rPr>
                <w:rFonts w:hint="eastAsia"/>
              </w:rPr>
              <w:t>-</w:t>
            </w:r>
          </w:p>
        </w:tc>
        <w:tc>
          <w:tcPr>
            <w:tcW w:w="1384" w:type="dxa"/>
            <w:vAlign w:val="center"/>
          </w:tcPr>
          <w:p w14:paraId="75B6ACE9">
            <w:pPr>
              <w:jc w:val="right"/>
            </w:pPr>
            <w:r>
              <w:rPr>
                <w:rFonts w:hint="eastAsia"/>
              </w:rPr>
              <w:t>-</w:t>
            </w:r>
          </w:p>
        </w:tc>
        <w:tc>
          <w:tcPr>
            <w:tcW w:w="1384" w:type="dxa"/>
            <w:vAlign w:val="center"/>
          </w:tcPr>
          <w:p w14:paraId="5A647F01">
            <w:pPr>
              <w:jc w:val="right"/>
            </w:pPr>
            <w:r>
              <w:rPr>
                <w:rFonts w:hint="eastAsia"/>
              </w:rPr>
              <w:t>-</w:t>
            </w:r>
          </w:p>
        </w:tc>
        <w:tc>
          <w:tcPr>
            <w:tcW w:w="1384" w:type="dxa"/>
            <w:vAlign w:val="center"/>
          </w:tcPr>
          <w:p w14:paraId="1D7E0061">
            <w:pPr>
              <w:jc w:val="right"/>
            </w:pPr>
            <w:r>
              <w:rPr>
                <w:rFonts w:hint="eastAsia"/>
              </w:rPr>
              <w:t>202,826.00</w:t>
            </w:r>
          </w:p>
        </w:tc>
        <w:tc>
          <w:tcPr>
            <w:tcW w:w="1384" w:type="dxa"/>
            <w:vAlign w:val="center"/>
          </w:tcPr>
          <w:p w14:paraId="7F0256B9">
            <w:pPr>
              <w:jc w:val="right"/>
            </w:pPr>
            <w:r>
              <w:rPr>
                <w:rFonts w:hint="eastAsia"/>
              </w:rPr>
              <w:t>202,826.00</w:t>
            </w:r>
          </w:p>
        </w:tc>
      </w:tr>
      <w:tr w14:paraId="61135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2B2135">
            <w:r>
              <w:rPr>
                <w:rFonts w:hint="eastAsia"/>
              </w:rPr>
              <w:t>负债总计</w:t>
            </w:r>
          </w:p>
        </w:tc>
        <w:tc>
          <w:tcPr>
            <w:tcW w:w="1384" w:type="dxa"/>
            <w:vAlign w:val="center"/>
          </w:tcPr>
          <w:p w14:paraId="2EE42EBB">
            <w:pPr>
              <w:jc w:val="right"/>
            </w:pPr>
            <w:r>
              <w:rPr>
                <w:rFonts w:hint="eastAsia"/>
              </w:rPr>
              <w:t>347,064,374.20</w:t>
            </w:r>
          </w:p>
        </w:tc>
        <w:tc>
          <w:tcPr>
            <w:tcW w:w="1384" w:type="dxa"/>
            <w:vAlign w:val="center"/>
          </w:tcPr>
          <w:p w14:paraId="1CE66298">
            <w:pPr>
              <w:jc w:val="right"/>
            </w:pPr>
            <w:r>
              <w:rPr>
                <w:rFonts w:hint="eastAsia"/>
              </w:rPr>
              <w:t>-</w:t>
            </w:r>
          </w:p>
        </w:tc>
        <w:tc>
          <w:tcPr>
            <w:tcW w:w="1384" w:type="dxa"/>
            <w:vAlign w:val="center"/>
          </w:tcPr>
          <w:p w14:paraId="292FB787">
            <w:pPr>
              <w:jc w:val="right"/>
            </w:pPr>
            <w:r>
              <w:rPr>
                <w:rFonts w:hint="eastAsia"/>
              </w:rPr>
              <w:t>-</w:t>
            </w:r>
          </w:p>
        </w:tc>
        <w:tc>
          <w:tcPr>
            <w:tcW w:w="1384" w:type="dxa"/>
            <w:vAlign w:val="center"/>
          </w:tcPr>
          <w:p w14:paraId="3123E77C">
            <w:pPr>
              <w:jc w:val="right"/>
            </w:pPr>
            <w:r>
              <w:rPr>
                <w:rFonts w:hint="eastAsia"/>
              </w:rPr>
              <w:t>609,683.23</w:t>
            </w:r>
          </w:p>
        </w:tc>
        <w:tc>
          <w:tcPr>
            <w:tcW w:w="1384" w:type="dxa"/>
            <w:vAlign w:val="center"/>
          </w:tcPr>
          <w:p w14:paraId="4D47F4A3">
            <w:pPr>
              <w:jc w:val="right"/>
            </w:pPr>
            <w:r>
              <w:rPr>
                <w:rFonts w:hint="eastAsia"/>
              </w:rPr>
              <w:t>347,674,057.43</w:t>
            </w:r>
          </w:p>
        </w:tc>
      </w:tr>
      <w:tr w14:paraId="5BF7D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2FA1EC">
            <w:r>
              <w:rPr>
                <w:rFonts w:hint="eastAsia"/>
              </w:rPr>
              <w:t>利率敏感度缺口</w:t>
            </w:r>
          </w:p>
        </w:tc>
        <w:tc>
          <w:tcPr>
            <w:tcW w:w="1384" w:type="dxa"/>
            <w:vAlign w:val="center"/>
          </w:tcPr>
          <w:p w14:paraId="5F2CF9B9">
            <w:pPr>
              <w:jc w:val="right"/>
            </w:pPr>
            <w:r>
              <w:rPr>
                <w:rFonts w:hint="eastAsia"/>
              </w:rPr>
              <w:t>-245,136,210.28</w:t>
            </w:r>
          </w:p>
        </w:tc>
        <w:tc>
          <w:tcPr>
            <w:tcW w:w="1384" w:type="dxa"/>
            <w:vAlign w:val="center"/>
          </w:tcPr>
          <w:p w14:paraId="4A26D756">
            <w:pPr>
              <w:jc w:val="right"/>
            </w:pPr>
            <w:r>
              <w:rPr>
                <w:rFonts w:hint="eastAsia"/>
              </w:rPr>
              <w:t>1,214,592,367.01</w:t>
            </w:r>
          </w:p>
        </w:tc>
        <w:tc>
          <w:tcPr>
            <w:tcW w:w="1384" w:type="dxa"/>
            <w:vAlign w:val="center"/>
          </w:tcPr>
          <w:p w14:paraId="5E94F558">
            <w:pPr>
              <w:jc w:val="right"/>
            </w:pPr>
            <w:r>
              <w:rPr>
                <w:rFonts w:hint="eastAsia"/>
              </w:rPr>
              <w:t>123,204,670.75</w:t>
            </w:r>
          </w:p>
        </w:tc>
        <w:tc>
          <w:tcPr>
            <w:tcW w:w="1384" w:type="dxa"/>
            <w:vAlign w:val="center"/>
          </w:tcPr>
          <w:p w14:paraId="51934A44">
            <w:pPr>
              <w:jc w:val="right"/>
            </w:pPr>
            <w:r>
              <w:rPr>
                <w:rFonts w:hint="eastAsia"/>
              </w:rPr>
              <w:t>-609,683.23</w:t>
            </w:r>
          </w:p>
        </w:tc>
        <w:tc>
          <w:tcPr>
            <w:tcW w:w="1384" w:type="dxa"/>
            <w:vAlign w:val="center"/>
          </w:tcPr>
          <w:p w14:paraId="5823DC76">
            <w:pPr>
              <w:jc w:val="right"/>
            </w:pPr>
            <w:r>
              <w:rPr>
                <w:rFonts w:hint="eastAsia"/>
              </w:rPr>
              <w:t>1,092,051,144.25</w:t>
            </w:r>
          </w:p>
        </w:tc>
      </w:tr>
    </w:tbl>
    <w:p w14:paraId="0409F8E0">
      <w:pPr>
        <w:pStyle w:val="47"/>
        <w:rPr>
          <w:rFonts w:hint="eastAsia"/>
        </w:rPr>
      </w:pPr>
      <w:r>
        <w:rPr>
          <w:rFonts w:hint="eastAsia"/>
        </w:rPr>
        <w:t>注：表中所示为本基金资产及负债的账面价值，并按照合约规定的利率重新定价日或到期日孰早者予以分类。</w:t>
      </w:r>
    </w:p>
    <w:p w14:paraId="7EDF28C7">
      <w:pPr>
        <w:pStyle w:val="37"/>
      </w:pPr>
      <w:bookmarkStart w:id="141" w:name="_Toc141"/>
      <w:r>
        <w:t>利率风险的敏感性分析</w:t>
      </w:r>
      <w:bookmarkEnd w:id="14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21888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7DCC804D">
            <w:r>
              <w:rPr>
                <w:rFonts w:hint="eastAsia"/>
              </w:rPr>
              <w:t>假设</w:t>
            </w:r>
          </w:p>
        </w:tc>
        <w:tc>
          <w:tcPr>
            <w:tcW w:w="3267" w:type="dxa"/>
            <w:gridSpan w:val="3"/>
            <w:vAlign w:val="center"/>
          </w:tcPr>
          <w:p w14:paraId="1638D153">
            <w:r>
              <w:rPr>
                <w:rFonts w:hint="eastAsia"/>
              </w:rPr>
              <w:t>除市场利率以外的其他市场变量保持不变</w:t>
            </w:r>
          </w:p>
        </w:tc>
      </w:tr>
      <w:tr w14:paraId="5B06F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3427809C">
            <w:r>
              <w:rPr>
                <w:rFonts w:hint="eastAsia"/>
              </w:rPr>
              <w:t>分析</w:t>
            </w:r>
          </w:p>
        </w:tc>
        <w:tc>
          <w:tcPr>
            <w:tcW w:w="3267" w:type="dxa"/>
            <w:vMerge w:val="restart"/>
            <w:vAlign w:val="center"/>
          </w:tcPr>
          <w:p w14:paraId="30FB81CC">
            <w:r>
              <w:rPr>
                <w:rFonts w:hint="eastAsia"/>
              </w:rPr>
              <w:t>相关风险变量的变动</w:t>
            </w:r>
          </w:p>
        </w:tc>
        <w:tc>
          <w:tcPr>
            <w:tcW w:w="2159" w:type="dxa"/>
            <w:gridSpan w:val="2"/>
            <w:vAlign w:val="center"/>
          </w:tcPr>
          <w:p w14:paraId="43A91A3A">
            <w:r>
              <w:rPr>
                <w:rFonts w:hint="eastAsia"/>
              </w:rPr>
              <w:t>对资产负债表日基金资产净值的影响金额（单位：人民币元）</w:t>
            </w:r>
          </w:p>
        </w:tc>
      </w:tr>
      <w:tr w14:paraId="531BC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D008C8F"/>
        </w:tc>
        <w:tc>
          <w:tcPr>
            <w:tcW w:w="3267" w:type="dxa"/>
            <w:vMerge w:val="continue"/>
            <w:vAlign w:val="center"/>
          </w:tcPr>
          <w:p w14:paraId="46434340"/>
        </w:tc>
        <w:tc>
          <w:tcPr>
            <w:tcW w:w="2159" w:type="dxa"/>
            <w:vAlign w:val="center"/>
          </w:tcPr>
          <w:p w14:paraId="5753BBB6">
            <w:r>
              <w:rPr>
                <w:rFonts w:hint="eastAsia"/>
              </w:rPr>
              <w:t>本期末（ 2025年12月31日 ）</w:t>
            </w:r>
          </w:p>
        </w:tc>
        <w:tc>
          <w:tcPr>
            <w:tcW w:w="2159" w:type="dxa"/>
            <w:vAlign w:val="center"/>
          </w:tcPr>
          <w:p w14:paraId="34C3BEB4">
            <w:r>
              <w:rPr>
                <w:rFonts w:hint="eastAsia"/>
              </w:rPr>
              <w:t>上年度末（ 2024年12月31日 ）</w:t>
            </w:r>
          </w:p>
        </w:tc>
      </w:tr>
      <w:tr w14:paraId="436B0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084A816"/>
        </w:tc>
        <w:tc>
          <w:tcPr>
            <w:tcW w:w="3267" w:type="dxa"/>
            <w:vAlign w:val="center"/>
          </w:tcPr>
          <w:p w14:paraId="6AC6F9C0">
            <w:r>
              <w:rPr>
                <w:rFonts w:hint="eastAsia"/>
              </w:rPr>
              <w:t>1.市场利率平行上升25个基点</w:t>
            </w:r>
          </w:p>
        </w:tc>
        <w:tc>
          <w:tcPr>
            <w:tcW w:w="2159" w:type="dxa"/>
            <w:vAlign w:val="center"/>
          </w:tcPr>
          <w:p w14:paraId="79F20298">
            <w:pPr>
              <w:jc w:val="right"/>
            </w:pPr>
            <w:r>
              <w:rPr>
                <w:rFonts w:hint="eastAsia"/>
              </w:rPr>
              <w:t>-5,062,457.42</w:t>
            </w:r>
          </w:p>
        </w:tc>
        <w:tc>
          <w:tcPr>
            <w:tcW w:w="2159" w:type="dxa"/>
            <w:vAlign w:val="center"/>
          </w:tcPr>
          <w:p w14:paraId="51665B42">
            <w:pPr>
              <w:jc w:val="right"/>
            </w:pPr>
            <w:r>
              <w:rPr>
                <w:rFonts w:hint="eastAsia"/>
              </w:rPr>
              <w:t>-11,962,173.66</w:t>
            </w:r>
          </w:p>
        </w:tc>
      </w:tr>
      <w:tr w14:paraId="14297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4113764"/>
        </w:tc>
        <w:tc>
          <w:tcPr>
            <w:tcW w:w="3267" w:type="dxa"/>
            <w:vAlign w:val="center"/>
          </w:tcPr>
          <w:p w14:paraId="0E317833">
            <w:r>
              <w:rPr>
                <w:rFonts w:hint="eastAsia"/>
              </w:rPr>
              <w:t>2.市场利率平行下降25个基点</w:t>
            </w:r>
          </w:p>
        </w:tc>
        <w:tc>
          <w:tcPr>
            <w:tcW w:w="2159" w:type="dxa"/>
            <w:vAlign w:val="center"/>
          </w:tcPr>
          <w:p w14:paraId="2FB7F726">
            <w:pPr>
              <w:jc w:val="right"/>
            </w:pPr>
            <w:r>
              <w:rPr>
                <w:rFonts w:hint="eastAsia"/>
              </w:rPr>
              <w:t>5,099,756.43</w:t>
            </w:r>
          </w:p>
        </w:tc>
        <w:tc>
          <w:tcPr>
            <w:tcW w:w="2159" w:type="dxa"/>
            <w:vAlign w:val="center"/>
          </w:tcPr>
          <w:p w14:paraId="057AAA62">
            <w:pPr>
              <w:jc w:val="right"/>
            </w:pPr>
            <w:r>
              <w:rPr>
                <w:rFonts w:hint="eastAsia"/>
              </w:rPr>
              <w:t>12,403,515.71</w:t>
            </w:r>
          </w:p>
        </w:tc>
      </w:tr>
    </w:tbl>
    <w:p w14:paraId="3A16FB37">
      <w:pPr>
        <w:pStyle w:val="36"/>
      </w:pPr>
      <w:bookmarkStart w:id="142" w:name="_Toc142"/>
      <w:r>
        <w:t>外汇风险</w:t>
      </w:r>
      <w:bookmarkEnd w:id="142"/>
    </w:p>
    <w:p w14:paraId="1166AC99">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02E4F37D">
      <w:pPr>
        <w:pStyle w:val="36"/>
      </w:pPr>
      <w:bookmarkStart w:id="143" w:name="_Toc143"/>
      <w:r>
        <w:t>其他价格风险</w:t>
      </w:r>
      <w:bookmarkEnd w:id="143"/>
    </w:p>
    <w:p w14:paraId="478C750D">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其他价格风险是指基金所持金融工具的公允价值或未来现金流量因除市场利率和外汇汇率以外的市场价格因素变动而发生波动的风险。本基金主要投资于固定收益品种，因此无重大其他价格风险。</w:t>
      </w:r>
    </w:p>
    <w:p w14:paraId="04349DE3">
      <w:pPr>
        <w:pStyle w:val="28"/>
      </w:pPr>
      <w:bookmarkStart w:id="144" w:name="_Toc144"/>
      <w:r>
        <w:t>公允价值</w:t>
      </w:r>
      <w:bookmarkEnd w:id="144"/>
    </w:p>
    <w:p w14:paraId="48770881">
      <w:pPr>
        <w:pStyle w:val="35"/>
      </w:pPr>
      <w:bookmarkStart w:id="145" w:name="_Toc145"/>
      <w:r>
        <w:t>金融工具公允价值计量的方法</w:t>
      </w:r>
      <w:bookmarkEnd w:id="145"/>
    </w:p>
    <w:p w14:paraId="31A091B2">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3665F566">
      <w:pPr>
        <w:pStyle w:val="35"/>
      </w:pPr>
      <w:bookmarkStart w:id="146" w:name="_Toc146"/>
      <w:r>
        <w:t>持续的以公允价值计量的金融工具</w:t>
      </w:r>
      <w:bookmarkEnd w:id="146"/>
    </w:p>
    <w:p w14:paraId="062E9670">
      <w:pPr>
        <w:pStyle w:val="36"/>
      </w:pPr>
      <w:bookmarkStart w:id="147" w:name="_Toc147"/>
      <w:r>
        <w:t>各层次金融工具的公允价值</w:t>
      </w:r>
      <w:bookmarkEnd w:id="147"/>
    </w:p>
    <w:p w14:paraId="19BD738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3192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5A70BC5">
            <w:pPr>
              <w:jc w:val="center"/>
            </w:pPr>
            <w:r>
              <w:rPr>
                <w:rFonts w:hint="eastAsia"/>
                <w:b/>
              </w:rPr>
              <w:t>公允价值计量结果所属的层次</w:t>
            </w:r>
          </w:p>
        </w:tc>
        <w:tc>
          <w:tcPr>
            <w:tcW w:w="2768" w:type="dxa"/>
            <w:shd w:val="clear" w:color="auto" w:fill="BFBFBF"/>
            <w:vAlign w:val="center"/>
          </w:tcPr>
          <w:p w14:paraId="52094E49">
            <w:pPr>
              <w:jc w:val="center"/>
            </w:pPr>
            <w:r>
              <w:rPr>
                <w:rFonts w:hint="eastAsia"/>
                <w:b/>
              </w:rPr>
              <w:t>本期末2025年12月31日</w:t>
            </w:r>
          </w:p>
        </w:tc>
        <w:tc>
          <w:tcPr>
            <w:tcW w:w="2768" w:type="dxa"/>
            <w:shd w:val="clear" w:color="auto" w:fill="BFBFBF"/>
            <w:vAlign w:val="center"/>
          </w:tcPr>
          <w:p w14:paraId="0CF59809">
            <w:pPr>
              <w:jc w:val="center"/>
            </w:pPr>
            <w:r>
              <w:rPr>
                <w:rFonts w:hint="eastAsia"/>
                <w:b/>
              </w:rPr>
              <w:t>上年度末2024年12月31日</w:t>
            </w:r>
          </w:p>
        </w:tc>
      </w:tr>
      <w:tr w14:paraId="2300B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52A80B">
            <w:r>
              <w:rPr>
                <w:rFonts w:hint="eastAsia"/>
              </w:rPr>
              <w:t>第一层次</w:t>
            </w:r>
          </w:p>
        </w:tc>
        <w:tc>
          <w:tcPr>
            <w:tcW w:w="2768" w:type="dxa"/>
            <w:vAlign w:val="center"/>
          </w:tcPr>
          <w:p w14:paraId="6CC9BC96">
            <w:pPr>
              <w:jc w:val="right"/>
            </w:pPr>
            <w:r>
              <w:rPr>
                <w:rFonts w:hint="eastAsia"/>
              </w:rPr>
              <w:t>-</w:t>
            </w:r>
          </w:p>
        </w:tc>
        <w:tc>
          <w:tcPr>
            <w:tcW w:w="2768" w:type="dxa"/>
            <w:vAlign w:val="center"/>
          </w:tcPr>
          <w:p w14:paraId="4B1B80E7">
            <w:pPr>
              <w:jc w:val="right"/>
            </w:pPr>
            <w:r>
              <w:rPr>
                <w:rFonts w:hint="eastAsia"/>
              </w:rPr>
              <w:t>-</w:t>
            </w:r>
          </w:p>
        </w:tc>
      </w:tr>
      <w:tr w14:paraId="327D4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52A528">
            <w:r>
              <w:rPr>
                <w:rFonts w:hint="eastAsia"/>
              </w:rPr>
              <w:t>第二层次</w:t>
            </w:r>
          </w:p>
        </w:tc>
        <w:tc>
          <w:tcPr>
            <w:tcW w:w="2768" w:type="dxa"/>
            <w:vAlign w:val="center"/>
          </w:tcPr>
          <w:p w14:paraId="2B75EA51">
            <w:pPr>
              <w:jc w:val="right"/>
            </w:pPr>
            <w:r>
              <w:rPr>
                <w:rFonts w:hint="eastAsia"/>
              </w:rPr>
              <w:t>1,201,671,141.91</w:t>
            </w:r>
          </w:p>
        </w:tc>
        <w:tc>
          <w:tcPr>
            <w:tcW w:w="2768" w:type="dxa"/>
            <w:vAlign w:val="center"/>
          </w:tcPr>
          <w:p w14:paraId="05C8BDF3">
            <w:pPr>
              <w:jc w:val="right"/>
            </w:pPr>
            <w:r>
              <w:rPr>
                <w:rFonts w:hint="eastAsia"/>
              </w:rPr>
              <w:t>1,408,784,929.81</w:t>
            </w:r>
          </w:p>
        </w:tc>
      </w:tr>
      <w:tr w14:paraId="1CF44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4F962D">
            <w:r>
              <w:rPr>
                <w:rFonts w:hint="eastAsia"/>
              </w:rPr>
              <w:t>第三层次</w:t>
            </w:r>
          </w:p>
        </w:tc>
        <w:tc>
          <w:tcPr>
            <w:tcW w:w="2768" w:type="dxa"/>
            <w:vAlign w:val="center"/>
          </w:tcPr>
          <w:p w14:paraId="032809FF">
            <w:pPr>
              <w:jc w:val="right"/>
            </w:pPr>
            <w:r>
              <w:rPr>
                <w:rFonts w:hint="eastAsia"/>
              </w:rPr>
              <w:t>-</w:t>
            </w:r>
          </w:p>
        </w:tc>
        <w:tc>
          <w:tcPr>
            <w:tcW w:w="2768" w:type="dxa"/>
            <w:vAlign w:val="center"/>
          </w:tcPr>
          <w:p w14:paraId="4667056F">
            <w:pPr>
              <w:jc w:val="right"/>
            </w:pPr>
            <w:r>
              <w:rPr>
                <w:rFonts w:hint="eastAsia"/>
              </w:rPr>
              <w:t>-</w:t>
            </w:r>
          </w:p>
        </w:tc>
      </w:tr>
      <w:tr w14:paraId="4AE3D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5C6A92">
            <w:r>
              <w:rPr>
                <w:rFonts w:hint="eastAsia"/>
              </w:rPr>
              <w:t>合计</w:t>
            </w:r>
          </w:p>
        </w:tc>
        <w:tc>
          <w:tcPr>
            <w:tcW w:w="2768" w:type="dxa"/>
            <w:vAlign w:val="center"/>
          </w:tcPr>
          <w:p w14:paraId="1D4D38A5">
            <w:pPr>
              <w:jc w:val="right"/>
            </w:pPr>
            <w:r>
              <w:rPr>
                <w:rFonts w:hint="eastAsia"/>
              </w:rPr>
              <w:t>1,201,671,141.91</w:t>
            </w:r>
          </w:p>
        </w:tc>
        <w:tc>
          <w:tcPr>
            <w:tcW w:w="2768" w:type="dxa"/>
            <w:vAlign w:val="center"/>
          </w:tcPr>
          <w:p w14:paraId="7332E2F4">
            <w:pPr>
              <w:jc w:val="right"/>
            </w:pPr>
            <w:r>
              <w:rPr>
                <w:rFonts w:hint="eastAsia"/>
              </w:rPr>
              <w:t>1,408,784,929.81</w:t>
            </w:r>
          </w:p>
        </w:tc>
      </w:tr>
    </w:tbl>
    <w:p w14:paraId="6AE68AF5">
      <w:pPr>
        <w:pStyle w:val="36"/>
      </w:pPr>
      <w:bookmarkStart w:id="148" w:name="_Toc148"/>
      <w:r>
        <w:t>公允价值所属层次间的重大变动</w:t>
      </w:r>
      <w:bookmarkEnd w:id="148"/>
    </w:p>
    <w:p w14:paraId="553233BC">
      <w:pPr>
        <w:pStyle w:val="18"/>
        <w:rPr>
          <w:rFonts w:hint="eastAsia"/>
        </w:rPr>
      </w:pPr>
      <w:r>
        <w:rPr>
          <w:rFonts w:hint="eastAsia"/>
        </w:rPr>
        <w:t>本基金调整公允价值计量层次转换时点的相关会计政策在前后各会计期间保持一致。</w:t>
      </w:r>
    </w:p>
    <w:p w14:paraId="706DF88B">
      <w:pPr>
        <w:pStyle w:val="18"/>
        <w:rPr>
          <w:rFonts w:hint="eastAsia"/>
        </w:rPr>
      </w:pPr>
      <w:r>
        <w:rPr>
          <w:rFonts w:hint="eastAsia"/>
        </w:rPr>
        <w:t>对于公开市场交易的证券等投资，若出现交易不活跃、非公开发行等情况，本基金不会于交易不活跃期间及限售期间将相关投资的公允价值列入第一层次，并根据估值调整中采用的对公允价值计量整体而言具有重要意义的输入值所属的最低层次，确定相关投资的公允价值应属第二层次或第三层次。</w:t>
      </w:r>
    </w:p>
    <w:p w14:paraId="28A77C29">
      <w:pPr>
        <w:pStyle w:val="35"/>
      </w:pPr>
      <w:bookmarkStart w:id="149" w:name="_Toc149"/>
      <w:r>
        <w:t>非持续的以公允价值计量的金融工具的说明</w:t>
      </w:r>
      <w:bookmarkEnd w:id="149"/>
    </w:p>
    <w:p w14:paraId="089DAD62">
      <w:pPr>
        <w:pStyle w:val="18"/>
        <w:rPr>
          <w:rFonts w:hint="eastAsia"/>
        </w:rPr>
      </w:pPr>
      <w:r>
        <w:rPr>
          <w:rFonts w:hint="eastAsia"/>
        </w:rPr>
        <w:t>于本报告期末，本基金未持有非持续的以公允价值计量的金融资产（上年度末：同）。</w:t>
      </w:r>
    </w:p>
    <w:p w14:paraId="536828B9">
      <w:pPr>
        <w:pStyle w:val="35"/>
      </w:pPr>
      <w:bookmarkStart w:id="150" w:name="_Toc150"/>
      <w:r>
        <w:t>不以公允价值计量的金融工具的相关说明</w:t>
      </w:r>
      <w:bookmarkEnd w:id="150"/>
    </w:p>
    <w:p w14:paraId="13E18A70">
      <w:pPr>
        <w:pStyle w:val="18"/>
        <w:rPr>
          <w:rFonts w:hint="eastAsia"/>
        </w:rPr>
      </w:pPr>
      <w:r>
        <w:rPr>
          <w:rFonts w:hint="eastAsia"/>
        </w:rPr>
        <w:t>不以公允价值计量的金融资产和负债主要包括应收款项和其他金融负债，其账面价值与公允价值相差很小。</w:t>
      </w:r>
    </w:p>
    <w:p w14:paraId="2D8F2AFF">
      <w:pPr>
        <w:pStyle w:val="28"/>
      </w:pPr>
      <w:bookmarkStart w:id="151" w:name="_Toc151"/>
      <w:r>
        <w:t>有助于理解和分析会计报表需要说明的其他事项</w:t>
      </w:r>
      <w:bookmarkEnd w:id="151"/>
    </w:p>
    <w:p w14:paraId="76541C35">
      <w:pPr>
        <w:pStyle w:val="18"/>
        <w:rPr>
          <w:rFonts w:hint="eastAsia"/>
        </w:rPr>
      </w:pPr>
      <w:r>
        <w:rPr>
          <w:rFonts w:hint="eastAsia"/>
        </w:rPr>
        <w:t>截至资产负债表日本基金无需要说明的其他重要事项。</w:t>
      </w:r>
    </w:p>
    <w:p w14:paraId="4B9B5C33">
      <w:pPr>
        <w:pStyle w:val="26"/>
      </w:pPr>
      <w:bookmarkStart w:id="152" w:name="_Toc1876"/>
      <w:r>
        <w:t>投资组合报告</w:t>
      </w:r>
      <w:bookmarkEnd w:id="152"/>
    </w:p>
    <w:p w14:paraId="0AD2AD8D">
      <w:pPr>
        <w:pStyle w:val="23"/>
      </w:pPr>
      <w:bookmarkStart w:id="153" w:name="_Toc217"/>
      <w:r>
        <w:t>期末基金资产组合情况</w:t>
      </w:r>
      <w:bookmarkEnd w:id="153"/>
    </w:p>
    <w:p w14:paraId="1C1B838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7D56D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720A0A97">
            <w:pPr>
              <w:jc w:val="center"/>
            </w:pPr>
            <w:r>
              <w:rPr>
                <w:rFonts w:hint="eastAsia"/>
                <w:b/>
              </w:rPr>
              <w:t>序号</w:t>
            </w:r>
          </w:p>
        </w:tc>
        <w:tc>
          <w:tcPr>
            <w:tcW w:w="3211" w:type="dxa"/>
            <w:shd w:val="clear" w:color="auto" w:fill="BFBFBF"/>
            <w:vAlign w:val="center"/>
          </w:tcPr>
          <w:p w14:paraId="7FA9EC5A">
            <w:pPr>
              <w:jc w:val="center"/>
            </w:pPr>
            <w:r>
              <w:rPr>
                <w:rFonts w:hint="eastAsia"/>
                <w:b/>
              </w:rPr>
              <w:t>项目</w:t>
            </w:r>
          </w:p>
        </w:tc>
        <w:tc>
          <w:tcPr>
            <w:tcW w:w="2214" w:type="dxa"/>
            <w:shd w:val="clear" w:color="auto" w:fill="BFBFBF"/>
            <w:vAlign w:val="center"/>
          </w:tcPr>
          <w:p w14:paraId="4334CEC0">
            <w:pPr>
              <w:jc w:val="center"/>
            </w:pPr>
            <w:r>
              <w:rPr>
                <w:rFonts w:hint="eastAsia"/>
                <w:b/>
              </w:rPr>
              <w:t>金额</w:t>
            </w:r>
          </w:p>
        </w:tc>
        <w:tc>
          <w:tcPr>
            <w:tcW w:w="2214" w:type="dxa"/>
            <w:shd w:val="clear" w:color="auto" w:fill="BFBFBF"/>
            <w:vAlign w:val="center"/>
          </w:tcPr>
          <w:p w14:paraId="1F139CF2">
            <w:pPr>
              <w:jc w:val="center"/>
            </w:pPr>
            <w:r>
              <w:rPr>
                <w:rFonts w:hint="eastAsia"/>
                <w:b/>
              </w:rPr>
              <w:t>占基金总资产的比例（%）</w:t>
            </w:r>
          </w:p>
        </w:tc>
      </w:tr>
      <w:tr w14:paraId="20466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9352D18">
            <w:pPr>
              <w:jc w:val="center"/>
            </w:pPr>
            <w:r>
              <w:rPr>
                <w:rFonts w:hint="eastAsia"/>
              </w:rPr>
              <w:t>1</w:t>
            </w:r>
          </w:p>
        </w:tc>
        <w:tc>
          <w:tcPr>
            <w:tcW w:w="3211" w:type="dxa"/>
            <w:vAlign w:val="center"/>
          </w:tcPr>
          <w:p w14:paraId="308D5607">
            <w:r>
              <w:rPr>
                <w:rFonts w:hint="eastAsia"/>
              </w:rPr>
              <w:t>权益投资</w:t>
            </w:r>
          </w:p>
        </w:tc>
        <w:tc>
          <w:tcPr>
            <w:tcW w:w="2214" w:type="dxa"/>
            <w:vAlign w:val="center"/>
          </w:tcPr>
          <w:p w14:paraId="260D009B">
            <w:pPr>
              <w:jc w:val="right"/>
            </w:pPr>
            <w:r>
              <w:rPr>
                <w:rFonts w:hint="eastAsia"/>
              </w:rPr>
              <w:t>-</w:t>
            </w:r>
          </w:p>
        </w:tc>
        <w:tc>
          <w:tcPr>
            <w:tcW w:w="2214" w:type="dxa"/>
            <w:vAlign w:val="center"/>
          </w:tcPr>
          <w:p w14:paraId="7B70B4EF">
            <w:pPr>
              <w:jc w:val="right"/>
            </w:pPr>
            <w:r>
              <w:rPr>
                <w:rFonts w:hint="eastAsia"/>
              </w:rPr>
              <w:t>-</w:t>
            </w:r>
          </w:p>
        </w:tc>
      </w:tr>
      <w:tr w14:paraId="01578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1EF7952">
            <w:pPr>
              <w:jc w:val="center"/>
            </w:pPr>
          </w:p>
        </w:tc>
        <w:tc>
          <w:tcPr>
            <w:tcW w:w="3211" w:type="dxa"/>
            <w:vAlign w:val="center"/>
          </w:tcPr>
          <w:p w14:paraId="65238C00">
            <w:r>
              <w:rPr>
                <w:rFonts w:hint="eastAsia"/>
              </w:rPr>
              <w:t>其中：股票</w:t>
            </w:r>
          </w:p>
        </w:tc>
        <w:tc>
          <w:tcPr>
            <w:tcW w:w="2214" w:type="dxa"/>
            <w:vAlign w:val="center"/>
          </w:tcPr>
          <w:p w14:paraId="1F177423">
            <w:pPr>
              <w:jc w:val="right"/>
            </w:pPr>
            <w:r>
              <w:rPr>
                <w:rFonts w:hint="eastAsia"/>
              </w:rPr>
              <w:t>-</w:t>
            </w:r>
          </w:p>
        </w:tc>
        <w:tc>
          <w:tcPr>
            <w:tcW w:w="2214" w:type="dxa"/>
            <w:vAlign w:val="center"/>
          </w:tcPr>
          <w:p w14:paraId="735FB1FA">
            <w:pPr>
              <w:jc w:val="right"/>
            </w:pPr>
            <w:r>
              <w:rPr>
                <w:rFonts w:hint="eastAsia"/>
              </w:rPr>
              <w:t>-</w:t>
            </w:r>
          </w:p>
        </w:tc>
      </w:tr>
      <w:tr w14:paraId="4CFBC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A733BA8">
            <w:pPr>
              <w:jc w:val="center"/>
            </w:pPr>
            <w:r>
              <w:rPr>
                <w:rFonts w:hint="eastAsia"/>
              </w:rPr>
              <w:t>2</w:t>
            </w:r>
          </w:p>
        </w:tc>
        <w:tc>
          <w:tcPr>
            <w:tcW w:w="3211" w:type="dxa"/>
            <w:vAlign w:val="center"/>
          </w:tcPr>
          <w:p w14:paraId="53123B4C">
            <w:r>
              <w:rPr>
                <w:rFonts w:hint="eastAsia"/>
              </w:rPr>
              <w:t>基金投资</w:t>
            </w:r>
          </w:p>
        </w:tc>
        <w:tc>
          <w:tcPr>
            <w:tcW w:w="2214" w:type="dxa"/>
            <w:vAlign w:val="center"/>
          </w:tcPr>
          <w:p w14:paraId="2F44B3BE">
            <w:pPr>
              <w:jc w:val="right"/>
            </w:pPr>
            <w:r>
              <w:rPr>
                <w:rFonts w:hint="eastAsia"/>
              </w:rPr>
              <w:t>-</w:t>
            </w:r>
          </w:p>
        </w:tc>
        <w:tc>
          <w:tcPr>
            <w:tcW w:w="2214" w:type="dxa"/>
            <w:vAlign w:val="center"/>
          </w:tcPr>
          <w:p w14:paraId="0920DB07">
            <w:pPr>
              <w:jc w:val="right"/>
            </w:pPr>
            <w:r>
              <w:rPr>
                <w:rFonts w:hint="eastAsia"/>
              </w:rPr>
              <w:t>-</w:t>
            </w:r>
          </w:p>
        </w:tc>
      </w:tr>
      <w:tr w14:paraId="77395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77063E0">
            <w:pPr>
              <w:jc w:val="center"/>
            </w:pPr>
            <w:r>
              <w:rPr>
                <w:rFonts w:hint="eastAsia"/>
              </w:rPr>
              <w:t>3</w:t>
            </w:r>
          </w:p>
        </w:tc>
        <w:tc>
          <w:tcPr>
            <w:tcW w:w="3211" w:type="dxa"/>
            <w:vAlign w:val="center"/>
          </w:tcPr>
          <w:p w14:paraId="5CC86B3B">
            <w:r>
              <w:rPr>
                <w:rFonts w:hint="eastAsia"/>
              </w:rPr>
              <w:t>固定收益投资</w:t>
            </w:r>
          </w:p>
        </w:tc>
        <w:tc>
          <w:tcPr>
            <w:tcW w:w="2214" w:type="dxa"/>
            <w:vAlign w:val="center"/>
          </w:tcPr>
          <w:p w14:paraId="4528A017">
            <w:pPr>
              <w:jc w:val="right"/>
            </w:pPr>
            <w:r>
              <w:rPr>
                <w:rFonts w:hint="eastAsia"/>
              </w:rPr>
              <w:t>1,201,671,141.91</w:t>
            </w:r>
          </w:p>
        </w:tc>
        <w:tc>
          <w:tcPr>
            <w:tcW w:w="2214" w:type="dxa"/>
            <w:vAlign w:val="center"/>
          </w:tcPr>
          <w:p w14:paraId="56E9D6B6">
            <w:pPr>
              <w:jc w:val="right"/>
            </w:pPr>
            <w:r>
              <w:rPr>
                <w:rFonts w:hint="eastAsia"/>
              </w:rPr>
              <w:t>98.42</w:t>
            </w:r>
          </w:p>
        </w:tc>
      </w:tr>
      <w:tr w14:paraId="275E8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A027305">
            <w:pPr>
              <w:jc w:val="center"/>
            </w:pPr>
          </w:p>
        </w:tc>
        <w:tc>
          <w:tcPr>
            <w:tcW w:w="3211" w:type="dxa"/>
            <w:vAlign w:val="center"/>
          </w:tcPr>
          <w:p w14:paraId="6E88F702">
            <w:r>
              <w:rPr>
                <w:rFonts w:hint="eastAsia"/>
              </w:rPr>
              <w:t>其中：债券</w:t>
            </w:r>
          </w:p>
        </w:tc>
        <w:tc>
          <w:tcPr>
            <w:tcW w:w="2214" w:type="dxa"/>
            <w:vAlign w:val="center"/>
          </w:tcPr>
          <w:p w14:paraId="5A29B8D8">
            <w:pPr>
              <w:jc w:val="right"/>
            </w:pPr>
            <w:r>
              <w:rPr>
                <w:rFonts w:hint="eastAsia"/>
              </w:rPr>
              <w:t>1,201,671,141.91</w:t>
            </w:r>
          </w:p>
        </w:tc>
        <w:tc>
          <w:tcPr>
            <w:tcW w:w="2214" w:type="dxa"/>
            <w:vAlign w:val="center"/>
          </w:tcPr>
          <w:p w14:paraId="4516683B">
            <w:pPr>
              <w:jc w:val="right"/>
            </w:pPr>
            <w:r>
              <w:rPr>
                <w:rFonts w:hint="eastAsia"/>
              </w:rPr>
              <w:t>98.42</w:t>
            </w:r>
          </w:p>
        </w:tc>
      </w:tr>
      <w:tr w14:paraId="0DD5D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71C9768">
            <w:pPr>
              <w:jc w:val="center"/>
            </w:pPr>
          </w:p>
        </w:tc>
        <w:tc>
          <w:tcPr>
            <w:tcW w:w="3211" w:type="dxa"/>
            <w:vAlign w:val="center"/>
          </w:tcPr>
          <w:p w14:paraId="47EAD08E">
            <w:r>
              <w:rPr>
                <w:rFonts w:hint="eastAsia"/>
              </w:rPr>
              <w:t xml:space="preserve">      资产支持证券</w:t>
            </w:r>
          </w:p>
        </w:tc>
        <w:tc>
          <w:tcPr>
            <w:tcW w:w="2214" w:type="dxa"/>
            <w:vAlign w:val="center"/>
          </w:tcPr>
          <w:p w14:paraId="7F5F8018">
            <w:pPr>
              <w:jc w:val="right"/>
            </w:pPr>
            <w:r>
              <w:rPr>
                <w:rFonts w:hint="eastAsia"/>
              </w:rPr>
              <w:t>-</w:t>
            </w:r>
          </w:p>
        </w:tc>
        <w:tc>
          <w:tcPr>
            <w:tcW w:w="2214" w:type="dxa"/>
            <w:vAlign w:val="center"/>
          </w:tcPr>
          <w:p w14:paraId="3D292ED6">
            <w:pPr>
              <w:jc w:val="right"/>
            </w:pPr>
            <w:r>
              <w:rPr>
                <w:rFonts w:hint="eastAsia"/>
              </w:rPr>
              <w:t>-</w:t>
            </w:r>
          </w:p>
        </w:tc>
      </w:tr>
      <w:tr w14:paraId="468A7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2FD6D9E">
            <w:pPr>
              <w:jc w:val="center"/>
            </w:pPr>
            <w:r>
              <w:rPr>
                <w:rFonts w:hint="eastAsia"/>
              </w:rPr>
              <w:t>4</w:t>
            </w:r>
          </w:p>
        </w:tc>
        <w:tc>
          <w:tcPr>
            <w:tcW w:w="3211" w:type="dxa"/>
            <w:vAlign w:val="center"/>
          </w:tcPr>
          <w:p w14:paraId="1113AD96">
            <w:r>
              <w:rPr>
                <w:rFonts w:hint="eastAsia"/>
              </w:rPr>
              <w:t>贵金属投资</w:t>
            </w:r>
          </w:p>
        </w:tc>
        <w:tc>
          <w:tcPr>
            <w:tcW w:w="2214" w:type="dxa"/>
            <w:vAlign w:val="center"/>
          </w:tcPr>
          <w:p w14:paraId="3B557D1F">
            <w:pPr>
              <w:jc w:val="right"/>
            </w:pPr>
            <w:r>
              <w:rPr>
                <w:rFonts w:hint="eastAsia"/>
              </w:rPr>
              <w:t>-</w:t>
            </w:r>
          </w:p>
        </w:tc>
        <w:tc>
          <w:tcPr>
            <w:tcW w:w="2214" w:type="dxa"/>
            <w:vAlign w:val="center"/>
          </w:tcPr>
          <w:p w14:paraId="77DA92C3">
            <w:pPr>
              <w:jc w:val="right"/>
            </w:pPr>
            <w:r>
              <w:rPr>
                <w:rFonts w:hint="eastAsia"/>
              </w:rPr>
              <w:t>-</w:t>
            </w:r>
          </w:p>
        </w:tc>
      </w:tr>
      <w:tr w14:paraId="3CEBE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83EB247">
            <w:pPr>
              <w:jc w:val="center"/>
            </w:pPr>
            <w:r>
              <w:rPr>
                <w:rFonts w:hint="eastAsia"/>
              </w:rPr>
              <w:t>5</w:t>
            </w:r>
          </w:p>
        </w:tc>
        <w:tc>
          <w:tcPr>
            <w:tcW w:w="3211" w:type="dxa"/>
            <w:vAlign w:val="center"/>
          </w:tcPr>
          <w:p w14:paraId="70503F2B">
            <w:r>
              <w:rPr>
                <w:rFonts w:hint="eastAsia"/>
              </w:rPr>
              <w:t>金融衍生品投资</w:t>
            </w:r>
          </w:p>
        </w:tc>
        <w:tc>
          <w:tcPr>
            <w:tcW w:w="2214" w:type="dxa"/>
            <w:vAlign w:val="center"/>
          </w:tcPr>
          <w:p w14:paraId="168DD965">
            <w:pPr>
              <w:jc w:val="right"/>
            </w:pPr>
            <w:r>
              <w:rPr>
                <w:rFonts w:hint="eastAsia"/>
              </w:rPr>
              <w:t>-</w:t>
            </w:r>
          </w:p>
        </w:tc>
        <w:tc>
          <w:tcPr>
            <w:tcW w:w="2214" w:type="dxa"/>
            <w:vAlign w:val="center"/>
          </w:tcPr>
          <w:p w14:paraId="754C5A25">
            <w:pPr>
              <w:jc w:val="right"/>
            </w:pPr>
            <w:r>
              <w:rPr>
                <w:rFonts w:hint="eastAsia"/>
              </w:rPr>
              <w:t>-</w:t>
            </w:r>
          </w:p>
        </w:tc>
      </w:tr>
      <w:tr w14:paraId="2F764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193919B">
            <w:pPr>
              <w:jc w:val="center"/>
            </w:pPr>
            <w:r>
              <w:rPr>
                <w:rFonts w:hint="eastAsia"/>
              </w:rPr>
              <w:t>6</w:t>
            </w:r>
          </w:p>
        </w:tc>
        <w:tc>
          <w:tcPr>
            <w:tcW w:w="3211" w:type="dxa"/>
            <w:vAlign w:val="center"/>
          </w:tcPr>
          <w:p w14:paraId="5D0BAFF5">
            <w:r>
              <w:rPr>
                <w:rFonts w:hint="eastAsia"/>
              </w:rPr>
              <w:t>买入返售金融资产</w:t>
            </w:r>
          </w:p>
        </w:tc>
        <w:tc>
          <w:tcPr>
            <w:tcW w:w="2214" w:type="dxa"/>
            <w:vAlign w:val="center"/>
          </w:tcPr>
          <w:p w14:paraId="15974BC3">
            <w:pPr>
              <w:jc w:val="right"/>
            </w:pPr>
            <w:r>
              <w:rPr>
                <w:rFonts w:hint="eastAsia"/>
              </w:rPr>
              <w:t>-</w:t>
            </w:r>
          </w:p>
        </w:tc>
        <w:tc>
          <w:tcPr>
            <w:tcW w:w="2214" w:type="dxa"/>
            <w:vAlign w:val="center"/>
          </w:tcPr>
          <w:p w14:paraId="56D91F71">
            <w:pPr>
              <w:jc w:val="right"/>
            </w:pPr>
            <w:r>
              <w:rPr>
                <w:rFonts w:hint="eastAsia"/>
              </w:rPr>
              <w:t>-</w:t>
            </w:r>
          </w:p>
        </w:tc>
      </w:tr>
      <w:tr w14:paraId="4F04A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4B34859">
            <w:pPr>
              <w:jc w:val="center"/>
            </w:pPr>
          </w:p>
        </w:tc>
        <w:tc>
          <w:tcPr>
            <w:tcW w:w="3211" w:type="dxa"/>
            <w:vAlign w:val="center"/>
          </w:tcPr>
          <w:p w14:paraId="42DD913D">
            <w:r>
              <w:rPr>
                <w:rFonts w:hint="eastAsia"/>
              </w:rPr>
              <w:t>其中：买断式回购的买入返售金融资产</w:t>
            </w:r>
          </w:p>
        </w:tc>
        <w:tc>
          <w:tcPr>
            <w:tcW w:w="2214" w:type="dxa"/>
            <w:vAlign w:val="center"/>
          </w:tcPr>
          <w:p w14:paraId="4EE397AC">
            <w:pPr>
              <w:jc w:val="right"/>
            </w:pPr>
            <w:r>
              <w:rPr>
                <w:rFonts w:hint="eastAsia"/>
              </w:rPr>
              <w:t>-</w:t>
            </w:r>
          </w:p>
        </w:tc>
        <w:tc>
          <w:tcPr>
            <w:tcW w:w="2214" w:type="dxa"/>
            <w:vAlign w:val="center"/>
          </w:tcPr>
          <w:p w14:paraId="3F38162A">
            <w:pPr>
              <w:jc w:val="right"/>
            </w:pPr>
            <w:r>
              <w:rPr>
                <w:rFonts w:hint="eastAsia"/>
              </w:rPr>
              <w:t>-</w:t>
            </w:r>
          </w:p>
        </w:tc>
      </w:tr>
      <w:tr w14:paraId="3D55F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856A923">
            <w:pPr>
              <w:jc w:val="center"/>
            </w:pPr>
            <w:r>
              <w:rPr>
                <w:rFonts w:hint="eastAsia"/>
              </w:rPr>
              <w:t>7</w:t>
            </w:r>
          </w:p>
        </w:tc>
        <w:tc>
          <w:tcPr>
            <w:tcW w:w="3211" w:type="dxa"/>
            <w:vAlign w:val="center"/>
          </w:tcPr>
          <w:p w14:paraId="4A0BB596">
            <w:r>
              <w:rPr>
                <w:rFonts w:hint="eastAsia"/>
              </w:rPr>
              <w:t>银行存款和结算备付金合计</w:t>
            </w:r>
          </w:p>
        </w:tc>
        <w:tc>
          <w:tcPr>
            <w:tcW w:w="2214" w:type="dxa"/>
            <w:vAlign w:val="center"/>
          </w:tcPr>
          <w:p w14:paraId="49B9FC13">
            <w:pPr>
              <w:jc w:val="right"/>
            </w:pPr>
            <w:r>
              <w:rPr>
                <w:rFonts w:hint="eastAsia"/>
              </w:rPr>
              <w:t>19,243,160.76</w:t>
            </w:r>
          </w:p>
        </w:tc>
        <w:tc>
          <w:tcPr>
            <w:tcW w:w="2214" w:type="dxa"/>
            <w:vAlign w:val="center"/>
          </w:tcPr>
          <w:p w14:paraId="277DDFFB">
            <w:pPr>
              <w:jc w:val="right"/>
            </w:pPr>
            <w:r>
              <w:rPr>
                <w:rFonts w:hint="eastAsia"/>
              </w:rPr>
              <w:t>1.58</w:t>
            </w:r>
          </w:p>
        </w:tc>
      </w:tr>
      <w:tr w14:paraId="39EB8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F464BC4">
            <w:pPr>
              <w:jc w:val="center"/>
            </w:pPr>
            <w:r>
              <w:rPr>
                <w:rFonts w:hint="eastAsia"/>
              </w:rPr>
              <w:t>8</w:t>
            </w:r>
          </w:p>
        </w:tc>
        <w:tc>
          <w:tcPr>
            <w:tcW w:w="3211" w:type="dxa"/>
            <w:vAlign w:val="center"/>
          </w:tcPr>
          <w:p w14:paraId="308618CB">
            <w:r>
              <w:rPr>
                <w:rFonts w:hint="eastAsia"/>
              </w:rPr>
              <w:t>其他各项资产</w:t>
            </w:r>
          </w:p>
        </w:tc>
        <w:tc>
          <w:tcPr>
            <w:tcW w:w="2214" w:type="dxa"/>
            <w:vAlign w:val="center"/>
          </w:tcPr>
          <w:p w14:paraId="144005DE">
            <w:pPr>
              <w:jc w:val="right"/>
            </w:pPr>
            <w:r>
              <w:rPr>
                <w:rFonts w:hint="eastAsia"/>
              </w:rPr>
              <w:t>6,091.28</w:t>
            </w:r>
          </w:p>
        </w:tc>
        <w:tc>
          <w:tcPr>
            <w:tcW w:w="2214" w:type="dxa"/>
            <w:vAlign w:val="center"/>
          </w:tcPr>
          <w:p w14:paraId="7B327DF2">
            <w:pPr>
              <w:jc w:val="right"/>
            </w:pPr>
            <w:r>
              <w:rPr>
                <w:rFonts w:hint="eastAsia"/>
              </w:rPr>
              <w:t>0.00</w:t>
            </w:r>
          </w:p>
        </w:tc>
      </w:tr>
      <w:tr w14:paraId="2DC68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52BC1FF">
            <w:pPr>
              <w:jc w:val="center"/>
            </w:pPr>
            <w:r>
              <w:rPr>
                <w:rFonts w:hint="eastAsia"/>
              </w:rPr>
              <w:t>9</w:t>
            </w:r>
          </w:p>
        </w:tc>
        <w:tc>
          <w:tcPr>
            <w:tcW w:w="3211" w:type="dxa"/>
            <w:vAlign w:val="center"/>
          </w:tcPr>
          <w:p w14:paraId="4958A745">
            <w:r>
              <w:rPr>
                <w:rFonts w:hint="eastAsia"/>
              </w:rPr>
              <w:t>合计</w:t>
            </w:r>
          </w:p>
        </w:tc>
        <w:tc>
          <w:tcPr>
            <w:tcW w:w="2214" w:type="dxa"/>
            <w:vAlign w:val="center"/>
          </w:tcPr>
          <w:p w14:paraId="14E75F8D">
            <w:pPr>
              <w:jc w:val="right"/>
            </w:pPr>
            <w:r>
              <w:rPr>
                <w:rFonts w:hint="eastAsia"/>
              </w:rPr>
              <w:t>1,220,920,393.95</w:t>
            </w:r>
          </w:p>
        </w:tc>
        <w:tc>
          <w:tcPr>
            <w:tcW w:w="2214" w:type="dxa"/>
            <w:vAlign w:val="center"/>
          </w:tcPr>
          <w:p w14:paraId="01215BE1">
            <w:pPr>
              <w:jc w:val="right"/>
            </w:pPr>
            <w:r>
              <w:rPr>
                <w:rFonts w:hint="eastAsia"/>
              </w:rPr>
              <w:t>100.00</w:t>
            </w:r>
          </w:p>
        </w:tc>
      </w:tr>
    </w:tbl>
    <w:p w14:paraId="75022618">
      <w:pPr>
        <w:pStyle w:val="23"/>
      </w:pPr>
      <w:bookmarkStart w:id="154" w:name="_Toc17491"/>
      <w:r>
        <w:t>报告期末按行业分类的股票投资组合</w:t>
      </w:r>
      <w:bookmarkEnd w:id="154"/>
    </w:p>
    <w:p w14:paraId="58AD0FB5">
      <w:pPr>
        <w:pStyle w:val="28"/>
      </w:pPr>
      <w:bookmarkStart w:id="155" w:name="_Toc155"/>
      <w:r>
        <w:t>报告期末按行业分类的境内股票投资组合</w:t>
      </w:r>
      <w:bookmarkEnd w:id="155"/>
    </w:p>
    <w:p w14:paraId="2CE9CA3B">
      <w:pPr>
        <w:pStyle w:val="18"/>
        <w:rPr>
          <w:rFonts w:hint="eastAsia"/>
        </w:rPr>
      </w:pPr>
      <w:r>
        <w:rPr>
          <w:rFonts w:hint="eastAsia"/>
        </w:rPr>
        <w:t>无。</w:t>
      </w:r>
    </w:p>
    <w:p w14:paraId="14058146">
      <w:pPr>
        <w:pStyle w:val="28"/>
      </w:pPr>
      <w:bookmarkStart w:id="156" w:name="_Toc156"/>
      <w:r>
        <w:t>报告期末按行业分类的港股通投资股票投资组合</w:t>
      </w:r>
      <w:bookmarkEnd w:id="156"/>
    </w:p>
    <w:p w14:paraId="0E0B8BB0">
      <w:pPr>
        <w:pStyle w:val="18"/>
        <w:rPr>
          <w:rFonts w:hint="eastAsia"/>
        </w:rPr>
      </w:pPr>
      <w:r>
        <w:rPr>
          <w:rFonts w:hint="eastAsia"/>
        </w:rPr>
        <w:t>无。</w:t>
      </w:r>
    </w:p>
    <w:p w14:paraId="154DA81B">
      <w:pPr>
        <w:pStyle w:val="23"/>
      </w:pPr>
      <w:bookmarkStart w:id="157" w:name="_Toc25272"/>
      <w:r>
        <w:t>期末按公允价值占基金资产净值比例大小排序的所有股票投资明细</w:t>
      </w:r>
      <w:bookmarkEnd w:id="157"/>
    </w:p>
    <w:p w14:paraId="3AD55661">
      <w:pPr>
        <w:pStyle w:val="18"/>
        <w:rPr>
          <w:rFonts w:hint="eastAsia"/>
        </w:rPr>
      </w:pPr>
      <w:r>
        <w:rPr>
          <w:rFonts w:hint="eastAsia"/>
        </w:rPr>
        <w:t>无。</w:t>
      </w:r>
    </w:p>
    <w:p w14:paraId="104E4DE2">
      <w:pPr>
        <w:pStyle w:val="23"/>
      </w:pPr>
      <w:bookmarkStart w:id="158" w:name="_Toc8766"/>
      <w:r>
        <w:t>报告期内股票投资组合的重大变动</w:t>
      </w:r>
      <w:bookmarkEnd w:id="158"/>
    </w:p>
    <w:p w14:paraId="461CCC68">
      <w:pPr>
        <w:pStyle w:val="28"/>
      </w:pPr>
      <w:bookmarkStart w:id="159" w:name="_Toc159"/>
      <w:r>
        <w:t>累计买入金额超出期初基金资产净值2%或前20名的股票明细</w:t>
      </w:r>
      <w:bookmarkEnd w:id="159"/>
    </w:p>
    <w:p w14:paraId="090F966F">
      <w:pPr>
        <w:pStyle w:val="18"/>
        <w:rPr>
          <w:rFonts w:hint="eastAsia"/>
        </w:rPr>
      </w:pPr>
      <w:r>
        <w:rPr>
          <w:rFonts w:hint="eastAsia"/>
        </w:rPr>
        <w:t>无。</w:t>
      </w:r>
    </w:p>
    <w:p w14:paraId="47C47F90">
      <w:pPr>
        <w:pStyle w:val="28"/>
      </w:pPr>
      <w:bookmarkStart w:id="160" w:name="_Toc160"/>
      <w:r>
        <w:t>累计卖出金额超出期初基金资产净值2%或前20名的股票明细</w:t>
      </w:r>
      <w:bookmarkEnd w:id="160"/>
    </w:p>
    <w:p w14:paraId="648EC972">
      <w:pPr>
        <w:pStyle w:val="18"/>
        <w:rPr>
          <w:rFonts w:hint="eastAsia"/>
        </w:rPr>
      </w:pPr>
      <w:r>
        <w:rPr>
          <w:rFonts w:hint="eastAsia"/>
        </w:rPr>
        <w:t>无。</w:t>
      </w:r>
    </w:p>
    <w:p w14:paraId="7AF1C0B9">
      <w:pPr>
        <w:pStyle w:val="28"/>
      </w:pPr>
      <w:bookmarkStart w:id="161" w:name="_Toc161"/>
      <w:r>
        <w:t>买入股票的成本总额及卖出股票的收入总额</w:t>
      </w:r>
      <w:bookmarkEnd w:id="161"/>
    </w:p>
    <w:p w14:paraId="35EEE390">
      <w:pPr>
        <w:pStyle w:val="18"/>
        <w:rPr>
          <w:rFonts w:hint="eastAsia"/>
        </w:rPr>
      </w:pPr>
      <w:r>
        <w:rPr>
          <w:rFonts w:hint="eastAsia"/>
        </w:rPr>
        <w:t>无。</w:t>
      </w:r>
    </w:p>
    <w:p w14:paraId="2A763692">
      <w:pPr>
        <w:pStyle w:val="23"/>
      </w:pPr>
      <w:bookmarkStart w:id="162" w:name="_Toc21500"/>
      <w:r>
        <w:t>期末按债券品种分类的债券投资组合</w:t>
      </w:r>
      <w:bookmarkEnd w:id="162"/>
    </w:p>
    <w:p w14:paraId="5DDAB1F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33BAA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2C312ED0">
            <w:pPr>
              <w:jc w:val="center"/>
            </w:pPr>
            <w:r>
              <w:rPr>
                <w:rFonts w:hint="eastAsia"/>
                <w:b/>
              </w:rPr>
              <w:t>序号</w:t>
            </w:r>
          </w:p>
        </w:tc>
        <w:tc>
          <w:tcPr>
            <w:tcW w:w="2768" w:type="dxa"/>
            <w:shd w:val="clear" w:color="auto" w:fill="BFBFBF"/>
            <w:vAlign w:val="center"/>
          </w:tcPr>
          <w:p w14:paraId="4ACE740A">
            <w:pPr>
              <w:jc w:val="center"/>
            </w:pPr>
            <w:r>
              <w:rPr>
                <w:rFonts w:hint="eastAsia"/>
                <w:b/>
              </w:rPr>
              <w:t>债券品种</w:t>
            </w:r>
          </w:p>
        </w:tc>
        <w:tc>
          <w:tcPr>
            <w:tcW w:w="2408" w:type="dxa"/>
            <w:shd w:val="clear" w:color="auto" w:fill="BFBFBF"/>
            <w:vAlign w:val="center"/>
          </w:tcPr>
          <w:p w14:paraId="0C56A33E">
            <w:pPr>
              <w:jc w:val="center"/>
            </w:pPr>
            <w:r>
              <w:rPr>
                <w:rFonts w:hint="eastAsia"/>
                <w:b/>
              </w:rPr>
              <w:t>公允价值（元）</w:t>
            </w:r>
          </w:p>
        </w:tc>
        <w:tc>
          <w:tcPr>
            <w:tcW w:w="2497" w:type="dxa"/>
            <w:shd w:val="clear" w:color="auto" w:fill="BFBFBF"/>
            <w:vAlign w:val="center"/>
          </w:tcPr>
          <w:p w14:paraId="68A0D0CF">
            <w:pPr>
              <w:jc w:val="center"/>
            </w:pPr>
            <w:r>
              <w:rPr>
                <w:rFonts w:hint="eastAsia"/>
                <w:b/>
              </w:rPr>
              <w:t>占基金资产净值比例（％）</w:t>
            </w:r>
          </w:p>
        </w:tc>
      </w:tr>
      <w:tr w14:paraId="49E03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0C9BC4E">
            <w:pPr>
              <w:jc w:val="center"/>
            </w:pPr>
            <w:r>
              <w:rPr>
                <w:rFonts w:hint="eastAsia"/>
              </w:rPr>
              <w:t>1</w:t>
            </w:r>
          </w:p>
        </w:tc>
        <w:tc>
          <w:tcPr>
            <w:tcW w:w="2768" w:type="dxa"/>
            <w:vAlign w:val="center"/>
          </w:tcPr>
          <w:p w14:paraId="08E04831">
            <w:r>
              <w:rPr>
                <w:rFonts w:hint="eastAsia"/>
              </w:rPr>
              <w:t>国家债券</w:t>
            </w:r>
          </w:p>
        </w:tc>
        <w:tc>
          <w:tcPr>
            <w:tcW w:w="2408" w:type="dxa"/>
            <w:vAlign w:val="center"/>
          </w:tcPr>
          <w:p w14:paraId="35C69D19">
            <w:pPr>
              <w:jc w:val="right"/>
            </w:pPr>
            <w:r>
              <w:rPr>
                <w:rFonts w:hint="eastAsia"/>
              </w:rPr>
              <w:t>-</w:t>
            </w:r>
          </w:p>
        </w:tc>
        <w:tc>
          <w:tcPr>
            <w:tcW w:w="2497" w:type="dxa"/>
            <w:vAlign w:val="center"/>
          </w:tcPr>
          <w:p w14:paraId="0AB9B630">
            <w:pPr>
              <w:jc w:val="right"/>
            </w:pPr>
            <w:r>
              <w:rPr>
                <w:rFonts w:hint="eastAsia"/>
              </w:rPr>
              <w:t>-</w:t>
            </w:r>
          </w:p>
        </w:tc>
      </w:tr>
      <w:tr w14:paraId="452C5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0937E48">
            <w:pPr>
              <w:jc w:val="center"/>
            </w:pPr>
            <w:r>
              <w:rPr>
                <w:rFonts w:hint="eastAsia"/>
              </w:rPr>
              <w:t>2</w:t>
            </w:r>
          </w:p>
        </w:tc>
        <w:tc>
          <w:tcPr>
            <w:tcW w:w="2768" w:type="dxa"/>
            <w:vAlign w:val="center"/>
          </w:tcPr>
          <w:p w14:paraId="4E873963">
            <w:r>
              <w:rPr>
                <w:rFonts w:hint="eastAsia"/>
              </w:rPr>
              <w:t>央行票据</w:t>
            </w:r>
          </w:p>
        </w:tc>
        <w:tc>
          <w:tcPr>
            <w:tcW w:w="2408" w:type="dxa"/>
            <w:vAlign w:val="center"/>
          </w:tcPr>
          <w:p w14:paraId="7589AB80">
            <w:pPr>
              <w:jc w:val="right"/>
            </w:pPr>
            <w:r>
              <w:rPr>
                <w:rFonts w:hint="eastAsia"/>
              </w:rPr>
              <w:t>-</w:t>
            </w:r>
          </w:p>
        </w:tc>
        <w:tc>
          <w:tcPr>
            <w:tcW w:w="2497" w:type="dxa"/>
            <w:vAlign w:val="center"/>
          </w:tcPr>
          <w:p w14:paraId="3673983A">
            <w:pPr>
              <w:jc w:val="right"/>
            </w:pPr>
            <w:r>
              <w:rPr>
                <w:rFonts w:hint="eastAsia"/>
              </w:rPr>
              <w:t>-</w:t>
            </w:r>
          </w:p>
        </w:tc>
      </w:tr>
      <w:tr w14:paraId="5594D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5C225EC">
            <w:pPr>
              <w:jc w:val="center"/>
            </w:pPr>
            <w:r>
              <w:rPr>
                <w:rFonts w:hint="eastAsia"/>
              </w:rPr>
              <w:t>3</w:t>
            </w:r>
          </w:p>
        </w:tc>
        <w:tc>
          <w:tcPr>
            <w:tcW w:w="2768" w:type="dxa"/>
            <w:vAlign w:val="center"/>
          </w:tcPr>
          <w:p w14:paraId="4177E9CB">
            <w:r>
              <w:rPr>
                <w:rFonts w:hint="eastAsia"/>
              </w:rPr>
              <w:t>金融债券</w:t>
            </w:r>
          </w:p>
        </w:tc>
        <w:tc>
          <w:tcPr>
            <w:tcW w:w="2408" w:type="dxa"/>
            <w:vAlign w:val="center"/>
          </w:tcPr>
          <w:p w14:paraId="35F46224">
            <w:pPr>
              <w:jc w:val="right"/>
            </w:pPr>
            <w:r>
              <w:rPr>
                <w:rFonts w:hint="eastAsia"/>
              </w:rPr>
              <w:t>509,555,151.79</w:t>
            </w:r>
          </w:p>
        </w:tc>
        <w:tc>
          <w:tcPr>
            <w:tcW w:w="2497" w:type="dxa"/>
            <w:vAlign w:val="center"/>
          </w:tcPr>
          <w:p w14:paraId="6856DF28">
            <w:pPr>
              <w:jc w:val="right"/>
            </w:pPr>
            <w:r>
              <w:rPr>
                <w:rFonts w:hint="eastAsia"/>
              </w:rPr>
              <w:t>46.14</w:t>
            </w:r>
          </w:p>
        </w:tc>
      </w:tr>
      <w:tr w14:paraId="167D2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195FCE8">
            <w:pPr>
              <w:jc w:val="center"/>
            </w:pPr>
          </w:p>
        </w:tc>
        <w:tc>
          <w:tcPr>
            <w:tcW w:w="2768" w:type="dxa"/>
            <w:vAlign w:val="center"/>
          </w:tcPr>
          <w:p w14:paraId="6170CC9C">
            <w:r>
              <w:rPr>
                <w:rFonts w:hint="eastAsia"/>
              </w:rPr>
              <w:t>其中：政策性金融债</w:t>
            </w:r>
          </w:p>
        </w:tc>
        <w:tc>
          <w:tcPr>
            <w:tcW w:w="2408" w:type="dxa"/>
            <w:vAlign w:val="center"/>
          </w:tcPr>
          <w:p w14:paraId="774CB2F0">
            <w:pPr>
              <w:jc w:val="right"/>
            </w:pPr>
            <w:r>
              <w:rPr>
                <w:rFonts w:hint="eastAsia"/>
              </w:rPr>
              <w:t>358,258,397.26</w:t>
            </w:r>
          </w:p>
        </w:tc>
        <w:tc>
          <w:tcPr>
            <w:tcW w:w="2497" w:type="dxa"/>
            <w:vAlign w:val="center"/>
          </w:tcPr>
          <w:p w14:paraId="0D70C85A">
            <w:pPr>
              <w:jc w:val="right"/>
            </w:pPr>
            <w:r>
              <w:rPr>
                <w:rFonts w:hint="eastAsia"/>
              </w:rPr>
              <w:t>32.44</w:t>
            </w:r>
          </w:p>
        </w:tc>
      </w:tr>
      <w:tr w14:paraId="3D5C0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D40EFE0">
            <w:pPr>
              <w:jc w:val="center"/>
            </w:pPr>
            <w:r>
              <w:rPr>
                <w:rFonts w:hint="eastAsia"/>
              </w:rPr>
              <w:t>4</w:t>
            </w:r>
          </w:p>
        </w:tc>
        <w:tc>
          <w:tcPr>
            <w:tcW w:w="2768" w:type="dxa"/>
            <w:vAlign w:val="center"/>
          </w:tcPr>
          <w:p w14:paraId="66D10F63">
            <w:r>
              <w:rPr>
                <w:rFonts w:hint="eastAsia"/>
              </w:rPr>
              <w:t>企业债券</w:t>
            </w:r>
          </w:p>
        </w:tc>
        <w:tc>
          <w:tcPr>
            <w:tcW w:w="2408" w:type="dxa"/>
            <w:vAlign w:val="center"/>
          </w:tcPr>
          <w:p w14:paraId="4C51B8FB">
            <w:pPr>
              <w:jc w:val="right"/>
            </w:pPr>
            <w:r>
              <w:rPr>
                <w:rFonts w:hint="eastAsia"/>
              </w:rPr>
              <w:t>-</w:t>
            </w:r>
          </w:p>
        </w:tc>
        <w:tc>
          <w:tcPr>
            <w:tcW w:w="2497" w:type="dxa"/>
            <w:vAlign w:val="center"/>
          </w:tcPr>
          <w:p w14:paraId="033862E0">
            <w:pPr>
              <w:jc w:val="right"/>
            </w:pPr>
            <w:r>
              <w:rPr>
                <w:rFonts w:hint="eastAsia"/>
              </w:rPr>
              <w:t>-</w:t>
            </w:r>
          </w:p>
        </w:tc>
      </w:tr>
      <w:tr w14:paraId="08E02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9FCB70B">
            <w:pPr>
              <w:jc w:val="center"/>
            </w:pPr>
            <w:r>
              <w:rPr>
                <w:rFonts w:hint="eastAsia"/>
              </w:rPr>
              <w:t>5</w:t>
            </w:r>
          </w:p>
        </w:tc>
        <w:tc>
          <w:tcPr>
            <w:tcW w:w="2768" w:type="dxa"/>
            <w:vAlign w:val="center"/>
          </w:tcPr>
          <w:p w14:paraId="4EB7E414">
            <w:r>
              <w:rPr>
                <w:rFonts w:hint="eastAsia"/>
              </w:rPr>
              <w:t>企业短期融资券</w:t>
            </w:r>
          </w:p>
        </w:tc>
        <w:tc>
          <w:tcPr>
            <w:tcW w:w="2408" w:type="dxa"/>
            <w:vAlign w:val="center"/>
          </w:tcPr>
          <w:p w14:paraId="2870B1EA">
            <w:pPr>
              <w:jc w:val="right"/>
            </w:pPr>
            <w:r>
              <w:rPr>
                <w:rFonts w:hint="eastAsia"/>
              </w:rPr>
              <w:t>60,296,130.96</w:t>
            </w:r>
          </w:p>
        </w:tc>
        <w:tc>
          <w:tcPr>
            <w:tcW w:w="2497" w:type="dxa"/>
            <w:vAlign w:val="center"/>
          </w:tcPr>
          <w:p w14:paraId="0066C48C">
            <w:pPr>
              <w:jc w:val="right"/>
            </w:pPr>
            <w:r>
              <w:rPr>
                <w:rFonts w:hint="eastAsia"/>
              </w:rPr>
              <w:t>5.46</w:t>
            </w:r>
          </w:p>
        </w:tc>
      </w:tr>
      <w:tr w14:paraId="1EC7E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845E1E1">
            <w:pPr>
              <w:jc w:val="center"/>
            </w:pPr>
            <w:r>
              <w:rPr>
                <w:rFonts w:hint="eastAsia"/>
              </w:rPr>
              <w:t>6</w:t>
            </w:r>
          </w:p>
        </w:tc>
        <w:tc>
          <w:tcPr>
            <w:tcW w:w="2768" w:type="dxa"/>
            <w:vAlign w:val="center"/>
          </w:tcPr>
          <w:p w14:paraId="7F3BE05F">
            <w:r>
              <w:rPr>
                <w:rFonts w:hint="eastAsia"/>
              </w:rPr>
              <w:t>中期票据</w:t>
            </w:r>
          </w:p>
        </w:tc>
        <w:tc>
          <w:tcPr>
            <w:tcW w:w="2408" w:type="dxa"/>
            <w:vAlign w:val="center"/>
          </w:tcPr>
          <w:p w14:paraId="2E1FD693">
            <w:pPr>
              <w:jc w:val="right"/>
            </w:pPr>
            <w:r>
              <w:rPr>
                <w:rFonts w:hint="eastAsia"/>
              </w:rPr>
              <w:t>631,819,859.16</w:t>
            </w:r>
          </w:p>
        </w:tc>
        <w:tc>
          <w:tcPr>
            <w:tcW w:w="2497" w:type="dxa"/>
            <w:vAlign w:val="center"/>
          </w:tcPr>
          <w:p w14:paraId="02FBDF3F">
            <w:pPr>
              <w:jc w:val="right"/>
            </w:pPr>
            <w:r>
              <w:rPr>
                <w:rFonts w:hint="eastAsia"/>
              </w:rPr>
              <w:t>57.22</w:t>
            </w:r>
          </w:p>
        </w:tc>
      </w:tr>
      <w:tr w14:paraId="5CCB9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0945ED3">
            <w:pPr>
              <w:jc w:val="center"/>
            </w:pPr>
            <w:r>
              <w:rPr>
                <w:rFonts w:hint="eastAsia"/>
              </w:rPr>
              <w:t>7</w:t>
            </w:r>
          </w:p>
        </w:tc>
        <w:tc>
          <w:tcPr>
            <w:tcW w:w="2768" w:type="dxa"/>
            <w:vAlign w:val="center"/>
          </w:tcPr>
          <w:p w14:paraId="16EC74A5">
            <w:r>
              <w:rPr>
                <w:rFonts w:hint="eastAsia"/>
              </w:rPr>
              <w:t>可转债（可交换债）</w:t>
            </w:r>
          </w:p>
        </w:tc>
        <w:tc>
          <w:tcPr>
            <w:tcW w:w="2408" w:type="dxa"/>
            <w:vAlign w:val="center"/>
          </w:tcPr>
          <w:p w14:paraId="4511FED3">
            <w:pPr>
              <w:jc w:val="right"/>
            </w:pPr>
            <w:r>
              <w:rPr>
                <w:rFonts w:hint="eastAsia"/>
              </w:rPr>
              <w:t>-</w:t>
            </w:r>
          </w:p>
        </w:tc>
        <w:tc>
          <w:tcPr>
            <w:tcW w:w="2497" w:type="dxa"/>
            <w:vAlign w:val="center"/>
          </w:tcPr>
          <w:p w14:paraId="0D74B390">
            <w:pPr>
              <w:jc w:val="right"/>
            </w:pPr>
            <w:r>
              <w:rPr>
                <w:rFonts w:hint="eastAsia"/>
              </w:rPr>
              <w:t>-</w:t>
            </w:r>
          </w:p>
        </w:tc>
      </w:tr>
      <w:tr w14:paraId="0CE4C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26FE21C">
            <w:pPr>
              <w:jc w:val="center"/>
            </w:pPr>
            <w:r>
              <w:rPr>
                <w:rFonts w:hint="eastAsia"/>
              </w:rPr>
              <w:t>8</w:t>
            </w:r>
          </w:p>
        </w:tc>
        <w:tc>
          <w:tcPr>
            <w:tcW w:w="2768" w:type="dxa"/>
            <w:vAlign w:val="center"/>
          </w:tcPr>
          <w:p w14:paraId="0BFEB707">
            <w:r>
              <w:rPr>
                <w:rFonts w:hint="eastAsia"/>
              </w:rPr>
              <w:t>同业存单</w:t>
            </w:r>
          </w:p>
        </w:tc>
        <w:tc>
          <w:tcPr>
            <w:tcW w:w="2408" w:type="dxa"/>
            <w:vAlign w:val="center"/>
          </w:tcPr>
          <w:p w14:paraId="27815D08">
            <w:pPr>
              <w:jc w:val="right"/>
            </w:pPr>
            <w:r>
              <w:rPr>
                <w:rFonts w:hint="eastAsia"/>
              </w:rPr>
              <w:t>-</w:t>
            </w:r>
          </w:p>
        </w:tc>
        <w:tc>
          <w:tcPr>
            <w:tcW w:w="2497" w:type="dxa"/>
            <w:vAlign w:val="center"/>
          </w:tcPr>
          <w:p w14:paraId="028926E8">
            <w:pPr>
              <w:jc w:val="right"/>
            </w:pPr>
            <w:r>
              <w:rPr>
                <w:rFonts w:hint="eastAsia"/>
              </w:rPr>
              <w:t>-</w:t>
            </w:r>
          </w:p>
        </w:tc>
      </w:tr>
      <w:tr w14:paraId="3B2E8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B2EA478">
            <w:pPr>
              <w:jc w:val="center"/>
            </w:pPr>
            <w:r>
              <w:rPr>
                <w:rFonts w:hint="eastAsia"/>
              </w:rPr>
              <w:t>9</w:t>
            </w:r>
          </w:p>
        </w:tc>
        <w:tc>
          <w:tcPr>
            <w:tcW w:w="2768" w:type="dxa"/>
            <w:vAlign w:val="center"/>
          </w:tcPr>
          <w:p w14:paraId="308B610F">
            <w:r>
              <w:rPr>
                <w:rFonts w:hint="eastAsia"/>
              </w:rPr>
              <w:t>其他</w:t>
            </w:r>
          </w:p>
        </w:tc>
        <w:tc>
          <w:tcPr>
            <w:tcW w:w="2408" w:type="dxa"/>
            <w:vAlign w:val="center"/>
          </w:tcPr>
          <w:p w14:paraId="359DC27C">
            <w:pPr>
              <w:jc w:val="right"/>
            </w:pPr>
            <w:r>
              <w:rPr>
                <w:rFonts w:hint="eastAsia"/>
              </w:rPr>
              <w:t>-</w:t>
            </w:r>
          </w:p>
        </w:tc>
        <w:tc>
          <w:tcPr>
            <w:tcW w:w="2497" w:type="dxa"/>
            <w:vAlign w:val="center"/>
          </w:tcPr>
          <w:p w14:paraId="7B4DE471">
            <w:pPr>
              <w:jc w:val="right"/>
            </w:pPr>
            <w:r>
              <w:rPr>
                <w:rFonts w:hint="eastAsia"/>
              </w:rPr>
              <w:t>-</w:t>
            </w:r>
          </w:p>
        </w:tc>
      </w:tr>
      <w:tr w14:paraId="4EC56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3CDA421">
            <w:pPr>
              <w:jc w:val="center"/>
            </w:pPr>
            <w:r>
              <w:rPr>
                <w:rFonts w:hint="eastAsia"/>
              </w:rPr>
              <w:t>10</w:t>
            </w:r>
          </w:p>
        </w:tc>
        <w:tc>
          <w:tcPr>
            <w:tcW w:w="2768" w:type="dxa"/>
            <w:vAlign w:val="center"/>
          </w:tcPr>
          <w:p w14:paraId="06704F44">
            <w:r>
              <w:rPr>
                <w:rFonts w:hint="eastAsia"/>
              </w:rPr>
              <w:t>合计</w:t>
            </w:r>
          </w:p>
        </w:tc>
        <w:tc>
          <w:tcPr>
            <w:tcW w:w="2408" w:type="dxa"/>
            <w:vAlign w:val="center"/>
          </w:tcPr>
          <w:p w14:paraId="398471D4">
            <w:pPr>
              <w:jc w:val="right"/>
            </w:pPr>
            <w:r>
              <w:rPr>
                <w:rFonts w:hint="eastAsia"/>
              </w:rPr>
              <w:t>1,201,671,141.91</w:t>
            </w:r>
          </w:p>
        </w:tc>
        <w:tc>
          <w:tcPr>
            <w:tcW w:w="2497" w:type="dxa"/>
            <w:vAlign w:val="center"/>
          </w:tcPr>
          <w:p w14:paraId="49A1FA31">
            <w:pPr>
              <w:jc w:val="right"/>
            </w:pPr>
            <w:r>
              <w:rPr>
                <w:rFonts w:hint="eastAsia"/>
              </w:rPr>
              <w:t>108.82</w:t>
            </w:r>
          </w:p>
        </w:tc>
      </w:tr>
    </w:tbl>
    <w:p w14:paraId="3030B411">
      <w:pPr>
        <w:pStyle w:val="23"/>
      </w:pPr>
      <w:bookmarkStart w:id="163" w:name="_Toc27779"/>
      <w:r>
        <w:t>期末按公允价值占基金资产净值比例大小排序的前五名债券投资明细</w:t>
      </w:r>
      <w:bookmarkEnd w:id="163"/>
    </w:p>
    <w:p w14:paraId="23986E0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3F6B6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268B00F3">
            <w:pPr>
              <w:jc w:val="center"/>
            </w:pPr>
            <w:r>
              <w:rPr>
                <w:rFonts w:hint="eastAsia"/>
                <w:b/>
              </w:rPr>
              <w:t>序号</w:t>
            </w:r>
          </w:p>
        </w:tc>
        <w:tc>
          <w:tcPr>
            <w:tcW w:w="1135" w:type="dxa"/>
            <w:shd w:val="clear" w:color="auto" w:fill="BFBFBF"/>
            <w:vAlign w:val="center"/>
          </w:tcPr>
          <w:p w14:paraId="31751F52">
            <w:pPr>
              <w:jc w:val="center"/>
            </w:pPr>
            <w:r>
              <w:rPr>
                <w:rFonts w:hint="eastAsia"/>
                <w:b/>
              </w:rPr>
              <w:t>债券代码</w:t>
            </w:r>
          </w:p>
        </w:tc>
        <w:tc>
          <w:tcPr>
            <w:tcW w:w="1882" w:type="dxa"/>
            <w:shd w:val="clear" w:color="auto" w:fill="BFBFBF"/>
            <w:vAlign w:val="center"/>
          </w:tcPr>
          <w:p w14:paraId="12F5FF21">
            <w:pPr>
              <w:jc w:val="center"/>
            </w:pPr>
            <w:r>
              <w:rPr>
                <w:rFonts w:hint="eastAsia"/>
                <w:b/>
              </w:rPr>
              <w:t>债券名称</w:t>
            </w:r>
          </w:p>
        </w:tc>
        <w:tc>
          <w:tcPr>
            <w:tcW w:w="1113" w:type="dxa"/>
            <w:shd w:val="clear" w:color="auto" w:fill="BFBFBF"/>
            <w:vAlign w:val="center"/>
          </w:tcPr>
          <w:p w14:paraId="1B4778A5">
            <w:pPr>
              <w:jc w:val="center"/>
            </w:pPr>
            <w:r>
              <w:rPr>
                <w:rFonts w:hint="eastAsia"/>
                <w:b/>
              </w:rPr>
              <w:t>数量（张）</w:t>
            </w:r>
          </w:p>
        </w:tc>
        <w:tc>
          <w:tcPr>
            <w:tcW w:w="1771" w:type="dxa"/>
            <w:shd w:val="clear" w:color="auto" w:fill="BFBFBF"/>
            <w:vAlign w:val="center"/>
          </w:tcPr>
          <w:p w14:paraId="7C43233D">
            <w:pPr>
              <w:jc w:val="center"/>
            </w:pPr>
            <w:r>
              <w:rPr>
                <w:rFonts w:hint="eastAsia"/>
                <w:b/>
              </w:rPr>
              <w:t>公允价值（元）</w:t>
            </w:r>
          </w:p>
        </w:tc>
        <w:tc>
          <w:tcPr>
            <w:tcW w:w="1771" w:type="dxa"/>
            <w:shd w:val="clear" w:color="auto" w:fill="BFBFBF"/>
            <w:vAlign w:val="center"/>
          </w:tcPr>
          <w:p w14:paraId="52C99189">
            <w:pPr>
              <w:jc w:val="center"/>
            </w:pPr>
            <w:r>
              <w:rPr>
                <w:rFonts w:hint="eastAsia"/>
                <w:b/>
              </w:rPr>
              <w:t>占基金资产净值比例（％）</w:t>
            </w:r>
          </w:p>
        </w:tc>
      </w:tr>
      <w:tr w14:paraId="6405F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80EFC8D">
            <w:pPr>
              <w:jc w:val="center"/>
            </w:pPr>
            <w:r>
              <w:rPr>
                <w:rFonts w:hint="eastAsia"/>
              </w:rPr>
              <w:t>1</w:t>
            </w:r>
          </w:p>
        </w:tc>
        <w:tc>
          <w:tcPr>
            <w:tcW w:w="1135" w:type="dxa"/>
            <w:vAlign w:val="center"/>
          </w:tcPr>
          <w:p w14:paraId="1695BD98">
            <w:r>
              <w:rPr>
                <w:rFonts w:hint="eastAsia"/>
              </w:rPr>
              <w:t>230208</w:t>
            </w:r>
          </w:p>
        </w:tc>
        <w:tc>
          <w:tcPr>
            <w:tcW w:w="1882" w:type="dxa"/>
            <w:vAlign w:val="center"/>
          </w:tcPr>
          <w:p w14:paraId="0D913B29">
            <w:r>
              <w:rPr>
                <w:rFonts w:hint="eastAsia"/>
              </w:rPr>
              <w:t>23国开08</w:t>
            </w:r>
          </w:p>
        </w:tc>
        <w:tc>
          <w:tcPr>
            <w:tcW w:w="1113" w:type="dxa"/>
            <w:vAlign w:val="center"/>
          </w:tcPr>
          <w:p w14:paraId="26F15FB7">
            <w:pPr>
              <w:jc w:val="right"/>
            </w:pPr>
            <w:r>
              <w:rPr>
                <w:rFonts w:hint="eastAsia"/>
              </w:rPr>
              <w:t>1,000,000</w:t>
            </w:r>
          </w:p>
        </w:tc>
        <w:tc>
          <w:tcPr>
            <w:tcW w:w="1771" w:type="dxa"/>
            <w:vAlign w:val="center"/>
          </w:tcPr>
          <w:p w14:paraId="074D239E">
            <w:pPr>
              <w:jc w:val="right"/>
            </w:pPr>
            <w:r>
              <w:rPr>
                <w:rFonts w:hint="eastAsia"/>
              </w:rPr>
              <w:t>103,575,808.22</w:t>
            </w:r>
          </w:p>
        </w:tc>
        <w:tc>
          <w:tcPr>
            <w:tcW w:w="1771" w:type="dxa"/>
            <w:vAlign w:val="center"/>
          </w:tcPr>
          <w:p w14:paraId="0EE98072">
            <w:pPr>
              <w:jc w:val="right"/>
            </w:pPr>
            <w:r>
              <w:rPr>
                <w:rFonts w:hint="eastAsia"/>
              </w:rPr>
              <w:t>9.38</w:t>
            </w:r>
          </w:p>
        </w:tc>
      </w:tr>
      <w:tr w14:paraId="06533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0ADE6EE">
            <w:pPr>
              <w:jc w:val="center"/>
            </w:pPr>
            <w:r>
              <w:rPr>
                <w:rFonts w:hint="eastAsia"/>
              </w:rPr>
              <w:t>2</w:t>
            </w:r>
          </w:p>
        </w:tc>
        <w:tc>
          <w:tcPr>
            <w:tcW w:w="1135" w:type="dxa"/>
            <w:vAlign w:val="center"/>
          </w:tcPr>
          <w:p w14:paraId="6C921095">
            <w:r>
              <w:rPr>
                <w:rFonts w:hint="eastAsia"/>
              </w:rPr>
              <w:t>240303</w:t>
            </w:r>
          </w:p>
        </w:tc>
        <w:tc>
          <w:tcPr>
            <w:tcW w:w="1882" w:type="dxa"/>
            <w:vAlign w:val="center"/>
          </w:tcPr>
          <w:p w14:paraId="51196B44">
            <w:r>
              <w:rPr>
                <w:rFonts w:hint="eastAsia"/>
              </w:rPr>
              <w:t>24进出03</w:t>
            </w:r>
          </w:p>
        </w:tc>
        <w:tc>
          <w:tcPr>
            <w:tcW w:w="1113" w:type="dxa"/>
            <w:vAlign w:val="center"/>
          </w:tcPr>
          <w:p w14:paraId="71F8877C">
            <w:pPr>
              <w:jc w:val="right"/>
            </w:pPr>
            <w:r>
              <w:rPr>
                <w:rFonts w:hint="eastAsia"/>
              </w:rPr>
              <w:t>1,000,000</w:t>
            </w:r>
          </w:p>
        </w:tc>
        <w:tc>
          <w:tcPr>
            <w:tcW w:w="1771" w:type="dxa"/>
            <w:vAlign w:val="center"/>
          </w:tcPr>
          <w:p w14:paraId="5D5FF624">
            <w:pPr>
              <w:jc w:val="right"/>
            </w:pPr>
            <w:r>
              <w:rPr>
                <w:rFonts w:hint="eastAsia"/>
              </w:rPr>
              <w:t>101,963,808.22</w:t>
            </w:r>
          </w:p>
        </w:tc>
        <w:tc>
          <w:tcPr>
            <w:tcW w:w="1771" w:type="dxa"/>
            <w:vAlign w:val="center"/>
          </w:tcPr>
          <w:p w14:paraId="38869C49">
            <w:pPr>
              <w:jc w:val="right"/>
            </w:pPr>
            <w:r>
              <w:rPr>
                <w:rFonts w:hint="eastAsia"/>
              </w:rPr>
              <w:t>9.23</w:t>
            </w:r>
          </w:p>
        </w:tc>
      </w:tr>
      <w:tr w14:paraId="0AC5B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4F9EB17">
            <w:pPr>
              <w:jc w:val="center"/>
            </w:pPr>
            <w:r>
              <w:rPr>
                <w:rFonts w:hint="eastAsia"/>
              </w:rPr>
              <w:t>3</w:t>
            </w:r>
          </w:p>
        </w:tc>
        <w:tc>
          <w:tcPr>
            <w:tcW w:w="1135" w:type="dxa"/>
            <w:vAlign w:val="center"/>
          </w:tcPr>
          <w:p w14:paraId="228D6777">
            <w:r>
              <w:rPr>
                <w:rFonts w:hint="eastAsia"/>
              </w:rPr>
              <w:t>240413</w:t>
            </w:r>
          </w:p>
        </w:tc>
        <w:tc>
          <w:tcPr>
            <w:tcW w:w="1882" w:type="dxa"/>
            <w:vAlign w:val="center"/>
          </w:tcPr>
          <w:p w14:paraId="2876D59A">
            <w:r>
              <w:rPr>
                <w:rFonts w:hint="eastAsia"/>
              </w:rPr>
              <w:t>24农发13</w:t>
            </w:r>
          </w:p>
        </w:tc>
        <w:tc>
          <w:tcPr>
            <w:tcW w:w="1113" w:type="dxa"/>
            <w:vAlign w:val="center"/>
          </w:tcPr>
          <w:p w14:paraId="33A589B4">
            <w:pPr>
              <w:jc w:val="right"/>
            </w:pPr>
            <w:r>
              <w:rPr>
                <w:rFonts w:hint="eastAsia"/>
              </w:rPr>
              <w:t>1,000,000</w:t>
            </w:r>
          </w:p>
        </w:tc>
        <w:tc>
          <w:tcPr>
            <w:tcW w:w="1771" w:type="dxa"/>
            <w:vAlign w:val="center"/>
          </w:tcPr>
          <w:p w14:paraId="34307363">
            <w:pPr>
              <w:jc w:val="right"/>
            </w:pPr>
            <w:r>
              <w:rPr>
                <w:rFonts w:hint="eastAsia"/>
              </w:rPr>
              <w:t>101,088,904.11</w:t>
            </w:r>
          </w:p>
        </w:tc>
        <w:tc>
          <w:tcPr>
            <w:tcW w:w="1771" w:type="dxa"/>
            <w:vAlign w:val="center"/>
          </w:tcPr>
          <w:p w14:paraId="1BFD7FB7">
            <w:pPr>
              <w:jc w:val="right"/>
            </w:pPr>
            <w:r>
              <w:rPr>
                <w:rFonts w:hint="eastAsia"/>
              </w:rPr>
              <w:t>9.15</w:t>
            </w:r>
          </w:p>
        </w:tc>
      </w:tr>
      <w:tr w14:paraId="54F1F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DCA96D6">
            <w:pPr>
              <w:jc w:val="center"/>
            </w:pPr>
            <w:r>
              <w:rPr>
                <w:rFonts w:hint="eastAsia"/>
              </w:rPr>
              <w:t>4</w:t>
            </w:r>
          </w:p>
        </w:tc>
        <w:tc>
          <w:tcPr>
            <w:tcW w:w="1135" w:type="dxa"/>
            <w:vAlign w:val="center"/>
          </w:tcPr>
          <w:p w14:paraId="4D33EF92">
            <w:r>
              <w:rPr>
                <w:rFonts w:hint="eastAsia"/>
              </w:rPr>
              <w:t>102280326</w:t>
            </w:r>
          </w:p>
        </w:tc>
        <w:tc>
          <w:tcPr>
            <w:tcW w:w="1882" w:type="dxa"/>
            <w:vAlign w:val="center"/>
          </w:tcPr>
          <w:p w14:paraId="66687791">
            <w:r>
              <w:rPr>
                <w:rFonts w:hint="eastAsia"/>
              </w:rPr>
              <w:t>22恒健MTN002</w:t>
            </w:r>
          </w:p>
        </w:tc>
        <w:tc>
          <w:tcPr>
            <w:tcW w:w="1113" w:type="dxa"/>
            <w:vAlign w:val="center"/>
          </w:tcPr>
          <w:p w14:paraId="210F6C00">
            <w:pPr>
              <w:jc w:val="right"/>
            </w:pPr>
            <w:r>
              <w:rPr>
                <w:rFonts w:hint="eastAsia"/>
              </w:rPr>
              <w:t>500,000</w:t>
            </w:r>
          </w:p>
        </w:tc>
        <w:tc>
          <w:tcPr>
            <w:tcW w:w="1771" w:type="dxa"/>
            <w:vAlign w:val="center"/>
          </w:tcPr>
          <w:p w14:paraId="07856F8D">
            <w:pPr>
              <w:jc w:val="right"/>
            </w:pPr>
            <w:r>
              <w:rPr>
                <w:rFonts w:hint="eastAsia"/>
              </w:rPr>
              <w:t>52,446,454.79</w:t>
            </w:r>
          </w:p>
        </w:tc>
        <w:tc>
          <w:tcPr>
            <w:tcW w:w="1771" w:type="dxa"/>
            <w:vAlign w:val="center"/>
          </w:tcPr>
          <w:p w14:paraId="5C064B26">
            <w:pPr>
              <w:jc w:val="right"/>
            </w:pPr>
            <w:r>
              <w:rPr>
                <w:rFonts w:hint="eastAsia"/>
              </w:rPr>
              <w:t>4.75</w:t>
            </w:r>
          </w:p>
        </w:tc>
      </w:tr>
      <w:tr w14:paraId="05896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B9B30BE">
            <w:pPr>
              <w:jc w:val="center"/>
            </w:pPr>
            <w:r>
              <w:rPr>
                <w:rFonts w:hint="eastAsia"/>
              </w:rPr>
              <w:t>5</w:t>
            </w:r>
          </w:p>
        </w:tc>
        <w:tc>
          <w:tcPr>
            <w:tcW w:w="1135" w:type="dxa"/>
            <w:vAlign w:val="center"/>
          </w:tcPr>
          <w:p w14:paraId="6080DF20">
            <w:r>
              <w:rPr>
                <w:rFonts w:hint="eastAsia"/>
              </w:rPr>
              <w:t>102280453</w:t>
            </w:r>
          </w:p>
        </w:tc>
        <w:tc>
          <w:tcPr>
            <w:tcW w:w="1882" w:type="dxa"/>
            <w:vAlign w:val="center"/>
          </w:tcPr>
          <w:p w14:paraId="01E003BE">
            <w:r>
              <w:rPr>
                <w:rFonts w:hint="eastAsia"/>
              </w:rPr>
              <w:t>22国盛MTN002</w:t>
            </w:r>
          </w:p>
        </w:tc>
        <w:tc>
          <w:tcPr>
            <w:tcW w:w="1113" w:type="dxa"/>
            <w:vAlign w:val="center"/>
          </w:tcPr>
          <w:p w14:paraId="16B34CC3">
            <w:pPr>
              <w:jc w:val="right"/>
            </w:pPr>
            <w:r>
              <w:rPr>
                <w:rFonts w:hint="eastAsia"/>
              </w:rPr>
              <w:t>500,000</w:t>
            </w:r>
          </w:p>
        </w:tc>
        <w:tc>
          <w:tcPr>
            <w:tcW w:w="1771" w:type="dxa"/>
            <w:vAlign w:val="center"/>
          </w:tcPr>
          <w:p w14:paraId="55E71B60">
            <w:pPr>
              <w:jc w:val="right"/>
            </w:pPr>
            <w:r>
              <w:rPr>
                <w:rFonts w:hint="eastAsia"/>
              </w:rPr>
              <w:t>52,183,378.08</w:t>
            </w:r>
          </w:p>
        </w:tc>
        <w:tc>
          <w:tcPr>
            <w:tcW w:w="1771" w:type="dxa"/>
            <w:vAlign w:val="center"/>
          </w:tcPr>
          <w:p w14:paraId="47203556">
            <w:pPr>
              <w:jc w:val="right"/>
            </w:pPr>
            <w:r>
              <w:rPr>
                <w:rFonts w:hint="eastAsia"/>
              </w:rPr>
              <w:t>4.73</w:t>
            </w:r>
          </w:p>
        </w:tc>
      </w:tr>
    </w:tbl>
    <w:p w14:paraId="1D2CAE6F">
      <w:pPr>
        <w:pStyle w:val="23"/>
      </w:pPr>
      <w:bookmarkStart w:id="164" w:name="_Toc23964"/>
      <w:r>
        <w:t>期末按公允价值占基金资产净值比例大小排序的所有资产支持证券投资明细</w:t>
      </w:r>
      <w:bookmarkEnd w:id="164"/>
    </w:p>
    <w:p w14:paraId="1F714D88">
      <w:pPr>
        <w:pStyle w:val="18"/>
        <w:rPr>
          <w:rFonts w:hint="eastAsia"/>
        </w:rPr>
      </w:pPr>
      <w:r>
        <w:rPr>
          <w:rFonts w:hint="eastAsia"/>
        </w:rPr>
        <w:t>无。</w:t>
      </w:r>
    </w:p>
    <w:p w14:paraId="2DDD1B64">
      <w:pPr>
        <w:pStyle w:val="23"/>
      </w:pPr>
      <w:bookmarkStart w:id="165" w:name="_Toc20083"/>
      <w:r>
        <w:t>报告期末按公允价值占基金资产净值比例大小排序的前五名贵金属投资明细</w:t>
      </w:r>
      <w:bookmarkEnd w:id="165"/>
    </w:p>
    <w:p w14:paraId="1EF154E3">
      <w:pPr>
        <w:pStyle w:val="18"/>
        <w:rPr>
          <w:rFonts w:hint="eastAsia"/>
        </w:rPr>
      </w:pPr>
      <w:r>
        <w:rPr>
          <w:rFonts w:hint="eastAsia"/>
        </w:rPr>
        <w:t>无。</w:t>
      </w:r>
    </w:p>
    <w:p w14:paraId="096F5136">
      <w:pPr>
        <w:pStyle w:val="23"/>
      </w:pPr>
      <w:bookmarkStart w:id="166" w:name="_Toc4856"/>
      <w:r>
        <w:t>期末按公允价值占基金资产净值比例大小排序的前五名权证投资明细</w:t>
      </w:r>
      <w:bookmarkEnd w:id="166"/>
    </w:p>
    <w:p w14:paraId="5187083F">
      <w:pPr>
        <w:pStyle w:val="18"/>
        <w:rPr>
          <w:rFonts w:hint="eastAsia"/>
        </w:rPr>
      </w:pPr>
      <w:r>
        <w:rPr>
          <w:rFonts w:hint="eastAsia"/>
        </w:rPr>
        <w:t>无。</w:t>
      </w:r>
    </w:p>
    <w:p w14:paraId="1503DDED">
      <w:pPr>
        <w:pStyle w:val="23"/>
      </w:pPr>
      <w:bookmarkStart w:id="167" w:name="_Toc5629"/>
      <w:r>
        <w:t>本基金投资股指期货的投资政策</w:t>
      </w:r>
      <w:bookmarkEnd w:id="167"/>
    </w:p>
    <w:p w14:paraId="47EBEA58">
      <w:pPr>
        <w:pStyle w:val="18"/>
        <w:rPr>
          <w:rFonts w:hint="eastAsia"/>
        </w:rPr>
      </w:pPr>
      <w:r>
        <w:rPr>
          <w:rFonts w:hint="eastAsia"/>
        </w:rPr>
        <w:t>无。</w:t>
      </w:r>
    </w:p>
    <w:p w14:paraId="7CB61932">
      <w:pPr>
        <w:pStyle w:val="23"/>
      </w:pPr>
      <w:bookmarkStart w:id="168" w:name="_Toc6693"/>
      <w:r>
        <w:t>报告期末本基金投资的国债期货交易情况说明</w:t>
      </w:r>
      <w:bookmarkEnd w:id="168"/>
    </w:p>
    <w:p w14:paraId="1AF96091">
      <w:pPr>
        <w:pStyle w:val="28"/>
      </w:pPr>
      <w:bookmarkStart w:id="169" w:name="_Toc169"/>
      <w:r>
        <w:t>本期国债期货投资政策</w:t>
      </w:r>
      <w:bookmarkEnd w:id="169"/>
    </w:p>
    <w:p w14:paraId="173A65F5">
      <w:pPr>
        <w:pStyle w:val="18"/>
        <w:rPr>
          <w:rFonts w:hint="eastAsia"/>
        </w:rPr>
      </w:pPr>
      <w:r>
        <w:rPr>
          <w:rFonts w:hint="eastAsia"/>
        </w:rPr>
        <w:t>无。</w:t>
      </w:r>
    </w:p>
    <w:p w14:paraId="5B911977">
      <w:pPr>
        <w:pStyle w:val="28"/>
      </w:pPr>
      <w:bookmarkStart w:id="170" w:name="_Toc170"/>
      <w:r>
        <w:t>本期国债期货投资评价</w:t>
      </w:r>
      <w:bookmarkEnd w:id="170"/>
    </w:p>
    <w:p w14:paraId="659B91D5">
      <w:pPr>
        <w:pStyle w:val="18"/>
        <w:rPr>
          <w:rFonts w:hint="eastAsia"/>
        </w:rPr>
      </w:pPr>
      <w:r>
        <w:rPr>
          <w:rFonts w:hint="eastAsia"/>
        </w:rPr>
        <w:t>无。</w:t>
      </w:r>
    </w:p>
    <w:p w14:paraId="6B584D31">
      <w:pPr>
        <w:pStyle w:val="23"/>
      </w:pPr>
      <w:bookmarkStart w:id="171" w:name="_Toc10551"/>
      <w:r>
        <w:t>投资组合报告附注</w:t>
      </w:r>
      <w:bookmarkEnd w:id="171"/>
    </w:p>
    <w:p w14:paraId="0814598E">
      <w:pPr>
        <w:pStyle w:val="28"/>
      </w:pPr>
      <w:bookmarkStart w:id="172" w:name="_Toc172"/>
      <w:r>
        <w:t>声明本基金投资的前十名证券的发行主体本期是否出现被监管部门立案调查，或在报告编制日前一年内受到公开谴责、处罚的情形。如是，还应对相关证券的投资决策程序做出说明</w:t>
      </w:r>
      <w:bookmarkEnd w:id="172"/>
    </w:p>
    <w:p w14:paraId="32091179">
      <w:pPr>
        <w:pStyle w:val="18"/>
        <w:rPr>
          <w:rFonts w:hint="eastAsia"/>
        </w:rPr>
      </w:pPr>
      <w:r>
        <w:rPr>
          <w:rFonts w:hint="eastAsia"/>
        </w:rPr>
        <w:t>本基金投资的前十名证券的发行主体中，国家开发银行在报告编制日前一年内曾受到中国人民银行的处罚；中国进出口银行在报告编制日前一年内曾受到国家金融监督管理总局的处罚；中国农业发展银行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14:paraId="6DB4A3A8">
      <w:pPr>
        <w:pStyle w:val="18"/>
        <w:rPr>
          <w:rFonts w:hint="eastAsia"/>
        </w:rPr>
      </w:pPr>
      <w:r>
        <w:rPr>
          <w:rFonts w:hint="eastAsia"/>
        </w:rPr>
        <w:t>对上述证券的投资决策程序的说明：本基金投资上述证券的投资决策程序符合相关法律法规和公司制度的要求。</w:t>
      </w:r>
    </w:p>
    <w:p w14:paraId="0C296406">
      <w:pPr>
        <w:pStyle w:val="28"/>
      </w:pPr>
      <w:bookmarkStart w:id="173" w:name="_Toc173"/>
      <w:r>
        <w:t xml:space="preserve">声明基金投资的前十名股票是否超出基金合同规定的备选股票库。如是，还应对相关股票的投资决策程序做出说明 </w:t>
      </w:r>
      <w:bookmarkEnd w:id="173"/>
    </w:p>
    <w:p w14:paraId="4BB03715">
      <w:pPr>
        <w:pStyle w:val="18"/>
        <w:rPr>
          <w:rFonts w:hint="eastAsia"/>
        </w:rPr>
      </w:pPr>
      <w:r>
        <w:rPr>
          <w:rFonts w:hint="eastAsia"/>
        </w:rPr>
        <w:t>本基金投资的前十名股票（如有）没有超出基金合同规定的备选股票库，本基金管理人从制度和流程上要求股票必须先入库再买入。</w:t>
      </w:r>
    </w:p>
    <w:p w14:paraId="1B613372">
      <w:pPr>
        <w:pStyle w:val="28"/>
      </w:pPr>
      <w:bookmarkStart w:id="174" w:name="_Toc174"/>
      <w:r>
        <w:t>期末其他各项资产构成</w:t>
      </w:r>
      <w:bookmarkEnd w:id="174"/>
    </w:p>
    <w:p w14:paraId="2F4B8AC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6C6FC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0B335887">
            <w:pPr>
              <w:jc w:val="center"/>
            </w:pPr>
            <w:r>
              <w:rPr>
                <w:rFonts w:hint="eastAsia"/>
                <w:b/>
              </w:rPr>
              <w:t>序号</w:t>
            </w:r>
          </w:p>
        </w:tc>
        <w:tc>
          <w:tcPr>
            <w:tcW w:w="2907" w:type="dxa"/>
            <w:shd w:val="clear" w:color="auto" w:fill="BFBFBF"/>
            <w:vAlign w:val="center"/>
          </w:tcPr>
          <w:p w14:paraId="4ABF165F">
            <w:pPr>
              <w:jc w:val="center"/>
            </w:pPr>
            <w:r>
              <w:rPr>
                <w:rFonts w:hint="eastAsia"/>
                <w:b/>
              </w:rPr>
              <w:t>名称</w:t>
            </w:r>
          </w:p>
        </w:tc>
        <w:tc>
          <w:tcPr>
            <w:tcW w:w="4673" w:type="dxa"/>
            <w:shd w:val="clear" w:color="auto" w:fill="BFBFBF"/>
            <w:vAlign w:val="center"/>
          </w:tcPr>
          <w:p w14:paraId="6048B491">
            <w:pPr>
              <w:jc w:val="center"/>
            </w:pPr>
            <w:r>
              <w:rPr>
                <w:rFonts w:hint="eastAsia"/>
                <w:b/>
              </w:rPr>
              <w:t>金额（元）</w:t>
            </w:r>
          </w:p>
        </w:tc>
      </w:tr>
      <w:tr w14:paraId="011F9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0B7D9B3">
            <w:pPr>
              <w:jc w:val="center"/>
            </w:pPr>
            <w:r>
              <w:rPr>
                <w:rFonts w:hint="eastAsia"/>
              </w:rPr>
              <w:t>1</w:t>
            </w:r>
          </w:p>
        </w:tc>
        <w:tc>
          <w:tcPr>
            <w:tcW w:w="2907" w:type="dxa"/>
            <w:vAlign w:val="center"/>
          </w:tcPr>
          <w:p w14:paraId="308B27DC">
            <w:r>
              <w:rPr>
                <w:rFonts w:hint="eastAsia"/>
              </w:rPr>
              <w:t>存出保证金</w:t>
            </w:r>
          </w:p>
        </w:tc>
        <w:tc>
          <w:tcPr>
            <w:tcW w:w="4673" w:type="dxa"/>
            <w:vAlign w:val="center"/>
          </w:tcPr>
          <w:p w14:paraId="524D1579">
            <w:pPr>
              <w:jc w:val="right"/>
            </w:pPr>
            <w:r>
              <w:rPr>
                <w:rFonts w:hint="eastAsia"/>
              </w:rPr>
              <w:t>6,091.28</w:t>
            </w:r>
          </w:p>
        </w:tc>
      </w:tr>
      <w:tr w14:paraId="1B1CB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D6816F9">
            <w:pPr>
              <w:jc w:val="center"/>
            </w:pPr>
            <w:r>
              <w:rPr>
                <w:rFonts w:hint="eastAsia"/>
              </w:rPr>
              <w:t>2</w:t>
            </w:r>
          </w:p>
        </w:tc>
        <w:tc>
          <w:tcPr>
            <w:tcW w:w="2907" w:type="dxa"/>
            <w:vAlign w:val="center"/>
          </w:tcPr>
          <w:p w14:paraId="4826E552">
            <w:r>
              <w:rPr>
                <w:rFonts w:hint="eastAsia"/>
              </w:rPr>
              <w:t>应收清算款</w:t>
            </w:r>
          </w:p>
        </w:tc>
        <w:tc>
          <w:tcPr>
            <w:tcW w:w="4673" w:type="dxa"/>
            <w:vAlign w:val="center"/>
          </w:tcPr>
          <w:p w14:paraId="4CF14CB3">
            <w:pPr>
              <w:jc w:val="right"/>
            </w:pPr>
            <w:r>
              <w:rPr>
                <w:rFonts w:hint="eastAsia"/>
              </w:rPr>
              <w:t>-</w:t>
            </w:r>
          </w:p>
        </w:tc>
      </w:tr>
      <w:tr w14:paraId="37A58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BA4BB15">
            <w:pPr>
              <w:jc w:val="center"/>
            </w:pPr>
            <w:r>
              <w:rPr>
                <w:rFonts w:hint="eastAsia"/>
              </w:rPr>
              <w:t>3</w:t>
            </w:r>
          </w:p>
        </w:tc>
        <w:tc>
          <w:tcPr>
            <w:tcW w:w="2907" w:type="dxa"/>
            <w:vAlign w:val="center"/>
          </w:tcPr>
          <w:p w14:paraId="376EB19B">
            <w:r>
              <w:rPr>
                <w:rFonts w:hint="eastAsia"/>
              </w:rPr>
              <w:t>应收股利</w:t>
            </w:r>
          </w:p>
        </w:tc>
        <w:tc>
          <w:tcPr>
            <w:tcW w:w="4673" w:type="dxa"/>
            <w:vAlign w:val="center"/>
          </w:tcPr>
          <w:p w14:paraId="7F2BC64F">
            <w:pPr>
              <w:jc w:val="right"/>
            </w:pPr>
            <w:r>
              <w:rPr>
                <w:rFonts w:hint="eastAsia"/>
              </w:rPr>
              <w:t>-</w:t>
            </w:r>
          </w:p>
        </w:tc>
      </w:tr>
      <w:tr w14:paraId="33594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00E93C0">
            <w:pPr>
              <w:jc w:val="center"/>
            </w:pPr>
            <w:r>
              <w:rPr>
                <w:rFonts w:hint="eastAsia"/>
              </w:rPr>
              <w:t>4</w:t>
            </w:r>
          </w:p>
        </w:tc>
        <w:tc>
          <w:tcPr>
            <w:tcW w:w="2907" w:type="dxa"/>
            <w:vAlign w:val="center"/>
          </w:tcPr>
          <w:p w14:paraId="4B911D91">
            <w:r>
              <w:rPr>
                <w:rFonts w:hint="eastAsia"/>
              </w:rPr>
              <w:t>应收利息</w:t>
            </w:r>
          </w:p>
        </w:tc>
        <w:tc>
          <w:tcPr>
            <w:tcW w:w="4673" w:type="dxa"/>
            <w:vAlign w:val="center"/>
          </w:tcPr>
          <w:p w14:paraId="7D46C3E8">
            <w:pPr>
              <w:jc w:val="right"/>
            </w:pPr>
            <w:r>
              <w:rPr>
                <w:rFonts w:hint="eastAsia"/>
              </w:rPr>
              <w:t>-</w:t>
            </w:r>
          </w:p>
        </w:tc>
      </w:tr>
      <w:tr w14:paraId="73ED1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47242B5">
            <w:pPr>
              <w:jc w:val="center"/>
            </w:pPr>
            <w:r>
              <w:rPr>
                <w:rFonts w:hint="eastAsia"/>
              </w:rPr>
              <w:t>5</w:t>
            </w:r>
          </w:p>
        </w:tc>
        <w:tc>
          <w:tcPr>
            <w:tcW w:w="2907" w:type="dxa"/>
            <w:vAlign w:val="center"/>
          </w:tcPr>
          <w:p w14:paraId="03CF7D90">
            <w:r>
              <w:rPr>
                <w:rFonts w:hint="eastAsia"/>
              </w:rPr>
              <w:t>应收申购款</w:t>
            </w:r>
          </w:p>
        </w:tc>
        <w:tc>
          <w:tcPr>
            <w:tcW w:w="4673" w:type="dxa"/>
            <w:vAlign w:val="center"/>
          </w:tcPr>
          <w:p w14:paraId="6EEDE7EF">
            <w:pPr>
              <w:jc w:val="right"/>
            </w:pPr>
            <w:r>
              <w:rPr>
                <w:rFonts w:hint="eastAsia"/>
              </w:rPr>
              <w:t>-</w:t>
            </w:r>
          </w:p>
        </w:tc>
      </w:tr>
      <w:tr w14:paraId="37FC5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73D81D2">
            <w:pPr>
              <w:jc w:val="center"/>
            </w:pPr>
            <w:r>
              <w:rPr>
                <w:rFonts w:hint="eastAsia"/>
              </w:rPr>
              <w:t>6</w:t>
            </w:r>
          </w:p>
        </w:tc>
        <w:tc>
          <w:tcPr>
            <w:tcW w:w="2907" w:type="dxa"/>
            <w:vAlign w:val="center"/>
          </w:tcPr>
          <w:p w14:paraId="78B8C7C6">
            <w:r>
              <w:rPr>
                <w:rFonts w:hint="eastAsia"/>
              </w:rPr>
              <w:t>其他应收款</w:t>
            </w:r>
          </w:p>
        </w:tc>
        <w:tc>
          <w:tcPr>
            <w:tcW w:w="4673" w:type="dxa"/>
            <w:vAlign w:val="center"/>
          </w:tcPr>
          <w:p w14:paraId="52EF71FB">
            <w:pPr>
              <w:jc w:val="right"/>
            </w:pPr>
            <w:r>
              <w:rPr>
                <w:rFonts w:hint="eastAsia"/>
              </w:rPr>
              <w:t>-</w:t>
            </w:r>
          </w:p>
        </w:tc>
      </w:tr>
      <w:tr w14:paraId="2F7FA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4CC56AD">
            <w:pPr>
              <w:jc w:val="center"/>
            </w:pPr>
            <w:r>
              <w:rPr>
                <w:rFonts w:hint="eastAsia"/>
              </w:rPr>
              <w:t>7</w:t>
            </w:r>
          </w:p>
        </w:tc>
        <w:tc>
          <w:tcPr>
            <w:tcW w:w="2907" w:type="dxa"/>
            <w:vAlign w:val="center"/>
          </w:tcPr>
          <w:p w14:paraId="6B353FA1">
            <w:r>
              <w:rPr>
                <w:rFonts w:hint="eastAsia"/>
              </w:rPr>
              <w:t>待摊费用</w:t>
            </w:r>
          </w:p>
        </w:tc>
        <w:tc>
          <w:tcPr>
            <w:tcW w:w="4673" w:type="dxa"/>
            <w:vAlign w:val="center"/>
          </w:tcPr>
          <w:p w14:paraId="7EC8581A">
            <w:pPr>
              <w:jc w:val="right"/>
            </w:pPr>
            <w:r>
              <w:rPr>
                <w:rFonts w:hint="eastAsia"/>
              </w:rPr>
              <w:t>-</w:t>
            </w:r>
          </w:p>
        </w:tc>
      </w:tr>
      <w:tr w14:paraId="11FEB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30EB875">
            <w:pPr>
              <w:jc w:val="center"/>
            </w:pPr>
            <w:r>
              <w:rPr>
                <w:rFonts w:hint="eastAsia"/>
              </w:rPr>
              <w:t>8</w:t>
            </w:r>
          </w:p>
        </w:tc>
        <w:tc>
          <w:tcPr>
            <w:tcW w:w="2907" w:type="dxa"/>
            <w:vAlign w:val="center"/>
          </w:tcPr>
          <w:p w14:paraId="3947B9BB">
            <w:r>
              <w:rPr>
                <w:rFonts w:hint="eastAsia"/>
              </w:rPr>
              <w:t>其他</w:t>
            </w:r>
          </w:p>
        </w:tc>
        <w:tc>
          <w:tcPr>
            <w:tcW w:w="4673" w:type="dxa"/>
            <w:vAlign w:val="center"/>
          </w:tcPr>
          <w:p w14:paraId="1D2BD73F">
            <w:pPr>
              <w:jc w:val="right"/>
            </w:pPr>
            <w:r>
              <w:rPr>
                <w:rFonts w:hint="eastAsia"/>
              </w:rPr>
              <w:t>-</w:t>
            </w:r>
          </w:p>
        </w:tc>
      </w:tr>
      <w:tr w14:paraId="68AE7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FECCDF9">
            <w:pPr>
              <w:jc w:val="center"/>
            </w:pPr>
            <w:r>
              <w:rPr>
                <w:rFonts w:hint="eastAsia"/>
              </w:rPr>
              <w:t>9</w:t>
            </w:r>
          </w:p>
        </w:tc>
        <w:tc>
          <w:tcPr>
            <w:tcW w:w="2907" w:type="dxa"/>
            <w:vAlign w:val="center"/>
          </w:tcPr>
          <w:p w14:paraId="604205B4">
            <w:r>
              <w:rPr>
                <w:rFonts w:hint="eastAsia"/>
              </w:rPr>
              <w:t>合计</w:t>
            </w:r>
          </w:p>
        </w:tc>
        <w:tc>
          <w:tcPr>
            <w:tcW w:w="4673" w:type="dxa"/>
            <w:vAlign w:val="center"/>
          </w:tcPr>
          <w:p w14:paraId="0D052BD8">
            <w:pPr>
              <w:jc w:val="right"/>
            </w:pPr>
            <w:r>
              <w:rPr>
                <w:rFonts w:hint="eastAsia"/>
              </w:rPr>
              <w:t>6,091.28</w:t>
            </w:r>
          </w:p>
        </w:tc>
      </w:tr>
    </w:tbl>
    <w:p w14:paraId="2CE7875D">
      <w:pPr>
        <w:pStyle w:val="28"/>
      </w:pPr>
      <w:bookmarkStart w:id="175" w:name="_Toc175"/>
      <w:r>
        <w:t>期末持有的处于转股期的可转换债券明细</w:t>
      </w:r>
      <w:bookmarkEnd w:id="175"/>
    </w:p>
    <w:p w14:paraId="5AD2977A">
      <w:pPr>
        <w:pStyle w:val="18"/>
        <w:rPr>
          <w:rFonts w:hint="eastAsia"/>
        </w:rPr>
      </w:pPr>
      <w:r>
        <w:rPr>
          <w:rFonts w:hint="eastAsia"/>
        </w:rPr>
        <w:t>本基金本报告期末未持有处于转股期的可转换债券。</w:t>
      </w:r>
    </w:p>
    <w:p w14:paraId="63CB93B6">
      <w:pPr>
        <w:pStyle w:val="28"/>
      </w:pPr>
      <w:bookmarkStart w:id="176" w:name="_Toc176"/>
      <w:r>
        <w:t>报告期末前十名股票中存在流通受限情况的说明</w:t>
      </w:r>
      <w:bookmarkEnd w:id="176"/>
    </w:p>
    <w:p w14:paraId="0986FDDE">
      <w:pPr>
        <w:pStyle w:val="18"/>
        <w:rPr>
          <w:rFonts w:hint="eastAsia"/>
        </w:rPr>
      </w:pPr>
      <w:r>
        <w:rPr>
          <w:rFonts w:hint="eastAsia"/>
        </w:rPr>
        <w:t>无。</w:t>
      </w:r>
    </w:p>
    <w:p w14:paraId="4CECEB09">
      <w:pPr>
        <w:pStyle w:val="26"/>
      </w:pPr>
      <w:bookmarkStart w:id="177" w:name="_Toc8145"/>
      <w:r>
        <w:t>基金份额持有人信息</w:t>
      </w:r>
      <w:bookmarkEnd w:id="177"/>
    </w:p>
    <w:p w14:paraId="65542048">
      <w:pPr>
        <w:pStyle w:val="23"/>
      </w:pPr>
      <w:bookmarkStart w:id="178" w:name="_Toc11590"/>
      <w:r>
        <w:t>期末基金份额持有人户数及持有人结构</w:t>
      </w:r>
      <w:bookmarkEnd w:id="178"/>
    </w:p>
    <w:p w14:paraId="2852BF5E">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1960"/>
        <w:gridCol w:w="2063"/>
        <w:gridCol w:w="773"/>
        <w:gridCol w:w="2063"/>
        <w:gridCol w:w="773"/>
      </w:tblGrid>
      <w:tr w14:paraId="2D477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restart"/>
            <w:shd w:val="clear" w:color="auto" w:fill="BFBFBF"/>
            <w:vAlign w:val="center"/>
          </w:tcPr>
          <w:p w14:paraId="1E5983BF">
            <w:pPr>
              <w:jc w:val="center"/>
            </w:pPr>
            <w:r>
              <w:rPr>
                <w:rFonts w:hint="eastAsia"/>
                <w:b/>
              </w:rPr>
              <w:t>持有人户数（户）</w:t>
            </w:r>
          </w:p>
        </w:tc>
        <w:tc>
          <w:tcPr>
            <w:tcW w:w="1960" w:type="dxa"/>
            <w:vMerge w:val="restart"/>
            <w:shd w:val="clear" w:color="auto" w:fill="BFBFBF"/>
            <w:vAlign w:val="center"/>
          </w:tcPr>
          <w:p w14:paraId="6693420C">
            <w:pPr>
              <w:jc w:val="center"/>
            </w:pPr>
            <w:r>
              <w:rPr>
                <w:rFonts w:hint="eastAsia"/>
                <w:b/>
              </w:rPr>
              <w:t>户均持有的基金份额</w:t>
            </w:r>
          </w:p>
        </w:tc>
        <w:tc>
          <w:tcPr>
            <w:tcW w:w="2063" w:type="dxa"/>
            <w:gridSpan w:val="4"/>
            <w:shd w:val="clear" w:color="auto" w:fill="BFBFBF"/>
            <w:vAlign w:val="center"/>
          </w:tcPr>
          <w:p w14:paraId="5E4B8A87">
            <w:pPr>
              <w:jc w:val="center"/>
            </w:pPr>
            <w:r>
              <w:rPr>
                <w:rFonts w:hint="eastAsia"/>
                <w:b/>
              </w:rPr>
              <w:t>持有人结构</w:t>
            </w:r>
          </w:p>
        </w:tc>
      </w:tr>
      <w:tr w14:paraId="5CD6B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vAlign w:val="center"/>
          </w:tcPr>
          <w:p w14:paraId="1CBFCF2A"/>
        </w:tc>
        <w:tc>
          <w:tcPr>
            <w:tcW w:w="1960" w:type="dxa"/>
            <w:vMerge w:val="continue"/>
            <w:vAlign w:val="center"/>
          </w:tcPr>
          <w:p w14:paraId="16E1A9A6"/>
        </w:tc>
        <w:tc>
          <w:tcPr>
            <w:tcW w:w="2063" w:type="dxa"/>
            <w:gridSpan w:val="2"/>
            <w:shd w:val="clear" w:color="auto" w:fill="BFBFBF"/>
            <w:vAlign w:val="center"/>
          </w:tcPr>
          <w:p w14:paraId="2304AE2B">
            <w:pPr>
              <w:jc w:val="center"/>
            </w:pPr>
            <w:r>
              <w:rPr>
                <w:rFonts w:hint="eastAsia"/>
                <w:b/>
              </w:rPr>
              <w:t>机构投资者</w:t>
            </w:r>
          </w:p>
        </w:tc>
        <w:tc>
          <w:tcPr>
            <w:tcW w:w="2063" w:type="dxa"/>
            <w:gridSpan w:val="2"/>
            <w:shd w:val="clear" w:color="auto" w:fill="BFBFBF"/>
            <w:vAlign w:val="center"/>
          </w:tcPr>
          <w:p w14:paraId="153BFBD5">
            <w:pPr>
              <w:jc w:val="center"/>
            </w:pPr>
            <w:r>
              <w:rPr>
                <w:rFonts w:hint="eastAsia"/>
                <w:b/>
              </w:rPr>
              <w:t>个人投资者</w:t>
            </w:r>
          </w:p>
        </w:tc>
      </w:tr>
      <w:tr w14:paraId="2E01B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vAlign w:val="center"/>
          </w:tcPr>
          <w:p w14:paraId="78D7ADD3"/>
        </w:tc>
        <w:tc>
          <w:tcPr>
            <w:tcW w:w="1960" w:type="dxa"/>
            <w:vMerge w:val="continue"/>
            <w:vAlign w:val="center"/>
          </w:tcPr>
          <w:p w14:paraId="4D4D7425"/>
        </w:tc>
        <w:tc>
          <w:tcPr>
            <w:tcW w:w="2063" w:type="dxa"/>
            <w:shd w:val="clear" w:color="auto" w:fill="BFBFBF"/>
            <w:vAlign w:val="center"/>
          </w:tcPr>
          <w:p w14:paraId="1FFE86B1">
            <w:pPr>
              <w:jc w:val="center"/>
            </w:pPr>
            <w:r>
              <w:rPr>
                <w:rFonts w:hint="eastAsia"/>
                <w:b/>
              </w:rPr>
              <w:t>持有份额</w:t>
            </w:r>
          </w:p>
        </w:tc>
        <w:tc>
          <w:tcPr>
            <w:tcW w:w="773" w:type="dxa"/>
            <w:shd w:val="clear" w:color="auto" w:fill="BFBFBF"/>
            <w:vAlign w:val="center"/>
          </w:tcPr>
          <w:p w14:paraId="2CA92447">
            <w:pPr>
              <w:jc w:val="center"/>
            </w:pPr>
            <w:r>
              <w:rPr>
                <w:rFonts w:hint="eastAsia"/>
                <w:b/>
              </w:rPr>
              <w:t>占总份额比例</w:t>
            </w:r>
          </w:p>
        </w:tc>
        <w:tc>
          <w:tcPr>
            <w:tcW w:w="2063" w:type="dxa"/>
            <w:shd w:val="clear" w:color="auto" w:fill="BFBFBF"/>
            <w:vAlign w:val="center"/>
          </w:tcPr>
          <w:p w14:paraId="61C318B2">
            <w:pPr>
              <w:jc w:val="center"/>
            </w:pPr>
            <w:r>
              <w:rPr>
                <w:rFonts w:hint="eastAsia"/>
                <w:b/>
              </w:rPr>
              <w:t>持有份额</w:t>
            </w:r>
          </w:p>
        </w:tc>
        <w:tc>
          <w:tcPr>
            <w:tcW w:w="773" w:type="dxa"/>
            <w:shd w:val="clear" w:color="auto" w:fill="BFBFBF"/>
            <w:vAlign w:val="center"/>
          </w:tcPr>
          <w:p w14:paraId="34FC7C41">
            <w:pPr>
              <w:jc w:val="center"/>
            </w:pPr>
            <w:r>
              <w:rPr>
                <w:rFonts w:hint="eastAsia"/>
                <w:b/>
              </w:rPr>
              <w:t>占总份额比例</w:t>
            </w:r>
          </w:p>
        </w:tc>
      </w:tr>
      <w:tr w14:paraId="678BA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Align w:val="center"/>
          </w:tcPr>
          <w:p w14:paraId="7BB8A626">
            <w:pPr>
              <w:jc w:val="right"/>
            </w:pPr>
            <w:r>
              <w:rPr>
                <w:rFonts w:hint="eastAsia"/>
              </w:rPr>
              <w:t>200</w:t>
            </w:r>
          </w:p>
        </w:tc>
        <w:tc>
          <w:tcPr>
            <w:tcW w:w="1960" w:type="dxa"/>
            <w:vAlign w:val="center"/>
          </w:tcPr>
          <w:p w14:paraId="598E7591">
            <w:pPr>
              <w:jc w:val="right"/>
            </w:pPr>
            <w:r>
              <w:rPr>
                <w:rFonts w:hint="eastAsia"/>
              </w:rPr>
              <w:t>4,783,039.89</w:t>
            </w:r>
          </w:p>
        </w:tc>
        <w:tc>
          <w:tcPr>
            <w:tcW w:w="2063" w:type="dxa"/>
            <w:vAlign w:val="center"/>
          </w:tcPr>
          <w:p w14:paraId="3A803F85">
            <w:pPr>
              <w:jc w:val="right"/>
            </w:pPr>
            <w:r>
              <w:rPr>
                <w:rFonts w:hint="eastAsia"/>
              </w:rPr>
              <w:t>956,607,978.89</w:t>
            </w:r>
          </w:p>
        </w:tc>
        <w:tc>
          <w:tcPr>
            <w:tcW w:w="773" w:type="dxa"/>
            <w:vAlign w:val="center"/>
          </w:tcPr>
          <w:p w14:paraId="6DE04363">
            <w:pPr>
              <w:jc w:val="right"/>
            </w:pPr>
            <w:r>
              <w:rPr>
                <w:rFonts w:hint="eastAsia"/>
              </w:rPr>
              <w:t>100.00%</w:t>
            </w:r>
          </w:p>
        </w:tc>
        <w:tc>
          <w:tcPr>
            <w:tcW w:w="2063" w:type="dxa"/>
            <w:vAlign w:val="center"/>
          </w:tcPr>
          <w:p w14:paraId="0A998E21">
            <w:pPr>
              <w:jc w:val="right"/>
            </w:pPr>
            <w:r>
              <w:rPr>
                <w:rFonts w:hint="eastAsia"/>
              </w:rPr>
              <w:t>-</w:t>
            </w:r>
          </w:p>
        </w:tc>
        <w:tc>
          <w:tcPr>
            <w:tcW w:w="773" w:type="dxa"/>
            <w:vAlign w:val="center"/>
          </w:tcPr>
          <w:p w14:paraId="7C795CC4">
            <w:pPr>
              <w:jc w:val="right"/>
            </w:pPr>
            <w:r>
              <w:rPr>
                <w:rFonts w:hint="eastAsia"/>
              </w:rPr>
              <w:t>-</w:t>
            </w:r>
          </w:p>
        </w:tc>
      </w:tr>
    </w:tbl>
    <w:p w14:paraId="2CB8ABC9">
      <w:pPr>
        <w:pStyle w:val="23"/>
      </w:pPr>
      <w:bookmarkStart w:id="179" w:name="_Toc23313"/>
      <w:r>
        <w:t>期末基金管理人的从业人员持有本基金的情况</w:t>
      </w:r>
      <w:bookmarkEnd w:id="179"/>
    </w:p>
    <w:p w14:paraId="07212775">
      <w:pPr>
        <w:pStyle w:val="18"/>
        <w:rPr>
          <w:rFonts w:hint="eastAsia"/>
        </w:rPr>
      </w:pPr>
      <w:r>
        <w:rPr>
          <w:rFonts w:hint="eastAsia"/>
        </w:rPr>
        <w:t>本公司的所有从业人员(包含高级管理人员、基金投资和研究部门负责人和本基金基金经理)均未持有本基金份额。</w:t>
      </w:r>
    </w:p>
    <w:p w14:paraId="117FD4E7">
      <w:pPr>
        <w:pStyle w:val="23"/>
      </w:pPr>
      <w:bookmarkStart w:id="180" w:name="_Toc4446"/>
      <w:r>
        <w:t>期末基金管理人的从业人员持有本开放式基金份额总量区间情况</w:t>
      </w:r>
      <w:bookmarkEnd w:id="180"/>
    </w:p>
    <w:p w14:paraId="516A8022">
      <w:pPr>
        <w:pStyle w:val="18"/>
        <w:rPr>
          <w:rFonts w:hint="eastAsia"/>
        </w:rPr>
      </w:pPr>
      <w:r>
        <w:rPr>
          <w:rFonts w:hint="eastAsia"/>
        </w:rPr>
        <w:t>本公司的高级管理人员、基金投资和研究部门负责人和本基金基金经理均未持有本基金份额。</w:t>
      </w:r>
    </w:p>
    <w:p w14:paraId="0E612DBC">
      <w:pPr>
        <w:pStyle w:val="23"/>
      </w:pPr>
      <w:bookmarkStart w:id="181" w:name="_Toc10456"/>
      <w:r>
        <w:t>发起式基金发起资金持有份额情况</w:t>
      </w:r>
      <w:bookmarkEnd w:id="18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8"/>
        <w:gridCol w:w="1550"/>
        <w:gridCol w:w="1328"/>
        <w:gridCol w:w="1550"/>
        <w:gridCol w:w="1273"/>
        <w:gridCol w:w="1273"/>
      </w:tblGrid>
      <w:tr w14:paraId="68B1F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shd w:val="clear" w:color="auto" w:fill="BFBFBF"/>
            <w:vAlign w:val="center"/>
          </w:tcPr>
          <w:p w14:paraId="028ED736">
            <w:pPr>
              <w:jc w:val="center"/>
            </w:pPr>
            <w:r>
              <w:rPr>
                <w:rFonts w:hint="eastAsia"/>
                <w:b/>
              </w:rPr>
              <w:t>项目</w:t>
            </w:r>
          </w:p>
        </w:tc>
        <w:tc>
          <w:tcPr>
            <w:tcW w:w="1550" w:type="dxa"/>
            <w:shd w:val="clear" w:color="auto" w:fill="BFBFBF"/>
            <w:vAlign w:val="center"/>
          </w:tcPr>
          <w:p w14:paraId="1A3F84ED">
            <w:pPr>
              <w:jc w:val="center"/>
            </w:pPr>
            <w:r>
              <w:rPr>
                <w:rFonts w:hint="eastAsia"/>
                <w:b/>
              </w:rPr>
              <w:t>持有份额总数</w:t>
            </w:r>
          </w:p>
        </w:tc>
        <w:tc>
          <w:tcPr>
            <w:tcW w:w="1328" w:type="dxa"/>
            <w:shd w:val="clear" w:color="auto" w:fill="BFBFBF"/>
            <w:vAlign w:val="center"/>
          </w:tcPr>
          <w:p w14:paraId="149B792A">
            <w:pPr>
              <w:jc w:val="center"/>
            </w:pPr>
            <w:r>
              <w:rPr>
                <w:rFonts w:hint="eastAsia"/>
                <w:b/>
              </w:rPr>
              <w:t>持有份额占基金总份额比例（%）</w:t>
            </w:r>
          </w:p>
        </w:tc>
        <w:tc>
          <w:tcPr>
            <w:tcW w:w="1550" w:type="dxa"/>
            <w:shd w:val="clear" w:color="auto" w:fill="BFBFBF"/>
            <w:vAlign w:val="center"/>
          </w:tcPr>
          <w:p w14:paraId="68422D34">
            <w:pPr>
              <w:jc w:val="center"/>
            </w:pPr>
            <w:r>
              <w:rPr>
                <w:rFonts w:hint="eastAsia"/>
                <w:b/>
              </w:rPr>
              <w:t>发起份额总数</w:t>
            </w:r>
          </w:p>
        </w:tc>
        <w:tc>
          <w:tcPr>
            <w:tcW w:w="1273" w:type="dxa"/>
            <w:shd w:val="clear" w:color="auto" w:fill="BFBFBF"/>
            <w:vAlign w:val="center"/>
          </w:tcPr>
          <w:p w14:paraId="18ACE123">
            <w:pPr>
              <w:jc w:val="center"/>
            </w:pPr>
            <w:r>
              <w:rPr>
                <w:rFonts w:hint="eastAsia"/>
                <w:b/>
              </w:rPr>
              <w:t>发起份额占基金总份额比例（%）</w:t>
            </w:r>
          </w:p>
        </w:tc>
        <w:tc>
          <w:tcPr>
            <w:tcW w:w="1273" w:type="dxa"/>
            <w:shd w:val="clear" w:color="auto" w:fill="BFBFBF"/>
            <w:vAlign w:val="center"/>
          </w:tcPr>
          <w:p w14:paraId="50063489">
            <w:pPr>
              <w:jc w:val="center"/>
            </w:pPr>
            <w:r>
              <w:rPr>
                <w:rFonts w:hint="eastAsia"/>
                <w:b/>
              </w:rPr>
              <w:t>发起份额承诺持有期限</w:t>
            </w:r>
          </w:p>
        </w:tc>
      </w:tr>
      <w:tr w14:paraId="3E609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2B7A5717">
            <w:r>
              <w:rPr>
                <w:rFonts w:hint="eastAsia"/>
              </w:rPr>
              <w:t>基金管理人固有资金</w:t>
            </w:r>
          </w:p>
        </w:tc>
        <w:tc>
          <w:tcPr>
            <w:tcW w:w="1550" w:type="dxa"/>
            <w:vAlign w:val="center"/>
          </w:tcPr>
          <w:p w14:paraId="45028EF0">
            <w:pPr>
              <w:jc w:val="right"/>
            </w:pPr>
            <w:r>
              <w:rPr>
                <w:rFonts w:hint="eastAsia"/>
              </w:rPr>
              <w:t>10,000,638.95</w:t>
            </w:r>
          </w:p>
        </w:tc>
        <w:tc>
          <w:tcPr>
            <w:tcW w:w="1328" w:type="dxa"/>
            <w:vAlign w:val="center"/>
          </w:tcPr>
          <w:p w14:paraId="55D3297F">
            <w:pPr>
              <w:jc w:val="right"/>
            </w:pPr>
            <w:r>
              <w:rPr>
                <w:rFonts w:hint="eastAsia"/>
              </w:rPr>
              <w:t>1.05</w:t>
            </w:r>
          </w:p>
        </w:tc>
        <w:tc>
          <w:tcPr>
            <w:tcW w:w="1550" w:type="dxa"/>
            <w:vAlign w:val="center"/>
          </w:tcPr>
          <w:p w14:paraId="4C49A80F">
            <w:pPr>
              <w:jc w:val="right"/>
            </w:pPr>
            <w:r>
              <w:rPr>
                <w:rFonts w:hint="eastAsia"/>
              </w:rPr>
              <w:t>10,000,000.00</w:t>
            </w:r>
          </w:p>
        </w:tc>
        <w:tc>
          <w:tcPr>
            <w:tcW w:w="1273" w:type="dxa"/>
            <w:vAlign w:val="center"/>
          </w:tcPr>
          <w:p w14:paraId="5888484F">
            <w:pPr>
              <w:jc w:val="right"/>
            </w:pPr>
            <w:r>
              <w:rPr>
                <w:rFonts w:hint="eastAsia"/>
              </w:rPr>
              <w:t>1.05</w:t>
            </w:r>
          </w:p>
        </w:tc>
        <w:tc>
          <w:tcPr>
            <w:tcW w:w="1273" w:type="dxa"/>
            <w:vAlign w:val="center"/>
          </w:tcPr>
          <w:p w14:paraId="13FE086F">
            <w:r>
              <w:rPr>
                <w:rFonts w:hint="eastAsia"/>
              </w:rPr>
              <w:t>自合同生效之日起不少于3年</w:t>
            </w:r>
          </w:p>
        </w:tc>
      </w:tr>
      <w:tr w14:paraId="0E4B9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04BCD3ED">
            <w:r>
              <w:rPr>
                <w:rFonts w:hint="eastAsia"/>
              </w:rPr>
              <w:t>基金管理人高级管理人员</w:t>
            </w:r>
          </w:p>
        </w:tc>
        <w:tc>
          <w:tcPr>
            <w:tcW w:w="1550" w:type="dxa"/>
            <w:vAlign w:val="center"/>
          </w:tcPr>
          <w:p w14:paraId="39969ABE">
            <w:pPr>
              <w:jc w:val="right"/>
            </w:pPr>
            <w:r>
              <w:rPr>
                <w:rFonts w:hint="eastAsia"/>
              </w:rPr>
              <w:t>-</w:t>
            </w:r>
          </w:p>
        </w:tc>
        <w:tc>
          <w:tcPr>
            <w:tcW w:w="1328" w:type="dxa"/>
            <w:vAlign w:val="center"/>
          </w:tcPr>
          <w:p w14:paraId="57972A4A">
            <w:pPr>
              <w:jc w:val="right"/>
            </w:pPr>
            <w:r>
              <w:rPr>
                <w:rFonts w:hint="eastAsia"/>
              </w:rPr>
              <w:t>-</w:t>
            </w:r>
          </w:p>
        </w:tc>
        <w:tc>
          <w:tcPr>
            <w:tcW w:w="1550" w:type="dxa"/>
            <w:vAlign w:val="center"/>
          </w:tcPr>
          <w:p w14:paraId="23682BAE">
            <w:pPr>
              <w:jc w:val="right"/>
            </w:pPr>
            <w:r>
              <w:rPr>
                <w:rFonts w:hint="eastAsia"/>
              </w:rPr>
              <w:t>-</w:t>
            </w:r>
          </w:p>
        </w:tc>
        <w:tc>
          <w:tcPr>
            <w:tcW w:w="1273" w:type="dxa"/>
            <w:vAlign w:val="center"/>
          </w:tcPr>
          <w:p w14:paraId="50FA1236">
            <w:pPr>
              <w:jc w:val="right"/>
            </w:pPr>
            <w:r>
              <w:rPr>
                <w:rFonts w:hint="eastAsia"/>
              </w:rPr>
              <w:t>-</w:t>
            </w:r>
          </w:p>
        </w:tc>
        <w:tc>
          <w:tcPr>
            <w:tcW w:w="1273" w:type="dxa"/>
            <w:vAlign w:val="center"/>
          </w:tcPr>
          <w:p w14:paraId="09CC42BF">
            <w:pPr>
              <w:jc w:val="right"/>
            </w:pPr>
            <w:r>
              <w:rPr>
                <w:rFonts w:hint="eastAsia"/>
              </w:rPr>
              <w:t>-</w:t>
            </w:r>
          </w:p>
        </w:tc>
      </w:tr>
      <w:tr w14:paraId="50FFC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1CD489C4">
            <w:r>
              <w:rPr>
                <w:rFonts w:hint="eastAsia"/>
              </w:rPr>
              <w:t>基金经理等人员</w:t>
            </w:r>
          </w:p>
        </w:tc>
        <w:tc>
          <w:tcPr>
            <w:tcW w:w="1550" w:type="dxa"/>
            <w:vAlign w:val="center"/>
          </w:tcPr>
          <w:p w14:paraId="4F27C010">
            <w:pPr>
              <w:jc w:val="right"/>
            </w:pPr>
            <w:r>
              <w:rPr>
                <w:rFonts w:hint="eastAsia"/>
              </w:rPr>
              <w:t>-</w:t>
            </w:r>
          </w:p>
        </w:tc>
        <w:tc>
          <w:tcPr>
            <w:tcW w:w="1328" w:type="dxa"/>
            <w:vAlign w:val="center"/>
          </w:tcPr>
          <w:p w14:paraId="794383FA">
            <w:pPr>
              <w:jc w:val="right"/>
            </w:pPr>
            <w:r>
              <w:rPr>
                <w:rFonts w:hint="eastAsia"/>
              </w:rPr>
              <w:t>-</w:t>
            </w:r>
          </w:p>
        </w:tc>
        <w:tc>
          <w:tcPr>
            <w:tcW w:w="1550" w:type="dxa"/>
            <w:vAlign w:val="center"/>
          </w:tcPr>
          <w:p w14:paraId="2B322B25">
            <w:pPr>
              <w:jc w:val="right"/>
            </w:pPr>
            <w:r>
              <w:rPr>
                <w:rFonts w:hint="eastAsia"/>
              </w:rPr>
              <w:t>-</w:t>
            </w:r>
          </w:p>
        </w:tc>
        <w:tc>
          <w:tcPr>
            <w:tcW w:w="1273" w:type="dxa"/>
            <w:vAlign w:val="center"/>
          </w:tcPr>
          <w:p w14:paraId="28A9A7EB">
            <w:pPr>
              <w:jc w:val="right"/>
            </w:pPr>
            <w:r>
              <w:rPr>
                <w:rFonts w:hint="eastAsia"/>
              </w:rPr>
              <w:t>-</w:t>
            </w:r>
          </w:p>
        </w:tc>
        <w:tc>
          <w:tcPr>
            <w:tcW w:w="1273" w:type="dxa"/>
            <w:vAlign w:val="center"/>
          </w:tcPr>
          <w:p w14:paraId="08BD4F48">
            <w:pPr>
              <w:jc w:val="right"/>
            </w:pPr>
            <w:r>
              <w:rPr>
                <w:rFonts w:hint="eastAsia"/>
              </w:rPr>
              <w:t>-</w:t>
            </w:r>
          </w:p>
        </w:tc>
      </w:tr>
      <w:tr w14:paraId="5FC7B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0858153A">
            <w:r>
              <w:rPr>
                <w:rFonts w:hint="eastAsia"/>
              </w:rPr>
              <w:t>基金管理人股东</w:t>
            </w:r>
          </w:p>
        </w:tc>
        <w:tc>
          <w:tcPr>
            <w:tcW w:w="1550" w:type="dxa"/>
            <w:vAlign w:val="center"/>
          </w:tcPr>
          <w:p w14:paraId="1553F284">
            <w:pPr>
              <w:jc w:val="right"/>
            </w:pPr>
            <w:r>
              <w:rPr>
                <w:rFonts w:hint="eastAsia"/>
              </w:rPr>
              <w:t>-</w:t>
            </w:r>
          </w:p>
        </w:tc>
        <w:tc>
          <w:tcPr>
            <w:tcW w:w="1328" w:type="dxa"/>
            <w:vAlign w:val="center"/>
          </w:tcPr>
          <w:p w14:paraId="653D5502">
            <w:pPr>
              <w:jc w:val="right"/>
            </w:pPr>
            <w:r>
              <w:rPr>
                <w:rFonts w:hint="eastAsia"/>
              </w:rPr>
              <w:t>-</w:t>
            </w:r>
          </w:p>
        </w:tc>
        <w:tc>
          <w:tcPr>
            <w:tcW w:w="1550" w:type="dxa"/>
            <w:vAlign w:val="center"/>
          </w:tcPr>
          <w:p w14:paraId="612CC922">
            <w:pPr>
              <w:jc w:val="right"/>
            </w:pPr>
            <w:r>
              <w:rPr>
                <w:rFonts w:hint="eastAsia"/>
              </w:rPr>
              <w:t>-</w:t>
            </w:r>
          </w:p>
        </w:tc>
        <w:tc>
          <w:tcPr>
            <w:tcW w:w="1273" w:type="dxa"/>
            <w:vAlign w:val="center"/>
          </w:tcPr>
          <w:p w14:paraId="60B4EF4B">
            <w:pPr>
              <w:jc w:val="right"/>
            </w:pPr>
            <w:r>
              <w:rPr>
                <w:rFonts w:hint="eastAsia"/>
              </w:rPr>
              <w:t>-</w:t>
            </w:r>
          </w:p>
        </w:tc>
        <w:tc>
          <w:tcPr>
            <w:tcW w:w="1273" w:type="dxa"/>
            <w:vAlign w:val="center"/>
          </w:tcPr>
          <w:p w14:paraId="658210A1">
            <w:pPr>
              <w:jc w:val="right"/>
            </w:pPr>
            <w:r>
              <w:rPr>
                <w:rFonts w:hint="eastAsia"/>
              </w:rPr>
              <w:t>-</w:t>
            </w:r>
          </w:p>
        </w:tc>
      </w:tr>
      <w:tr w14:paraId="119DE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1318645D">
            <w:r>
              <w:rPr>
                <w:rFonts w:hint="eastAsia"/>
              </w:rPr>
              <w:t>其他</w:t>
            </w:r>
          </w:p>
        </w:tc>
        <w:tc>
          <w:tcPr>
            <w:tcW w:w="1550" w:type="dxa"/>
            <w:vAlign w:val="center"/>
          </w:tcPr>
          <w:p w14:paraId="27F759D4">
            <w:pPr>
              <w:jc w:val="right"/>
            </w:pPr>
            <w:r>
              <w:rPr>
                <w:rFonts w:hint="eastAsia"/>
              </w:rPr>
              <w:t>-</w:t>
            </w:r>
          </w:p>
        </w:tc>
        <w:tc>
          <w:tcPr>
            <w:tcW w:w="1328" w:type="dxa"/>
            <w:vAlign w:val="center"/>
          </w:tcPr>
          <w:p w14:paraId="5EF99FBD">
            <w:pPr>
              <w:jc w:val="right"/>
            </w:pPr>
            <w:r>
              <w:rPr>
                <w:rFonts w:hint="eastAsia"/>
              </w:rPr>
              <w:t>-</w:t>
            </w:r>
          </w:p>
        </w:tc>
        <w:tc>
          <w:tcPr>
            <w:tcW w:w="1550" w:type="dxa"/>
            <w:vAlign w:val="center"/>
          </w:tcPr>
          <w:p w14:paraId="21CAC743">
            <w:pPr>
              <w:jc w:val="right"/>
            </w:pPr>
            <w:r>
              <w:rPr>
                <w:rFonts w:hint="eastAsia"/>
              </w:rPr>
              <w:t>-</w:t>
            </w:r>
          </w:p>
        </w:tc>
        <w:tc>
          <w:tcPr>
            <w:tcW w:w="1273" w:type="dxa"/>
            <w:vAlign w:val="center"/>
          </w:tcPr>
          <w:p w14:paraId="3D94AB47">
            <w:pPr>
              <w:jc w:val="right"/>
            </w:pPr>
            <w:r>
              <w:rPr>
                <w:rFonts w:hint="eastAsia"/>
              </w:rPr>
              <w:t>-</w:t>
            </w:r>
          </w:p>
        </w:tc>
        <w:tc>
          <w:tcPr>
            <w:tcW w:w="1273" w:type="dxa"/>
            <w:vAlign w:val="center"/>
          </w:tcPr>
          <w:p w14:paraId="74D35735">
            <w:pPr>
              <w:jc w:val="right"/>
            </w:pPr>
            <w:r>
              <w:rPr>
                <w:rFonts w:hint="eastAsia"/>
              </w:rPr>
              <w:t>-</w:t>
            </w:r>
          </w:p>
        </w:tc>
      </w:tr>
      <w:tr w14:paraId="25612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3DC3F01B">
            <w:r>
              <w:rPr>
                <w:rFonts w:hint="eastAsia"/>
              </w:rPr>
              <w:t>合计</w:t>
            </w:r>
          </w:p>
        </w:tc>
        <w:tc>
          <w:tcPr>
            <w:tcW w:w="1550" w:type="dxa"/>
            <w:vAlign w:val="center"/>
          </w:tcPr>
          <w:p w14:paraId="5904A043">
            <w:pPr>
              <w:jc w:val="right"/>
            </w:pPr>
            <w:r>
              <w:rPr>
                <w:rFonts w:hint="eastAsia"/>
              </w:rPr>
              <w:t>10,000,638.95</w:t>
            </w:r>
          </w:p>
        </w:tc>
        <w:tc>
          <w:tcPr>
            <w:tcW w:w="1328" w:type="dxa"/>
            <w:vAlign w:val="center"/>
          </w:tcPr>
          <w:p w14:paraId="4F808F64">
            <w:pPr>
              <w:jc w:val="right"/>
            </w:pPr>
            <w:r>
              <w:rPr>
                <w:rFonts w:hint="eastAsia"/>
              </w:rPr>
              <w:t>1.05</w:t>
            </w:r>
          </w:p>
        </w:tc>
        <w:tc>
          <w:tcPr>
            <w:tcW w:w="1550" w:type="dxa"/>
            <w:vAlign w:val="center"/>
          </w:tcPr>
          <w:p w14:paraId="1A130920">
            <w:pPr>
              <w:jc w:val="right"/>
            </w:pPr>
            <w:r>
              <w:rPr>
                <w:rFonts w:hint="eastAsia"/>
              </w:rPr>
              <w:t>10,000,000.00</w:t>
            </w:r>
          </w:p>
        </w:tc>
        <w:tc>
          <w:tcPr>
            <w:tcW w:w="1273" w:type="dxa"/>
            <w:vAlign w:val="center"/>
          </w:tcPr>
          <w:p w14:paraId="17BAF425">
            <w:pPr>
              <w:jc w:val="right"/>
            </w:pPr>
            <w:r>
              <w:rPr>
                <w:rFonts w:hint="eastAsia"/>
              </w:rPr>
              <w:t>1.05</w:t>
            </w:r>
          </w:p>
        </w:tc>
        <w:tc>
          <w:tcPr>
            <w:tcW w:w="1273" w:type="dxa"/>
            <w:vAlign w:val="center"/>
          </w:tcPr>
          <w:p w14:paraId="1E86D39C">
            <w:pPr>
              <w:jc w:val="right"/>
            </w:pPr>
            <w:r>
              <w:rPr>
                <w:rFonts w:hint="eastAsia"/>
              </w:rPr>
              <w:t>-</w:t>
            </w:r>
          </w:p>
        </w:tc>
      </w:tr>
    </w:tbl>
    <w:p w14:paraId="6A0037FD">
      <w:pPr>
        <w:pStyle w:val="47"/>
        <w:rPr>
          <w:rFonts w:hint="eastAsia"/>
        </w:rPr>
      </w:pPr>
      <w:r>
        <w:rPr>
          <w:rFonts w:hint="eastAsia"/>
        </w:rPr>
        <w:t>注: 上述份额总数均包含利息结转份额。本报告期内基金经理等人员持有份额净变动数为0.00份。</w:t>
      </w:r>
    </w:p>
    <w:p w14:paraId="70B7F0B3">
      <w:pPr>
        <w:pStyle w:val="26"/>
      </w:pPr>
      <w:bookmarkStart w:id="182" w:name="_Toc1782"/>
      <w:r>
        <w:t>开放式基金份额变动</w:t>
      </w:r>
      <w:bookmarkEnd w:id="182"/>
    </w:p>
    <w:p w14:paraId="43816E10">
      <w:pPr>
        <w:jc w:val="right"/>
        <w:rPr>
          <w:rFonts w:hint="eastAsia"/>
        </w:rPr>
      </w:pPr>
      <w:r>
        <w:rPr>
          <w:rFonts w:hint="eastAsia"/>
        </w:rPr>
        <w:t>单位：份</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0867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06EE05B">
            <w:r>
              <w:rPr>
                <w:rFonts w:hint="eastAsia"/>
              </w:rPr>
              <w:t>基金合同生效日(2020年3月26日)基金份额总额</w:t>
            </w:r>
          </w:p>
        </w:tc>
        <w:tc>
          <w:tcPr>
            <w:tcW w:w="4153" w:type="dxa"/>
            <w:vAlign w:val="center"/>
          </w:tcPr>
          <w:p w14:paraId="18747812">
            <w:pPr>
              <w:jc w:val="right"/>
            </w:pPr>
            <w:r>
              <w:rPr>
                <w:rFonts w:hint="eastAsia"/>
              </w:rPr>
              <w:t>309,999,638.95</w:t>
            </w:r>
          </w:p>
        </w:tc>
      </w:tr>
      <w:tr w14:paraId="76B91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48B1291">
            <w:r>
              <w:rPr>
                <w:rFonts w:hint="eastAsia"/>
              </w:rPr>
              <w:t>本报告期期初基金份额总额</w:t>
            </w:r>
          </w:p>
        </w:tc>
        <w:tc>
          <w:tcPr>
            <w:tcW w:w="4153" w:type="dxa"/>
            <w:vAlign w:val="center"/>
          </w:tcPr>
          <w:p w14:paraId="37167A4E">
            <w:pPr>
              <w:jc w:val="right"/>
            </w:pPr>
            <w:r>
              <w:rPr>
                <w:rFonts w:hint="eastAsia"/>
              </w:rPr>
              <w:t>956,432,604.28</w:t>
            </w:r>
          </w:p>
        </w:tc>
      </w:tr>
      <w:tr w14:paraId="29FA3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6A90E1E">
            <w:r>
              <w:rPr>
                <w:rFonts w:hint="eastAsia"/>
              </w:rPr>
              <w:t>本报告期基金总申购份额</w:t>
            </w:r>
          </w:p>
        </w:tc>
        <w:tc>
          <w:tcPr>
            <w:tcW w:w="4153" w:type="dxa"/>
            <w:vAlign w:val="center"/>
          </w:tcPr>
          <w:p w14:paraId="19E847EA">
            <w:pPr>
              <w:jc w:val="right"/>
            </w:pPr>
            <w:r>
              <w:rPr>
                <w:rFonts w:hint="eastAsia"/>
              </w:rPr>
              <w:t>175,378.41</w:t>
            </w:r>
          </w:p>
        </w:tc>
      </w:tr>
      <w:tr w14:paraId="7032A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E911EEC">
            <w:r>
              <w:rPr>
                <w:rFonts w:hint="eastAsia"/>
              </w:rPr>
              <w:t>减：本报告期基金总赎回份额</w:t>
            </w:r>
          </w:p>
        </w:tc>
        <w:tc>
          <w:tcPr>
            <w:tcW w:w="4153" w:type="dxa"/>
            <w:vAlign w:val="center"/>
          </w:tcPr>
          <w:p w14:paraId="19ED45DA">
            <w:pPr>
              <w:jc w:val="right"/>
            </w:pPr>
            <w:r>
              <w:rPr>
                <w:rFonts w:hint="eastAsia"/>
              </w:rPr>
              <w:t>3.80</w:t>
            </w:r>
          </w:p>
        </w:tc>
      </w:tr>
      <w:tr w14:paraId="5BDA5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2936926">
            <w:r>
              <w:rPr>
                <w:rFonts w:hint="eastAsia"/>
              </w:rPr>
              <w:t>本报告期基金拆分变动份额</w:t>
            </w:r>
          </w:p>
        </w:tc>
        <w:tc>
          <w:tcPr>
            <w:tcW w:w="4153" w:type="dxa"/>
            <w:vAlign w:val="center"/>
          </w:tcPr>
          <w:p w14:paraId="2E5C1DC1">
            <w:pPr>
              <w:jc w:val="right"/>
            </w:pPr>
            <w:r>
              <w:rPr>
                <w:rFonts w:hint="eastAsia"/>
              </w:rPr>
              <w:t>-</w:t>
            </w:r>
          </w:p>
        </w:tc>
      </w:tr>
      <w:tr w14:paraId="348E5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699C785">
            <w:r>
              <w:rPr>
                <w:rFonts w:hint="eastAsia"/>
              </w:rPr>
              <w:t>本报告期期末基金份额总额</w:t>
            </w:r>
          </w:p>
        </w:tc>
        <w:tc>
          <w:tcPr>
            <w:tcW w:w="4153" w:type="dxa"/>
            <w:vAlign w:val="center"/>
          </w:tcPr>
          <w:p w14:paraId="39CC2C5C">
            <w:pPr>
              <w:jc w:val="right"/>
            </w:pPr>
            <w:r>
              <w:rPr>
                <w:rFonts w:hint="eastAsia"/>
              </w:rPr>
              <w:t>956,607,978.89</w:t>
            </w:r>
          </w:p>
        </w:tc>
      </w:tr>
    </w:tbl>
    <w:p w14:paraId="7060664E">
      <w:pPr>
        <w:pStyle w:val="26"/>
      </w:pPr>
      <w:bookmarkStart w:id="183" w:name="_Toc17384"/>
      <w:r>
        <w:t>重大事件揭示</w:t>
      </w:r>
      <w:bookmarkEnd w:id="183"/>
    </w:p>
    <w:p w14:paraId="67708CC8">
      <w:pPr>
        <w:pStyle w:val="23"/>
      </w:pPr>
      <w:bookmarkStart w:id="184" w:name="_Toc30817"/>
      <w:r>
        <w:t>基金份额持有人大会决议</w:t>
      </w:r>
      <w:bookmarkEnd w:id="184"/>
    </w:p>
    <w:p w14:paraId="3889E6CB">
      <w:pPr>
        <w:pStyle w:val="18"/>
        <w:rPr>
          <w:rFonts w:hint="eastAsia"/>
        </w:rPr>
      </w:pPr>
      <w:r>
        <w:rPr>
          <w:rFonts w:hint="eastAsia"/>
        </w:rPr>
        <w:t>本报告期本基金无基金份额持有人大会决议。</w:t>
      </w:r>
    </w:p>
    <w:p w14:paraId="32FD39D5">
      <w:pPr>
        <w:pStyle w:val="23"/>
      </w:pPr>
      <w:r>
        <w:t xml:space="preserve"> </w:t>
      </w:r>
      <w:bookmarkStart w:id="185" w:name="_Toc1398"/>
      <w:r>
        <w:t>基金管理人、基金托管人的专门基金托管部门的重大人事变动</w:t>
      </w:r>
      <w:bookmarkEnd w:id="185"/>
    </w:p>
    <w:p w14:paraId="6E16B496">
      <w:pPr>
        <w:pStyle w:val="18"/>
        <w:rPr>
          <w:rFonts w:hint="eastAsia"/>
        </w:rPr>
      </w:pPr>
      <w:r>
        <w:rPr>
          <w:rFonts w:hint="eastAsia"/>
        </w:rPr>
        <w:t>本报告期内，本基金的基金管理人未发生重大人事变动。</w:t>
      </w:r>
    </w:p>
    <w:p w14:paraId="51517171">
      <w:pPr>
        <w:pStyle w:val="18"/>
        <w:rPr>
          <w:rFonts w:hint="eastAsia"/>
        </w:rPr>
      </w:pPr>
      <w:r>
        <w:rPr>
          <w:rFonts w:hint="eastAsia"/>
        </w:rPr>
        <w:t>本报告期内，基金托管人无重大人事变动。</w:t>
      </w:r>
    </w:p>
    <w:p w14:paraId="12661C76">
      <w:pPr>
        <w:pStyle w:val="23"/>
      </w:pPr>
      <w:r>
        <w:t xml:space="preserve"> </w:t>
      </w:r>
      <w:bookmarkStart w:id="186" w:name="_Toc22892"/>
      <w:r>
        <w:t>涉及基金管理人、基金财产、基金托管业务的诉讼</w:t>
      </w:r>
      <w:bookmarkEnd w:id="186"/>
    </w:p>
    <w:p w14:paraId="28C596C7">
      <w:pPr>
        <w:pStyle w:val="18"/>
        <w:rPr>
          <w:rFonts w:hint="eastAsia"/>
        </w:rPr>
      </w:pPr>
      <w:r>
        <w:rPr>
          <w:rFonts w:hint="eastAsia"/>
        </w:rPr>
        <w:t>本报告期内，无涉及基金管理人主营业务的诉讼。</w:t>
      </w:r>
    </w:p>
    <w:p w14:paraId="16AB4A51">
      <w:pPr>
        <w:pStyle w:val="18"/>
        <w:rPr>
          <w:rFonts w:hint="eastAsia"/>
        </w:rPr>
      </w:pPr>
      <w:r>
        <w:rPr>
          <w:rFonts w:hint="eastAsia"/>
        </w:rPr>
        <w:t>本报告期内无涉及基金财产的诉讼事项。</w:t>
      </w:r>
    </w:p>
    <w:p w14:paraId="57ABC3AD">
      <w:pPr>
        <w:pStyle w:val="18"/>
        <w:rPr>
          <w:rFonts w:hint="eastAsia"/>
        </w:rPr>
      </w:pPr>
      <w:r>
        <w:rPr>
          <w:rFonts w:hint="eastAsia"/>
        </w:rPr>
        <w:t>本报告期内，无涉及基金托管业务的诉讼。</w:t>
      </w:r>
    </w:p>
    <w:p w14:paraId="09336D14">
      <w:pPr>
        <w:pStyle w:val="23"/>
      </w:pPr>
      <w:bookmarkStart w:id="187" w:name="_Toc15327"/>
      <w:r>
        <w:t>基金投资策略的改变</w:t>
      </w:r>
      <w:bookmarkEnd w:id="187"/>
    </w:p>
    <w:p w14:paraId="538B0821">
      <w:pPr>
        <w:pStyle w:val="18"/>
        <w:rPr>
          <w:rFonts w:hint="eastAsia"/>
        </w:rPr>
      </w:pPr>
      <w:r>
        <w:rPr>
          <w:rFonts w:hint="eastAsia"/>
        </w:rPr>
        <w:t>本报告期内本基金的投资策略未有重大变化。</w:t>
      </w:r>
    </w:p>
    <w:p w14:paraId="4F3E18E0">
      <w:pPr>
        <w:pStyle w:val="23"/>
      </w:pPr>
      <w:bookmarkStart w:id="188" w:name="_Toc18865"/>
      <w:r>
        <w:t>为基金进行审计的会计师事务所情况</w:t>
      </w:r>
      <w:bookmarkEnd w:id="188"/>
    </w:p>
    <w:p w14:paraId="4EA7DB45">
      <w:pPr>
        <w:pStyle w:val="18"/>
        <w:rPr>
          <w:rFonts w:hint="eastAsia"/>
        </w:rPr>
      </w:pPr>
      <w:r>
        <w:rPr>
          <w:rFonts w:hint="eastAsia"/>
        </w:rPr>
        <w:t>本报告期本基金的审计事务所无变化；目前安永华明会计师事务所（特殊普通合伙）已为本基金提供审计服务2年，本报告期应支付给安永华明会计师事务所（特殊普通合伙）的报酬为人民币40,000.00元。</w:t>
      </w:r>
    </w:p>
    <w:p w14:paraId="2EC43FDA">
      <w:pPr>
        <w:pStyle w:val="23"/>
      </w:pPr>
      <w:bookmarkStart w:id="189" w:name="_Toc20517"/>
      <w:r>
        <w:t>管理人、托管人及相关从业人员受调查或处罚等情况</w:t>
      </w:r>
      <w:bookmarkEnd w:id="189"/>
    </w:p>
    <w:p w14:paraId="474D1834">
      <w:pPr>
        <w:pStyle w:val="28"/>
      </w:pPr>
      <w:bookmarkStart w:id="190" w:name="_Toc190"/>
      <w:r>
        <w:t>管理人受调查或处罚等情况</w:t>
      </w:r>
      <w:bookmarkEnd w:id="19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412E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782F7560">
            <w:pPr>
              <w:jc w:val="center"/>
            </w:pPr>
            <w:r>
              <w:rPr>
                <w:rFonts w:hint="eastAsia"/>
                <w:b/>
              </w:rPr>
              <w:t>管理人受调查或处罚等情况</w:t>
            </w:r>
          </w:p>
        </w:tc>
        <w:tc>
          <w:tcPr>
            <w:tcW w:w="4153" w:type="dxa"/>
            <w:shd w:val="clear" w:color="auto" w:fill="BFBFBF"/>
            <w:vAlign w:val="center"/>
          </w:tcPr>
          <w:p w14:paraId="73A50C59">
            <w:pPr>
              <w:jc w:val="center"/>
            </w:pPr>
            <w:r>
              <w:rPr>
                <w:rFonts w:hint="eastAsia"/>
                <w:b/>
              </w:rPr>
              <w:t>内容</w:t>
            </w:r>
          </w:p>
        </w:tc>
      </w:tr>
      <w:tr w14:paraId="4F48B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98CEE9F">
            <w:r>
              <w:rPr>
                <w:rFonts w:hint="eastAsia"/>
              </w:rPr>
              <w:t>受到调查或处罚等措施的主体</w:t>
            </w:r>
          </w:p>
        </w:tc>
        <w:tc>
          <w:tcPr>
            <w:tcW w:w="4153" w:type="dxa"/>
            <w:vAlign w:val="center"/>
          </w:tcPr>
          <w:p w14:paraId="2A4D60B5">
            <w:r>
              <w:rPr>
                <w:rFonts w:hint="eastAsia"/>
              </w:rPr>
              <w:t>管理人</w:t>
            </w:r>
          </w:p>
        </w:tc>
      </w:tr>
      <w:tr w14:paraId="0AD8A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F08260D">
            <w:r>
              <w:rPr>
                <w:rFonts w:hint="eastAsia"/>
              </w:rPr>
              <w:t>受到调查或处罚等措施的时间</w:t>
            </w:r>
          </w:p>
        </w:tc>
        <w:tc>
          <w:tcPr>
            <w:tcW w:w="4153" w:type="dxa"/>
            <w:vAlign w:val="center"/>
          </w:tcPr>
          <w:p w14:paraId="5ED7DD67">
            <w:pPr>
              <w:rPr>
                <w:rFonts w:hint="eastAsia"/>
              </w:rPr>
            </w:pPr>
            <w:r>
              <w:rPr>
                <w:rFonts w:hint="eastAsia"/>
              </w:rPr>
              <w:t>2025-10-17；
</w:t>
            </w:r>
            <w:r>
              <w:rPr>
                <w:rFonts w:hint="eastAsia"/>
              </w:rPr>
              <w:br w:type="textWrapping"/>
            </w:r>
            <w:r>
              <w:rPr>
                <w:rFonts w:hint="eastAsia"/>
              </w:rPr>
              <w:t>2025-11-18</w:t>
            </w:r>
          </w:p>
        </w:tc>
      </w:tr>
      <w:tr w14:paraId="4C161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2584EB2">
            <w:r>
              <w:rPr>
                <w:rFonts w:hint="eastAsia"/>
              </w:rPr>
              <w:t>采取调查或处罚等措施的机构</w:t>
            </w:r>
          </w:p>
        </w:tc>
        <w:tc>
          <w:tcPr>
            <w:tcW w:w="4153" w:type="dxa"/>
            <w:vAlign w:val="center"/>
          </w:tcPr>
          <w:p w14:paraId="61B7A561">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47DBD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03391AD">
            <w:r>
              <w:rPr>
                <w:rFonts w:hint="eastAsia"/>
              </w:rPr>
              <w:t>受到调查或处罚等措施类型</w:t>
            </w:r>
          </w:p>
        </w:tc>
        <w:tc>
          <w:tcPr>
            <w:tcW w:w="4153" w:type="dxa"/>
            <w:vAlign w:val="center"/>
          </w:tcPr>
          <w:p w14:paraId="12CC8660">
            <w:pPr>
              <w:rPr>
                <w:rFonts w:hint="eastAsia"/>
              </w:rPr>
            </w:pPr>
            <w:r>
              <w:rPr>
                <w:rFonts w:hint="eastAsia"/>
              </w:rPr>
              <w:t>行政监管措施；
</w:t>
            </w:r>
            <w:r>
              <w:rPr>
                <w:rFonts w:hint="eastAsia"/>
              </w:rPr>
              <w:br w:type="textWrapping"/>
            </w:r>
            <w:r>
              <w:rPr>
                <w:rFonts w:hint="eastAsia"/>
              </w:rPr>
              <w:t>行政处罚</w:t>
            </w:r>
          </w:p>
        </w:tc>
      </w:tr>
      <w:tr w14:paraId="42BDA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8794027">
            <w:r>
              <w:rPr>
                <w:rFonts w:hint="eastAsia"/>
              </w:rPr>
              <w:t>受到的具体措施类型</w:t>
            </w:r>
          </w:p>
        </w:tc>
        <w:tc>
          <w:tcPr>
            <w:tcW w:w="4153" w:type="dxa"/>
            <w:vAlign w:val="center"/>
          </w:tcPr>
          <w:p w14:paraId="35568DC4">
            <w:pPr>
              <w:rPr>
                <w:rFonts w:hint="eastAsia"/>
              </w:rPr>
            </w:pPr>
            <w:r>
              <w:rPr>
                <w:rFonts w:hint="eastAsia"/>
              </w:rPr>
              <w:t>责令改正；
</w:t>
            </w:r>
            <w:r>
              <w:rPr>
                <w:rFonts w:hint="eastAsia"/>
              </w:rPr>
              <w:br w:type="textWrapping"/>
            </w:r>
            <w:r>
              <w:rPr>
                <w:rFonts w:hint="eastAsia"/>
              </w:rPr>
              <w:t>警告、罚款</w:t>
            </w:r>
          </w:p>
        </w:tc>
      </w:tr>
      <w:tr w14:paraId="3CBB2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18C2D6E">
            <w:r>
              <w:rPr>
                <w:rFonts w:hint="eastAsia"/>
              </w:rPr>
              <w:t>受到调查或处罚等措施的原因</w:t>
            </w:r>
          </w:p>
        </w:tc>
        <w:tc>
          <w:tcPr>
            <w:tcW w:w="4153" w:type="dxa"/>
            <w:vAlign w:val="center"/>
          </w:tcPr>
          <w:p w14:paraId="77AAED9A">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62C53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8FF0622">
            <w:r>
              <w:rPr>
                <w:rFonts w:hint="eastAsia"/>
              </w:rPr>
              <w:t>受到处罚的依据</w:t>
            </w:r>
          </w:p>
        </w:tc>
        <w:tc>
          <w:tcPr>
            <w:tcW w:w="4153" w:type="dxa"/>
            <w:vAlign w:val="center"/>
          </w:tcPr>
          <w:p w14:paraId="316A83FA">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6002B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438CDE0">
            <w:r>
              <w:rPr>
                <w:rFonts w:hint="eastAsia"/>
              </w:rPr>
              <w:t>管理人采取整改措施的情况</w:t>
            </w:r>
          </w:p>
        </w:tc>
        <w:tc>
          <w:tcPr>
            <w:tcW w:w="4153" w:type="dxa"/>
            <w:vAlign w:val="center"/>
          </w:tcPr>
          <w:p w14:paraId="41BA3166">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77E09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B8856C2">
            <w:r>
              <w:rPr>
                <w:rFonts w:hint="eastAsia"/>
              </w:rPr>
              <w:t>其他</w:t>
            </w:r>
          </w:p>
        </w:tc>
        <w:tc>
          <w:tcPr>
            <w:tcW w:w="4153" w:type="dxa"/>
            <w:vAlign w:val="center"/>
          </w:tcPr>
          <w:p w14:paraId="0B8E156C">
            <w:r>
              <w:rPr>
                <w:rFonts w:hint="eastAsia"/>
              </w:rPr>
              <w:t>-</w:t>
            </w:r>
          </w:p>
        </w:tc>
      </w:tr>
    </w:tbl>
    <w:p w14:paraId="6FC4C78F">
      <w:pPr>
        <w:pStyle w:val="28"/>
      </w:pPr>
      <w:bookmarkStart w:id="191" w:name="_Toc191"/>
      <w:r>
        <w:t>管理人相关从业人员受调查或处罚等情况</w:t>
      </w:r>
      <w:bookmarkEnd w:id="19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79CF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24A5D68A">
            <w:pPr>
              <w:jc w:val="center"/>
            </w:pPr>
            <w:r>
              <w:rPr>
                <w:rFonts w:hint="eastAsia"/>
                <w:b/>
              </w:rPr>
              <w:t>管理人相关从业人员受调查或处罚等情况</w:t>
            </w:r>
          </w:p>
        </w:tc>
        <w:tc>
          <w:tcPr>
            <w:tcW w:w="4153" w:type="dxa"/>
            <w:shd w:val="clear" w:color="auto" w:fill="BFBFBF"/>
            <w:vAlign w:val="center"/>
          </w:tcPr>
          <w:p w14:paraId="04371D62">
            <w:pPr>
              <w:jc w:val="center"/>
            </w:pPr>
            <w:r>
              <w:rPr>
                <w:rFonts w:hint="eastAsia"/>
                <w:b/>
              </w:rPr>
              <w:t>内容</w:t>
            </w:r>
          </w:p>
        </w:tc>
      </w:tr>
      <w:tr w14:paraId="69DB5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112F7E9">
            <w:r>
              <w:rPr>
                <w:rFonts w:hint="eastAsia"/>
              </w:rPr>
              <w:t>受到调查或处罚等措施的主体</w:t>
            </w:r>
          </w:p>
        </w:tc>
        <w:tc>
          <w:tcPr>
            <w:tcW w:w="4153" w:type="dxa"/>
            <w:vAlign w:val="center"/>
          </w:tcPr>
          <w:p w14:paraId="0CC91094">
            <w:r>
              <w:rPr>
                <w:rFonts w:hint="eastAsia"/>
              </w:rPr>
              <w:t>高级管理人员</w:t>
            </w:r>
          </w:p>
        </w:tc>
      </w:tr>
      <w:tr w14:paraId="10664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8C72D1A">
            <w:r>
              <w:rPr>
                <w:rFonts w:hint="eastAsia"/>
              </w:rPr>
              <w:t>受到调查或处罚等措施的时间</w:t>
            </w:r>
          </w:p>
        </w:tc>
        <w:tc>
          <w:tcPr>
            <w:tcW w:w="4153" w:type="dxa"/>
            <w:vAlign w:val="center"/>
          </w:tcPr>
          <w:p w14:paraId="67E5CF07">
            <w:r>
              <w:rPr>
                <w:rFonts w:hint="eastAsia"/>
              </w:rPr>
              <w:t>2025-10-17</w:t>
            </w:r>
          </w:p>
        </w:tc>
      </w:tr>
      <w:tr w14:paraId="6028B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7419D97">
            <w:r>
              <w:rPr>
                <w:rFonts w:hint="eastAsia"/>
              </w:rPr>
              <w:t>采取调查或处罚等措施的机构</w:t>
            </w:r>
          </w:p>
        </w:tc>
        <w:tc>
          <w:tcPr>
            <w:tcW w:w="4153" w:type="dxa"/>
            <w:vAlign w:val="center"/>
          </w:tcPr>
          <w:p w14:paraId="0711B9AE">
            <w:r>
              <w:rPr>
                <w:rFonts w:hint="eastAsia"/>
              </w:rPr>
              <w:t>中国证监会深圳监管局</w:t>
            </w:r>
          </w:p>
        </w:tc>
      </w:tr>
      <w:tr w14:paraId="64C88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41BE430">
            <w:r>
              <w:rPr>
                <w:rFonts w:hint="eastAsia"/>
              </w:rPr>
              <w:t>受到调查或处罚等措施类型</w:t>
            </w:r>
          </w:p>
        </w:tc>
        <w:tc>
          <w:tcPr>
            <w:tcW w:w="4153" w:type="dxa"/>
            <w:vAlign w:val="center"/>
          </w:tcPr>
          <w:p w14:paraId="667A873A">
            <w:r>
              <w:rPr>
                <w:rFonts w:hint="eastAsia"/>
              </w:rPr>
              <w:t>行政监管措施</w:t>
            </w:r>
          </w:p>
        </w:tc>
      </w:tr>
      <w:tr w14:paraId="04F2E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9556E27">
            <w:r>
              <w:rPr>
                <w:rFonts w:hint="eastAsia"/>
              </w:rPr>
              <w:t>受到的具体措施类型</w:t>
            </w:r>
          </w:p>
        </w:tc>
        <w:tc>
          <w:tcPr>
            <w:tcW w:w="4153" w:type="dxa"/>
            <w:vAlign w:val="center"/>
          </w:tcPr>
          <w:p w14:paraId="1C76C5E2">
            <w:r>
              <w:rPr>
                <w:rFonts w:hint="eastAsia"/>
              </w:rPr>
              <w:t>出具警示函</w:t>
            </w:r>
          </w:p>
        </w:tc>
      </w:tr>
      <w:tr w14:paraId="51428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F34B6B5">
            <w:r>
              <w:rPr>
                <w:rFonts w:hint="eastAsia"/>
              </w:rPr>
              <w:t>受到调查或处罚等措施的原因</w:t>
            </w:r>
          </w:p>
        </w:tc>
        <w:tc>
          <w:tcPr>
            <w:tcW w:w="4153" w:type="dxa"/>
            <w:vAlign w:val="center"/>
          </w:tcPr>
          <w:p w14:paraId="7D4DB861">
            <w:r>
              <w:rPr>
                <w:rFonts w:hint="eastAsia"/>
              </w:rPr>
              <w:t>人员管理、其他问题(销售管理)</w:t>
            </w:r>
          </w:p>
        </w:tc>
      </w:tr>
      <w:tr w14:paraId="4633B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8310C67">
            <w:r>
              <w:rPr>
                <w:rFonts w:hint="eastAsia"/>
              </w:rPr>
              <w:t>受到处罚的依据</w:t>
            </w:r>
          </w:p>
        </w:tc>
        <w:tc>
          <w:tcPr>
            <w:tcW w:w="4153" w:type="dxa"/>
            <w:vAlign w:val="center"/>
          </w:tcPr>
          <w:p w14:paraId="049DB65A">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65D0F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FCB549E">
            <w:r>
              <w:rPr>
                <w:rFonts w:hint="eastAsia"/>
              </w:rPr>
              <w:t>管理人采取整改措施的情况（如提出整改意见）</w:t>
            </w:r>
          </w:p>
        </w:tc>
        <w:tc>
          <w:tcPr>
            <w:tcW w:w="4153" w:type="dxa"/>
            <w:vAlign w:val="center"/>
          </w:tcPr>
          <w:p w14:paraId="0FB166A4">
            <w:r>
              <w:rPr>
                <w:rFonts w:hint="eastAsia"/>
              </w:rPr>
              <w:t>截至报告期末公司已通过完善制度、优化流程等整改措施完成整改，整改成果已经中国证监会深圳监管局验收通过</w:t>
            </w:r>
          </w:p>
        </w:tc>
      </w:tr>
      <w:tr w14:paraId="4B480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4827C9B">
            <w:r>
              <w:rPr>
                <w:rFonts w:hint="eastAsia"/>
              </w:rPr>
              <w:t>其他</w:t>
            </w:r>
          </w:p>
        </w:tc>
        <w:tc>
          <w:tcPr>
            <w:tcW w:w="4153" w:type="dxa"/>
            <w:vAlign w:val="center"/>
          </w:tcPr>
          <w:p w14:paraId="3AB75EF6">
            <w:pPr>
              <w:jc w:val="right"/>
            </w:pPr>
            <w:r>
              <w:rPr>
                <w:rFonts w:hint="eastAsia"/>
              </w:rPr>
              <w:t>-</w:t>
            </w:r>
          </w:p>
        </w:tc>
      </w:tr>
    </w:tbl>
    <w:p w14:paraId="14DABC33">
      <w:pPr>
        <w:pStyle w:val="28"/>
      </w:pPr>
      <w:bookmarkStart w:id="192" w:name="_Toc192"/>
      <w:r>
        <w:t>托管人受调查或处罚等情况</w:t>
      </w:r>
      <w:bookmarkEnd w:id="192"/>
    </w:p>
    <w:p w14:paraId="24577B51">
      <w:pPr>
        <w:pStyle w:val="18"/>
        <w:rPr>
          <w:rFonts w:hint="eastAsia"/>
        </w:rPr>
      </w:pPr>
      <w:r>
        <w:rPr>
          <w:rFonts w:hint="eastAsia"/>
        </w:rPr>
        <w:t>本报告期内，基金托管人没有受到监管部门调查或处罚。</w:t>
      </w:r>
    </w:p>
    <w:p w14:paraId="291D35C3">
      <w:pPr>
        <w:pStyle w:val="28"/>
      </w:pPr>
      <w:bookmarkStart w:id="193" w:name="_Toc193"/>
      <w:r>
        <w:t>托管人相关从业人员受调查或处罚等情况</w:t>
      </w:r>
      <w:bookmarkEnd w:id="193"/>
    </w:p>
    <w:p w14:paraId="7292E748">
      <w:pPr>
        <w:pStyle w:val="18"/>
        <w:rPr>
          <w:rFonts w:hint="eastAsia"/>
        </w:rPr>
      </w:pPr>
      <w:r>
        <w:rPr>
          <w:rFonts w:hint="eastAsia"/>
        </w:rPr>
        <w:t>本报告期内，基金托管人相关从业人员没有受到监管部门调查或处罚。</w:t>
      </w:r>
    </w:p>
    <w:p w14:paraId="00BB0ADF">
      <w:pPr>
        <w:pStyle w:val="23"/>
      </w:pPr>
      <w:bookmarkStart w:id="194" w:name="_Toc32448"/>
      <w:r>
        <w:t>基金租用证券公司交易单元的有关情况</w:t>
      </w:r>
      <w:bookmarkEnd w:id="194"/>
    </w:p>
    <w:p w14:paraId="6F48CF26">
      <w:pPr>
        <w:pStyle w:val="28"/>
      </w:pPr>
      <w:bookmarkStart w:id="195" w:name="_Toc195"/>
      <w:r>
        <w:t>基金租用证券公司交易单元进行股票投资及佣金支付情况</w:t>
      </w:r>
      <w:bookmarkEnd w:id="195"/>
    </w:p>
    <w:p w14:paraId="239BBF0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06EE3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0E6F9B5E">
            <w:pPr>
              <w:jc w:val="center"/>
            </w:pPr>
            <w:r>
              <w:rPr>
                <w:rFonts w:hint="eastAsia"/>
                <w:b/>
              </w:rPr>
              <w:t>券商名称</w:t>
            </w:r>
          </w:p>
        </w:tc>
        <w:tc>
          <w:tcPr>
            <w:tcW w:w="775" w:type="dxa"/>
            <w:vMerge w:val="restart"/>
            <w:shd w:val="clear" w:color="auto" w:fill="BFBFBF"/>
            <w:vAlign w:val="center"/>
          </w:tcPr>
          <w:p w14:paraId="18C01544">
            <w:pPr>
              <w:jc w:val="center"/>
            </w:pPr>
            <w:r>
              <w:rPr>
                <w:rFonts w:hint="eastAsia"/>
                <w:b/>
              </w:rPr>
              <w:t>交易单元数量</w:t>
            </w:r>
          </w:p>
        </w:tc>
        <w:tc>
          <w:tcPr>
            <w:tcW w:w="1699" w:type="dxa"/>
            <w:gridSpan w:val="2"/>
            <w:shd w:val="clear" w:color="auto" w:fill="BFBFBF"/>
            <w:vAlign w:val="center"/>
          </w:tcPr>
          <w:p w14:paraId="63063665">
            <w:pPr>
              <w:jc w:val="center"/>
            </w:pPr>
            <w:r>
              <w:rPr>
                <w:rFonts w:hint="eastAsia"/>
                <w:b/>
              </w:rPr>
              <w:t>股票交易</w:t>
            </w:r>
          </w:p>
        </w:tc>
        <w:tc>
          <w:tcPr>
            <w:tcW w:w="1312" w:type="dxa"/>
            <w:gridSpan w:val="2"/>
            <w:shd w:val="clear" w:color="auto" w:fill="BFBFBF"/>
            <w:vAlign w:val="center"/>
          </w:tcPr>
          <w:p w14:paraId="07D7F9EB">
            <w:pPr>
              <w:jc w:val="center"/>
            </w:pPr>
            <w:r>
              <w:rPr>
                <w:rFonts w:hint="eastAsia"/>
                <w:b/>
              </w:rPr>
              <w:t>应支付该券商的佣金</w:t>
            </w:r>
          </w:p>
        </w:tc>
        <w:tc>
          <w:tcPr>
            <w:tcW w:w="946" w:type="dxa"/>
            <w:vMerge w:val="restart"/>
            <w:shd w:val="clear" w:color="auto" w:fill="BFBFBF"/>
            <w:vAlign w:val="center"/>
          </w:tcPr>
          <w:p w14:paraId="1C3C9009">
            <w:pPr>
              <w:jc w:val="center"/>
            </w:pPr>
            <w:r>
              <w:rPr>
                <w:rFonts w:hint="eastAsia"/>
                <w:b/>
              </w:rPr>
              <w:t>备注</w:t>
            </w:r>
          </w:p>
        </w:tc>
      </w:tr>
      <w:tr w14:paraId="279E0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05F5B908"/>
        </w:tc>
        <w:tc>
          <w:tcPr>
            <w:tcW w:w="775" w:type="dxa"/>
            <w:vMerge w:val="continue"/>
            <w:vAlign w:val="center"/>
          </w:tcPr>
          <w:p w14:paraId="2E4136F4"/>
        </w:tc>
        <w:tc>
          <w:tcPr>
            <w:tcW w:w="1699" w:type="dxa"/>
            <w:shd w:val="clear" w:color="auto" w:fill="BFBFBF"/>
            <w:vAlign w:val="center"/>
          </w:tcPr>
          <w:p w14:paraId="4B82DE7F">
            <w:pPr>
              <w:jc w:val="center"/>
            </w:pPr>
            <w:r>
              <w:rPr>
                <w:rFonts w:hint="eastAsia"/>
                <w:b/>
              </w:rPr>
              <w:t>成交金额</w:t>
            </w:r>
          </w:p>
        </w:tc>
        <w:tc>
          <w:tcPr>
            <w:tcW w:w="1201" w:type="dxa"/>
            <w:shd w:val="clear" w:color="auto" w:fill="BFBFBF"/>
            <w:vAlign w:val="center"/>
          </w:tcPr>
          <w:p w14:paraId="4FC5952E">
            <w:pPr>
              <w:jc w:val="center"/>
            </w:pPr>
            <w:r>
              <w:rPr>
                <w:rFonts w:hint="eastAsia"/>
                <w:b/>
              </w:rPr>
              <w:t>占当期股票成交总额的比例</w:t>
            </w:r>
          </w:p>
        </w:tc>
        <w:tc>
          <w:tcPr>
            <w:tcW w:w="1312" w:type="dxa"/>
            <w:shd w:val="clear" w:color="auto" w:fill="BFBFBF"/>
            <w:vAlign w:val="center"/>
          </w:tcPr>
          <w:p w14:paraId="2A20FAE4">
            <w:pPr>
              <w:jc w:val="center"/>
            </w:pPr>
            <w:r>
              <w:rPr>
                <w:rFonts w:hint="eastAsia"/>
                <w:b/>
              </w:rPr>
              <w:t>佣金</w:t>
            </w:r>
          </w:p>
        </w:tc>
        <w:tc>
          <w:tcPr>
            <w:tcW w:w="1256" w:type="dxa"/>
            <w:shd w:val="clear" w:color="auto" w:fill="BFBFBF"/>
            <w:vAlign w:val="center"/>
          </w:tcPr>
          <w:p w14:paraId="18D30B2A">
            <w:pPr>
              <w:jc w:val="center"/>
            </w:pPr>
            <w:r>
              <w:rPr>
                <w:rFonts w:hint="eastAsia"/>
                <w:b/>
              </w:rPr>
              <w:t>占当期佣金总量的比例</w:t>
            </w:r>
          </w:p>
        </w:tc>
        <w:tc>
          <w:tcPr>
            <w:tcW w:w="946" w:type="dxa"/>
            <w:vMerge w:val="continue"/>
            <w:vAlign w:val="center"/>
          </w:tcPr>
          <w:p w14:paraId="494FAD96"/>
        </w:tc>
      </w:tr>
      <w:tr w14:paraId="3A436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8D55EFC">
            <w:r>
              <w:rPr>
                <w:rFonts w:hint="eastAsia"/>
              </w:rPr>
              <w:t>华泰证券</w:t>
            </w:r>
          </w:p>
        </w:tc>
        <w:tc>
          <w:tcPr>
            <w:tcW w:w="775" w:type="dxa"/>
            <w:vAlign w:val="center"/>
          </w:tcPr>
          <w:p w14:paraId="3C723999">
            <w:pPr>
              <w:jc w:val="right"/>
            </w:pPr>
            <w:r>
              <w:rPr>
                <w:rFonts w:hint="eastAsia"/>
              </w:rPr>
              <w:t>2</w:t>
            </w:r>
          </w:p>
        </w:tc>
        <w:tc>
          <w:tcPr>
            <w:tcW w:w="1699" w:type="dxa"/>
            <w:vAlign w:val="center"/>
          </w:tcPr>
          <w:p w14:paraId="19DB64E8">
            <w:pPr>
              <w:jc w:val="right"/>
            </w:pPr>
            <w:r>
              <w:rPr>
                <w:rFonts w:hint="eastAsia"/>
              </w:rPr>
              <w:t>-</w:t>
            </w:r>
          </w:p>
        </w:tc>
        <w:tc>
          <w:tcPr>
            <w:tcW w:w="1201" w:type="dxa"/>
            <w:vAlign w:val="center"/>
          </w:tcPr>
          <w:p w14:paraId="0F1B9A76">
            <w:pPr>
              <w:jc w:val="right"/>
            </w:pPr>
            <w:r>
              <w:rPr>
                <w:rFonts w:hint="eastAsia"/>
              </w:rPr>
              <w:t>-</w:t>
            </w:r>
          </w:p>
        </w:tc>
        <w:tc>
          <w:tcPr>
            <w:tcW w:w="1312" w:type="dxa"/>
            <w:vAlign w:val="center"/>
          </w:tcPr>
          <w:p w14:paraId="4399543B">
            <w:pPr>
              <w:jc w:val="right"/>
            </w:pPr>
            <w:r>
              <w:rPr>
                <w:rFonts w:hint="eastAsia"/>
              </w:rPr>
              <w:t>-</w:t>
            </w:r>
          </w:p>
        </w:tc>
        <w:tc>
          <w:tcPr>
            <w:tcW w:w="1256" w:type="dxa"/>
            <w:vAlign w:val="center"/>
          </w:tcPr>
          <w:p w14:paraId="264E48DA">
            <w:pPr>
              <w:jc w:val="right"/>
            </w:pPr>
            <w:r>
              <w:rPr>
                <w:rFonts w:hint="eastAsia"/>
              </w:rPr>
              <w:t>-</w:t>
            </w:r>
          </w:p>
        </w:tc>
        <w:tc>
          <w:tcPr>
            <w:tcW w:w="946" w:type="dxa"/>
            <w:vAlign w:val="center"/>
          </w:tcPr>
          <w:p w14:paraId="2A198063">
            <w:pPr>
              <w:jc w:val="right"/>
            </w:pPr>
            <w:r>
              <w:rPr>
                <w:rFonts w:hint="eastAsia"/>
              </w:rPr>
              <w:t>-</w:t>
            </w:r>
          </w:p>
        </w:tc>
      </w:tr>
    </w:tbl>
    <w:p w14:paraId="7765192B">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7FF31D1F">
      <w:pPr>
        <w:pStyle w:val="47"/>
        <w:rPr>
          <w:rFonts w:hint="eastAsia"/>
        </w:rPr>
      </w:pPr>
      <w:r>
        <w:tab/>
      </w:r>
      <w:r>
        <w:rPr>
          <w:rFonts w:hint="eastAsia"/>
        </w:rPr>
        <w:t>1、选择标准</w:t>
      </w:r>
    </w:p>
    <w:p w14:paraId="387506F9">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6BBE8350">
      <w:pPr>
        <w:pStyle w:val="47"/>
        <w:rPr>
          <w:rFonts w:hint="eastAsia"/>
        </w:rPr>
      </w:pPr>
      <w:r>
        <w:tab/>
      </w:r>
      <w:r>
        <w:rPr>
          <w:rFonts w:hint="eastAsia"/>
        </w:rPr>
        <w:t>2、选择程序</w:t>
      </w:r>
    </w:p>
    <w:p w14:paraId="200FC0F3">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3D26CE99">
      <w:pPr>
        <w:pStyle w:val="47"/>
        <w:rPr>
          <w:rFonts w:hint="eastAsia"/>
        </w:rPr>
      </w:pPr>
      <w:r>
        <w:tab/>
      </w:r>
      <w:r>
        <w:rPr>
          <w:rFonts w:hint="eastAsia"/>
        </w:rPr>
        <w:t>（2）基金管理人根据其建立的服务评价及交易量分配机制，定期对证券公司开展评价后，根据评价结果进行交易量的分配。</w:t>
      </w:r>
    </w:p>
    <w:p w14:paraId="5C8D01CA">
      <w:pPr>
        <w:pStyle w:val="47"/>
        <w:rPr>
          <w:rFonts w:hint="eastAsia"/>
        </w:rPr>
      </w:pPr>
      <w:r>
        <w:tab/>
      </w:r>
      <w:r>
        <w:rPr>
          <w:rFonts w:hint="eastAsia"/>
        </w:rPr>
        <w:t>3、报告期内基金租用券商交易单元的变更情况：新增交易单元：无；减少交易单元：无。</w:t>
      </w:r>
    </w:p>
    <w:p w14:paraId="755790D8">
      <w:pPr>
        <w:pStyle w:val="28"/>
      </w:pPr>
      <w:bookmarkStart w:id="196" w:name="_Toc196"/>
      <w:r>
        <w:t>基金租用证券公司交易单元进行其他证券投资的情况</w:t>
      </w:r>
      <w:bookmarkEnd w:id="196"/>
    </w:p>
    <w:p w14:paraId="5CB49DF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15FFD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2D664DAD">
            <w:pPr>
              <w:jc w:val="center"/>
            </w:pPr>
            <w:r>
              <w:rPr>
                <w:rFonts w:hint="eastAsia"/>
                <w:b/>
              </w:rPr>
              <w:t>券商名称</w:t>
            </w:r>
          </w:p>
        </w:tc>
        <w:tc>
          <w:tcPr>
            <w:tcW w:w="1508" w:type="dxa"/>
            <w:gridSpan w:val="2"/>
            <w:shd w:val="clear" w:color="auto" w:fill="BFBFBF"/>
            <w:vAlign w:val="center"/>
          </w:tcPr>
          <w:p w14:paraId="48DBEC54">
            <w:pPr>
              <w:jc w:val="center"/>
            </w:pPr>
            <w:r>
              <w:rPr>
                <w:rFonts w:hint="eastAsia"/>
                <w:b/>
              </w:rPr>
              <w:t>债券交易</w:t>
            </w:r>
          </w:p>
        </w:tc>
        <w:tc>
          <w:tcPr>
            <w:tcW w:w="1697" w:type="dxa"/>
            <w:gridSpan w:val="2"/>
            <w:shd w:val="clear" w:color="auto" w:fill="BFBFBF"/>
            <w:vAlign w:val="center"/>
          </w:tcPr>
          <w:p w14:paraId="40864047">
            <w:pPr>
              <w:jc w:val="center"/>
            </w:pPr>
            <w:r>
              <w:rPr>
                <w:rFonts w:hint="eastAsia"/>
                <w:b/>
              </w:rPr>
              <w:t>债券回购交易</w:t>
            </w:r>
          </w:p>
        </w:tc>
        <w:tc>
          <w:tcPr>
            <w:tcW w:w="1508" w:type="dxa"/>
            <w:gridSpan w:val="2"/>
            <w:shd w:val="clear" w:color="auto" w:fill="BFBFBF"/>
            <w:vAlign w:val="center"/>
          </w:tcPr>
          <w:p w14:paraId="2C5306E1">
            <w:pPr>
              <w:jc w:val="center"/>
            </w:pPr>
            <w:r>
              <w:rPr>
                <w:rFonts w:hint="eastAsia"/>
                <w:b/>
              </w:rPr>
              <w:t>权证交易</w:t>
            </w:r>
          </w:p>
        </w:tc>
      </w:tr>
      <w:tr w14:paraId="01345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65C93B80"/>
        </w:tc>
        <w:tc>
          <w:tcPr>
            <w:tcW w:w="1508" w:type="dxa"/>
            <w:shd w:val="clear" w:color="auto" w:fill="BFBFBF"/>
            <w:vAlign w:val="center"/>
          </w:tcPr>
          <w:p w14:paraId="637C90C3">
            <w:pPr>
              <w:jc w:val="center"/>
            </w:pPr>
            <w:r>
              <w:rPr>
                <w:rFonts w:hint="eastAsia"/>
                <w:b/>
              </w:rPr>
              <w:t>成交金额</w:t>
            </w:r>
          </w:p>
        </w:tc>
        <w:tc>
          <w:tcPr>
            <w:tcW w:w="895" w:type="dxa"/>
            <w:shd w:val="clear" w:color="auto" w:fill="BFBFBF"/>
            <w:vAlign w:val="center"/>
          </w:tcPr>
          <w:p w14:paraId="231BD096">
            <w:pPr>
              <w:jc w:val="center"/>
            </w:pPr>
            <w:r>
              <w:rPr>
                <w:rFonts w:hint="eastAsia"/>
                <w:b/>
              </w:rPr>
              <w:t>占当期债券成交总额的比例</w:t>
            </w:r>
          </w:p>
        </w:tc>
        <w:tc>
          <w:tcPr>
            <w:tcW w:w="1697" w:type="dxa"/>
            <w:shd w:val="clear" w:color="auto" w:fill="BFBFBF"/>
            <w:vAlign w:val="center"/>
          </w:tcPr>
          <w:p w14:paraId="53B6C5F3">
            <w:pPr>
              <w:jc w:val="center"/>
            </w:pPr>
            <w:r>
              <w:rPr>
                <w:rFonts w:hint="eastAsia"/>
                <w:b/>
              </w:rPr>
              <w:t>成交金额</w:t>
            </w:r>
          </w:p>
        </w:tc>
        <w:tc>
          <w:tcPr>
            <w:tcW w:w="895" w:type="dxa"/>
            <w:shd w:val="clear" w:color="auto" w:fill="BFBFBF"/>
            <w:vAlign w:val="center"/>
          </w:tcPr>
          <w:p w14:paraId="6F5B9578">
            <w:pPr>
              <w:jc w:val="center"/>
            </w:pPr>
            <w:r>
              <w:rPr>
                <w:rFonts w:hint="eastAsia"/>
                <w:b/>
              </w:rPr>
              <w:t>占当期债券回购成交总额的比例</w:t>
            </w:r>
          </w:p>
        </w:tc>
        <w:tc>
          <w:tcPr>
            <w:tcW w:w="1508" w:type="dxa"/>
            <w:shd w:val="clear" w:color="auto" w:fill="BFBFBF"/>
            <w:vAlign w:val="center"/>
          </w:tcPr>
          <w:p w14:paraId="0B91DE15">
            <w:pPr>
              <w:jc w:val="center"/>
            </w:pPr>
            <w:r>
              <w:rPr>
                <w:rFonts w:hint="eastAsia"/>
                <w:b/>
              </w:rPr>
              <w:t>成交金额</w:t>
            </w:r>
          </w:p>
        </w:tc>
        <w:tc>
          <w:tcPr>
            <w:tcW w:w="900" w:type="dxa"/>
            <w:shd w:val="clear" w:color="auto" w:fill="BFBFBF"/>
            <w:vAlign w:val="center"/>
          </w:tcPr>
          <w:p w14:paraId="5F6407E2">
            <w:pPr>
              <w:jc w:val="center"/>
            </w:pPr>
            <w:r>
              <w:rPr>
                <w:rFonts w:hint="eastAsia"/>
                <w:b/>
              </w:rPr>
              <w:t>占当期权证成交总额的比例</w:t>
            </w:r>
          </w:p>
        </w:tc>
      </w:tr>
      <w:tr w14:paraId="306E5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7CE941F">
            <w:r>
              <w:rPr>
                <w:rFonts w:hint="eastAsia"/>
              </w:rPr>
              <w:t>华泰证券</w:t>
            </w:r>
          </w:p>
        </w:tc>
        <w:tc>
          <w:tcPr>
            <w:tcW w:w="1508" w:type="dxa"/>
            <w:vAlign w:val="center"/>
          </w:tcPr>
          <w:p w14:paraId="2713BC60">
            <w:pPr>
              <w:jc w:val="right"/>
            </w:pPr>
            <w:r>
              <w:rPr>
                <w:rFonts w:hint="eastAsia"/>
              </w:rPr>
              <w:t>150,382,970.00</w:t>
            </w:r>
          </w:p>
        </w:tc>
        <w:tc>
          <w:tcPr>
            <w:tcW w:w="895" w:type="dxa"/>
            <w:vAlign w:val="center"/>
          </w:tcPr>
          <w:p w14:paraId="7F1B710F">
            <w:pPr>
              <w:jc w:val="right"/>
            </w:pPr>
            <w:r>
              <w:rPr>
                <w:rFonts w:hint="eastAsia"/>
              </w:rPr>
              <w:t>100.00%</w:t>
            </w:r>
          </w:p>
        </w:tc>
        <w:tc>
          <w:tcPr>
            <w:tcW w:w="1697" w:type="dxa"/>
            <w:vAlign w:val="center"/>
          </w:tcPr>
          <w:p w14:paraId="5E072B28">
            <w:pPr>
              <w:jc w:val="right"/>
            </w:pPr>
            <w:r>
              <w:rPr>
                <w:rFonts w:hint="eastAsia"/>
              </w:rPr>
              <w:t>60,000,000.00</w:t>
            </w:r>
          </w:p>
        </w:tc>
        <w:tc>
          <w:tcPr>
            <w:tcW w:w="895" w:type="dxa"/>
            <w:vAlign w:val="center"/>
          </w:tcPr>
          <w:p w14:paraId="7DEDB1E1">
            <w:pPr>
              <w:jc w:val="right"/>
            </w:pPr>
            <w:r>
              <w:rPr>
                <w:rFonts w:hint="eastAsia"/>
              </w:rPr>
              <w:t>100.00%</w:t>
            </w:r>
          </w:p>
        </w:tc>
        <w:tc>
          <w:tcPr>
            <w:tcW w:w="1508" w:type="dxa"/>
            <w:vAlign w:val="center"/>
          </w:tcPr>
          <w:p w14:paraId="0B787A45">
            <w:pPr>
              <w:jc w:val="right"/>
            </w:pPr>
            <w:r>
              <w:rPr>
                <w:rFonts w:hint="eastAsia"/>
              </w:rPr>
              <w:t>-</w:t>
            </w:r>
          </w:p>
        </w:tc>
        <w:tc>
          <w:tcPr>
            <w:tcW w:w="900" w:type="dxa"/>
            <w:vAlign w:val="center"/>
          </w:tcPr>
          <w:p w14:paraId="36044E8D">
            <w:pPr>
              <w:jc w:val="right"/>
            </w:pPr>
            <w:r>
              <w:rPr>
                <w:rFonts w:hint="eastAsia"/>
              </w:rPr>
              <w:t>-</w:t>
            </w:r>
          </w:p>
        </w:tc>
      </w:tr>
    </w:tbl>
    <w:p w14:paraId="2B5E693D">
      <w:pPr>
        <w:pStyle w:val="23"/>
      </w:pPr>
      <w:bookmarkStart w:id="197" w:name="_Toc30717"/>
      <w:r>
        <w:t>其他重大事件</w:t>
      </w:r>
      <w:bookmarkEnd w:id="197"/>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2EAA2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4B6463E1">
            <w:pPr>
              <w:jc w:val="center"/>
            </w:pPr>
            <w:r>
              <w:rPr>
                <w:rFonts w:hint="eastAsia"/>
                <w:b/>
              </w:rPr>
              <w:t>序号</w:t>
            </w:r>
          </w:p>
        </w:tc>
        <w:tc>
          <w:tcPr>
            <w:tcW w:w="4319" w:type="dxa"/>
            <w:shd w:val="clear" w:color="auto" w:fill="BFBFBF"/>
            <w:vAlign w:val="center"/>
          </w:tcPr>
          <w:p w14:paraId="4BE73F2B">
            <w:pPr>
              <w:jc w:val="center"/>
            </w:pPr>
            <w:r>
              <w:rPr>
                <w:rFonts w:hint="eastAsia"/>
                <w:b/>
              </w:rPr>
              <w:t>公告事项</w:t>
            </w:r>
          </w:p>
        </w:tc>
        <w:tc>
          <w:tcPr>
            <w:tcW w:w="2076" w:type="dxa"/>
            <w:shd w:val="clear" w:color="auto" w:fill="BFBFBF"/>
            <w:vAlign w:val="center"/>
          </w:tcPr>
          <w:p w14:paraId="66673996">
            <w:pPr>
              <w:jc w:val="center"/>
            </w:pPr>
            <w:r>
              <w:rPr>
                <w:rFonts w:hint="eastAsia"/>
                <w:b/>
              </w:rPr>
              <w:t>法定披露方式</w:t>
            </w:r>
          </w:p>
        </w:tc>
        <w:tc>
          <w:tcPr>
            <w:tcW w:w="1218" w:type="dxa"/>
            <w:shd w:val="clear" w:color="auto" w:fill="BFBFBF"/>
            <w:vAlign w:val="center"/>
          </w:tcPr>
          <w:p w14:paraId="317851FF">
            <w:pPr>
              <w:jc w:val="center"/>
            </w:pPr>
            <w:r>
              <w:rPr>
                <w:rFonts w:hint="eastAsia"/>
                <w:b/>
              </w:rPr>
              <w:t>法定披露日期</w:t>
            </w:r>
          </w:p>
        </w:tc>
      </w:tr>
      <w:tr w14:paraId="19A3C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81F4FC2">
            <w:pPr>
              <w:jc w:val="center"/>
            </w:pPr>
            <w:r>
              <w:rPr>
                <w:rFonts w:hint="eastAsia"/>
              </w:rPr>
              <w:t>1</w:t>
            </w:r>
          </w:p>
        </w:tc>
        <w:tc>
          <w:tcPr>
            <w:tcW w:w="4319" w:type="dxa"/>
            <w:vAlign w:val="center"/>
          </w:tcPr>
          <w:p w14:paraId="6450BB8C">
            <w:r>
              <w:rPr>
                <w:rFonts w:hint="eastAsia"/>
              </w:rPr>
              <w:t>南方基金关于直销平台相关业务费率优惠的公告</w:t>
            </w:r>
          </w:p>
        </w:tc>
        <w:tc>
          <w:tcPr>
            <w:tcW w:w="2076" w:type="dxa"/>
            <w:vAlign w:val="center"/>
          </w:tcPr>
          <w:p w14:paraId="552D0924">
            <w:r>
              <w:rPr>
                <w:rFonts w:hint="eastAsia"/>
              </w:rPr>
              <w:t>证券时报、基金管理人网站、中国证监会基金电子披露网站</w:t>
            </w:r>
          </w:p>
        </w:tc>
        <w:tc>
          <w:tcPr>
            <w:tcW w:w="1218" w:type="dxa"/>
            <w:vAlign w:val="center"/>
          </w:tcPr>
          <w:p w14:paraId="73C905DE">
            <w:r>
              <w:rPr>
                <w:rFonts w:hint="eastAsia"/>
              </w:rPr>
              <w:t>2025-01-01</w:t>
            </w:r>
          </w:p>
        </w:tc>
      </w:tr>
      <w:tr w14:paraId="181D9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CB72AD2">
            <w:pPr>
              <w:jc w:val="center"/>
            </w:pPr>
            <w:r>
              <w:rPr>
                <w:rFonts w:hint="eastAsia"/>
              </w:rPr>
              <w:t>2</w:t>
            </w:r>
          </w:p>
        </w:tc>
        <w:tc>
          <w:tcPr>
            <w:tcW w:w="4319" w:type="dxa"/>
            <w:vAlign w:val="center"/>
          </w:tcPr>
          <w:p w14:paraId="08B017A1">
            <w:r>
              <w:rPr>
                <w:rFonts w:hint="eastAsia"/>
              </w:rPr>
              <w:t>南方得利一年定期开放债券型发起式证券投资基金开放申购、赎回及转换业务的公告</w:t>
            </w:r>
          </w:p>
        </w:tc>
        <w:tc>
          <w:tcPr>
            <w:tcW w:w="2076" w:type="dxa"/>
            <w:vAlign w:val="center"/>
          </w:tcPr>
          <w:p w14:paraId="59307F3A">
            <w:r>
              <w:rPr>
                <w:rFonts w:hint="eastAsia"/>
              </w:rPr>
              <w:t>证券时报、基金管理人网站、中国证监会基金电子披露网站</w:t>
            </w:r>
          </w:p>
        </w:tc>
        <w:tc>
          <w:tcPr>
            <w:tcW w:w="1218" w:type="dxa"/>
            <w:vAlign w:val="center"/>
          </w:tcPr>
          <w:p w14:paraId="4B35AB73">
            <w:r>
              <w:rPr>
                <w:rFonts w:hint="eastAsia"/>
              </w:rPr>
              <w:t>2025-03-21</w:t>
            </w:r>
          </w:p>
        </w:tc>
      </w:tr>
      <w:tr w14:paraId="4E467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2A719C3">
            <w:pPr>
              <w:jc w:val="center"/>
            </w:pPr>
            <w:r>
              <w:rPr>
                <w:rFonts w:hint="eastAsia"/>
              </w:rPr>
              <w:t>3</w:t>
            </w:r>
          </w:p>
        </w:tc>
        <w:tc>
          <w:tcPr>
            <w:tcW w:w="4319" w:type="dxa"/>
            <w:vAlign w:val="center"/>
          </w:tcPr>
          <w:p w14:paraId="679F7E51">
            <w:r>
              <w:rPr>
                <w:rFonts w:hint="eastAsia"/>
              </w:rPr>
              <w:t>南方基金管理股份有限公司旗下公募基金通过证券公司证券交易及佣金支付情况（2024年度）</w:t>
            </w:r>
          </w:p>
        </w:tc>
        <w:tc>
          <w:tcPr>
            <w:tcW w:w="2076" w:type="dxa"/>
            <w:vAlign w:val="center"/>
          </w:tcPr>
          <w:p w14:paraId="1CE7692A">
            <w:r>
              <w:rPr>
                <w:rFonts w:hint="eastAsia"/>
              </w:rPr>
              <w:t>证券时报、基金管理人网站、中国证监会基金电子披露网站</w:t>
            </w:r>
          </w:p>
        </w:tc>
        <w:tc>
          <w:tcPr>
            <w:tcW w:w="1218" w:type="dxa"/>
            <w:vAlign w:val="center"/>
          </w:tcPr>
          <w:p w14:paraId="3CC19C04">
            <w:r>
              <w:rPr>
                <w:rFonts w:hint="eastAsia"/>
              </w:rPr>
              <w:t>2025-03-31</w:t>
            </w:r>
          </w:p>
        </w:tc>
      </w:tr>
      <w:tr w14:paraId="21085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9A53CF3">
            <w:pPr>
              <w:jc w:val="center"/>
            </w:pPr>
            <w:r>
              <w:rPr>
                <w:rFonts w:hint="eastAsia"/>
              </w:rPr>
              <w:t>4</w:t>
            </w:r>
          </w:p>
        </w:tc>
        <w:tc>
          <w:tcPr>
            <w:tcW w:w="4319" w:type="dxa"/>
            <w:vAlign w:val="center"/>
          </w:tcPr>
          <w:p w14:paraId="56971327">
            <w:r>
              <w:rPr>
                <w:rFonts w:hint="eastAsia"/>
              </w:rPr>
              <w:t>关于南方得利一年定期开放债券型发起式证券投资基金调整开放期安排的公告</w:t>
            </w:r>
          </w:p>
        </w:tc>
        <w:tc>
          <w:tcPr>
            <w:tcW w:w="2076" w:type="dxa"/>
            <w:vAlign w:val="center"/>
          </w:tcPr>
          <w:p w14:paraId="57A19964">
            <w:r>
              <w:rPr>
                <w:rFonts w:hint="eastAsia"/>
              </w:rPr>
              <w:t>证券时报、基金管理人网站、中国证监会基金电子披露网站</w:t>
            </w:r>
          </w:p>
        </w:tc>
        <w:tc>
          <w:tcPr>
            <w:tcW w:w="1218" w:type="dxa"/>
            <w:vAlign w:val="center"/>
          </w:tcPr>
          <w:p w14:paraId="2F87DE52">
            <w:r>
              <w:rPr>
                <w:rFonts w:hint="eastAsia"/>
              </w:rPr>
              <w:t>2025-04-01</w:t>
            </w:r>
          </w:p>
        </w:tc>
      </w:tr>
      <w:tr w14:paraId="2976F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942C8A1">
            <w:pPr>
              <w:jc w:val="center"/>
            </w:pPr>
            <w:r>
              <w:rPr>
                <w:rFonts w:hint="eastAsia"/>
              </w:rPr>
              <w:t>5</w:t>
            </w:r>
          </w:p>
        </w:tc>
        <w:tc>
          <w:tcPr>
            <w:tcW w:w="4319" w:type="dxa"/>
            <w:vAlign w:val="center"/>
          </w:tcPr>
          <w:p w14:paraId="63BAE2E9">
            <w:r>
              <w:rPr>
                <w:rFonts w:hint="eastAsia"/>
              </w:rPr>
              <w:t>关于南方得利一年定期开放债券型发起式证券投资基金变更基金经理的公告</w:t>
            </w:r>
          </w:p>
        </w:tc>
        <w:tc>
          <w:tcPr>
            <w:tcW w:w="2076" w:type="dxa"/>
            <w:vAlign w:val="center"/>
          </w:tcPr>
          <w:p w14:paraId="28D1DC8F">
            <w:r>
              <w:rPr>
                <w:rFonts w:hint="eastAsia"/>
              </w:rPr>
              <w:t>证券时报、基金管理人网站、中国证监会基金电子披露网站</w:t>
            </w:r>
          </w:p>
        </w:tc>
        <w:tc>
          <w:tcPr>
            <w:tcW w:w="1218" w:type="dxa"/>
            <w:vAlign w:val="center"/>
          </w:tcPr>
          <w:p w14:paraId="5099DFA6">
            <w:r>
              <w:rPr>
                <w:rFonts w:hint="eastAsia"/>
              </w:rPr>
              <w:t>2025-07-12</w:t>
            </w:r>
          </w:p>
        </w:tc>
      </w:tr>
    </w:tbl>
    <w:p w14:paraId="5D29CAF5">
      <w:pPr>
        <w:pStyle w:val="26"/>
      </w:pPr>
      <w:bookmarkStart w:id="198" w:name="_Toc23627"/>
      <w:r>
        <w:t>影响投资者决策的其他重要信息</w:t>
      </w:r>
      <w:bookmarkEnd w:id="198"/>
    </w:p>
    <w:p w14:paraId="1DBB331E">
      <w:pPr>
        <w:pStyle w:val="23"/>
      </w:pPr>
      <w:bookmarkStart w:id="199" w:name="_Toc25023"/>
      <w:r>
        <w:t>报告期内单一投资者持有基金份额比例达到或超过20%的情况</w:t>
      </w:r>
      <w:bookmarkEnd w:id="19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1998A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175D7D1A">
            <w:r>
              <w:rPr>
                <w:rFonts w:hint="eastAsia"/>
              </w:rPr>
              <w:t>投资者类别</w:t>
            </w:r>
          </w:p>
        </w:tc>
        <w:tc>
          <w:tcPr>
            <w:tcW w:w="500" w:type="dxa"/>
            <w:gridSpan w:val="5"/>
            <w:vAlign w:val="center"/>
          </w:tcPr>
          <w:p w14:paraId="4F5B115C">
            <w:r>
              <w:rPr>
                <w:rFonts w:hint="eastAsia"/>
              </w:rPr>
              <w:t>报告期内持有基金份额变化情况</w:t>
            </w:r>
          </w:p>
        </w:tc>
        <w:tc>
          <w:tcPr>
            <w:tcW w:w="1377" w:type="dxa"/>
            <w:gridSpan w:val="2"/>
            <w:vAlign w:val="center"/>
          </w:tcPr>
          <w:p w14:paraId="06830371">
            <w:r>
              <w:rPr>
                <w:rFonts w:hint="eastAsia"/>
              </w:rPr>
              <w:t>报告期末持有基金情况</w:t>
            </w:r>
          </w:p>
        </w:tc>
      </w:tr>
      <w:tr w14:paraId="5135C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47D52029"/>
        </w:tc>
        <w:tc>
          <w:tcPr>
            <w:tcW w:w="500" w:type="dxa"/>
            <w:vAlign w:val="center"/>
          </w:tcPr>
          <w:p w14:paraId="2B2CFDBE">
            <w:r>
              <w:rPr>
                <w:rFonts w:hint="eastAsia"/>
              </w:rPr>
              <w:t>序号</w:t>
            </w:r>
          </w:p>
        </w:tc>
        <w:tc>
          <w:tcPr>
            <w:tcW w:w="876" w:type="dxa"/>
            <w:vAlign w:val="center"/>
          </w:tcPr>
          <w:p w14:paraId="1A20753F">
            <w:r>
              <w:rPr>
                <w:rFonts w:hint="eastAsia"/>
              </w:rPr>
              <w:t>持有基金份额比例达到或者超过20%的时间区间</w:t>
            </w:r>
          </w:p>
        </w:tc>
        <w:tc>
          <w:tcPr>
            <w:tcW w:w="1377" w:type="dxa"/>
            <w:vAlign w:val="center"/>
          </w:tcPr>
          <w:p w14:paraId="6D7CC96A">
            <w:r>
              <w:rPr>
                <w:rFonts w:hint="eastAsia"/>
              </w:rPr>
              <w:t>期初份额</w:t>
            </w:r>
          </w:p>
        </w:tc>
        <w:tc>
          <w:tcPr>
            <w:tcW w:w="1377" w:type="dxa"/>
            <w:vAlign w:val="center"/>
          </w:tcPr>
          <w:p w14:paraId="7B77824D">
            <w:r>
              <w:rPr>
                <w:rFonts w:hint="eastAsia"/>
              </w:rPr>
              <w:t>申购份额</w:t>
            </w:r>
          </w:p>
        </w:tc>
        <w:tc>
          <w:tcPr>
            <w:tcW w:w="1377" w:type="dxa"/>
            <w:vAlign w:val="center"/>
          </w:tcPr>
          <w:p w14:paraId="4D46F839">
            <w:r>
              <w:rPr>
                <w:rFonts w:hint="eastAsia"/>
              </w:rPr>
              <w:t>赎回份额</w:t>
            </w:r>
          </w:p>
        </w:tc>
        <w:tc>
          <w:tcPr>
            <w:tcW w:w="1377" w:type="dxa"/>
            <w:vAlign w:val="center"/>
          </w:tcPr>
          <w:p w14:paraId="5DCF6ED6">
            <w:r>
              <w:rPr>
                <w:rFonts w:hint="eastAsia"/>
              </w:rPr>
              <w:t>持有份额</w:t>
            </w:r>
          </w:p>
        </w:tc>
        <w:tc>
          <w:tcPr>
            <w:tcW w:w="667" w:type="dxa"/>
            <w:vAlign w:val="center"/>
          </w:tcPr>
          <w:p w14:paraId="4C66CE0C">
            <w:r>
              <w:rPr>
                <w:rFonts w:hint="eastAsia"/>
              </w:rPr>
              <w:t>份额占比</w:t>
            </w:r>
          </w:p>
        </w:tc>
      </w:tr>
      <w:tr w14:paraId="44D3D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5A32C488">
            <w:r>
              <w:rPr>
                <w:rFonts w:hint="eastAsia"/>
              </w:rPr>
              <w:t>机构</w:t>
            </w:r>
          </w:p>
        </w:tc>
        <w:tc>
          <w:tcPr>
            <w:tcW w:w="500" w:type="dxa"/>
            <w:vAlign w:val="center"/>
          </w:tcPr>
          <w:p w14:paraId="5B4CA5B8">
            <w:pPr>
              <w:jc w:val="right"/>
            </w:pPr>
            <w:r>
              <w:rPr>
                <w:rFonts w:hint="eastAsia"/>
              </w:rPr>
              <w:t>1</w:t>
            </w:r>
          </w:p>
        </w:tc>
        <w:tc>
          <w:tcPr>
            <w:tcW w:w="876" w:type="dxa"/>
            <w:vAlign w:val="center"/>
          </w:tcPr>
          <w:p w14:paraId="33B6F5B0">
            <w:r>
              <w:rPr>
                <w:rFonts w:hint="eastAsia"/>
              </w:rPr>
              <w:t>20250101-20251231</w:t>
            </w:r>
          </w:p>
        </w:tc>
        <w:tc>
          <w:tcPr>
            <w:tcW w:w="1377" w:type="dxa"/>
            <w:vAlign w:val="center"/>
          </w:tcPr>
          <w:p w14:paraId="4D43B165">
            <w:pPr>
              <w:jc w:val="right"/>
            </w:pPr>
            <w:r>
              <w:rPr>
                <w:rFonts w:hint="eastAsia"/>
              </w:rPr>
              <w:t>946,431,770.73</w:t>
            </w:r>
          </w:p>
        </w:tc>
        <w:tc>
          <w:tcPr>
            <w:tcW w:w="1377" w:type="dxa"/>
            <w:vAlign w:val="center"/>
          </w:tcPr>
          <w:p w14:paraId="73753619">
            <w:pPr>
              <w:jc w:val="right"/>
            </w:pPr>
            <w:r>
              <w:rPr>
                <w:rFonts w:hint="eastAsia"/>
              </w:rPr>
              <w:t>-</w:t>
            </w:r>
          </w:p>
        </w:tc>
        <w:tc>
          <w:tcPr>
            <w:tcW w:w="1377" w:type="dxa"/>
            <w:vAlign w:val="center"/>
          </w:tcPr>
          <w:p w14:paraId="5301A2BE">
            <w:pPr>
              <w:jc w:val="right"/>
            </w:pPr>
            <w:r>
              <w:rPr>
                <w:rFonts w:hint="eastAsia"/>
              </w:rPr>
              <w:t>-</w:t>
            </w:r>
          </w:p>
        </w:tc>
        <w:tc>
          <w:tcPr>
            <w:tcW w:w="1377" w:type="dxa"/>
            <w:vAlign w:val="center"/>
          </w:tcPr>
          <w:p w14:paraId="5EA0C19E">
            <w:pPr>
              <w:jc w:val="right"/>
            </w:pPr>
            <w:r>
              <w:rPr>
                <w:rFonts w:hint="eastAsia"/>
              </w:rPr>
              <w:t>946,431,770.73</w:t>
            </w:r>
          </w:p>
        </w:tc>
        <w:tc>
          <w:tcPr>
            <w:tcW w:w="667" w:type="dxa"/>
            <w:vAlign w:val="center"/>
          </w:tcPr>
          <w:p w14:paraId="210FC212">
            <w:pPr>
              <w:jc w:val="right"/>
            </w:pPr>
            <w:r>
              <w:rPr>
                <w:rFonts w:hint="eastAsia"/>
              </w:rPr>
              <w:t>98.94%</w:t>
            </w:r>
          </w:p>
        </w:tc>
      </w:tr>
      <w:tr w14:paraId="1C061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233CD561">
            <w:r>
              <w:rPr>
                <w:rFonts w:hint="eastAsia"/>
              </w:rPr>
              <w:t>产品特有风险</w:t>
            </w:r>
          </w:p>
        </w:tc>
      </w:tr>
      <w:tr w14:paraId="1E7AD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6BBD6E78">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00E499C1">
      <w:pPr>
        <w:pStyle w:val="23"/>
      </w:pPr>
      <w:bookmarkStart w:id="200" w:name="_Toc4857"/>
      <w:r>
        <w:t>影响投资者决策的其他重要信息</w:t>
      </w:r>
      <w:bookmarkEnd w:id="200"/>
    </w:p>
    <w:p w14:paraId="0C272867">
      <w:pPr>
        <w:pStyle w:val="18"/>
        <w:rPr>
          <w:rFonts w:hint="eastAsia"/>
        </w:rPr>
      </w:pPr>
      <w:r>
        <w:rPr>
          <w:rFonts w:hint="eastAsia"/>
        </w:rPr>
        <w:t>无。</w:t>
      </w:r>
    </w:p>
    <w:p w14:paraId="11014E89">
      <w:pPr>
        <w:pStyle w:val="26"/>
      </w:pPr>
      <w:bookmarkStart w:id="201" w:name="_Toc28796"/>
      <w:r>
        <w:t>备查文件目录</w:t>
      </w:r>
      <w:bookmarkEnd w:id="201"/>
    </w:p>
    <w:p w14:paraId="4ED26CD8">
      <w:pPr>
        <w:pStyle w:val="23"/>
      </w:pPr>
      <w:bookmarkStart w:id="202" w:name="_Toc8845"/>
      <w:r>
        <w:t>备查文件目录</w:t>
      </w:r>
      <w:bookmarkEnd w:id="202"/>
    </w:p>
    <w:p w14:paraId="4543BBE4">
      <w:pPr>
        <w:pStyle w:val="18"/>
        <w:rPr>
          <w:rFonts w:hint="eastAsia"/>
        </w:rPr>
      </w:pPr>
      <w:r>
        <w:rPr>
          <w:rFonts w:hint="eastAsia"/>
        </w:rPr>
        <w:t>1、中国证监会批准设立南方得利一年定期开放债券型发起式证券投资基金的文件；</w:t>
      </w:r>
    </w:p>
    <w:p w14:paraId="6DDD79C7">
      <w:pPr>
        <w:pStyle w:val="18"/>
        <w:rPr>
          <w:rFonts w:hint="eastAsia"/>
        </w:rPr>
      </w:pPr>
      <w:r>
        <w:rPr>
          <w:rFonts w:hint="eastAsia"/>
        </w:rPr>
        <w:t>2、《南方得利一年定期开放债券型发起式证券投资基金基金合同》；</w:t>
      </w:r>
    </w:p>
    <w:p w14:paraId="15BDED7D">
      <w:pPr>
        <w:pStyle w:val="18"/>
        <w:rPr>
          <w:rFonts w:hint="eastAsia"/>
        </w:rPr>
      </w:pPr>
      <w:r>
        <w:rPr>
          <w:rFonts w:hint="eastAsia"/>
        </w:rPr>
        <w:t>3、《南方得利一年定期开放债券型发起式证券投资基金托管协议》；</w:t>
      </w:r>
    </w:p>
    <w:p w14:paraId="0ED44405">
      <w:pPr>
        <w:pStyle w:val="18"/>
        <w:rPr>
          <w:rFonts w:hint="eastAsia"/>
        </w:rPr>
      </w:pPr>
      <w:r>
        <w:rPr>
          <w:rFonts w:hint="eastAsia"/>
        </w:rPr>
        <w:t>4、基金管理人业务资格批件、营业执照；</w:t>
      </w:r>
    </w:p>
    <w:p w14:paraId="1255629D">
      <w:pPr>
        <w:pStyle w:val="18"/>
        <w:rPr>
          <w:rFonts w:hint="eastAsia"/>
        </w:rPr>
      </w:pPr>
      <w:r>
        <w:rPr>
          <w:rFonts w:hint="eastAsia"/>
        </w:rPr>
        <w:t>5、报告期内在选定报刊上披露的各项公告；</w:t>
      </w:r>
    </w:p>
    <w:p w14:paraId="30AB7F08">
      <w:pPr>
        <w:pStyle w:val="18"/>
        <w:rPr>
          <w:rFonts w:hint="eastAsia"/>
        </w:rPr>
      </w:pPr>
      <w:r>
        <w:rPr>
          <w:rFonts w:hint="eastAsia"/>
        </w:rPr>
        <w:t>6、《南方得利一年定期开放债券型发起式证券投资基金2025年年度报告》原文。</w:t>
      </w:r>
    </w:p>
    <w:p w14:paraId="21E09B21">
      <w:pPr>
        <w:pStyle w:val="23"/>
      </w:pPr>
      <w:bookmarkStart w:id="203" w:name="_Toc4603"/>
      <w:r>
        <w:t>存放地点</w:t>
      </w:r>
      <w:bookmarkEnd w:id="203"/>
    </w:p>
    <w:p w14:paraId="27633E23">
      <w:pPr>
        <w:pStyle w:val="18"/>
        <w:rPr>
          <w:rFonts w:hint="eastAsia"/>
        </w:rPr>
      </w:pPr>
      <w:r>
        <w:rPr>
          <w:rFonts w:hint="eastAsia"/>
        </w:rPr>
        <w:t>深圳市福田区莲花街道益田路5999号基金大厦32-42楼。</w:t>
      </w:r>
    </w:p>
    <w:p w14:paraId="3F9791EA">
      <w:pPr>
        <w:pStyle w:val="23"/>
      </w:pPr>
      <w:bookmarkStart w:id="204" w:name="_Toc17024"/>
      <w:r>
        <w:t>查阅方式</w:t>
      </w:r>
      <w:bookmarkEnd w:id="204"/>
    </w:p>
    <w:p w14:paraId="65243511">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26A345">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759820">
    <w:pPr>
      <w:pStyle w:val="7"/>
      <w:pBdr>
        <w:bottom w:val="single" w:color="auto" w:sz="4" w:space="1"/>
      </w:pBdr>
      <w:jc w:val="right"/>
    </w:pPr>
    <w:r>
      <w:t>南方得利一年定期开放债券型发起式证券投资基金2025年年度报告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83860E">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6B470E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56</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2026-03-28T03:25:59Z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50863678EBDD4E78B0E89913BDE8F806_12</vt:lpwstr>
  </property>
</Properties>
</file>