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CC097">
      <w:pPr>
        <w:pStyle w:val="18"/>
        <w:ind w:firstLine="420"/>
      </w:pPr>
      <w:bookmarkStart w:id="205" w:name="_GoBack"/>
      <w:bookmarkEnd w:id="205"/>
    </w:p>
    <w:p w14:paraId="4BF8F74A">
      <w:pPr>
        <w:jc w:val="center"/>
        <w:rPr>
          <w:rFonts w:ascii="宋体" w:hAnsi="宋体"/>
          <w:b/>
          <w:bCs/>
          <w:sz w:val="28"/>
          <w:szCs w:val="30"/>
        </w:rPr>
      </w:pPr>
    </w:p>
    <w:p w14:paraId="25E139C6">
      <w:pPr>
        <w:jc w:val="center"/>
        <w:rPr>
          <w:rFonts w:ascii="宋体" w:hAnsi="宋体"/>
          <w:b/>
          <w:bCs/>
          <w:sz w:val="48"/>
          <w:szCs w:val="30"/>
        </w:rPr>
      </w:pPr>
      <w:r>
        <w:rPr>
          <w:rFonts w:ascii="宋体" w:hAnsi="宋体"/>
          <w:b/>
          <w:bCs/>
          <w:sz w:val="48"/>
          <w:szCs w:val="30"/>
        </w:rPr>
        <w:t>南方远利3个月定期开放债券型发起式证券投资基金2025年年度报告</w:t>
      </w:r>
    </w:p>
    <w:p w14:paraId="7CFE593E">
      <w:pPr>
        <w:jc w:val="center"/>
        <w:rPr>
          <w:rFonts w:ascii="宋体" w:hAnsi="宋体"/>
          <w:b/>
          <w:bCs/>
          <w:sz w:val="48"/>
          <w:szCs w:val="30"/>
        </w:rPr>
      </w:pPr>
      <w:bookmarkStart w:id="0" w:name="OLE_LINK2"/>
      <w:bookmarkStart w:id="1" w:name="OLE_LINK1"/>
    </w:p>
    <w:p w14:paraId="6CC9DA7D">
      <w:pPr>
        <w:jc w:val="center"/>
        <w:rPr>
          <w:rFonts w:ascii="宋体" w:hAnsi="宋体"/>
          <w:b/>
          <w:bCs/>
          <w:sz w:val="28"/>
          <w:szCs w:val="30"/>
        </w:rPr>
      </w:pPr>
    </w:p>
    <w:bookmarkEnd w:id="0"/>
    <w:bookmarkEnd w:id="1"/>
    <w:p w14:paraId="7FF03E02">
      <w:pPr>
        <w:jc w:val="center"/>
        <w:rPr>
          <w:rFonts w:ascii="宋体" w:hAnsi="宋体"/>
          <w:b/>
          <w:bCs/>
          <w:sz w:val="28"/>
          <w:szCs w:val="30"/>
        </w:rPr>
      </w:pPr>
      <w:r>
        <w:rPr>
          <w:rFonts w:ascii="宋体" w:hAnsi="宋体"/>
          <w:b/>
          <w:bCs/>
          <w:sz w:val="28"/>
          <w:szCs w:val="30"/>
        </w:rPr>
        <w:t>2025年12月31日</w:t>
      </w:r>
    </w:p>
    <w:p w14:paraId="32FF1E80">
      <w:pPr>
        <w:jc w:val="center"/>
        <w:rPr>
          <w:rFonts w:ascii="宋体" w:hAnsi="宋体"/>
          <w:sz w:val="28"/>
          <w:szCs w:val="30"/>
        </w:rPr>
      </w:pPr>
    </w:p>
    <w:p w14:paraId="75C4568B">
      <w:pPr>
        <w:jc w:val="center"/>
        <w:rPr>
          <w:rFonts w:ascii="宋体" w:hAnsi="宋体"/>
          <w:sz w:val="28"/>
          <w:szCs w:val="30"/>
        </w:rPr>
      </w:pPr>
    </w:p>
    <w:p w14:paraId="3E4BE7B5">
      <w:pPr>
        <w:jc w:val="center"/>
        <w:rPr>
          <w:rFonts w:ascii="宋体" w:hAnsi="宋体"/>
          <w:sz w:val="28"/>
          <w:szCs w:val="30"/>
        </w:rPr>
      </w:pPr>
    </w:p>
    <w:p w14:paraId="72DBB3FB">
      <w:pPr>
        <w:jc w:val="center"/>
        <w:rPr>
          <w:rFonts w:ascii="宋体" w:hAnsi="宋体"/>
          <w:sz w:val="28"/>
          <w:szCs w:val="30"/>
        </w:rPr>
      </w:pPr>
    </w:p>
    <w:p w14:paraId="43247763">
      <w:pPr>
        <w:jc w:val="center"/>
        <w:rPr>
          <w:rFonts w:ascii="宋体" w:hAnsi="宋体"/>
          <w:sz w:val="28"/>
          <w:szCs w:val="30"/>
        </w:rPr>
      </w:pPr>
    </w:p>
    <w:p w14:paraId="78C3CDC1">
      <w:pPr>
        <w:jc w:val="center"/>
        <w:rPr>
          <w:rFonts w:ascii="宋体" w:hAnsi="宋体"/>
          <w:sz w:val="28"/>
          <w:szCs w:val="30"/>
        </w:rPr>
      </w:pPr>
    </w:p>
    <w:p w14:paraId="282D20D1">
      <w:pPr>
        <w:jc w:val="center"/>
        <w:rPr>
          <w:rFonts w:ascii="宋体" w:hAnsi="宋体"/>
          <w:sz w:val="28"/>
          <w:szCs w:val="30"/>
        </w:rPr>
      </w:pPr>
    </w:p>
    <w:p w14:paraId="618C847B">
      <w:pPr>
        <w:jc w:val="center"/>
        <w:rPr>
          <w:rFonts w:ascii="宋体" w:hAnsi="宋体"/>
          <w:sz w:val="28"/>
          <w:szCs w:val="30"/>
        </w:rPr>
      </w:pPr>
    </w:p>
    <w:p w14:paraId="3132AC13">
      <w:pPr>
        <w:jc w:val="center"/>
        <w:rPr>
          <w:rFonts w:ascii="宋体" w:hAnsi="宋体"/>
          <w:sz w:val="28"/>
          <w:szCs w:val="30"/>
        </w:rPr>
      </w:pPr>
    </w:p>
    <w:p w14:paraId="25047B94">
      <w:pPr>
        <w:jc w:val="center"/>
        <w:rPr>
          <w:rFonts w:ascii="宋体" w:hAnsi="宋体"/>
          <w:sz w:val="28"/>
          <w:szCs w:val="30"/>
        </w:rPr>
      </w:pPr>
    </w:p>
    <w:p w14:paraId="021BAEB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3B88A82">
      <w:pPr>
        <w:ind w:firstLine="1687" w:firstLineChars="600"/>
        <w:rPr>
          <w:rFonts w:ascii="宋体" w:hAnsi="宋体"/>
          <w:b/>
          <w:bCs/>
          <w:sz w:val="28"/>
          <w:szCs w:val="30"/>
        </w:rPr>
      </w:pPr>
      <w:r>
        <w:rPr>
          <w:rFonts w:hint="eastAsia" w:ascii="宋体" w:hAnsi="宋体"/>
          <w:b/>
          <w:bCs/>
          <w:sz w:val="28"/>
          <w:szCs w:val="30"/>
        </w:rPr>
        <w:t>基金托管人：宁波银行股份有限公司</w:t>
      </w:r>
    </w:p>
    <w:p w14:paraId="3D69A1B9">
      <w:pPr>
        <w:ind w:firstLine="1687" w:firstLineChars="600"/>
        <w:rPr>
          <w:rFonts w:ascii="宋体" w:hAnsi="宋体"/>
          <w:b/>
          <w:bCs/>
          <w:sz w:val="28"/>
          <w:szCs w:val="30"/>
        </w:rPr>
      </w:pPr>
      <w:r>
        <w:rPr>
          <w:rFonts w:hint="eastAsia" w:ascii="宋体" w:hAnsi="宋体"/>
          <w:b/>
          <w:bCs/>
          <w:sz w:val="28"/>
          <w:szCs w:val="30"/>
        </w:rPr>
        <w:t>送出日期：2026年3月31日</w:t>
      </w:r>
    </w:p>
    <w:p w14:paraId="67FF1058">
      <w:pPr>
        <w:ind w:firstLine="1687" w:firstLineChars="600"/>
        <w:rPr>
          <w:rFonts w:ascii="宋体" w:hAnsi="宋体"/>
          <w:b/>
          <w:bCs/>
          <w:sz w:val="28"/>
          <w:szCs w:val="30"/>
        </w:rPr>
      </w:pPr>
    </w:p>
    <w:p w14:paraId="14B24056">
      <w:pPr>
        <w:snapToGrid w:val="0"/>
        <w:spacing w:line="360" w:lineRule="auto"/>
        <w:jc w:val="left"/>
      </w:pPr>
      <w:r>
        <w:br w:type="page"/>
      </w:r>
    </w:p>
    <w:p w14:paraId="0089CD28"/>
    <w:p w14:paraId="35E04520">
      <w:pPr>
        <w:pStyle w:val="26"/>
      </w:pPr>
      <w:bookmarkStart w:id="2" w:name="_Toc4432"/>
      <w:r>
        <w:t>重要提示及目录</w:t>
      </w:r>
      <w:bookmarkEnd w:id="2"/>
    </w:p>
    <w:p w14:paraId="54072489">
      <w:pPr>
        <w:pStyle w:val="23"/>
      </w:pPr>
      <w:bookmarkStart w:id="3" w:name="_Toc30539"/>
      <w:r>
        <w:t>重要提示</w:t>
      </w:r>
      <w:bookmarkEnd w:id="3"/>
    </w:p>
    <w:p w14:paraId="64BBD89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668E7EA">
      <w:pPr>
        <w:pStyle w:val="18"/>
        <w:rPr>
          <w:rFonts w:hint="eastAsia"/>
        </w:rPr>
      </w:pPr>
      <w:r>
        <w:rPr>
          <w:rFonts w:hint="eastAsia"/>
        </w:rPr>
        <w:t>本年度报告已经三分之二以上独立董事签字同意，并由董事长签发。</w:t>
      </w:r>
    </w:p>
    <w:p w14:paraId="0991541E">
      <w:pPr>
        <w:pStyle w:val="18"/>
        <w:rPr>
          <w:rFonts w:hint="eastAsia"/>
        </w:rPr>
      </w:pPr>
      <w:r>
        <w:rPr>
          <w:rFonts w:hint="eastAsia"/>
        </w:rPr>
        <w:t>基金托管人宁波银行股份有限公司根据本基金合同规定，于2026年3月27日复核了本报告中的财务指标、净值表现、利润分配情况、财务会计报告、投资组合报告等内容，保证复核内容不存在虚假记载、误导性陈述或者重大遗漏。</w:t>
      </w:r>
    </w:p>
    <w:p w14:paraId="1DBB1880">
      <w:pPr>
        <w:pStyle w:val="18"/>
        <w:rPr>
          <w:rFonts w:hint="eastAsia"/>
        </w:rPr>
      </w:pPr>
      <w:r>
        <w:rPr>
          <w:rFonts w:hint="eastAsia"/>
        </w:rPr>
        <w:t>基金管理人承诺以诚实信用、勤勉尽责的原则管理和运用基金资产，但不保证基金一定盈利。</w:t>
      </w:r>
    </w:p>
    <w:p w14:paraId="4C65AEC7">
      <w:pPr>
        <w:pStyle w:val="18"/>
        <w:rPr>
          <w:rFonts w:hint="eastAsia"/>
        </w:rPr>
      </w:pPr>
      <w:r>
        <w:rPr>
          <w:rFonts w:hint="eastAsia"/>
        </w:rPr>
        <w:t>基金的过往业绩并不代表其未来表现。投资有风险，投资者在作出投资决策前应仔细阅读本基金的招募说明书及其更新。</w:t>
      </w:r>
    </w:p>
    <w:p w14:paraId="32275460">
      <w:pPr>
        <w:pStyle w:val="18"/>
        <w:rPr>
          <w:rFonts w:hint="eastAsia"/>
        </w:rPr>
      </w:pPr>
      <w:r>
        <w:rPr>
          <w:rFonts w:hint="eastAsia"/>
        </w:rPr>
        <w:t>本报告期自2025年1月1日起至12月31日止。</w:t>
      </w:r>
    </w:p>
    <w:p w14:paraId="665BE220">
      <w:pPr>
        <w:pStyle w:val="23"/>
        <w:pageBreakBefore/>
      </w:pPr>
      <w:bookmarkStart w:id="4" w:name="_Toc14660"/>
      <w:r>
        <w:t>目录</w:t>
      </w:r>
      <w:bookmarkEnd w:id="4"/>
    </w:p>
    <w:sdt>
      <w:sdtPr>
        <w:rPr>
          <w:rFonts w:ascii="宋体" w:hAnsi="宋体" w:eastAsia="宋体"/>
          <w:color w:val="DBDBDB"/>
          <w:sz w:val="21"/>
          <w:szCs w:val="24"/>
          <w:lang w:val="en-US" w:eastAsia="zh-CN" w:bidi="ar-SA"/>
        </w:rPr>
        <w:id w:val="41151"/>
        <w:docPartObj>
          <w:docPartGallery w:val="Table of Contents"/>
          <w:docPartUnique/>
        </w:docPartObj>
      </w:sdtPr>
      <w:sdtEndPr>
        <w:rPr>
          <w:rFonts w:ascii="宋体" w:hAnsi="宋体" w:eastAsia="宋体"/>
          <w:b/>
          <w:color w:val="DBDBDB"/>
          <w:sz w:val="21"/>
          <w:szCs w:val="24"/>
          <w:lang w:val="en-US" w:eastAsia="zh-CN" w:bidi="ar-SA"/>
        </w:rPr>
      </w:sdtEndPr>
      <w:sdtContent>
        <w:p w14:paraId="66190AD3">
          <w:pPr>
            <w:pStyle w:val="61"/>
            <w:spacing w:before="0" w:beforeLines="0" w:after="0" w:afterLines="0" w:line="240" w:lineRule="auto"/>
            <w:ind w:left="0" w:leftChars="0" w:right="0" w:rightChars="0" w:firstLine="0" w:firstLineChars="0"/>
            <w:jc w:val="center"/>
            <w:rPr>
              <w:b/>
            </w:rPr>
          </w:pPr>
          <w:r>
            <w:rPr>
              <w:b/>
              <w:lang w:val="zh-CN"/>
            </w:rPr>
            <w:t>目录</w:t>
          </w:r>
        </w:p>
        <w:p w14:paraId="12AB219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_Toc4432 </w:instrText>
          </w:r>
          <w:r>
            <w:fldChar w:fldCharType="separate"/>
          </w:r>
          <w:r>
            <w:rPr>
              <w:rFonts w:hint="eastAsia"/>
            </w:rPr>
            <w:t xml:space="preserve">§1 </w:t>
          </w:r>
          <w:r>
            <w:t>重要提示及目录</w:t>
          </w:r>
          <w:r>
            <w:tab/>
          </w:r>
          <w:r>
            <w:fldChar w:fldCharType="begin"/>
          </w:r>
          <w:r>
            <w:instrText xml:space="preserve"> PAGEREF _Toc4432 \h </w:instrText>
          </w:r>
          <w:r>
            <w:fldChar w:fldCharType="separate"/>
          </w:r>
          <w:r>
            <w:t>1</w:t>
          </w:r>
          <w:r>
            <w:fldChar w:fldCharType="end"/>
          </w:r>
          <w:r>
            <w:fldChar w:fldCharType="end"/>
          </w:r>
        </w:p>
        <w:p w14:paraId="097518F7">
          <w:pPr>
            <w:pStyle w:val="10"/>
            <w:tabs>
              <w:tab w:val="right" w:leader="dot" w:pos="8306"/>
            </w:tabs>
          </w:pPr>
          <w:r>
            <w:fldChar w:fldCharType="begin"/>
          </w:r>
          <w:r>
            <w:instrText xml:space="preserve"> HYPERLINK \l _Toc30539 </w:instrText>
          </w:r>
          <w:r>
            <w:fldChar w:fldCharType="separate"/>
          </w:r>
          <w:r>
            <w:rPr>
              <w:rFonts w:hint="eastAsia"/>
            </w:rPr>
            <w:t xml:space="preserve">1.1 </w:t>
          </w:r>
          <w:r>
            <w:t>重要提示</w:t>
          </w:r>
          <w:r>
            <w:tab/>
          </w:r>
          <w:r>
            <w:fldChar w:fldCharType="begin"/>
          </w:r>
          <w:r>
            <w:instrText xml:space="preserve"> PAGEREF _Toc30539 \h </w:instrText>
          </w:r>
          <w:r>
            <w:fldChar w:fldCharType="separate"/>
          </w:r>
          <w:r>
            <w:t>1</w:t>
          </w:r>
          <w:r>
            <w:fldChar w:fldCharType="end"/>
          </w:r>
          <w:r>
            <w:fldChar w:fldCharType="end"/>
          </w:r>
        </w:p>
        <w:p w14:paraId="5FD52AAB">
          <w:pPr>
            <w:pStyle w:val="10"/>
            <w:tabs>
              <w:tab w:val="right" w:leader="dot" w:pos="8306"/>
            </w:tabs>
          </w:pPr>
          <w:r>
            <w:fldChar w:fldCharType="begin"/>
          </w:r>
          <w:r>
            <w:instrText xml:space="preserve"> HYPERLINK \l _Toc14660 </w:instrText>
          </w:r>
          <w:r>
            <w:fldChar w:fldCharType="separate"/>
          </w:r>
          <w:r>
            <w:rPr>
              <w:rFonts w:hint="eastAsia"/>
            </w:rPr>
            <w:t xml:space="preserve">1.2 </w:t>
          </w:r>
          <w:r>
            <w:t>目录</w:t>
          </w:r>
          <w:r>
            <w:tab/>
          </w:r>
          <w:r>
            <w:fldChar w:fldCharType="begin"/>
          </w:r>
          <w:r>
            <w:instrText xml:space="preserve"> PAGEREF _Toc14660 \h </w:instrText>
          </w:r>
          <w:r>
            <w:fldChar w:fldCharType="separate"/>
          </w:r>
          <w:r>
            <w:t>2</w:t>
          </w:r>
          <w:r>
            <w:fldChar w:fldCharType="end"/>
          </w:r>
          <w:r>
            <w:fldChar w:fldCharType="end"/>
          </w:r>
        </w:p>
        <w:p w14:paraId="23378290">
          <w:pPr>
            <w:pStyle w:val="8"/>
            <w:tabs>
              <w:tab w:val="right" w:leader="dot" w:pos="8306"/>
            </w:tabs>
          </w:pPr>
          <w:r>
            <w:fldChar w:fldCharType="begin"/>
          </w:r>
          <w:r>
            <w:instrText xml:space="preserve"> HYPERLINK \l _Toc14982 </w:instrText>
          </w:r>
          <w:r>
            <w:fldChar w:fldCharType="separate"/>
          </w:r>
          <w:r>
            <w:rPr>
              <w:rFonts w:hint="eastAsia"/>
            </w:rPr>
            <w:t xml:space="preserve">§2 </w:t>
          </w:r>
          <w:r>
            <w:t>基金简介</w:t>
          </w:r>
          <w:r>
            <w:tab/>
          </w:r>
          <w:r>
            <w:fldChar w:fldCharType="begin"/>
          </w:r>
          <w:r>
            <w:instrText xml:space="preserve"> PAGEREF _Toc14982 \h </w:instrText>
          </w:r>
          <w:r>
            <w:fldChar w:fldCharType="separate"/>
          </w:r>
          <w:r>
            <w:t>4</w:t>
          </w:r>
          <w:r>
            <w:fldChar w:fldCharType="end"/>
          </w:r>
          <w:r>
            <w:fldChar w:fldCharType="end"/>
          </w:r>
        </w:p>
        <w:p w14:paraId="4AA406D5">
          <w:pPr>
            <w:pStyle w:val="10"/>
            <w:tabs>
              <w:tab w:val="right" w:leader="dot" w:pos="8306"/>
            </w:tabs>
          </w:pPr>
          <w:r>
            <w:fldChar w:fldCharType="begin"/>
          </w:r>
          <w:r>
            <w:instrText xml:space="preserve"> HYPERLINK \l _Toc14445 </w:instrText>
          </w:r>
          <w:r>
            <w:fldChar w:fldCharType="separate"/>
          </w:r>
          <w:r>
            <w:rPr>
              <w:rFonts w:hint="eastAsia"/>
            </w:rPr>
            <w:t xml:space="preserve">2.1 </w:t>
          </w:r>
          <w:r>
            <w:t>基金基本情况</w:t>
          </w:r>
          <w:r>
            <w:tab/>
          </w:r>
          <w:r>
            <w:fldChar w:fldCharType="begin"/>
          </w:r>
          <w:r>
            <w:instrText xml:space="preserve"> PAGEREF _Toc14445 \h </w:instrText>
          </w:r>
          <w:r>
            <w:fldChar w:fldCharType="separate"/>
          </w:r>
          <w:r>
            <w:t>4</w:t>
          </w:r>
          <w:r>
            <w:fldChar w:fldCharType="end"/>
          </w:r>
          <w:r>
            <w:fldChar w:fldCharType="end"/>
          </w:r>
        </w:p>
        <w:p w14:paraId="05657D51">
          <w:pPr>
            <w:pStyle w:val="10"/>
            <w:tabs>
              <w:tab w:val="right" w:leader="dot" w:pos="8306"/>
            </w:tabs>
          </w:pPr>
          <w:r>
            <w:fldChar w:fldCharType="begin"/>
          </w:r>
          <w:r>
            <w:instrText xml:space="preserve"> HYPERLINK \l _Toc29731 </w:instrText>
          </w:r>
          <w:r>
            <w:fldChar w:fldCharType="separate"/>
          </w:r>
          <w:r>
            <w:rPr>
              <w:rFonts w:hint="eastAsia"/>
            </w:rPr>
            <w:t xml:space="preserve">2.2 </w:t>
          </w:r>
          <w:r>
            <w:t>基金产品说明</w:t>
          </w:r>
          <w:r>
            <w:tab/>
          </w:r>
          <w:r>
            <w:fldChar w:fldCharType="begin"/>
          </w:r>
          <w:r>
            <w:instrText xml:space="preserve"> PAGEREF _Toc29731 \h </w:instrText>
          </w:r>
          <w:r>
            <w:fldChar w:fldCharType="separate"/>
          </w:r>
          <w:r>
            <w:t>4</w:t>
          </w:r>
          <w:r>
            <w:fldChar w:fldCharType="end"/>
          </w:r>
          <w:r>
            <w:fldChar w:fldCharType="end"/>
          </w:r>
        </w:p>
        <w:p w14:paraId="4D26A132">
          <w:pPr>
            <w:pStyle w:val="10"/>
            <w:tabs>
              <w:tab w:val="right" w:leader="dot" w:pos="8306"/>
            </w:tabs>
          </w:pPr>
          <w:r>
            <w:fldChar w:fldCharType="begin"/>
          </w:r>
          <w:r>
            <w:instrText xml:space="preserve"> HYPERLINK \l _Toc12654 </w:instrText>
          </w:r>
          <w:r>
            <w:fldChar w:fldCharType="separate"/>
          </w:r>
          <w:r>
            <w:rPr>
              <w:rFonts w:hint="eastAsia"/>
            </w:rPr>
            <w:t xml:space="preserve">2.3 </w:t>
          </w:r>
          <w:r>
            <w:t>基金管理人和基金托管人</w:t>
          </w:r>
          <w:r>
            <w:tab/>
          </w:r>
          <w:r>
            <w:fldChar w:fldCharType="begin"/>
          </w:r>
          <w:r>
            <w:instrText xml:space="preserve"> PAGEREF _Toc12654 \h </w:instrText>
          </w:r>
          <w:r>
            <w:fldChar w:fldCharType="separate"/>
          </w:r>
          <w:r>
            <w:t>5</w:t>
          </w:r>
          <w:r>
            <w:fldChar w:fldCharType="end"/>
          </w:r>
          <w:r>
            <w:fldChar w:fldCharType="end"/>
          </w:r>
        </w:p>
        <w:p w14:paraId="002491F8">
          <w:pPr>
            <w:pStyle w:val="10"/>
            <w:tabs>
              <w:tab w:val="right" w:leader="dot" w:pos="8306"/>
            </w:tabs>
          </w:pPr>
          <w:r>
            <w:fldChar w:fldCharType="begin"/>
          </w:r>
          <w:r>
            <w:instrText xml:space="preserve"> HYPERLINK \l _Toc13885 </w:instrText>
          </w:r>
          <w:r>
            <w:fldChar w:fldCharType="separate"/>
          </w:r>
          <w:r>
            <w:rPr>
              <w:rFonts w:hint="eastAsia"/>
            </w:rPr>
            <w:t xml:space="preserve">2.4 </w:t>
          </w:r>
          <w:r>
            <w:t>信息披露方式</w:t>
          </w:r>
          <w:r>
            <w:tab/>
          </w:r>
          <w:r>
            <w:fldChar w:fldCharType="begin"/>
          </w:r>
          <w:r>
            <w:instrText xml:space="preserve"> PAGEREF _Toc13885 \h </w:instrText>
          </w:r>
          <w:r>
            <w:fldChar w:fldCharType="separate"/>
          </w:r>
          <w:r>
            <w:t>5</w:t>
          </w:r>
          <w:r>
            <w:fldChar w:fldCharType="end"/>
          </w:r>
          <w:r>
            <w:fldChar w:fldCharType="end"/>
          </w:r>
        </w:p>
        <w:p w14:paraId="51FAEFA8">
          <w:pPr>
            <w:pStyle w:val="10"/>
            <w:tabs>
              <w:tab w:val="right" w:leader="dot" w:pos="8306"/>
            </w:tabs>
          </w:pPr>
          <w:r>
            <w:fldChar w:fldCharType="begin"/>
          </w:r>
          <w:r>
            <w:instrText xml:space="preserve"> HYPERLINK \l _Toc2032 </w:instrText>
          </w:r>
          <w:r>
            <w:fldChar w:fldCharType="separate"/>
          </w:r>
          <w:r>
            <w:rPr>
              <w:rFonts w:hint="eastAsia"/>
            </w:rPr>
            <w:t xml:space="preserve">2.5 </w:t>
          </w:r>
          <w:r>
            <w:t>其他相关资料</w:t>
          </w:r>
          <w:r>
            <w:tab/>
          </w:r>
          <w:r>
            <w:fldChar w:fldCharType="begin"/>
          </w:r>
          <w:r>
            <w:instrText xml:space="preserve"> PAGEREF _Toc2032 \h </w:instrText>
          </w:r>
          <w:r>
            <w:fldChar w:fldCharType="separate"/>
          </w:r>
          <w:r>
            <w:t>5</w:t>
          </w:r>
          <w:r>
            <w:fldChar w:fldCharType="end"/>
          </w:r>
          <w:r>
            <w:fldChar w:fldCharType="end"/>
          </w:r>
        </w:p>
        <w:p w14:paraId="7015CD5D">
          <w:pPr>
            <w:pStyle w:val="8"/>
            <w:tabs>
              <w:tab w:val="right" w:leader="dot" w:pos="8306"/>
            </w:tabs>
          </w:pPr>
          <w:r>
            <w:fldChar w:fldCharType="begin"/>
          </w:r>
          <w:r>
            <w:instrText xml:space="preserve"> HYPERLINK \l _Toc28643 </w:instrText>
          </w:r>
          <w:r>
            <w:fldChar w:fldCharType="separate"/>
          </w:r>
          <w:r>
            <w:rPr>
              <w:rFonts w:hint="eastAsia"/>
            </w:rPr>
            <w:t xml:space="preserve">§3 </w:t>
          </w:r>
          <w:r>
            <w:t>主要财务指标、基金净值表现及利润分配情况</w:t>
          </w:r>
          <w:r>
            <w:tab/>
          </w:r>
          <w:r>
            <w:fldChar w:fldCharType="begin"/>
          </w:r>
          <w:r>
            <w:instrText xml:space="preserve"> PAGEREF _Toc28643 \h </w:instrText>
          </w:r>
          <w:r>
            <w:fldChar w:fldCharType="separate"/>
          </w:r>
          <w:r>
            <w:t>6</w:t>
          </w:r>
          <w:r>
            <w:fldChar w:fldCharType="end"/>
          </w:r>
          <w:r>
            <w:fldChar w:fldCharType="end"/>
          </w:r>
        </w:p>
        <w:p w14:paraId="60707ABB">
          <w:pPr>
            <w:pStyle w:val="10"/>
            <w:tabs>
              <w:tab w:val="right" w:leader="dot" w:pos="8306"/>
            </w:tabs>
          </w:pPr>
          <w:r>
            <w:fldChar w:fldCharType="begin"/>
          </w:r>
          <w:r>
            <w:instrText xml:space="preserve"> HYPERLINK \l _Toc26768 </w:instrText>
          </w:r>
          <w:r>
            <w:fldChar w:fldCharType="separate"/>
          </w:r>
          <w:r>
            <w:rPr>
              <w:rFonts w:hint="eastAsia"/>
            </w:rPr>
            <w:t xml:space="preserve">3.1 </w:t>
          </w:r>
          <w:r>
            <w:t>主要会计数据和财务指标</w:t>
          </w:r>
          <w:r>
            <w:tab/>
          </w:r>
          <w:r>
            <w:fldChar w:fldCharType="begin"/>
          </w:r>
          <w:r>
            <w:instrText xml:space="preserve"> PAGEREF _Toc26768 \h </w:instrText>
          </w:r>
          <w:r>
            <w:fldChar w:fldCharType="separate"/>
          </w:r>
          <w:r>
            <w:t>6</w:t>
          </w:r>
          <w:r>
            <w:fldChar w:fldCharType="end"/>
          </w:r>
          <w:r>
            <w:fldChar w:fldCharType="end"/>
          </w:r>
        </w:p>
        <w:p w14:paraId="46DA0C8B">
          <w:pPr>
            <w:pStyle w:val="10"/>
            <w:tabs>
              <w:tab w:val="right" w:leader="dot" w:pos="8306"/>
            </w:tabs>
          </w:pPr>
          <w:r>
            <w:fldChar w:fldCharType="begin"/>
          </w:r>
          <w:r>
            <w:instrText xml:space="preserve"> HYPERLINK \l _Toc21994 </w:instrText>
          </w:r>
          <w:r>
            <w:fldChar w:fldCharType="separate"/>
          </w:r>
          <w:r>
            <w:rPr>
              <w:rFonts w:hint="eastAsia"/>
            </w:rPr>
            <w:t xml:space="preserve">3.2 </w:t>
          </w:r>
          <w:r>
            <w:t>基金净值表现</w:t>
          </w:r>
          <w:r>
            <w:tab/>
          </w:r>
          <w:r>
            <w:fldChar w:fldCharType="begin"/>
          </w:r>
          <w:r>
            <w:instrText xml:space="preserve"> PAGEREF _Toc21994 \h </w:instrText>
          </w:r>
          <w:r>
            <w:fldChar w:fldCharType="separate"/>
          </w:r>
          <w:r>
            <w:t>6</w:t>
          </w:r>
          <w:r>
            <w:fldChar w:fldCharType="end"/>
          </w:r>
          <w:r>
            <w:fldChar w:fldCharType="end"/>
          </w:r>
        </w:p>
        <w:p w14:paraId="37654E57">
          <w:pPr>
            <w:pStyle w:val="10"/>
            <w:tabs>
              <w:tab w:val="right" w:leader="dot" w:pos="8306"/>
            </w:tabs>
          </w:pPr>
          <w:r>
            <w:fldChar w:fldCharType="begin"/>
          </w:r>
          <w:r>
            <w:instrText xml:space="preserve"> HYPERLINK \l _Toc3308 </w:instrText>
          </w:r>
          <w:r>
            <w:fldChar w:fldCharType="separate"/>
          </w:r>
          <w:r>
            <w:rPr>
              <w:rFonts w:hint="eastAsia"/>
            </w:rPr>
            <w:t xml:space="preserve">3.3 </w:t>
          </w:r>
          <w:r>
            <w:t>过去三年基金的利润分配情况</w:t>
          </w:r>
          <w:r>
            <w:tab/>
          </w:r>
          <w:r>
            <w:fldChar w:fldCharType="begin"/>
          </w:r>
          <w:r>
            <w:instrText xml:space="preserve"> PAGEREF _Toc3308 \h </w:instrText>
          </w:r>
          <w:r>
            <w:fldChar w:fldCharType="separate"/>
          </w:r>
          <w:r>
            <w:t>8</w:t>
          </w:r>
          <w:r>
            <w:fldChar w:fldCharType="end"/>
          </w:r>
          <w:r>
            <w:fldChar w:fldCharType="end"/>
          </w:r>
        </w:p>
        <w:p w14:paraId="295372EE">
          <w:pPr>
            <w:pStyle w:val="8"/>
            <w:tabs>
              <w:tab w:val="right" w:leader="dot" w:pos="8306"/>
            </w:tabs>
          </w:pPr>
          <w:r>
            <w:fldChar w:fldCharType="begin"/>
          </w:r>
          <w:r>
            <w:instrText xml:space="preserve"> HYPERLINK \l _Toc6946 </w:instrText>
          </w:r>
          <w:r>
            <w:fldChar w:fldCharType="separate"/>
          </w:r>
          <w:r>
            <w:rPr>
              <w:rFonts w:hint="eastAsia"/>
            </w:rPr>
            <w:t xml:space="preserve">§4 </w:t>
          </w:r>
          <w:r>
            <w:t>管理人报告</w:t>
          </w:r>
          <w:r>
            <w:tab/>
          </w:r>
          <w:r>
            <w:fldChar w:fldCharType="begin"/>
          </w:r>
          <w:r>
            <w:instrText xml:space="preserve"> PAGEREF _Toc6946 \h </w:instrText>
          </w:r>
          <w:r>
            <w:fldChar w:fldCharType="separate"/>
          </w:r>
          <w:r>
            <w:t>8</w:t>
          </w:r>
          <w:r>
            <w:fldChar w:fldCharType="end"/>
          </w:r>
          <w:r>
            <w:fldChar w:fldCharType="end"/>
          </w:r>
        </w:p>
        <w:p w14:paraId="251B1A7A">
          <w:pPr>
            <w:pStyle w:val="10"/>
            <w:tabs>
              <w:tab w:val="right" w:leader="dot" w:pos="8306"/>
            </w:tabs>
          </w:pPr>
          <w:r>
            <w:fldChar w:fldCharType="begin"/>
          </w:r>
          <w:r>
            <w:instrText xml:space="preserve"> HYPERLINK \l _Toc1404 </w:instrText>
          </w:r>
          <w:r>
            <w:fldChar w:fldCharType="separate"/>
          </w:r>
          <w:r>
            <w:rPr>
              <w:rFonts w:hint="eastAsia"/>
            </w:rPr>
            <w:t xml:space="preserve">4.1 </w:t>
          </w:r>
          <w:r>
            <w:t>基金管理人及基金经理情况</w:t>
          </w:r>
          <w:r>
            <w:tab/>
          </w:r>
          <w:r>
            <w:fldChar w:fldCharType="begin"/>
          </w:r>
          <w:r>
            <w:instrText xml:space="preserve"> PAGEREF _Toc1404 \h </w:instrText>
          </w:r>
          <w:r>
            <w:fldChar w:fldCharType="separate"/>
          </w:r>
          <w:r>
            <w:t>8</w:t>
          </w:r>
          <w:r>
            <w:fldChar w:fldCharType="end"/>
          </w:r>
          <w:r>
            <w:fldChar w:fldCharType="end"/>
          </w:r>
        </w:p>
        <w:p w14:paraId="53E63939">
          <w:pPr>
            <w:pStyle w:val="10"/>
            <w:tabs>
              <w:tab w:val="right" w:leader="dot" w:pos="8306"/>
            </w:tabs>
          </w:pPr>
          <w:r>
            <w:fldChar w:fldCharType="begin"/>
          </w:r>
          <w:r>
            <w:instrText xml:space="preserve"> HYPERLINK \l _Toc15211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_Toc15211 \h </w:instrText>
          </w:r>
          <w:r>
            <w:fldChar w:fldCharType="separate"/>
          </w:r>
          <w:r>
            <w:t>10</w:t>
          </w:r>
          <w:r>
            <w:fldChar w:fldCharType="end"/>
          </w:r>
          <w:r>
            <w:fldChar w:fldCharType="end"/>
          </w:r>
        </w:p>
        <w:p w14:paraId="43D1B810">
          <w:pPr>
            <w:pStyle w:val="10"/>
            <w:tabs>
              <w:tab w:val="right" w:leader="dot" w:pos="8306"/>
            </w:tabs>
          </w:pPr>
          <w:r>
            <w:fldChar w:fldCharType="begin"/>
          </w:r>
          <w:r>
            <w:instrText xml:space="preserve"> HYPERLINK \l _Toc24285 </w:instrText>
          </w:r>
          <w:r>
            <w:fldChar w:fldCharType="separate"/>
          </w:r>
          <w:r>
            <w:rPr>
              <w:rFonts w:hint="eastAsia"/>
            </w:rPr>
            <w:t xml:space="preserve">4.3 </w:t>
          </w:r>
          <w:r>
            <w:t>管理人对报告期内公平交易情况的专项说明</w:t>
          </w:r>
          <w:r>
            <w:tab/>
          </w:r>
          <w:r>
            <w:fldChar w:fldCharType="begin"/>
          </w:r>
          <w:r>
            <w:instrText xml:space="preserve"> PAGEREF _Toc24285 \h </w:instrText>
          </w:r>
          <w:r>
            <w:fldChar w:fldCharType="separate"/>
          </w:r>
          <w:r>
            <w:t>10</w:t>
          </w:r>
          <w:r>
            <w:fldChar w:fldCharType="end"/>
          </w:r>
          <w:r>
            <w:fldChar w:fldCharType="end"/>
          </w:r>
        </w:p>
        <w:p w14:paraId="3842B987">
          <w:pPr>
            <w:pStyle w:val="10"/>
            <w:tabs>
              <w:tab w:val="right" w:leader="dot" w:pos="8306"/>
            </w:tabs>
          </w:pPr>
          <w:r>
            <w:fldChar w:fldCharType="begin"/>
          </w:r>
          <w:r>
            <w:instrText xml:space="preserve"> HYPERLINK \l _Toc30780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_Toc30780 \h </w:instrText>
          </w:r>
          <w:r>
            <w:fldChar w:fldCharType="separate"/>
          </w:r>
          <w:r>
            <w:t>11</w:t>
          </w:r>
          <w:r>
            <w:fldChar w:fldCharType="end"/>
          </w:r>
          <w:r>
            <w:fldChar w:fldCharType="end"/>
          </w:r>
        </w:p>
        <w:p w14:paraId="5651EFA7">
          <w:pPr>
            <w:pStyle w:val="10"/>
            <w:tabs>
              <w:tab w:val="right" w:leader="dot" w:pos="8306"/>
            </w:tabs>
          </w:pPr>
          <w:r>
            <w:fldChar w:fldCharType="begin"/>
          </w:r>
          <w:r>
            <w:instrText xml:space="preserve"> HYPERLINK \l _Toc26286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_Toc26286 \h </w:instrText>
          </w:r>
          <w:r>
            <w:fldChar w:fldCharType="separate"/>
          </w:r>
          <w:r>
            <w:t>11</w:t>
          </w:r>
          <w:r>
            <w:fldChar w:fldCharType="end"/>
          </w:r>
          <w:r>
            <w:fldChar w:fldCharType="end"/>
          </w:r>
        </w:p>
        <w:p w14:paraId="661B3125">
          <w:pPr>
            <w:pStyle w:val="10"/>
            <w:tabs>
              <w:tab w:val="right" w:leader="dot" w:pos="8306"/>
            </w:tabs>
          </w:pPr>
          <w:r>
            <w:fldChar w:fldCharType="begin"/>
          </w:r>
          <w:r>
            <w:instrText xml:space="preserve"> HYPERLINK \l _Toc23195 </w:instrText>
          </w:r>
          <w:r>
            <w:fldChar w:fldCharType="separate"/>
          </w:r>
          <w:r>
            <w:rPr>
              <w:rFonts w:hint="eastAsia"/>
            </w:rPr>
            <w:t xml:space="preserve">4.6 </w:t>
          </w:r>
          <w:r>
            <w:t>管理人内部有关本基金的监察稽核工作情况</w:t>
          </w:r>
          <w:r>
            <w:tab/>
          </w:r>
          <w:r>
            <w:fldChar w:fldCharType="begin"/>
          </w:r>
          <w:r>
            <w:instrText xml:space="preserve"> PAGEREF _Toc23195 \h </w:instrText>
          </w:r>
          <w:r>
            <w:fldChar w:fldCharType="separate"/>
          </w:r>
          <w:r>
            <w:t>12</w:t>
          </w:r>
          <w:r>
            <w:fldChar w:fldCharType="end"/>
          </w:r>
          <w:r>
            <w:fldChar w:fldCharType="end"/>
          </w:r>
        </w:p>
        <w:p w14:paraId="164A3A81">
          <w:pPr>
            <w:pStyle w:val="10"/>
            <w:tabs>
              <w:tab w:val="right" w:leader="dot" w:pos="8306"/>
            </w:tabs>
          </w:pPr>
          <w:r>
            <w:fldChar w:fldCharType="begin"/>
          </w:r>
          <w:r>
            <w:instrText xml:space="preserve"> HYPERLINK \l _Toc13370 </w:instrText>
          </w:r>
          <w:r>
            <w:fldChar w:fldCharType="separate"/>
          </w:r>
          <w:r>
            <w:rPr>
              <w:rFonts w:hint="eastAsia"/>
            </w:rPr>
            <w:t xml:space="preserve">4.7 </w:t>
          </w:r>
          <w:r>
            <w:t>管理人对报告期内基金估值程序等事项的说明</w:t>
          </w:r>
          <w:r>
            <w:tab/>
          </w:r>
          <w:r>
            <w:fldChar w:fldCharType="begin"/>
          </w:r>
          <w:r>
            <w:instrText xml:space="preserve"> PAGEREF _Toc13370 \h </w:instrText>
          </w:r>
          <w:r>
            <w:fldChar w:fldCharType="separate"/>
          </w:r>
          <w:r>
            <w:t>13</w:t>
          </w:r>
          <w:r>
            <w:fldChar w:fldCharType="end"/>
          </w:r>
          <w:r>
            <w:fldChar w:fldCharType="end"/>
          </w:r>
        </w:p>
        <w:p w14:paraId="34C11ED7">
          <w:pPr>
            <w:pStyle w:val="10"/>
            <w:tabs>
              <w:tab w:val="right" w:leader="dot" w:pos="8306"/>
            </w:tabs>
          </w:pPr>
          <w:r>
            <w:fldChar w:fldCharType="begin"/>
          </w:r>
          <w:r>
            <w:instrText xml:space="preserve"> HYPERLINK \l _Toc28055 </w:instrText>
          </w:r>
          <w:r>
            <w:fldChar w:fldCharType="separate"/>
          </w:r>
          <w:r>
            <w:rPr>
              <w:rFonts w:hint="eastAsia"/>
            </w:rPr>
            <w:t xml:space="preserve">4.8 </w:t>
          </w:r>
          <w:r>
            <w:t>管理人对报告期内基金利润分配情况的说明</w:t>
          </w:r>
          <w:r>
            <w:tab/>
          </w:r>
          <w:r>
            <w:fldChar w:fldCharType="begin"/>
          </w:r>
          <w:r>
            <w:instrText xml:space="preserve"> PAGEREF _Toc28055 \h </w:instrText>
          </w:r>
          <w:r>
            <w:fldChar w:fldCharType="separate"/>
          </w:r>
          <w:r>
            <w:t>13</w:t>
          </w:r>
          <w:r>
            <w:fldChar w:fldCharType="end"/>
          </w:r>
          <w:r>
            <w:fldChar w:fldCharType="end"/>
          </w:r>
        </w:p>
        <w:p w14:paraId="4E4A16E7">
          <w:pPr>
            <w:pStyle w:val="10"/>
            <w:tabs>
              <w:tab w:val="right" w:leader="dot" w:pos="8306"/>
            </w:tabs>
          </w:pPr>
          <w:r>
            <w:fldChar w:fldCharType="begin"/>
          </w:r>
          <w:r>
            <w:instrText xml:space="preserve"> HYPERLINK \l _Toc31615 </w:instrText>
          </w:r>
          <w:r>
            <w:fldChar w:fldCharType="separate"/>
          </w:r>
          <w:r>
            <w:rPr>
              <w:rFonts w:hint="eastAsia"/>
            </w:rPr>
            <w:t xml:space="preserve">4.9 </w:t>
          </w:r>
          <w:r>
            <w:t>报告期内基金持有人数或基金资产净值预警说明</w:t>
          </w:r>
          <w:r>
            <w:tab/>
          </w:r>
          <w:r>
            <w:fldChar w:fldCharType="begin"/>
          </w:r>
          <w:r>
            <w:instrText xml:space="preserve"> PAGEREF _Toc31615 \h </w:instrText>
          </w:r>
          <w:r>
            <w:fldChar w:fldCharType="separate"/>
          </w:r>
          <w:r>
            <w:t>13</w:t>
          </w:r>
          <w:r>
            <w:fldChar w:fldCharType="end"/>
          </w:r>
          <w:r>
            <w:fldChar w:fldCharType="end"/>
          </w:r>
        </w:p>
        <w:p w14:paraId="35AC2EA5">
          <w:pPr>
            <w:pStyle w:val="8"/>
            <w:tabs>
              <w:tab w:val="right" w:leader="dot" w:pos="8306"/>
            </w:tabs>
          </w:pPr>
          <w:r>
            <w:fldChar w:fldCharType="begin"/>
          </w:r>
          <w:r>
            <w:instrText xml:space="preserve"> HYPERLINK \l _Toc15806 </w:instrText>
          </w:r>
          <w:r>
            <w:fldChar w:fldCharType="separate"/>
          </w:r>
          <w:r>
            <w:rPr>
              <w:rFonts w:hint="eastAsia"/>
            </w:rPr>
            <w:t xml:space="preserve">§5 </w:t>
          </w:r>
          <w:r>
            <w:t>托管人报告</w:t>
          </w:r>
          <w:r>
            <w:tab/>
          </w:r>
          <w:r>
            <w:fldChar w:fldCharType="begin"/>
          </w:r>
          <w:r>
            <w:instrText xml:space="preserve"> PAGEREF _Toc15806 \h </w:instrText>
          </w:r>
          <w:r>
            <w:fldChar w:fldCharType="separate"/>
          </w:r>
          <w:r>
            <w:t>14</w:t>
          </w:r>
          <w:r>
            <w:fldChar w:fldCharType="end"/>
          </w:r>
          <w:r>
            <w:fldChar w:fldCharType="end"/>
          </w:r>
        </w:p>
        <w:p w14:paraId="017E6DE1">
          <w:pPr>
            <w:pStyle w:val="10"/>
            <w:tabs>
              <w:tab w:val="right" w:leader="dot" w:pos="8306"/>
            </w:tabs>
          </w:pPr>
          <w:r>
            <w:fldChar w:fldCharType="begin"/>
          </w:r>
          <w:r>
            <w:instrText xml:space="preserve"> HYPERLINK \l _Toc9550 </w:instrText>
          </w:r>
          <w:r>
            <w:fldChar w:fldCharType="separate"/>
          </w:r>
          <w:r>
            <w:rPr>
              <w:rFonts w:hint="eastAsia"/>
            </w:rPr>
            <w:t xml:space="preserve">5.1 </w:t>
          </w:r>
          <w:r>
            <w:t>报告期内本基金托管人遵规守信情况声明</w:t>
          </w:r>
          <w:r>
            <w:tab/>
          </w:r>
          <w:r>
            <w:fldChar w:fldCharType="begin"/>
          </w:r>
          <w:r>
            <w:instrText xml:space="preserve"> PAGEREF _Toc9550 \h </w:instrText>
          </w:r>
          <w:r>
            <w:fldChar w:fldCharType="separate"/>
          </w:r>
          <w:r>
            <w:t>14</w:t>
          </w:r>
          <w:r>
            <w:fldChar w:fldCharType="end"/>
          </w:r>
          <w:r>
            <w:fldChar w:fldCharType="end"/>
          </w:r>
        </w:p>
        <w:p w14:paraId="08D4A497">
          <w:pPr>
            <w:pStyle w:val="10"/>
            <w:tabs>
              <w:tab w:val="right" w:leader="dot" w:pos="8306"/>
            </w:tabs>
          </w:pPr>
          <w:r>
            <w:fldChar w:fldCharType="begin"/>
          </w:r>
          <w:r>
            <w:instrText xml:space="preserve"> HYPERLINK \l _Toc19755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_Toc19755 \h </w:instrText>
          </w:r>
          <w:r>
            <w:fldChar w:fldCharType="separate"/>
          </w:r>
          <w:r>
            <w:t>14</w:t>
          </w:r>
          <w:r>
            <w:fldChar w:fldCharType="end"/>
          </w:r>
          <w:r>
            <w:fldChar w:fldCharType="end"/>
          </w:r>
        </w:p>
        <w:p w14:paraId="78D480CB">
          <w:pPr>
            <w:pStyle w:val="10"/>
            <w:tabs>
              <w:tab w:val="right" w:leader="dot" w:pos="8306"/>
            </w:tabs>
          </w:pPr>
          <w:r>
            <w:fldChar w:fldCharType="begin"/>
          </w:r>
          <w:r>
            <w:instrText xml:space="preserve"> HYPERLINK \l _Toc15772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_Toc15772 \h </w:instrText>
          </w:r>
          <w:r>
            <w:fldChar w:fldCharType="separate"/>
          </w:r>
          <w:r>
            <w:t>14</w:t>
          </w:r>
          <w:r>
            <w:fldChar w:fldCharType="end"/>
          </w:r>
          <w:r>
            <w:fldChar w:fldCharType="end"/>
          </w:r>
        </w:p>
        <w:p w14:paraId="3C6E68A4">
          <w:pPr>
            <w:pStyle w:val="8"/>
            <w:tabs>
              <w:tab w:val="right" w:leader="dot" w:pos="8306"/>
            </w:tabs>
          </w:pPr>
          <w:r>
            <w:fldChar w:fldCharType="begin"/>
          </w:r>
          <w:r>
            <w:instrText xml:space="preserve"> HYPERLINK \l _Toc26911 </w:instrText>
          </w:r>
          <w:r>
            <w:fldChar w:fldCharType="separate"/>
          </w:r>
          <w:r>
            <w:rPr>
              <w:rFonts w:hint="eastAsia"/>
            </w:rPr>
            <w:t xml:space="preserve">§6 </w:t>
          </w:r>
          <w:r>
            <w:t>审计报告</w:t>
          </w:r>
          <w:r>
            <w:tab/>
          </w:r>
          <w:r>
            <w:fldChar w:fldCharType="begin"/>
          </w:r>
          <w:r>
            <w:instrText xml:space="preserve"> PAGEREF _Toc26911 \h </w:instrText>
          </w:r>
          <w:r>
            <w:fldChar w:fldCharType="separate"/>
          </w:r>
          <w:r>
            <w:t>14</w:t>
          </w:r>
          <w:r>
            <w:fldChar w:fldCharType="end"/>
          </w:r>
          <w:r>
            <w:fldChar w:fldCharType="end"/>
          </w:r>
        </w:p>
        <w:p w14:paraId="00B7A486">
          <w:pPr>
            <w:pStyle w:val="10"/>
            <w:tabs>
              <w:tab w:val="right" w:leader="dot" w:pos="8306"/>
            </w:tabs>
          </w:pPr>
          <w:r>
            <w:fldChar w:fldCharType="begin"/>
          </w:r>
          <w:r>
            <w:instrText xml:space="preserve"> HYPERLINK \l _Toc4419 </w:instrText>
          </w:r>
          <w:r>
            <w:fldChar w:fldCharType="separate"/>
          </w:r>
          <w:r>
            <w:rPr>
              <w:rFonts w:hint="eastAsia"/>
            </w:rPr>
            <w:t xml:space="preserve">6.1 </w:t>
          </w:r>
          <w:r>
            <w:t>审计报告基本信息</w:t>
          </w:r>
          <w:r>
            <w:tab/>
          </w:r>
          <w:r>
            <w:fldChar w:fldCharType="begin"/>
          </w:r>
          <w:r>
            <w:instrText xml:space="preserve"> PAGEREF _Toc4419 \h </w:instrText>
          </w:r>
          <w:r>
            <w:fldChar w:fldCharType="separate"/>
          </w:r>
          <w:r>
            <w:t>14</w:t>
          </w:r>
          <w:r>
            <w:fldChar w:fldCharType="end"/>
          </w:r>
          <w:r>
            <w:fldChar w:fldCharType="end"/>
          </w:r>
        </w:p>
        <w:p w14:paraId="26ED7B3E">
          <w:pPr>
            <w:pStyle w:val="10"/>
            <w:tabs>
              <w:tab w:val="right" w:leader="dot" w:pos="8306"/>
            </w:tabs>
          </w:pPr>
          <w:r>
            <w:fldChar w:fldCharType="begin"/>
          </w:r>
          <w:r>
            <w:instrText xml:space="preserve"> HYPERLINK \l _Toc30017 </w:instrText>
          </w:r>
          <w:r>
            <w:fldChar w:fldCharType="separate"/>
          </w:r>
          <w:r>
            <w:rPr>
              <w:rFonts w:hint="eastAsia"/>
            </w:rPr>
            <w:t xml:space="preserve">6.2 </w:t>
          </w:r>
          <w:r>
            <w:t>审计报告的基本内容</w:t>
          </w:r>
          <w:r>
            <w:tab/>
          </w:r>
          <w:r>
            <w:fldChar w:fldCharType="begin"/>
          </w:r>
          <w:r>
            <w:instrText xml:space="preserve"> PAGEREF _Toc30017 \h </w:instrText>
          </w:r>
          <w:r>
            <w:fldChar w:fldCharType="separate"/>
          </w:r>
          <w:r>
            <w:t>14</w:t>
          </w:r>
          <w:r>
            <w:fldChar w:fldCharType="end"/>
          </w:r>
          <w:r>
            <w:fldChar w:fldCharType="end"/>
          </w:r>
        </w:p>
        <w:p w14:paraId="7C99E274">
          <w:pPr>
            <w:pStyle w:val="8"/>
            <w:tabs>
              <w:tab w:val="right" w:leader="dot" w:pos="8306"/>
            </w:tabs>
          </w:pPr>
          <w:r>
            <w:fldChar w:fldCharType="begin"/>
          </w:r>
          <w:r>
            <w:instrText xml:space="preserve"> HYPERLINK \l _Toc24247 </w:instrText>
          </w:r>
          <w:r>
            <w:fldChar w:fldCharType="separate"/>
          </w:r>
          <w:r>
            <w:rPr>
              <w:rFonts w:hint="eastAsia"/>
            </w:rPr>
            <w:t xml:space="preserve">§7 </w:t>
          </w:r>
          <w:r>
            <w:t>年度财务报表</w:t>
          </w:r>
          <w:r>
            <w:tab/>
          </w:r>
          <w:r>
            <w:fldChar w:fldCharType="begin"/>
          </w:r>
          <w:r>
            <w:instrText xml:space="preserve"> PAGEREF _Toc24247 \h </w:instrText>
          </w:r>
          <w:r>
            <w:fldChar w:fldCharType="separate"/>
          </w:r>
          <w:r>
            <w:t>17</w:t>
          </w:r>
          <w:r>
            <w:fldChar w:fldCharType="end"/>
          </w:r>
          <w:r>
            <w:fldChar w:fldCharType="end"/>
          </w:r>
        </w:p>
        <w:p w14:paraId="68AB4FFB">
          <w:pPr>
            <w:pStyle w:val="10"/>
            <w:tabs>
              <w:tab w:val="right" w:leader="dot" w:pos="8306"/>
            </w:tabs>
          </w:pPr>
          <w:r>
            <w:fldChar w:fldCharType="begin"/>
          </w:r>
          <w:r>
            <w:instrText xml:space="preserve"> HYPERLINK \l _Toc8695 </w:instrText>
          </w:r>
          <w:r>
            <w:fldChar w:fldCharType="separate"/>
          </w:r>
          <w:r>
            <w:rPr>
              <w:rFonts w:hint="eastAsia"/>
            </w:rPr>
            <w:t xml:space="preserve">7.1 </w:t>
          </w:r>
          <w:r>
            <w:t>资产负债表</w:t>
          </w:r>
          <w:r>
            <w:tab/>
          </w:r>
          <w:r>
            <w:fldChar w:fldCharType="begin"/>
          </w:r>
          <w:r>
            <w:instrText xml:space="preserve"> PAGEREF _Toc8695 \h </w:instrText>
          </w:r>
          <w:r>
            <w:fldChar w:fldCharType="separate"/>
          </w:r>
          <w:r>
            <w:t>17</w:t>
          </w:r>
          <w:r>
            <w:fldChar w:fldCharType="end"/>
          </w:r>
          <w:r>
            <w:fldChar w:fldCharType="end"/>
          </w:r>
        </w:p>
        <w:p w14:paraId="4C76353B">
          <w:pPr>
            <w:pStyle w:val="10"/>
            <w:tabs>
              <w:tab w:val="right" w:leader="dot" w:pos="8306"/>
            </w:tabs>
          </w:pPr>
          <w:r>
            <w:fldChar w:fldCharType="begin"/>
          </w:r>
          <w:r>
            <w:instrText xml:space="preserve"> HYPERLINK \l _Toc22912 </w:instrText>
          </w:r>
          <w:r>
            <w:fldChar w:fldCharType="separate"/>
          </w:r>
          <w:r>
            <w:rPr>
              <w:rFonts w:hint="eastAsia"/>
            </w:rPr>
            <w:t xml:space="preserve">7.2 </w:t>
          </w:r>
          <w:r>
            <w:t>利润表</w:t>
          </w:r>
          <w:r>
            <w:tab/>
          </w:r>
          <w:r>
            <w:fldChar w:fldCharType="begin"/>
          </w:r>
          <w:r>
            <w:instrText xml:space="preserve"> PAGEREF _Toc22912 \h </w:instrText>
          </w:r>
          <w:r>
            <w:fldChar w:fldCharType="separate"/>
          </w:r>
          <w:r>
            <w:t>18</w:t>
          </w:r>
          <w:r>
            <w:fldChar w:fldCharType="end"/>
          </w:r>
          <w:r>
            <w:fldChar w:fldCharType="end"/>
          </w:r>
        </w:p>
        <w:p w14:paraId="6004E86C">
          <w:pPr>
            <w:pStyle w:val="10"/>
            <w:tabs>
              <w:tab w:val="right" w:leader="dot" w:pos="8306"/>
            </w:tabs>
          </w:pPr>
          <w:r>
            <w:fldChar w:fldCharType="begin"/>
          </w:r>
          <w:r>
            <w:instrText xml:space="preserve"> HYPERLINK \l _Toc28282 </w:instrText>
          </w:r>
          <w:r>
            <w:fldChar w:fldCharType="separate"/>
          </w:r>
          <w:r>
            <w:rPr>
              <w:rFonts w:hint="eastAsia"/>
            </w:rPr>
            <w:t xml:space="preserve">7.3 </w:t>
          </w:r>
          <w:r>
            <w:t>净资产变动表</w:t>
          </w:r>
          <w:r>
            <w:tab/>
          </w:r>
          <w:r>
            <w:fldChar w:fldCharType="begin"/>
          </w:r>
          <w:r>
            <w:instrText xml:space="preserve"> PAGEREF _Toc28282 \h </w:instrText>
          </w:r>
          <w:r>
            <w:fldChar w:fldCharType="separate"/>
          </w:r>
          <w:r>
            <w:t>19</w:t>
          </w:r>
          <w:r>
            <w:fldChar w:fldCharType="end"/>
          </w:r>
          <w:r>
            <w:fldChar w:fldCharType="end"/>
          </w:r>
        </w:p>
        <w:p w14:paraId="57C3F96C">
          <w:pPr>
            <w:pStyle w:val="10"/>
            <w:tabs>
              <w:tab w:val="right" w:leader="dot" w:pos="8306"/>
            </w:tabs>
          </w:pPr>
          <w:r>
            <w:fldChar w:fldCharType="begin"/>
          </w:r>
          <w:r>
            <w:instrText xml:space="preserve"> HYPERLINK \l _Toc32380 </w:instrText>
          </w:r>
          <w:r>
            <w:fldChar w:fldCharType="separate"/>
          </w:r>
          <w:r>
            <w:rPr>
              <w:rFonts w:hint="eastAsia"/>
            </w:rPr>
            <w:t xml:space="preserve">7.4 </w:t>
          </w:r>
          <w:r>
            <w:t>报表附注</w:t>
          </w:r>
          <w:r>
            <w:tab/>
          </w:r>
          <w:r>
            <w:fldChar w:fldCharType="begin"/>
          </w:r>
          <w:r>
            <w:instrText xml:space="preserve"> PAGEREF _Toc32380 \h </w:instrText>
          </w:r>
          <w:r>
            <w:fldChar w:fldCharType="separate"/>
          </w:r>
          <w:r>
            <w:t>21</w:t>
          </w:r>
          <w:r>
            <w:fldChar w:fldCharType="end"/>
          </w:r>
          <w:r>
            <w:fldChar w:fldCharType="end"/>
          </w:r>
        </w:p>
        <w:p w14:paraId="40233B2A">
          <w:pPr>
            <w:pStyle w:val="8"/>
            <w:tabs>
              <w:tab w:val="right" w:leader="dot" w:pos="8306"/>
            </w:tabs>
          </w:pPr>
          <w:r>
            <w:fldChar w:fldCharType="begin"/>
          </w:r>
          <w:r>
            <w:instrText xml:space="preserve"> HYPERLINK \l _Toc7313 </w:instrText>
          </w:r>
          <w:r>
            <w:fldChar w:fldCharType="separate"/>
          </w:r>
          <w:r>
            <w:rPr>
              <w:rFonts w:hint="eastAsia"/>
            </w:rPr>
            <w:t xml:space="preserve">§8 </w:t>
          </w:r>
          <w:r>
            <w:t>投资组合报告</w:t>
          </w:r>
          <w:r>
            <w:tab/>
          </w:r>
          <w:r>
            <w:fldChar w:fldCharType="begin"/>
          </w:r>
          <w:r>
            <w:instrText xml:space="preserve"> PAGEREF _Toc7313 \h </w:instrText>
          </w:r>
          <w:r>
            <w:fldChar w:fldCharType="separate"/>
          </w:r>
          <w:r>
            <w:t>45</w:t>
          </w:r>
          <w:r>
            <w:fldChar w:fldCharType="end"/>
          </w:r>
          <w:r>
            <w:fldChar w:fldCharType="end"/>
          </w:r>
        </w:p>
        <w:p w14:paraId="70FBE063">
          <w:pPr>
            <w:pStyle w:val="10"/>
            <w:tabs>
              <w:tab w:val="right" w:leader="dot" w:pos="8306"/>
            </w:tabs>
          </w:pPr>
          <w:r>
            <w:fldChar w:fldCharType="begin"/>
          </w:r>
          <w:r>
            <w:instrText xml:space="preserve"> HYPERLINK \l _Toc26421 </w:instrText>
          </w:r>
          <w:r>
            <w:fldChar w:fldCharType="separate"/>
          </w:r>
          <w:r>
            <w:rPr>
              <w:rFonts w:hint="eastAsia"/>
            </w:rPr>
            <w:t xml:space="preserve">8.1 </w:t>
          </w:r>
          <w:r>
            <w:t>期末基金资产组合情况</w:t>
          </w:r>
          <w:r>
            <w:tab/>
          </w:r>
          <w:r>
            <w:fldChar w:fldCharType="begin"/>
          </w:r>
          <w:r>
            <w:instrText xml:space="preserve"> PAGEREF _Toc26421 \h </w:instrText>
          </w:r>
          <w:r>
            <w:fldChar w:fldCharType="separate"/>
          </w:r>
          <w:r>
            <w:t>45</w:t>
          </w:r>
          <w:r>
            <w:fldChar w:fldCharType="end"/>
          </w:r>
          <w:r>
            <w:fldChar w:fldCharType="end"/>
          </w:r>
        </w:p>
        <w:p w14:paraId="177730B7">
          <w:pPr>
            <w:pStyle w:val="10"/>
            <w:tabs>
              <w:tab w:val="right" w:leader="dot" w:pos="8306"/>
            </w:tabs>
          </w:pPr>
          <w:r>
            <w:fldChar w:fldCharType="begin"/>
          </w:r>
          <w:r>
            <w:instrText xml:space="preserve"> HYPERLINK \l _Toc11028 </w:instrText>
          </w:r>
          <w:r>
            <w:fldChar w:fldCharType="separate"/>
          </w:r>
          <w:r>
            <w:rPr>
              <w:rFonts w:hint="eastAsia"/>
            </w:rPr>
            <w:t xml:space="preserve">8.2 </w:t>
          </w:r>
          <w:r>
            <w:t>报告期末按行业分类的股票投资组合</w:t>
          </w:r>
          <w:r>
            <w:tab/>
          </w:r>
          <w:r>
            <w:fldChar w:fldCharType="begin"/>
          </w:r>
          <w:r>
            <w:instrText xml:space="preserve"> PAGEREF _Toc11028 \h </w:instrText>
          </w:r>
          <w:r>
            <w:fldChar w:fldCharType="separate"/>
          </w:r>
          <w:r>
            <w:t>45</w:t>
          </w:r>
          <w:r>
            <w:fldChar w:fldCharType="end"/>
          </w:r>
          <w:r>
            <w:fldChar w:fldCharType="end"/>
          </w:r>
        </w:p>
        <w:p w14:paraId="29E9DD06">
          <w:pPr>
            <w:pStyle w:val="10"/>
            <w:tabs>
              <w:tab w:val="right" w:leader="dot" w:pos="8306"/>
            </w:tabs>
          </w:pPr>
          <w:r>
            <w:fldChar w:fldCharType="begin"/>
          </w:r>
          <w:r>
            <w:instrText xml:space="preserve"> HYPERLINK \l _Toc31943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_Toc31943 \h </w:instrText>
          </w:r>
          <w:r>
            <w:fldChar w:fldCharType="separate"/>
          </w:r>
          <w:r>
            <w:t>45</w:t>
          </w:r>
          <w:r>
            <w:fldChar w:fldCharType="end"/>
          </w:r>
          <w:r>
            <w:fldChar w:fldCharType="end"/>
          </w:r>
        </w:p>
        <w:p w14:paraId="0EBC2F5C">
          <w:pPr>
            <w:pStyle w:val="10"/>
            <w:tabs>
              <w:tab w:val="right" w:leader="dot" w:pos="8306"/>
            </w:tabs>
          </w:pPr>
          <w:r>
            <w:fldChar w:fldCharType="begin"/>
          </w:r>
          <w:r>
            <w:instrText xml:space="preserve"> HYPERLINK \l _Toc21932 </w:instrText>
          </w:r>
          <w:r>
            <w:fldChar w:fldCharType="separate"/>
          </w:r>
          <w:r>
            <w:rPr>
              <w:rFonts w:hint="eastAsia"/>
            </w:rPr>
            <w:t xml:space="preserve">8.4 </w:t>
          </w:r>
          <w:r>
            <w:t>报告期内股票投资组合的重大变动</w:t>
          </w:r>
          <w:r>
            <w:tab/>
          </w:r>
          <w:r>
            <w:fldChar w:fldCharType="begin"/>
          </w:r>
          <w:r>
            <w:instrText xml:space="preserve"> PAGEREF _Toc21932 \h </w:instrText>
          </w:r>
          <w:r>
            <w:fldChar w:fldCharType="separate"/>
          </w:r>
          <w:r>
            <w:t>45</w:t>
          </w:r>
          <w:r>
            <w:fldChar w:fldCharType="end"/>
          </w:r>
          <w:r>
            <w:fldChar w:fldCharType="end"/>
          </w:r>
        </w:p>
        <w:p w14:paraId="6D828E88">
          <w:pPr>
            <w:pStyle w:val="10"/>
            <w:tabs>
              <w:tab w:val="right" w:leader="dot" w:pos="8306"/>
            </w:tabs>
          </w:pPr>
          <w:r>
            <w:fldChar w:fldCharType="begin"/>
          </w:r>
          <w:r>
            <w:instrText xml:space="preserve"> HYPERLINK \l _Toc12083 </w:instrText>
          </w:r>
          <w:r>
            <w:fldChar w:fldCharType="separate"/>
          </w:r>
          <w:r>
            <w:rPr>
              <w:rFonts w:hint="eastAsia"/>
            </w:rPr>
            <w:t xml:space="preserve">8.5 </w:t>
          </w:r>
          <w:r>
            <w:t>期末按债券品种分类的债券投资组合</w:t>
          </w:r>
          <w:r>
            <w:tab/>
          </w:r>
          <w:r>
            <w:fldChar w:fldCharType="begin"/>
          </w:r>
          <w:r>
            <w:instrText xml:space="preserve"> PAGEREF _Toc12083 \h </w:instrText>
          </w:r>
          <w:r>
            <w:fldChar w:fldCharType="separate"/>
          </w:r>
          <w:r>
            <w:t>46</w:t>
          </w:r>
          <w:r>
            <w:fldChar w:fldCharType="end"/>
          </w:r>
          <w:r>
            <w:fldChar w:fldCharType="end"/>
          </w:r>
        </w:p>
        <w:p w14:paraId="11A269A3">
          <w:pPr>
            <w:pStyle w:val="10"/>
            <w:tabs>
              <w:tab w:val="right" w:leader="dot" w:pos="8306"/>
            </w:tabs>
          </w:pPr>
          <w:r>
            <w:fldChar w:fldCharType="begin"/>
          </w:r>
          <w:r>
            <w:instrText xml:space="preserve"> HYPERLINK \l _Toc19305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_Toc19305 \h </w:instrText>
          </w:r>
          <w:r>
            <w:fldChar w:fldCharType="separate"/>
          </w:r>
          <w:r>
            <w:t>46</w:t>
          </w:r>
          <w:r>
            <w:fldChar w:fldCharType="end"/>
          </w:r>
          <w:r>
            <w:fldChar w:fldCharType="end"/>
          </w:r>
        </w:p>
        <w:p w14:paraId="41055F7E">
          <w:pPr>
            <w:pStyle w:val="10"/>
            <w:tabs>
              <w:tab w:val="right" w:leader="dot" w:pos="8306"/>
            </w:tabs>
          </w:pPr>
          <w:r>
            <w:fldChar w:fldCharType="begin"/>
          </w:r>
          <w:r>
            <w:instrText xml:space="preserve"> HYPERLINK \l _Toc15380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_Toc15380 \h </w:instrText>
          </w:r>
          <w:r>
            <w:fldChar w:fldCharType="separate"/>
          </w:r>
          <w:r>
            <w:t>46</w:t>
          </w:r>
          <w:r>
            <w:fldChar w:fldCharType="end"/>
          </w:r>
          <w:r>
            <w:fldChar w:fldCharType="end"/>
          </w:r>
        </w:p>
        <w:p w14:paraId="655DFC09">
          <w:pPr>
            <w:pStyle w:val="10"/>
            <w:tabs>
              <w:tab w:val="right" w:leader="dot" w:pos="8306"/>
            </w:tabs>
          </w:pPr>
          <w:r>
            <w:fldChar w:fldCharType="begin"/>
          </w:r>
          <w:r>
            <w:instrText xml:space="preserve"> HYPERLINK \l _Toc6945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_Toc6945 \h </w:instrText>
          </w:r>
          <w:r>
            <w:fldChar w:fldCharType="separate"/>
          </w:r>
          <w:r>
            <w:t>47</w:t>
          </w:r>
          <w:r>
            <w:fldChar w:fldCharType="end"/>
          </w:r>
          <w:r>
            <w:fldChar w:fldCharType="end"/>
          </w:r>
        </w:p>
        <w:p w14:paraId="337869CA">
          <w:pPr>
            <w:pStyle w:val="10"/>
            <w:tabs>
              <w:tab w:val="right" w:leader="dot" w:pos="8306"/>
            </w:tabs>
          </w:pPr>
          <w:r>
            <w:fldChar w:fldCharType="begin"/>
          </w:r>
          <w:r>
            <w:instrText xml:space="preserve"> HYPERLINK \l _Toc10242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_Toc10242 \h </w:instrText>
          </w:r>
          <w:r>
            <w:fldChar w:fldCharType="separate"/>
          </w:r>
          <w:r>
            <w:t>47</w:t>
          </w:r>
          <w:r>
            <w:fldChar w:fldCharType="end"/>
          </w:r>
          <w:r>
            <w:fldChar w:fldCharType="end"/>
          </w:r>
        </w:p>
        <w:p w14:paraId="68F5768A">
          <w:pPr>
            <w:pStyle w:val="10"/>
            <w:tabs>
              <w:tab w:val="right" w:leader="dot" w:pos="8306"/>
            </w:tabs>
          </w:pPr>
          <w:r>
            <w:fldChar w:fldCharType="begin"/>
          </w:r>
          <w:r>
            <w:instrText xml:space="preserve"> HYPERLINK \l _Toc3000 </w:instrText>
          </w:r>
          <w:r>
            <w:fldChar w:fldCharType="separate"/>
          </w:r>
          <w:r>
            <w:rPr>
              <w:rFonts w:hint="eastAsia"/>
            </w:rPr>
            <w:t xml:space="preserve">8.10 </w:t>
          </w:r>
          <w:r>
            <w:t>本基金投资股指期货的投资政策</w:t>
          </w:r>
          <w:r>
            <w:tab/>
          </w:r>
          <w:r>
            <w:fldChar w:fldCharType="begin"/>
          </w:r>
          <w:r>
            <w:instrText xml:space="preserve"> PAGEREF _Toc3000 \h </w:instrText>
          </w:r>
          <w:r>
            <w:fldChar w:fldCharType="separate"/>
          </w:r>
          <w:r>
            <w:t>47</w:t>
          </w:r>
          <w:r>
            <w:fldChar w:fldCharType="end"/>
          </w:r>
          <w:r>
            <w:fldChar w:fldCharType="end"/>
          </w:r>
        </w:p>
        <w:p w14:paraId="1668CEB9">
          <w:pPr>
            <w:pStyle w:val="10"/>
            <w:tabs>
              <w:tab w:val="right" w:leader="dot" w:pos="8306"/>
            </w:tabs>
          </w:pPr>
          <w:r>
            <w:fldChar w:fldCharType="begin"/>
          </w:r>
          <w:r>
            <w:instrText xml:space="preserve"> HYPERLINK \l _Toc26679 </w:instrText>
          </w:r>
          <w:r>
            <w:fldChar w:fldCharType="separate"/>
          </w:r>
          <w:r>
            <w:rPr>
              <w:rFonts w:hint="eastAsia"/>
            </w:rPr>
            <w:t xml:space="preserve">8.11 </w:t>
          </w:r>
          <w:r>
            <w:t>报告期末本基金投资的国债期货交易情况说明</w:t>
          </w:r>
          <w:r>
            <w:tab/>
          </w:r>
          <w:r>
            <w:fldChar w:fldCharType="begin"/>
          </w:r>
          <w:r>
            <w:instrText xml:space="preserve"> PAGEREF _Toc26679 \h </w:instrText>
          </w:r>
          <w:r>
            <w:fldChar w:fldCharType="separate"/>
          </w:r>
          <w:r>
            <w:t>47</w:t>
          </w:r>
          <w:r>
            <w:fldChar w:fldCharType="end"/>
          </w:r>
          <w:r>
            <w:fldChar w:fldCharType="end"/>
          </w:r>
        </w:p>
        <w:p w14:paraId="451BCDE7">
          <w:pPr>
            <w:pStyle w:val="10"/>
            <w:tabs>
              <w:tab w:val="right" w:leader="dot" w:pos="8306"/>
            </w:tabs>
          </w:pPr>
          <w:r>
            <w:fldChar w:fldCharType="begin"/>
          </w:r>
          <w:r>
            <w:instrText xml:space="preserve"> HYPERLINK \l _Toc1989 </w:instrText>
          </w:r>
          <w:r>
            <w:fldChar w:fldCharType="separate"/>
          </w:r>
          <w:r>
            <w:rPr>
              <w:rFonts w:hint="eastAsia"/>
            </w:rPr>
            <w:t xml:space="preserve">8.12 </w:t>
          </w:r>
          <w:r>
            <w:t>投资组合报告附注</w:t>
          </w:r>
          <w:r>
            <w:tab/>
          </w:r>
          <w:r>
            <w:fldChar w:fldCharType="begin"/>
          </w:r>
          <w:r>
            <w:instrText xml:space="preserve"> PAGEREF _Toc1989 \h </w:instrText>
          </w:r>
          <w:r>
            <w:fldChar w:fldCharType="separate"/>
          </w:r>
          <w:r>
            <w:t>47</w:t>
          </w:r>
          <w:r>
            <w:fldChar w:fldCharType="end"/>
          </w:r>
          <w:r>
            <w:fldChar w:fldCharType="end"/>
          </w:r>
        </w:p>
        <w:p w14:paraId="1B40B956">
          <w:pPr>
            <w:pStyle w:val="8"/>
            <w:tabs>
              <w:tab w:val="right" w:leader="dot" w:pos="8306"/>
            </w:tabs>
          </w:pPr>
          <w:r>
            <w:fldChar w:fldCharType="begin"/>
          </w:r>
          <w:r>
            <w:instrText xml:space="preserve"> HYPERLINK \l _Toc26157 </w:instrText>
          </w:r>
          <w:r>
            <w:fldChar w:fldCharType="separate"/>
          </w:r>
          <w:r>
            <w:rPr>
              <w:rFonts w:hint="eastAsia"/>
            </w:rPr>
            <w:t xml:space="preserve">§9 </w:t>
          </w:r>
          <w:r>
            <w:t>基金份额持有人信息</w:t>
          </w:r>
          <w:r>
            <w:tab/>
          </w:r>
          <w:r>
            <w:fldChar w:fldCharType="begin"/>
          </w:r>
          <w:r>
            <w:instrText xml:space="preserve"> PAGEREF _Toc26157 \h </w:instrText>
          </w:r>
          <w:r>
            <w:fldChar w:fldCharType="separate"/>
          </w:r>
          <w:r>
            <w:t>48</w:t>
          </w:r>
          <w:r>
            <w:fldChar w:fldCharType="end"/>
          </w:r>
          <w:r>
            <w:fldChar w:fldCharType="end"/>
          </w:r>
        </w:p>
        <w:p w14:paraId="30DD3E00">
          <w:pPr>
            <w:pStyle w:val="10"/>
            <w:tabs>
              <w:tab w:val="right" w:leader="dot" w:pos="8306"/>
            </w:tabs>
          </w:pPr>
          <w:r>
            <w:fldChar w:fldCharType="begin"/>
          </w:r>
          <w:r>
            <w:instrText xml:space="preserve"> HYPERLINK \l _Toc16168 </w:instrText>
          </w:r>
          <w:r>
            <w:fldChar w:fldCharType="separate"/>
          </w:r>
          <w:r>
            <w:rPr>
              <w:rFonts w:hint="eastAsia"/>
            </w:rPr>
            <w:t xml:space="preserve">9.1 </w:t>
          </w:r>
          <w:r>
            <w:t>期末基金份额持有人户数及持有人结构</w:t>
          </w:r>
          <w:r>
            <w:tab/>
          </w:r>
          <w:r>
            <w:fldChar w:fldCharType="begin"/>
          </w:r>
          <w:r>
            <w:instrText xml:space="preserve"> PAGEREF _Toc16168 \h </w:instrText>
          </w:r>
          <w:r>
            <w:fldChar w:fldCharType="separate"/>
          </w:r>
          <w:r>
            <w:t>48</w:t>
          </w:r>
          <w:r>
            <w:fldChar w:fldCharType="end"/>
          </w:r>
          <w:r>
            <w:fldChar w:fldCharType="end"/>
          </w:r>
        </w:p>
        <w:p w14:paraId="52636B23">
          <w:pPr>
            <w:pStyle w:val="10"/>
            <w:tabs>
              <w:tab w:val="right" w:leader="dot" w:pos="8306"/>
            </w:tabs>
          </w:pPr>
          <w:r>
            <w:fldChar w:fldCharType="begin"/>
          </w:r>
          <w:r>
            <w:instrText xml:space="preserve"> HYPERLINK \l _Toc5453 </w:instrText>
          </w:r>
          <w:r>
            <w:fldChar w:fldCharType="separate"/>
          </w:r>
          <w:r>
            <w:rPr>
              <w:rFonts w:hint="eastAsia"/>
            </w:rPr>
            <w:t xml:space="preserve">9.2 </w:t>
          </w:r>
          <w:r>
            <w:t>期末基金管理人的从业人员持有本基金的情况</w:t>
          </w:r>
          <w:r>
            <w:tab/>
          </w:r>
          <w:r>
            <w:fldChar w:fldCharType="begin"/>
          </w:r>
          <w:r>
            <w:instrText xml:space="preserve"> PAGEREF _Toc5453 \h </w:instrText>
          </w:r>
          <w:r>
            <w:fldChar w:fldCharType="separate"/>
          </w:r>
          <w:r>
            <w:t>48</w:t>
          </w:r>
          <w:r>
            <w:fldChar w:fldCharType="end"/>
          </w:r>
          <w:r>
            <w:fldChar w:fldCharType="end"/>
          </w:r>
        </w:p>
        <w:p w14:paraId="1B59EFA8">
          <w:pPr>
            <w:pStyle w:val="10"/>
            <w:tabs>
              <w:tab w:val="right" w:leader="dot" w:pos="8306"/>
            </w:tabs>
          </w:pPr>
          <w:r>
            <w:fldChar w:fldCharType="begin"/>
          </w:r>
          <w:r>
            <w:instrText xml:space="preserve"> HYPERLINK \l _Toc30353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_Toc30353 \h </w:instrText>
          </w:r>
          <w:r>
            <w:fldChar w:fldCharType="separate"/>
          </w:r>
          <w:r>
            <w:t>48</w:t>
          </w:r>
          <w:r>
            <w:fldChar w:fldCharType="end"/>
          </w:r>
          <w:r>
            <w:fldChar w:fldCharType="end"/>
          </w:r>
        </w:p>
        <w:p w14:paraId="7B00DCE2">
          <w:pPr>
            <w:pStyle w:val="10"/>
            <w:tabs>
              <w:tab w:val="right" w:leader="dot" w:pos="8306"/>
            </w:tabs>
          </w:pPr>
          <w:r>
            <w:fldChar w:fldCharType="begin"/>
          </w:r>
          <w:r>
            <w:instrText xml:space="preserve"> HYPERLINK \l _Toc21217 </w:instrText>
          </w:r>
          <w:r>
            <w:fldChar w:fldCharType="separate"/>
          </w:r>
          <w:r>
            <w:rPr>
              <w:rFonts w:hint="eastAsia"/>
            </w:rPr>
            <w:t xml:space="preserve">9.4 </w:t>
          </w:r>
          <w:r>
            <w:t>发起式基金发起资金持有份额情况</w:t>
          </w:r>
          <w:r>
            <w:tab/>
          </w:r>
          <w:r>
            <w:fldChar w:fldCharType="begin"/>
          </w:r>
          <w:r>
            <w:instrText xml:space="preserve"> PAGEREF _Toc21217 \h </w:instrText>
          </w:r>
          <w:r>
            <w:fldChar w:fldCharType="separate"/>
          </w:r>
          <w:r>
            <w:t>48</w:t>
          </w:r>
          <w:r>
            <w:fldChar w:fldCharType="end"/>
          </w:r>
          <w:r>
            <w:fldChar w:fldCharType="end"/>
          </w:r>
        </w:p>
        <w:p w14:paraId="6F79DCEC">
          <w:pPr>
            <w:pStyle w:val="8"/>
            <w:tabs>
              <w:tab w:val="right" w:leader="dot" w:pos="8306"/>
            </w:tabs>
          </w:pPr>
          <w:r>
            <w:fldChar w:fldCharType="begin"/>
          </w:r>
          <w:r>
            <w:instrText xml:space="preserve"> HYPERLINK \l _Toc31754 </w:instrText>
          </w:r>
          <w:r>
            <w:fldChar w:fldCharType="separate"/>
          </w:r>
          <w:r>
            <w:rPr>
              <w:rFonts w:hint="eastAsia"/>
            </w:rPr>
            <w:t xml:space="preserve">§10 </w:t>
          </w:r>
          <w:r>
            <w:t>开放式基金份额变动</w:t>
          </w:r>
          <w:r>
            <w:tab/>
          </w:r>
          <w:r>
            <w:fldChar w:fldCharType="begin"/>
          </w:r>
          <w:r>
            <w:instrText xml:space="preserve"> PAGEREF _Toc31754 \h </w:instrText>
          </w:r>
          <w:r>
            <w:fldChar w:fldCharType="separate"/>
          </w:r>
          <w:r>
            <w:t>49</w:t>
          </w:r>
          <w:r>
            <w:fldChar w:fldCharType="end"/>
          </w:r>
          <w:r>
            <w:fldChar w:fldCharType="end"/>
          </w:r>
        </w:p>
        <w:p w14:paraId="580AB55E">
          <w:pPr>
            <w:pStyle w:val="8"/>
            <w:tabs>
              <w:tab w:val="right" w:leader="dot" w:pos="8306"/>
            </w:tabs>
          </w:pPr>
          <w:r>
            <w:fldChar w:fldCharType="begin"/>
          </w:r>
          <w:r>
            <w:instrText xml:space="preserve"> HYPERLINK \l _Toc19186 </w:instrText>
          </w:r>
          <w:r>
            <w:fldChar w:fldCharType="separate"/>
          </w:r>
          <w:r>
            <w:rPr>
              <w:rFonts w:hint="eastAsia"/>
            </w:rPr>
            <w:t xml:space="preserve">§11 </w:t>
          </w:r>
          <w:r>
            <w:t>重大事件揭示</w:t>
          </w:r>
          <w:r>
            <w:tab/>
          </w:r>
          <w:r>
            <w:fldChar w:fldCharType="begin"/>
          </w:r>
          <w:r>
            <w:instrText xml:space="preserve"> PAGEREF _Toc19186 \h </w:instrText>
          </w:r>
          <w:r>
            <w:fldChar w:fldCharType="separate"/>
          </w:r>
          <w:r>
            <w:t>49</w:t>
          </w:r>
          <w:r>
            <w:fldChar w:fldCharType="end"/>
          </w:r>
          <w:r>
            <w:fldChar w:fldCharType="end"/>
          </w:r>
        </w:p>
        <w:p w14:paraId="043D50C0">
          <w:pPr>
            <w:pStyle w:val="10"/>
            <w:tabs>
              <w:tab w:val="right" w:leader="dot" w:pos="8306"/>
            </w:tabs>
          </w:pPr>
          <w:r>
            <w:fldChar w:fldCharType="begin"/>
          </w:r>
          <w:r>
            <w:instrText xml:space="preserve"> HYPERLINK \l _Toc12544 </w:instrText>
          </w:r>
          <w:r>
            <w:fldChar w:fldCharType="separate"/>
          </w:r>
          <w:r>
            <w:rPr>
              <w:rFonts w:hint="eastAsia"/>
            </w:rPr>
            <w:t xml:space="preserve">11.1 </w:t>
          </w:r>
          <w:r>
            <w:t>基金份额持有人大会决议</w:t>
          </w:r>
          <w:r>
            <w:tab/>
          </w:r>
          <w:r>
            <w:fldChar w:fldCharType="begin"/>
          </w:r>
          <w:r>
            <w:instrText xml:space="preserve"> PAGEREF _Toc12544 \h </w:instrText>
          </w:r>
          <w:r>
            <w:fldChar w:fldCharType="separate"/>
          </w:r>
          <w:r>
            <w:t>49</w:t>
          </w:r>
          <w:r>
            <w:fldChar w:fldCharType="end"/>
          </w:r>
          <w:r>
            <w:fldChar w:fldCharType="end"/>
          </w:r>
        </w:p>
        <w:p w14:paraId="5C08E8AA">
          <w:pPr>
            <w:pStyle w:val="10"/>
            <w:tabs>
              <w:tab w:val="right" w:leader="dot" w:pos="8306"/>
            </w:tabs>
          </w:pPr>
          <w:r>
            <w:fldChar w:fldCharType="begin"/>
          </w:r>
          <w:r>
            <w:instrText xml:space="preserve"> HYPERLINK \l _Toc12470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_Toc12470 \h </w:instrText>
          </w:r>
          <w:r>
            <w:fldChar w:fldCharType="separate"/>
          </w:r>
          <w:r>
            <w:t>49</w:t>
          </w:r>
          <w:r>
            <w:fldChar w:fldCharType="end"/>
          </w:r>
          <w:r>
            <w:fldChar w:fldCharType="end"/>
          </w:r>
        </w:p>
        <w:p w14:paraId="2D78CB0E">
          <w:pPr>
            <w:pStyle w:val="10"/>
            <w:tabs>
              <w:tab w:val="right" w:leader="dot" w:pos="8306"/>
            </w:tabs>
          </w:pPr>
          <w:r>
            <w:fldChar w:fldCharType="begin"/>
          </w:r>
          <w:r>
            <w:instrText xml:space="preserve"> HYPERLINK \l _Toc23903 </w:instrText>
          </w:r>
          <w:r>
            <w:fldChar w:fldCharType="separate"/>
          </w:r>
          <w:r>
            <w:rPr>
              <w:rFonts w:hint="eastAsia"/>
            </w:rPr>
            <w:t xml:space="preserve">11.3 </w:t>
          </w:r>
          <w:r>
            <w:t>涉及基金管理人、基金财产、基金托管业务的诉讼</w:t>
          </w:r>
          <w:r>
            <w:tab/>
          </w:r>
          <w:r>
            <w:fldChar w:fldCharType="begin"/>
          </w:r>
          <w:r>
            <w:instrText xml:space="preserve"> PAGEREF _Toc23903 \h </w:instrText>
          </w:r>
          <w:r>
            <w:fldChar w:fldCharType="separate"/>
          </w:r>
          <w:r>
            <w:t>49</w:t>
          </w:r>
          <w:r>
            <w:fldChar w:fldCharType="end"/>
          </w:r>
          <w:r>
            <w:fldChar w:fldCharType="end"/>
          </w:r>
        </w:p>
        <w:p w14:paraId="069B5136">
          <w:pPr>
            <w:pStyle w:val="10"/>
            <w:tabs>
              <w:tab w:val="right" w:leader="dot" w:pos="8306"/>
            </w:tabs>
          </w:pPr>
          <w:r>
            <w:fldChar w:fldCharType="begin"/>
          </w:r>
          <w:r>
            <w:instrText xml:space="preserve"> HYPERLINK \l _Toc20404 </w:instrText>
          </w:r>
          <w:r>
            <w:fldChar w:fldCharType="separate"/>
          </w:r>
          <w:r>
            <w:rPr>
              <w:rFonts w:hint="eastAsia"/>
            </w:rPr>
            <w:t xml:space="preserve">11.4 </w:t>
          </w:r>
          <w:r>
            <w:t>基金投资策略的改变</w:t>
          </w:r>
          <w:r>
            <w:tab/>
          </w:r>
          <w:r>
            <w:fldChar w:fldCharType="begin"/>
          </w:r>
          <w:r>
            <w:instrText xml:space="preserve"> PAGEREF _Toc20404 \h </w:instrText>
          </w:r>
          <w:r>
            <w:fldChar w:fldCharType="separate"/>
          </w:r>
          <w:r>
            <w:t>50</w:t>
          </w:r>
          <w:r>
            <w:fldChar w:fldCharType="end"/>
          </w:r>
          <w:r>
            <w:fldChar w:fldCharType="end"/>
          </w:r>
        </w:p>
        <w:p w14:paraId="22FE3090">
          <w:pPr>
            <w:pStyle w:val="10"/>
            <w:tabs>
              <w:tab w:val="right" w:leader="dot" w:pos="8306"/>
            </w:tabs>
          </w:pPr>
          <w:r>
            <w:fldChar w:fldCharType="begin"/>
          </w:r>
          <w:r>
            <w:instrText xml:space="preserve"> HYPERLINK \l _Toc23737 </w:instrText>
          </w:r>
          <w:r>
            <w:fldChar w:fldCharType="separate"/>
          </w:r>
          <w:r>
            <w:rPr>
              <w:rFonts w:hint="eastAsia"/>
            </w:rPr>
            <w:t xml:space="preserve">11.5 </w:t>
          </w:r>
          <w:r>
            <w:t>为基金进行审计的会计师事务所情况</w:t>
          </w:r>
          <w:r>
            <w:tab/>
          </w:r>
          <w:r>
            <w:fldChar w:fldCharType="begin"/>
          </w:r>
          <w:r>
            <w:instrText xml:space="preserve"> PAGEREF _Toc23737 \h </w:instrText>
          </w:r>
          <w:r>
            <w:fldChar w:fldCharType="separate"/>
          </w:r>
          <w:r>
            <w:t>50</w:t>
          </w:r>
          <w:r>
            <w:fldChar w:fldCharType="end"/>
          </w:r>
          <w:r>
            <w:fldChar w:fldCharType="end"/>
          </w:r>
        </w:p>
        <w:p w14:paraId="5A34A77F">
          <w:pPr>
            <w:pStyle w:val="10"/>
            <w:tabs>
              <w:tab w:val="right" w:leader="dot" w:pos="8306"/>
            </w:tabs>
          </w:pPr>
          <w:r>
            <w:fldChar w:fldCharType="begin"/>
          </w:r>
          <w:r>
            <w:instrText xml:space="preserve"> HYPERLINK \l _Toc25293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_Toc25293 \h </w:instrText>
          </w:r>
          <w:r>
            <w:fldChar w:fldCharType="separate"/>
          </w:r>
          <w:r>
            <w:t>50</w:t>
          </w:r>
          <w:r>
            <w:fldChar w:fldCharType="end"/>
          </w:r>
          <w:r>
            <w:fldChar w:fldCharType="end"/>
          </w:r>
        </w:p>
        <w:p w14:paraId="24E76BBD">
          <w:pPr>
            <w:pStyle w:val="10"/>
            <w:tabs>
              <w:tab w:val="right" w:leader="dot" w:pos="8306"/>
            </w:tabs>
          </w:pPr>
          <w:r>
            <w:fldChar w:fldCharType="begin"/>
          </w:r>
          <w:r>
            <w:instrText xml:space="preserve"> HYPERLINK \l _Toc32154 </w:instrText>
          </w:r>
          <w:r>
            <w:fldChar w:fldCharType="separate"/>
          </w:r>
          <w:r>
            <w:rPr>
              <w:rFonts w:hint="eastAsia"/>
            </w:rPr>
            <w:t xml:space="preserve">11.7 </w:t>
          </w:r>
          <w:r>
            <w:t>基金租用证券公司交易单元的有关情况</w:t>
          </w:r>
          <w:r>
            <w:tab/>
          </w:r>
          <w:r>
            <w:fldChar w:fldCharType="begin"/>
          </w:r>
          <w:r>
            <w:instrText xml:space="preserve"> PAGEREF _Toc32154 \h </w:instrText>
          </w:r>
          <w:r>
            <w:fldChar w:fldCharType="separate"/>
          </w:r>
          <w:r>
            <w:t>51</w:t>
          </w:r>
          <w:r>
            <w:fldChar w:fldCharType="end"/>
          </w:r>
          <w:r>
            <w:fldChar w:fldCharType="end"/>
          </w:r>
        </w:p>
        <w:p w14:paraId="31055653">
          <w:pPr>
            <w:pStyle w:val="10"/>
            <w:tabs>
              <w:tab w:val="right" w:leader="dot" w:pos="8306"/>
            </w:tabs>
          </w:pPr>
          <w:r>
            <w:fldChar w:fldCharType="begin"/>
          </w:r>
          <w:r>
            <w:instrText xml:space="preserve"> HYPERLINK \l _Toc18632 </w:instrText>
          </w:r>
          <w:r>
            <w:fldChar w:fldCharType="separate"/>
          </w:r>
          <w:r>
            <w:rPr>
              <w:rFonts w:hint="eastAsia"/>
            </w:rPr>
            <w:t xml:space="preserve">11.8 </w:t>
          </w:r>
          <w:r>
            <w:t>其他重大事件</w:t>
          </w:r>
          <w:r>
            <w:tab/>
          </w:r>
          <w:r>
            <w:fldChar w:fldCharType="begin"/>
          </w:r>
          <w:r>
            <w:instrText xml:space="preserve"> PAGEREF _Toc18632 \h </w:instrText>
          </w:r>
          <w:r>
            <w:fldChar w:fldCharType="separate"/>
          </w:r>
          <w:r>
            <w:t>52</w:t>
          </w:r>
          <w:r>
            <w:fldChar w:fldCharType="end"/>
          </w:r>
          <w:r>
            <w:fldChar w:fldCharType="end"/>
          </w:r>
        </w:p>
        <w:p w14:paraId="0C008AF4">
          <w:pPr>
            <w:pStyle w:val="8"/>
            <w:tabs>
              <w:tab w:val="right" w:leader="dot" w:pos="8306"/>
            </w:tabs>
          </w:pPr>
          <w:r>
            <w:fldChar w:fldCharType="begin"/>
          </w:r>
          <w:r>
            <w:instrText xml:space="preserve"> HYPERLINK \l _Toc27758 </w:instrText>
          </w:r>
          <w:r>
            <w:fldChar w:fldCharType="separate"/>
          </w:r>
          <w:r>
            <w:rPr>
              <w:rFonts w:hint="eastAsia"/>
            </w:rPr>
            <w:t xml:space="preserve">§12 </w:t>
          </w:r>
          <w:r>
            <w:t>影响投资者决策的其他重要信息</w:t>
          </w:r>
          <w:r>
            <w:tab/>
          </w:r>
          <w:r>
            <w:fldChar w:fldCharType="begin"/>
          </w:r>
          <w:r>
            <w:instrText xml:space="preserve"> PAGEREF _Toc27758 \h </w:instrText>
          </w:r>
          <w:r>
            <w:fldChar w:fldCharType="separate"/>
          </w:r>
          <w:r>
            <w:t>53</w:t>
          </w:r>
          <w:r>
            <w:fldChar w:fldCharType="end"/>
          </w:r>
          <w:r>
            <w:fldChar w:fldCharType="end"/>
          </w:r>
        </w:p>
        <w:p w14:paraId="596E90AC">
          <w:pPr>
            <w:pStyle w:val="10"/>
            <w:tabs>
              <w:tab w:val="right" w:leader="dot" w:pos="8306"/>
            </w:tabs>
          </w:pPr>
          <w:r>
            <w:fldChar w:fldCharType="begin"/>
          </w:r>
          <w:r>
            <w:instrText xml:space="preserve"> HYPERLINK \l _Toc10779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_Toc10779 \h </w:instrText>
          </w:r>
          <w:r>
            <w:fldChar w:fldCharType="separate"/>
          </w:r>
          <w:r>
            <w:t>53</w:t>
          </w:r>
          <w:r>
            <w:fldChar w:fldCharType="end"/>
          </w:r>
          <w:r>
            <w:fldChar w:fldCharType="end"/>
          </w:r>
        </w:p>
        <w:p w14:paraId="6AEFF4AA">
          <w:pPr>
            <w:pStyle w:val="10"/>
            <w:tabs>
              <w:tab w:val="right" w:leader="dot" w:pos="8306"/>
            </w:tabs>
          </w:pPr>
          <w:r>
            <w:fldChar w:fldCharType="begin"/>
          </w:r>
          <w:r>
            <w:instrText xml:space="preserve"> HYPERLINK \l _Toc3751 </w:instrText>
          </w:r>
          <w:r>
            <w:fldChar w:fldCharType="separate"/>
          </w:r>
          <w:r>
            <w:rPr>
              <w:rFonts w:hint="eastAsia"/>
            </w:rPr>
            <w:t xml:space="preserve">12.2 </w:t>
          </w:r>
          <w:r>
            <w:t>影响投资者决策的其他重要信息</w:t>
          </w:r>
          <w:r>
            <w:tab/>
          </w:r>
          <w:r>
            <w:fldChar w:fldCharType="begin"/>
          </w:r>
          <w:r>
            <w:instrText xml:space="preserve"> PAGEREF _Toc3751 \h </w:instrText>
          </w:r>
          <w:r>
            <w:fldChar w:fldCharType="separate"/>
          </w:r>
          <w:r>
            <w:t>54</w:t>
          </w:r>
          <w:r>
            <w:fldChar w:fldCharType="end"/>
          </w:r>
          <w:r>
            <w:fldChar w:fldCharType="end"/>
          </w:r>
        </w:p>
        <w:p w14:paraId="59B67058">
          <w:pPr>
            <w:pStyle w:val="8"/>
            <w:tabs>
              <w:tab w:val="right" w:leader="dot" w:pos="8306"/>
            </w:tabs>
          </w:pPr>
          <w:r>
            <w:fldChar w:fldCharType="begin"/>
          </w:r>
          <w:r>
            <w:instrText xml:space="preserve"> HYPERLINK \l _Toc508 </w:instrText>
          </w:r>
          <w:r>
            <w:fldChar w:fldCharType="separate"/>
          </w:r>
          <w:r>
            <w:rPr>
              <w:rFonts w:hint="eastAsia"/>
            </w:rPr>
            <w:t xml:space="preserve">§13 </w:t>
          </w:r>
          <w:r>
            <w:t>备查文件目录</w:t>
          </w:r>
          <w:r>
            <w:tab/>
          </w:r>
          <w:r>
            <w:fldChar w:fldCharType="begin"/>
          </w:r>
          <w:r>
            <w:instrText xml:space="preserve"> PAGEREF _Toc508 \h </w:instrText>
          </w:r>
          <w:r>
            <w:fldChar w:fldCharType="separate"/>
          </w:r>
          <w:r>
            <w:t>54</w:t>
          </w:r>
          <w:r>
            <w:fldChar w:fldCharType="end"/>
          </w:r>
          <w:r>
            <w:fldChar w:fldCharType="end"/>
          </w:r>
        </w:p>
        <w:p w14:paraId="198DAD02">
          <w:pPr>
            <w:pStyle w:val="10"/>
            <w:tabs>
              <w:tab w:val="right" w:leader="dot" w:pos="8306"/>
            </w:tabs>
          </w:pPr>
          <w:r>
            <w:fldChar w:fldCharType="begin"/>
          </w:r>
          <w:r>
            <w:instrText xml:space="preserve"> HYPERLINK \l _Toc6148 </w:instrText>
          </w:r>
          <w:r>
            <w:fldChar w:fldCharType="separate"/>
          </w:r>
          <w:r>
            <w:rPr>
              <w:rFonts w:hint="eastAsia"/>
            </w:rPr>
            <w:t xml:space="preserve">13.1 </w:t>
          </w:r>
          <w:r>
            <w:t>备查文件目录</w:t>
          </w:r>
          <w:r>
            <w:tab/>
          </w:r>
          <w:r>
            <w:fldChar w:fldCharType="begin"/>
          </w:r>
          <w:r>
            <w:instrText xml:space="preserve"> PAGEREF _Toc6148 \h </w:instrText>
          </w:r>
          <w:r>
            <w:fldChar w:fldCharType="separate"/>
          </w:r>
          <w:r>
            <w:t>54</w:t>
          </w:r>
          <w:r>
            <w:fldChar w:fldCharType="end"/>
          </w:r>
          <w:r>
            <w:fldChar w:fldCharType="end"/>
          </w:r>
        </w:p>
        <w:p w14:paraId="72118891">
          <w:pPr>
            <w:pStyle w:val="10"/>
            <w:tabs>
              <w:tab w:val="right" w:leader="dot" w:pos="8306"/>
            </w:tabs>
          </w:pPr>
          <w:r>
            <w:fldChar w:fldCharType="begin"/>
          </w:r>
          <w:r>
            <w:instrText xml:space="preserve"> HYPERLINK \l _Toc19716 </w:instrText>
          </w:r>
          <w:r>
            <w:fldChar w:fldCharType="separate"/>
          </w:r>
          <w:r>
            <w:rPr>
              <w:rFonts w:hint="eastAsia"/>
            </w:rPr>
            <w:t xml:space="preserve">13.2 </w:t>
          </w:r>
          <w:r>
            <w:t>存放地点</w:t>
          </w:r>
          <w:r>
            <w:tab/>
          </w:r>
          <w:r>
            <w:fldChar w:fldCharType="begin"/>
          </w:r>
          <w:r>
            <w:instrText xml:space="preserve"> PAGEREF _Toc19716 \h </w:instrText>
          </w:r>
          <w:r>
            <w:fldChar w:fldCharType="separate"/>
          </w:r>
          <w:r>
            <w:t>54</w:t>
          </w:r>
          <w:r>
            <w:fldChar w:fldCharType="end"/>
          </w:r>
          <w:r>
            <w:fldChar w:fldCharType="end"/>
          </w:r>
        </w:p>
        <w:p w14:paraId="121157B5">
          <w:pPr>
            <w:pStyle w:val="10"/>
            <w:tabs>
              <w:tab w:val="right" w:leader="dot" w:pos="8306"/>
            </w:tabs>
          </w:pPr>
          <w:r>
            <w:fldChar w:fldCharType="begin"/>
          </w:r>
          <w:r>
            <w:instrText xml:space="preserve"> HYPERLINK \l _Toc13099 </w:instrText>
          </w:r>
          <w:r>
            <w:fldChar w:fldCharType="separate"/>
          </w:r>
          <w:r>
            <w:rPr>
              <w:rFonts w:hint="eastAsia"/>
            </w:rPr>
            <w:t xml:space="preserve">13.3 </w:t>
          </w:r>
          <w:r>
            <w:t>查阅方式</w:t>
          </w:r>
          <w:r>
            <w:tab/>
          </w:r>
          <w:r>
            <w:fldChar w:fldCharType="begin"/>
          </w:r>
          <w:r>
            <w:instrText xml:space="preserve"> PAGEREF _Toc13099 \h </w:instrText>
          </w:r>
          <w:r>
            <w:fldChar w:fldCharType="separate"/>
          </w:r>
          <w:r>
            <w:t>54</w:t>
          </w:r>
          <w:r>
            <w:fldChar w:fldCharType="end"/>
          </w:r>
          <w:r>
            <w:fldChar w:fldCharType="end"/>
          </w:r>
        </w:p>
        <w:p w14:paraId="2F46027A">
          <w:r>
            <w:fldChar w:fldCharType="end"/>
          </w:r>
        </w:p>
      </w:sdtContent>
    </w:sdt>
    <w:p w14:paraId="5EA77990">
      <w:pPr>
        <w:pStyle w:val="26"/>
        <w:pageBreakBefore/>
      </w:pPr>
      <w:r>
        <w:t xml:space="preserve">  </w:t>
      </w:r>
      <w:bookmarkStart w:id="5" w:name="_Toc14982"/>
      <w:r>
        <w:t>基金简介</w:t>
      </w:r>
      <w:bookmarkEnd w:id="5"/>
      <w:r>
        <w:t xml:space="preserve"> </w:t>
      </w:r>
    </w:p>
    <w:p w14:paraId="5401AF15">
      <w:pPr>
        <w:pStyle w:val="23"/>
      </w:pPr>
      <w:bookmarkStart w:id="6" w:name="_Toc1444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DE0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BD84CD3">
            <w:r>
              <w:rPr>
                <w:rFonts w:hint="eastAsia"/>
              </w:rPr>
              <w:t>基金名称</w:t>
            </w:r>
          </w:p>
        </w:tc>
        <w:tc>
          <w:tcPr>
            <w:tcW w:w="4590" w:type="dxa"/>
            <w:vAlign w:val="center"/>
          </w:tcPr>
          <w:p w14:paraId="40B5CF08">
            <w:r>
              <w:rPr>
                <w:rFonts w:hint="eastAsia"/>
              </w:rPr>
              <w:t>南方远利3个月定期开放债券型发起式证券投资基金</w:t>
            </w:r>
          </w:p>
        </w:tc>
      </w:tr>
      <w:tr w14:paraId="7741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705B591">
            <w:r>
              <w:rPr>
                <w:rFonts w:hint="eastAsia"/>
              </w:rPr>
              <w:t>基金简称</w:t>
            </w:r>
          </w:p>
        </w:tc>
        <w:tc>
          <w:tcPr>
            <w:tcW w:w="4590" w:type="dxa"/>
            <w:vAlign w:val="center"/>
          </w:tcPr>
          <w:p w14:paraId="79094CEB">
            <w:r>
              <w:rPr>
                <w:rFonts w:hint="eastAsia"/>
              </w:rPr>
              <w:t>南方远利3个月定开债券发起</w:t>
            </w:r>
          </w:p>
        </w:tc>
      </w:tr>
      <w:tr w14:paraId="0D7F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52BD5F4">
            <w:r>
              <w:rPr>
                <w:rFonts w:hint="eastAsia"/>
              </w:rPr>
              <w:t>基金主代码</w:t>
            </w:r>
          </w:p>
        </w:tc>
        <w:tc>
          <w:tcPr>
            <w:tcW w:w="4590" w:type="dxa"/>
            <w:vAlign w:val="center"/>
          </w:tcPr>
          <w:p w14:paraId="5D763018">
            <w:r>
              <w:rPr>
                <w:rFonts w:hint="eastAsia"/>
              </w:rPr>
              <w:t>008226</w:t>
            </w:r>
          </w:p>
        </w:tc>
      </w:tr>
      <w:tr w14:paraId="2799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F862F17">
            <w:r>
              <w:rPr>
                <w:rFonts w:hint="eastAsia"/>
              </w:rPr>
              <w:t>交易代码</w:t>
            </w:r>
          </w:p>
        </w:tc>
        <w:tc>
          <w:tcPr>
            <w:tcW w:w="4590" w:type="dxa"/>
            <w:vAlign w:val="center"/>
          </w:tcPr>
          <w:p w14:paraId="032BA3D4">
            <w:r>
              <w:rPr>
                <w:rFonts w:hint="eastAsia"/>
              </w:rPr>
              <w:t>008226</w:t>
            </w:r>
          </w:p>
        </w:tc>
      </w:tr>
      <w:tr w14:paraId="7FB5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5F907CB">
            <w:r>
              <w:rPr>
                <w:rFonts w:hint="eastAsia"/>
              </w:rPr>
              <w:t>基金运作方式</w:t>
            </w:r>
          </w:p>
        </w:tc>
        <w:tc>
          <w:tcPr>
            <w:tcW w:w="4590" w:type="dxa"/>
            <w:vAlign w:val="center"/>
          </w:tcPr>
          <w:p w14:paraId="52937CBF">
            <w:r>
              <w:rPr>
                <w:rFonts w:hint="eastAsia"/>
              </w:rPr>
              <w:t>契约型开放式</w:t>
            </w:r>
          </w:p>
        </w:tc>
      </w:tr>
      <w:tr w14:paraId="69C6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3AE9CC6">
            <w:r>
              <w:rPr>
                <w:rFonts w:hint="eastAsia"/>
              </w:rPr>
              <w:t>基金合同生效日</w:t>
            </w:r>
          </w:p>
        </w:tc>
        <w:tc>
          <w:tcPr>
            <w:tcW w:w="4590" w:type="dxa"/>
            <w:vAlign w:val="center"/>
          </w:tcPr>
          <w:p w14:paraId="01A605E3">
            <w:r>
              <w:rPr>
                <w:rFonts w:hint="eastAsia"/>
              </w:rPr>
              <w:t>2019年12月20日</w:t>
            </w:r>
          </w:p>
        </w:tc>
      </w:tr>
      <w:tr w14:paraId="2CDE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0CF0ED9">
            <w:r>
              <w:rPr>
                <w:rFonts w:hint="eastAsia"/>
              </w:rPr>
              <w:t>基金管理人</w:t>
            </w:r>
          </w:p>
        </w:tc>
        <w:tc>
          <w:tcPr>
            <w:tcW w:w="4590" w:type="dxa"/>
            <w:vAlign w:val="center"/>
          </w:tcPr>
          <w:p w14:paraId="1C274397">
            <w:r>
              <w:rPr>
                <w:rFonts w:hint="eastAsia"/>
              </w:rPr>
              <w:t>南方基金管理股份有限公司</w:t>
            </w:r>
          </w:p>
        </w:tc>
      </w:tr>
      <w:tr w14:paraId="7112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CED6DAC">
            <w:r>
              <w:rPr>
                <w:rFonts w:hint="eastAsia"/>
              </w:rPr>
              <w:t>基金托管人</w:t>
            </w:r>
          </w:p>
        </w:tc>
        <w:tc>
          <w:tcPr>
            <w:tcW w:w="4590" w:type="dxa"/>
            <w:vAlign w:val="center"/>
          </w:tcPr>
          <w:p w14:paraId="0CE155E0">
            <w:r>
              <w:rPr>
                <w:rFonts w:hint="eastAsia"/>
              </w:rPr>
              <w:t>宁波银行股份有限公司</w:t>
            </w:r>
          </w:p>
        </w:tc>
      </w:tr>
      <w:tr w14:paraId="0B8B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7C9CB56">
            <w:r>
              <w:rPr>
                <w:rFonts w:hint="eastAsia"/>
              </w:rPr>
              <w:t>报告期末基金份额总额</w:t>
            </w:r>
          </w:p>
        </w:tc>
        <w:tc>
          <w:tcPr>
            <w:tcW w:w="4590" w:type="dxa"/>
            <w:vAlign w:val="center"/>
          </w:tcPr>
          <w:p w14:paraId="47311BF4">
            <w:r>
              <w:rPr>
                <w:rFonts w:hint="eastAsia"/>
              </w:rPr>
              <w:t>1,001,961,129.58份</w:t>
            </w:r>
          </w:p>
        </w:tc>
      </w:tr>
      <w:tr w14:paraId="3FE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F8B7278">
            <w:r>
              <w:rPr>
                <w:rFonts w:hint="eastAsia"/>
              </w:rPr>
              <w:t>基金合同存续期</w:t>
            </w:r>
          </w:p>
        </w:tc>
        <w:tc>
          <w:tcPr>
            <w:tcW w:w="4590" w:type="dxa"/>
            <w:vAlign w:val="center"/>
          </w:tcPr>
          <w:p w14:paraId="1F0DE04E">
            <w:r>
              <w:rPr>
                <w:rFonts w:hint="eastAsia"/>
              </w:rPr>
              <w:t>不定期</w:t>
            </w:r>
          </w:p>
        </w:tc>
      </w:tr>
    </w:tbl>
    <w:p w14:paraId="0C8225D8">
      <w:pPr>
        <w:pStyle w:val="23"/>
      </w:pPr>
      <w:bookmarkStart w:id="7" w:name="_Toc2973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9B0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ACE4AD">
            <w:r>
              <w:rPr>
                <w:rFonts w:hint="eastAsia"/>
              </w:rPr>
              <w:t>投资目标</w:t>
            </w:r>
          </w:p>
        </w:tc>
        <w:tc>
          <w:tcPr>
            <w:tcW w:w="6644" w:type="dxa"/>
            <w:vAlign w:val="center"/>
          </w:tcPr>
          <w:p w14:paraId="64D10C60">
            <w:r>
              <w:rPr>
                <w:rFonts w:hint="eastAsia"/>
              </w:rPr>
              <w:t>本基金在严格控制风险的前提下，力争获得长期稳定的投资收益。</w:t>
            </w:r>
          </w:p>
        </w:tc>
      </w:tr>
      <w:tr w14:paraId="0015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5C9C97">
            <w:r>
              <w:rPr>
                <w:rFonts w:hint="eastAsia"/>
              </w:rPr>
              <w:t>投资策略</w:t>
            </w:r>
          </w:p>
        </w:tc>
        <w:tc>
          <w:tcPr>
            <w:tcW w:w="6644" w:type="dxa"/>
            <w:vAlign w:val="center"/>
          </w:tcPr>
          <w:p w14:paraId="0F6F49B0">
            <w:pPr>
              <w:jc w:val="both"/>
              <w:rPr>
                <w:rFonts w:hint="eastAsia"/>
              </w:rPr>
            </w:pPr>
            <w:r>
              <w:rPr>
                <w:rFonts w:hint="eastAsia"/>
              </w:rPr>
              <w:t>1、信用债投资策略
</w:t>
            </w:r>
            <w:r>
              <w:rPr>
                <w:rFonts w:hint="eastAsia"/>
              </w:rPr>
              <w:br w:type="textWrapping"/>
            </w: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
</w:t>
            </w:r>
            <w:r>
              <w:rPr>
                <w:rFonts w:hint="eastAsia"/>
              </w:rPr>
              <w:br w:type="textWrapping"/>
            </w:r>
            <w:r>
              <w:rPr>
                <w:rFonts w:hint="eastAsia"/>
              </w:rPr>
              <w:t>2、收益率曲线策略
</w:t>
            </w:r>
            <w:r>
              <w:rPr>
                <w:rFonts w:hint="eastAsia"/>
              </w:rPr>
              <w:br w:type="textWrapping"/>
            </w:r>
            <w:r>
              <w:rPr>
                <w:rFonts w:hint="eastAsia"/>
              </w:rPr>
              <w:t>收益率曲线形状变化代表长、中、短期债券收益率差异变化，相同久期债券组合在收益率曲线发生变化时差异较大。
</w:t>
            </w:r>
            <w:r>
              <w:rPr>
                <w:rFonts w:hint="eastAsia"/>
              </w:rPr>
              <w:br w:type="textWrapping"/>
            </w:r>
            <w:r>
              <w:rPr>
                <w:rFonts w:hint="eastAsia"/>
              </w:rPr>
              <w:t>3、杠杆放大策略
</w:t>
            </w:r>
            <w:r>
              <w:rPr>
                <w:rFonts w:hint="eastAsia"/>
              </w:rPr>
              <w:br w:type="textWrapping"/>
            </w:r>
            <w:r>
              <w:rPr>
                <w:rFonts w:hint="eastAsia"/>
              </w:rPr>
              <w:t>杠杆放大操作即以组合现有债券为基础，利用买断式回购、质押式回购等方式融入低成本资金，并购买剩余年限相对较长并具有较高收益的债券，以期获取超额收益的操作方式。
</w:t>
            </w:r>
            <w:r>
              <w:rPr>
                <w:rFonts w:hint="eastAsia"/>
              </w:rPr>
              <w:br w:type="textWrapping"/>
            </w:r>
            <w:r>
              <w:rPr>
                <w:rFonts w:hint="eastAsia"/>
              </w:rPr>
              <w:t>4、资产支持证券投资策略
</w:t>
            </w:r>
            <w:r>
              <w:rPr>
                <w:rFonts w:hint="eastAsia"/>
              </w:rPr>
              <w:br w:type="textWrapping"/>
            </w:r>
            <w:r>
              <w:rPr>
                <w:rFonts w:hint="eastAsia"/>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
</w:t>
            </w:r>
            <w:r>
              <w:rPr>
                <w:rFonts w:hint="eastAsia"/>
              </w:rPr>
              <w:br w:type="textWrapping"/>
            </w:r>
            <w:r>
              <w:rPr>
                <w:rFonts w:hint="eastAsia"/>
              </w:rPr>
              <w:t>5、开放期投资策略
</w:t>
            </w:r>
            <w:r>
              <w:rPr>
                <w:rFonts w:hint="eastAsia"/>
              </w:rPr>
              <w:br w:type="textWrapping"/>
            </w:r>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
</w:t>
            </w:r>
            <w:r>
              <w:rPr>
                <w:rFonts w:hint="eastAsia"/>
              </w:rPr>
              <w:br w:type="textWrapping"/>
            </w:r>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14:paraId="3ACC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29598">
            <w:r>
              <w:rPr>
                <w:rFonts w:hint="eastAsia"/>
              </w:rPr>
              <w:t>业绩比较基准</w:t>
            </w:r>
          </w:p>
        </w:tc>
        <w:tc>
          <w:tcPr>
            <w:tcW w:w="6644" w:type="dxa"/>
            <w:vAlign w:val="center"/>
          </w:tcPr>
          <w:p w14:paraId="0E56B4B4">
            <w:r>
              <w:rPr>
                <w:rFonts w:hint="eastAsia"/>
              </w:rPr>
              <w:t>中债信用债总指数收益率</w:t>
            </w:r>
          </w:p>
        </w:tc>
      </w:tr>
      <w:tr w14:paraId="0EDF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758CB7">
            <w:r>
              <w:rPr>
                <w:rFonts w:hint="eastAsia"/>
              </w:rPr>
              <w:t>风险收益特征</w:t>
            </w:r>
          </w:p>
        </w:tc>
        <w:tc>
          <w:tcPr>
            <w:tcW w:w="6644" w:type="dxa"/>
            <w:vAlign w:val="center"/>
          </w:tcPr>
          <w:p w14:paraId="63A5E6C1">
            <w:r>
              <w:rPr>
                <w:rFonts w:hint="eastAsia"/>
              </w:rPr>
              <w:t>本基金为债券型基金，一般而言，其长期平均风险和预期收益率低于股票型基金、混合型基金，高于货币市场基金。</w:t>
            </w:r>
          </w:p>
        </w:tc>
      </w:tr>
    </w:tbl>
    <w:p w14:paraId="5E710F90">
      <w:pPr>
        <w:pStyle w:val="23"/>
      </w:pPr>
      <w:bookmarkStart w:id="8" w:name="_Toc1265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080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61C978">
            <w:r>
              <w:rPr>
                <w:rFonts w:hint="eastAsia"/>
              </w:rPr>
              <w:t>项目</w:t>
            </w:r>
          </w:p>
        </w:tc>
        <w:tc>
          <w:tcPr>
            <w:tcW w:w="2270" w:type="dxa"/>
            <w:vAlign w:val="center"/>
          </w:tcPr>
          <w:p w14:paraId="7466BF26">
            <w:r>
              <w:rPr>
                <w:rFonts w:hint="eastAsia"/>
              </w:rPr>
              <w:t>基金管理人</w:t>
            </w:r>
          </w:p>
        </w:tc>
        <w:tc>
          <w:tcPr>
            <w:tcW w:w="2990" w:type="dxa"/>
            <w:vAlign w:val="center"/>
          </w:tcPr>
          <w:p w14:paraId="074B2D56">
            <w:r>
              <w:rPr>
                <w:rFonts w:hint="eastAsia"/>
              </w:rPr>
              <w:t>基金托管人</w:t>
            </w:r>
          </w:p>
        </w:tc>
      </w:tr>
      <w:tr w14:paraId="1083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C6D393">
            <w:r>
              <w:rPr>
                <w:rFonts w:hint="eastAsia"/>
              </w:rPr>
              <w:t>名称</w:t>
            </w:r>
          </w:p>
        </w:tc>
        <w:tc>
          <w:tcPr>
            <w:tcW w:w="2270" w:type="dxa"/>
            <w:vAlign w:val="center"/>
          </w:tcPr>
          <w:p w14:paraId="181AA051">
            <w:r>
              <w:rPr>
                <w:rFonts w:hint="eastAsia"/>
              </w:rPr>
              <w:t>南方基金管理股份有限公司</w:t>
            </w:r>
          </w:p>
        </w:tc>
        <w:tc>
          <w:tcPr>
            <w:tcW w:w="2990" w:type="dxa"/>
            <w:vAlign w:val="center"/>
          </w:tcPr>
          <w:p w14:paraId="24E48BCA">
            <w:r>
              <w:rPr>
                <w:rFonts w:hint="eastAsia"/>
              </w:rPr>
              <w:t>宁波银行股份有限公司</w:t>
            </w:r>
          </w:p>
        </w:tc>
      </w:tr>
      <w:tr w14:paraId="3123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2E6E1B">
            <w:r>
              <w:rPr>
                <w:rFonts w:hint="eastAsia"/>
              </w:rPr>
              <w:t>信息披露负责人</w:t>
            </w:r>
          </w:p>
        </w:tc>
        <w:tc>
          <w:tcPr>
            <w:tcW w:w="1384" w:type="dxa"/>
            <w:vAlign w:val="center"/>
          </w:tcPr>
          <w:p w14:paraId="63CA05BD">
            <w:r>
              <w:rPr>
                <w:rFonts w:hint="eastAsia"/>
              </w:rPr>
              <w:t>姓名</w:t>
            </w:r>
          </w:p>
        </w:tc>
        <w:tc>
          <w:tcPr>
            <w:tcW w:w="2270" w:type="dxa"/>
            <w:vAlign w:val="center"/>
          </w:tcPr>
          <w:p w14:paraId="42D6CE2D">
            <w:r>
              <w:rPr>
                <w:rFonts w:hint="eastAsia"/>
              </w:rPr>
              <w:t>鲍文革</w:t>
            </w:r>
          </w:p>
        </w:tc>
        <w:tc>
          <w:tcPr>
            <w:tcW w:w="2990" w:type="dxa"/>
            <w:vAlign w:val="center"/>
          </w:tcPr>
          <w:p w14:paraId="19717D72">
            <w:r>
              <w:rPr>
                <w:rFonts w:hint="eastAsia"/>
              </w:rPr>
              <w:t>朱广科</w:t>
            </w:r>
          </w:p>
        </w:tc>
      </w:tr>
      <w:tr w14:paraId="5ED1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5E8D2E"/>
        </w:tc>
        <w:tc>
          <w:tcPr>
            <w:tcW w:w="1384" w:type="dxa"/>
            <w:vAlign w:val="center"/>
          </w:tcPr>
          <w:p w14:paraId="563EA0BD">
            <w:r>
              <w:rPr>
                <w:rFonts w:hint="eastAsia"/>
              </w:rPr>
              <w:t>联系电话</w:t>
            </w:r>
          </w:p>
        </w:tc>
        <w:tc>
          <w:tcPr>
            <w:tcW w:w="2270" w:type="dxa"/>
            <w:vAlign w:val="center"/>
          </w:tcPr>
          <w:p w14:paraId="444CA3D5">
            <w:r>
              <w:rPr>
                <w:rFonts w:hint="eastAsia"/>
              </w:rPr>
              <w:t>0755-82763888</w:t>
            </w:r>
          </w:p>
        </w:tc>
        <w:tc>
          <w:tcPr>
            <w:tcW w:w="2990" w:type="dxa"/>
            <w:vAlign w:val="center"/>
          </w:tcPr>
          <w:p w14:paraId="738EF26E">
            <w:r>
              <w:rPr>
                <w:rFonts w:hint="eastAsia"/>
              </w:rPr>
              <w:t>0574-87050338</w:t>
            </w:r>
          </w:p>
        </w:tc>
      </w:tr>
      <w:tr w14:paraId="0D87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71E45A"/>
        </w:tc>
        <w:tc>
          <w:tcPr>
            <w:tcW w:w="1384" w:type="dxa"/>
            <w:vAlign w:val="center"/>
          </w:tcPr>
          <w:p w14:paraId="5D5F0366">
            <w:r>
              <w:rPr>
                <w:rFonts w:hint="eastAsia"/>
              </w:rPr>
              <w:t>电子邮箱</w:t>
            </w:r>
          </w:p>
        </w:tc>
        <w:tc>
          <w:tcPr>
            <w:tcW w:w="2270" w:type="dxa"/>
            <w:vAlign w:val="center"/>
          </w:tcPr>
          <w:p w14:paraId="6C69A49A">
            <w:r>
              <w:rPr>
                <w:rFonts w:hint="eastAsia"/>
              </w:rPr>
              <w:t>manager@southernfund.com</w:t>
            </w:r>
          </w:p>
        </w:tc>
        <w:tc>
          <w:tcPr>
            <w:tcW w:w="2990" w:type="dxa"/>
            <w:vAlign w:val="center"/>
          </w:tcPr>
          <w:p w14:paraId="7373E501">
            <w:r>
              <w:rPr>
                <w:rFonts w:hint="eastAsia"/>
              </w:rPr>
              <w:t>custody-audit@nbcb.cn</w:t>
            </w:r>
          </w:p>
        </w:tc>
      </w:tr>
      <w:tr w14:paraId="2752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65891D">
            <w:r>
              <w:rPr>
                <w:rFonts w:hint="eastAsia"/>
              </w:rPr>
              <w:t>客户服务电话</w:t>
            </w:r>
          </w:p>
        </w:tc>
        <w:tc>
          <w:tcPr>
            <w:tcW w:w="2270" w:type="dxa"/>
            <w:vAlign w:val="center"/>
          </w:tcPr>
          <w:p w14:paraId="28633129">
            <w:r>
              <w:rPr>
                <w:rFonts w:hint="eastAsia"/>
              </w:rPr>
              <w:t>400-889-8899</w:t>
            </w:r>
          </w:p>
        </w:tc>
        <w:tc>
          <w:tcPr>
            <w:tcW w:w="2990" w:type="dxa"/>
            <w:vAlign w:val="center"/>
          </w:tcPr>
          <w:p w14:paraId="4B7C5E6D">
            <w:r>
              <w:rPr>
                <w:rFonts w:hint="eastAsia"/>
              </w:rPr>
              <w:t>0574-83895886</w:t>
            </w:r>
          </w:p>
        </w:tc>
      </w:tr>
      <w:tr w14:paraId="62D7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79C2FE">
            <w:r>
              <w:rPr>
                <w:rFonts w:hint="eastAsia"/>
              </w:rPr>
              <w:t>传真</w:t>
            </w:r>
          </w:p>
        </w:tc>
        <w:tc>
          <w:tcPr>
            <w:tcW w:w="2270" w:type="dxa"/>
            <w:vAlign w:val="center"/>
          </w:tcPr>
          <w:p w14:paraId="0727CAEB">
            <w:r>
              <w:rPr>
                <w:rFonts w:hint="eastAsia"/>
              </w:rPr>
              <w:t>0755-82763889</w:t>
            </w:r>
          </w:p>
        </w:tc>
        <w:tc>
          <w:tcPr>
            <w:tcW w:w="2990" w:type="dxa"/>
            <w:vAlign w:val="center"/>
          </w:tcPr>
          <w:p w14:paraId="3D2DC754">
            <w:r>
              <w:rPr>
                <w:rFonts w:hint="eastAsia"/>
              </w:rPr>
              <w:t>0574-89103213</w:t>
            </w:r>
          </w:p>
        </w:tc>
      </w:tr>
      <w:tr w14:paraId="39F1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CDD9DC">
            <w:r>
              <w:rPr>
                <w:rFonts w:hint="eastAsia"/>
              </w:rPr>
              <w:t>注册地址</w:t>
            </w:r>
          </w:p>
        </w:tc>
        <w:tc>
          <w:tcPr>
            <w:tcW w:w="2270" w:type="dxa"/>
            <w:vAlign w:val="center"/>
          </w:tcPr>
          <w:p w14:paraId="4FDC0926">
            <w:r>
              <w:rPr>
                <w:rFonts w:hint="eastAsia"/>
              </w:rPr>
              <w:t>深圳市福田区莲花街道益田路5999号基金大厦32-42楼</w:t>
            </w:r>
          </w:p>
        </w:tc>
        <w:tc>
          <w:tcPr>
            <w:tcW w:w="2990" w:type="dxa"/>
            <w:vAlign w:val="center"/>
          </w:tcPr>
          <w:p w14:paraId="691EF5C2">
            <w:r>
              <w:rPr>
                <w:rFonts w:hint="eastAsia"/>
              </w:rPr>
              <w:t>中国浙江宁波市鄞州区宁东路345号</w:t>
            </w:r>
          </w:p>
        </w:tc>
      </w:tr>
      <w:tr w14:paraId="7418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9FD563">
            <w:r>
              <w:rPr>
                <w:rFonts w:hint="eastAsia"/>
              </w:rPr>
              <w:t>办公地址</w:t>
            </w:r>
          </w:p>
        </w:tc>
        <w:tc>
          <w:tcPr>
            <w:tcW w:w="2270" w:type="dxa"/>
            <w:vAlign w:val="center"/>
          </w:tcPr>
          <w:p w14:paraId="2D41B841">
            <w:r>
              <w:rPr>
                <w:rFonts w:hint="eastAsia"/>
              </w:rPr>
              <w:t>深圳市福田区莲花街道益田路5999号基金大厦32-42楼</w:t>
            </w:r>
          </w:p>
        </w:tc>
        <w:tc>
          <w:tcPr>
            <w:tcW w:w="2990" w:type="dxa"/>
            <w:vAlign w:val="center"/>
          </w:tcPr>
          <w:p w14:paraId="026AEAE7">
            <w:r>
              <w:rPr>
                <w:rFonts w:hint="eastAsia"/>
              </w:rPr>
              <w:t>中国浙江宁波市鄞州区宁东路345号</w:t>
            </w:r>
          </w:p>
        </w:tc>
      </w:tr>
      <w:tr w14:paraId="026E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C6BDEB">
            <w:r>
              <w:rPr>
                <w:rFonts w:hint="eastAsia"/>
              </w:rPr>
              <w:t>邮政编码</w:t>
            </w:r>
          </w:p>
        </w:tc>
        <w:tc>
          <w:tcPr>
            <w:tcW w:w="2270" w:type="dxa"/>
            <w:vAlign w:val="center"/>
          </w:tcPr>
          <w:p w14:paraId="18E509B4">
            <w:r>
              <w:rPr>
                <w:rFonts w:hint="eastAsia"/>
              </w:rPr>
              <w:t>518017</w:t>
            </w:r>
          </w:p>
        </w:tc>
        <w:tc>
          <w:tcPr>
            <w:tcW w:w="2990" w:type="dxa"/>
            <w:vAlign w:val="center"/>
          </w:tcPr>
          <w:p w14:paraId="2945EE09">
            <w:r>
              <w:rPr>
                <w:rFonts w:hint="eastAsia"/>
              </w:rPr>
              <w:t>315100</w:t>
            </w:r>
          </w:p>
        </w:tc>
      </w:tr>
      <w:tr w14:paraId="494B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54DA18">
            <w:r>
              <w:rPr>
                <w:rFonts w:hint="eastAsia"/>
              </w:rPr>
              <w:t>法定代表人</w:t>
            </w:r>
          </w:p>
        </w:tc>
        <w:tc>
          <w:tcPr>
            <w:tcW w:w="2270" w:type="dxa"/>
            <w:vAlign w:val="center"/>
          </w:tcPr>
          <w:p w14:paraId="361D6930">
            <w:r>
              <w:rPr>
                <w:rFonts w:hint="eastAsia"/>
              </w:rPr>
              <w:t>周易</w:t>
            </w:r>
          </w:p>
        </w:tc>
        <w:tc>
          <w:tcPr>
            <w:tcW w:w="2990" w:type="dxa"/>
            <w:vAlign w:val="center"/>
          </w:tcPr>
          <w:p w14:paraId="6B9E676A">
            <w:r>
              <w:rPr>
                <w:rFonts w:hint="eastAsia"/>
              </w:rPr>
              <w:t>陆华裕</w:t>
            </w:r>
          </w:p>
        </w:tc>
      </w:tr>
    </w:tbl>
    <w:p w14:paraId="75657D45">
      <w:pPr>
        <w:pStyle w:val="23"/>
      </w:pPr>
      <w:bookmarkStart w:id="9" w:name="_Toc1388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4AD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F5D5D0">
            <w:r>
              <w:rPr>
                <w:rFonts w:hint="eastAsia"/>
              </w:rPr>
              <w:t>本基金选定的信息披露报纸名称</w:t>
            </w:r>
          </w:p>
        </w:tc>
        <w:tc>
          <w:tcPr>
            <w:tcW w:w="3322" w:type="dxa"/>
            <w:vAlign w:val="center"/>
          </w:tcPr>
          <w:p w14:paraId="60AADB28">
            <w:r>
              <w:rPr>
                <w:rFonts w:hint="eastAsia"/>
              </w:rPr>
              <w:t>中国证券报</w:t>
            </w:r>
          </w:p>
        </w:tc>
      </w:tr>
      <w:tr w14:paraId="7D0B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A3DE80">
            <w:r>
              <w:rPr>
                <w:rFonts w:hint="eastAsia"/>
              </w:rPr>
              <w:t>登载基金年度报告正文的管理人互联网网址</w:t>
            </w:r>
          </w:p>
        </w:tc>
        <w:tc>
          <w:tcPr>
            <w:tcW w:w="3322" w:type="dxa"/>
            <w:vAlign w:val="center"/>
          </w:tcPr>
          <w:p w14:paraId="31B8C79F">
            <w:r>
              <w:rPr>
                <w:rFonts w:hint="eastAsia"/>
              </w:rPr>
              <w:t>http://www.nffund.com</w:t>
            </w:r>
          </w:p>
        </w:tc>
      </w:tr>
      <w:tr w14:paraId="072E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95579B">
            <w:r>
              <w:rPr>
                <w:rFonts w:hint="eastAsia"/>
              </w:rPr>
              <w:t>基金年度报告备置地点</w:t>
            </w:r>
          </w:p>
        </w:tc>
        <w:tc>
          <w:tcPr>
            <w:tcW w:w="3322" w:type="dxa"/>
            <w:vAlign w:val="center"/>
          </w:tcPr>
          <w:p w14:paraId="21FAE264">
            <w:r>
              <w:rPr>
                <w:rFonts w:hint="eastAsia"/>
              </w:rPr>
              <w:t>基金管理人、基金托管人的办公地址、基金上市交易的证券交易所（如有）</w:t>
            </w:r>
          </w:p>
        </w:tc>
      </w:tr>
    </w:tbl>
    <w:p w14:paraId="236BEDE7">
      <w:pPr>
        <w:pStyle w:val="23"/>
      </w:pPr>
      <w:r>
        <w:t xml:space="preserve"> </w:t>
      </w:r>
      <w:bookmarkStart w:id="10" w:name="_Toc203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959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21E61F6">
            <w:pPr>
              <w:jc w:val="center"/>
            </w:pPr>
            <w:r>
              <w:rPr>
                <w:rFonts w:hint="eastAsia"/>
                <w:b/>
              </w:rPr>
              <w:t>项目</w:t>
            </w:r>
          </w:p>
        </w:tc>
        <w:tc>
          <w:tcPr>
            <w:tcW w:w="2907" w:type="dxa"/>
            <w:shd w:val="clear" w:color="auto" w:fill="BFBFBF"/>
            <w:vAlign w:val="center"/>
          </w:tcPr>
          <w:p w14:paraId="2A910A10">
            <w:pPr>
              <w:jc w:val="center"/>
            </w:pPr>
            <w:r>
              <w:rPr>
                <w:rFonts w:hint="eastAsia"/>
                <w:b/>
              </w:rPr>
              <w:t>名称</w:t>
            </w:r>
          </w:p>
        </w:tc>
        <w:tc>
          <w:tcPr>
            <w:tcW w:w="3876" w:type="dxa"/>
            <w:shd w:val="clear" w:color="auto" w:fill="BFBFBF"/>
            <w:vAlign w:val="center"/>
          </w:tcPr>
          <w:p w14:paraId="7D94B147">
            <w:pPr>
              <w:jc w:val="center"/>
            </w:pPr>
            <w:r>
              <w:rPr>
                <w:rFonts w:hint="eastAsia"/>
                <w:b/>
              </w:rPr>
              <w:t>办公地址</w:t>
            </w:r>
          </w:p>
        </w:tc>
      </w:tr>
      <w:tr w14:paraId="0823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BDC69CE">
            <w:r>
              <w:rPr>
                <w:rFonts w:hint="eastAsia"/>
              </w:rPr>
              <w:t>会计师事务所</w:t>
            </w:r>
          </w:p>
        </w:tc>
        <w:tc>
          <w:tcPr>
            <w:tcW w:w="2907" w:type="dxa"/>
            <w:vAlign w:val="center"/>
          </w:tcPr>
          <w:p w14:paraId="1842F8F5">
            <w:r>
              <w:rPr>
                <w:rFonts w:hint="eastAsia"/>
              </w:rPr>
              <w:t>容诚会计师事务所（特殊普通合伙）</w:t>
            </w:r>
          </w:p>
        </w:tc>
        <w:tc>
          <w:tcPr>
            <w:tcW w:w="3876" w:type="dxa"/>
            <w:vAlign w:val="center"/>
          </w:tcPr>
          <w:p w14:paraId="1539A905">
            <w:r>
              <w:rPr>
                <w:rFonts w:hint="eastAsia"/>
              </w:rPr>
              <w:t>北京市西城区阜成门外大街22号1幢10层1001-1至1001-26</w:t>
            </w:r>
          </w:p>
        </w:tc>
      </w:tr>
      <w:tr w14:paraId="4023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vAlign w:val="center"/>
          </w:tcPr>
          <w:p w14:paraId="2E798916">
            <w:r>
              <w:rPr>
                <w:rFonts w:hint="eastAsia"/>
              </w:rPr>
              <w:t>注册登记机构</w:t>
            </w:r>
          </w:p>
        </w:tc>
        <w:tc>
          <w:tcPr>
            <w:tcW w:w="2907" w:type="dxa"/>
            <w:vAlign w:val="center"/>
          </w:tcPr>
          <w:p w14:paraId="409A6A1D">
            <w:r>
              <w:rPr>
                <w:rFonts w:hint="eastAsia"/>
              </w:rPr>
              <w:t>南方基金管理股份有限公司</w:t>
            </w:r>
          </w:p>
        </w:tc>
        <w:tc>
          <w:tcPr>
            <w:tcW w:w="3876" w:type="dxa"/>
            <w:vAlign w:val="center"/>
          </w:tcPr>
          <w:p w14:paraId="2544A96D">
            <w:r>
              <w:rPr>
                <w:rFonts w:hint="eastAsia"/>
              </w:rPr>
              <w:t>深圳市福田区莲花街道益田路5999号基金大厦32-42楼</w:t>
            </w:r>
          </w:p>
        </w:tc>
      </w:tr>
    </w:tbl>
    <w:p w14:paraId="75CE066F">
      <w:pPr>
        <w:pStyle w:val="26"/>
        <w:pageBreakBefore/>
      </w:pPr>
      <w:bookmarkStart w:id="11" w:name="_Toc28643"/>
      <w:r>
        <w:t>主要财务指标、基金净值表现及利润分配情况</w:t>
      </w:r>
      <w:bookmarkEnd w:id="11"/>
    </w:p>
    <w:p w14:paraId="611D3F08">
      <w:pPr>
        <w:pStyle w:val="23"/>
      </w:pPr>
      <w:bookmarkStart w:id="12" w:name="_Toc26768"/>
      <w:r>
        <w:t>主要会计数据和财务指标</w:t>
      </w:r>
      <w:bookmarkEnd w:id="12"/>
    </w:p>
    <w:p w14:paraId="7CBCF0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59E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25D74A">
            <w:r>
              <w:rPr>
                <w:rFonts w:hint="eastAsia"/>
              </w:rPr>
              <w:t>3.1.1 期间数据和指标</w:t>
            </w:r>
          </w:p>
        </w:tc>
        <w:tc>
          <w:tcPr>
            <w:tcW w:w="1771" w:type="dxa"/>
            <w:vAlign w:val="center"/>
          </w:tcPr>
          <w:p w14:paraId="28929780">
            <w:r>
              <w:rPr>
                <w:rFonts w:hint="eastAsia"/>
              </w:rPr>
              <w:t>2025年</w:t>
            </w:r>
          </w:p>
        </w:tc>
        <w:tc>
          <w:tcPr>
            <w:tcW w:w="1949" w:type="dxa"/>
            <w:vAlign w:val="center"/>
          </w:tcPr>
          <w:p w14:paraId="28E6BB1C">
            <w:r>
              <w:rPr>
                <w:rFonts w:hint="eastAsia"/>
              </w:rPr>
              <w:t>2024年</w:t>
            </w:r>
          </w:p>
        </w:tc>
        <w:tc>
          <w:tcPr>
            <w:tcW w:w="1827" w:type="dxa"/>
            <w:vAlign w:val="center"/>
          </w:tcPr>
          <w:p w14:paraId="4BB0FDE6">
            <w:r>
              <w:rPr>
                <w:rFonts w:hint="eastAsia"/>
              </w:rPr>
              <w:t>2023年</w:t>
            </w:r>
          </w:p>
        </w:tc>
      </w:tr>
      <w:tr w14:paraId="329C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DF6C80">
            <w:r>
              <w:rPr>
                <w:rFonts w:hint="eastAsia"/>
              </w:rPr>
              <w:t>本期已实现收益</w:t>
            </w:r>
          </w:p>
        </w:tc>
        <w:tc>
          <w:tcPr>
            <w:tcW w:w="1771" w:type="dxa"/>
            <w:vAlign w:val="center"/>
          </w:tcPr>
          <w:p w14:paraId="5C7BBCCE">
            <w:pPr>
              <w:jc w:val="right"/>
            </w:pPr>
            <w:r>
              <w:rPr>
                <w:rFonts w:hint="eastAsia"/>
              </w:rPr>
              <w:t>39,578,674.63</w:t>
            </w:r>
          </w:p>
        </w:tc>
        <w:tc>
          <w:tcPr>
            <w:tcW w:w="1949" w:type="dxa"/>
            <w:vAlign w:val="center"/>
          </w:tcPr>
          <w:p w14:paraId="0035BBA1">
            <w:pPr>
              <w:jc w:val="right"/>
            </w:pPr>
            <w:r>
              <w:rPr>
                <w:rFonts w:hint="eastAsia"/>
              </w:rPr>
              <w:t>49,852,010.32</w:t>
            </w:r>
          </w:p>
        </w:tc>
        <w:tc>
          <w:tcPr>
            <w:tcW w:w="1827" w:type="dxa"/>
            <w:vAlign w:val="center"/>
          </w:tcPr>
          <w:p w14:paraId="3BAE4970">
            <w:pPr>
              <w:jc w:val="right"/>
            </w:pPr>
            <w:r>
              <w:rPr>
                <w:rFonts w:hint="eastAsia"/>
              </w:rPr>
              <w:t>47,220,580.81</w:t>
            </w:r>
          </w:p>
        </w:tc>
      </w:tr>
      <w:tr w14:paraId="0546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8F1C39">
            <w:r>
              <w:rPr>
                <w:rFonts w:hint="eastAsia"/>
              </w:rPr>
              <w:t>本期利润</w:t>
            </w:r>
          </w:p>
        </w:tc>
        <w:tc>
          <w:tcPr>
            <w:tcW w:w="1771" w:type="dxa"/>
            <w:vAlign w:val="center"/>
          </w:tcPr>
          <w:p w14:paraId="00A6E833">
            <w:pPr>
              <w:jc w:val="right"/>
            </w:pPr>
            <w:r>
              <w:rPr>
                <w:rFonts w:hint="eastAsia"/>
              </w:rPr>
              <w:t>15,194,303.16</w:t>
            </w:r>
          </w:p>
        </w:tc>
        <w:tc>
          <w:tcPr>
            <w:tcW w:w="1949" w:type="dxa"/>
            <w:vAlign w:val="center"/>
          </w:tcPr>
          <w:p w14:paraId="41DD19F0">
            <w:pPr>
              <w:jc w:val="right"/>
            </w:pPr>
            <w:r>
              <w:rPr>
                <w:rFonts w:hint="eastAsia"/>
              </w:rPr>
              <w:t>62,151,588.41</w:t>
            </w:r>
          </w:p>
        </w:tc>
        <w:tc>
          <w:tcPr>
            <w:tcW w:w="1827" w:type="dxa"/>
            <w:vAlign w:val="center"/>
          </w:tcPr>
          <w:p w14:paraId="4D09B0A2">
            <w:pPr>
              <w:jc w:val="right"/>
            </w:pPr>
            <w:r>
              <w:rPr>
                <w:rFonts w:hint="eastAsia"/>
              </w:rPr>
              <w:t>51,488,745.72</w:t>
            </w:r>
          </w:p>
        </w:tc>
      </w:tr>
      <w:tr w14:paraId="06A9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8FA410">
            <w:r>
              <w:rPr>
                <w:rFonts w:hint="eastAsia"/>
              </w:rPr>
              <w:t>加权平均基金份额本期利润</w:t>
            </w:r>
          </w:p>
        </w:tc>
        <w:tc>
          <w:tcPr>
            <w:tcW w:w="1771" w:type="dxa"/>
            <w:vAlign w:val="center"/>
          </w:tcPr>
          <w:p w14:paraId="00CAA210">
            <w:pPr>
              <w:jc w:val="right"/>
            </w:pPr>
            <w:r>
              <w:rPr>
                <w:rFonts w:hint="eastAsia"/>
              </w:rPr>
              <w:t>0.0103</w:t>
            </w:r>
          </w:p>
        </w:tc>
        <w:tc>
          <w:tcPr>
            <w:tcW w:w="1949" w:type="dxa"/>
            <w:vAlign w:val="center"/>
          </w:tcPr>
          <w:p w14:paraId="3CD00D87">
            <w:pPr>
              <w:jc w:val="right"/>
            </w:pPr>
            <w:r>
              <w:rPr>
                <w:rFonts w:hint="eastAsia"/>
              </w:rPr>
              <w:t>0.0419</w:t>
            </w:r>
          </w:p>
        </w:tc>
        <w:tc>
          <w:tcPr>
            <w:tcW w:w="1827" w:type="dxa"/>
            <w:vAlign w:val="center"/>
          </w:tcPr>
          <w:p w14:paraId="0656F906">
            <w:pPr>
              <w:jc w:val="right"/>
            </w:pPr>
            <w:r>
              <w:rPr>
                <w:rFonts w:hint="eastAsia"/>
              </w:rPr>
              <w:t>0.0348</w:t>
            </w:r>
          </w:p>
        </w:tc>
      </w:tr>
      <w:tr w14:paraId="1294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2E65E9">
            <w:r>
              <w:rPr>
                <w:rFonts w:hint="eastAsia"/>
              </w:rPr>
              <w:t>本期加权平均净值利润率</w:t>
            </w:r>
          </w:p>
        </w:tc>
        <w:tc>
          <w:tcPr>
            <w:tcW w:w="1771" w:type="dxa"/>
            <w:vAlign w:val="center"/>
          </w:tcPr>
          <w:p w14:paraId="5F80FBEE">
            <w:pPr>
              <w:jc w:val="right"/>
            </w:pPr>
            <w:r>
              <w:rPr>
                <w:rFonts w:hint="eastAsia"/>
              </w:rPr>
              <w:t>0.95%</w:t>
            </w:r>
          </w:p>
        </w:tc>
        <w:tc>
          <w:tcPr>
            <w:tcW w:w="1949" w:type="dxa"/>
            <w:vAlign w:val="center"/>
          </w:tcPr>
          <w:p w14:paraId="2D484640">
            <w:pPr>
              <w:jc w:val="right"/>
            </w:pPr>
            <w:r>
              <w:rPr>
                <w:rFonts w:hint="eastAsia"/>
              </w:rPr>
              <w:t>3.86%</w:t>
            </w:r>
          </w:p>
        </w:tc>
        <w:tc>
          <w:tcPr>
            <w:tcW w:w="1827" w:type="dxa"/>
            <w:vAlign w:val="center"/>
          </w:tcPr>
          <w:p w14:paraId="01504E73">
            <w:pPr>
              <w:jc w:val="right"/>
            </w:pPr>
            <w:r>
              <w:rPr>
                <w:rFonts w:hint="eastAsia"/>
              </w:rPr>
              <w:t>3.23%</w:t>
            </w:r>
          </w:p>
        </w:tc>
      </w:tr>
      <w:tr w14:paraId="4F4D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2DA6F6">
            <w:r>
              <w:rPr>
                <w:rFonts w:hint="eastAsia"/>
              </w:rPr>
              <w:t>本期基金份额净值增长率</w:t>
            </w:r>
          </w:p>
        </w:tc>
        <w:tc>
          <w:tcPr>
            <w:tcW w:w="1771" w:type="dxa"/>
            <w:vAlign w:val="center"/>
          </w:tcPr>
          <w:p w14:paraId="4CC7DC0F">
            <w:pPr>
              <w:jc w:val="right"/>
            </w:pPr>
            <w:r>
              <w:rPr>
                <w:rFonts w:hint="eastAsia"/>
              </w:rPr>
              <w:t>0.97%</w:t>
            </w:r>
          </w:p>
        </w:tc>
        <w:tc>
          <w:tcPr>
            <w:tcW w:w="1949" w:type="dxa"/>
            <w:vAlign w:val="center"/>
          </w:tcPr>
          <w:p w14:paraId="292EFC94">
            <w:pPr>
              <w:jc w:val="right"/>
            </w:pPr>
            <w:r>
              <w:rPr>
                <w:rFonts w:hint="eastAsia"/>
              </w:rPr>
              <w:t>3.94%</w:t>
            </w:r>
          </w:p>
        </w:tc>
        <w:tc>
          <w:tcPr>
            <w:tcW w:w="1827" w:type="dxa"/>
            <w:vAlign w:val="center"/>
          </w:tcPr>
          <w:p w14:paraId="19146730">
            <w:pPr>
              <w:jc w:val="right"/>
            </w:pPr>
            <w:r>
              <w:rPr>
                <w:rFonts w:hint="eastAsia"/>
              </w:rPr>
              <w:t>3.29%</w:t>
            </w:r>
          </w:p>
        </w:tc>
      </w:tr>
      <w:tr w14:paraId="7F08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BC2D37">
            <w:r>
              <w:rPr>
                <w:rFonts w:hint="eastAsia"/>
              </w:rPr>
              <w:t>3.1.2 期末数据和指标</w:t>
            </w:r>
          </w:p>
        </w:tc>
        <w:tc>
          <w:tcPr>
            <w:tcW w:w="1771" w:type="dxa"/>
            <w:vAlign w:val="center"/>
          </w:tcPr>
          <w:p w14:paraId="399D102B">
            <w:r>
              <w:rPr>
                <w:rFonts w:hint="eastAsia"/>
              </w:rPr>
              <w:t>2025年末</w:t>
            </w:r>
          </w:p>
        </w:tc>
        <w:tc>
          <w:tcPr>
            <w:tcW w:w="1949" w:type="dxa"/>
            <w:vAlign w:val="center"/>
          </w:tcPr>
          <w:p w14:paraId="7FDB581E">
            <w:r>
              <w:rPr>
                <w:rFonts w:hint="eastAsia"/>
              </w:rPr>
              <w:t>2024年末</w:t>
            </w:r>
          </w:p>
        </w:tc>
        <w:tc>
          <w:tcPr>
            <w:tcW w:w="1827" w:type="dxa"/>
            <w:vAlign w:val="center"/>
          </w:tcPr>
          <w:p w14:paraId="1ED19719">
            <w:r>
              <w:rPr>
                <w:rFonts w:hint="eastAsia"/>
              </w:rPr>
              <w:t>2023年末</w:t>
            </w:r>
          </w:p>
        </w:tc>
      </w:tr>
      <w:tr w14:paraId="7098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8B6B49">
            <w:r>
              <w:rPr>
                <w:rFonts w:hint="eastAsia"/>
              </w:rPr>
              <w:t>期末可供分配利润</w:t>
            </w:r>
          </w:p>
        </w:tc>
        <w:tc>
          <w:tcPr>
            <w:tcW w:w="1771" w:type="dxa"/>
            <w:vAlign w:val="center"/>
          </w:tcPr>
          <w:p w14:paraId="2F99D179">
            <w:pPr>
              <w:jc w:val="right"/>
            </w:pPr>
            <w:r>
              <w:rPr>
                <w:rFonts w:hint="eastAsia"/>
              </w:rPr>
              <w:t>59,553,588.07</w:t>
            </w:r>
          </w:p>
        </w:tc>
        <w:tc>
          <w:tcPr>
            <w:tcW w:w="1949" w:type="dxa"/>
            <w:vAlign w:val="center"/>
          </w:tcPr>
          <w:p w14:paraId="0925C706">
            <w:pPr>
              <w:jc w:val="right"/>
            </w:pPr>
            <w:r>
              <w:rPr>
                <w:rFonts w:hint="eastAsia"/>
              </w:rPr>
              <w:t>131,616,565.26</w:t>
            </w:r>
          </w:p>
        </w:tc>
        <w:tc>
          <w:tcPr>
            <w:tcW w:w="1827" w:type="dxa"/>
            <w:vAlign w:val="center"/>
          </w:tcPr>
          <w:p w14:paraId="4A6FB482">
            <w:pPr>
              <w:jc w:val="right"/>
            </w:pPr>
            <w:r>
              <w:rPr>
                <w:rFonts w:hint="eastAsia"/>
              </w:rPr>
              <w:t>81,232,276.13</w:t>
            </w:r>
          </w:p>
        </w:tc>
      </w:tr>
      <w:tr w14:paraId="6870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C0AFF2">
            <w:r>
              <w:rPr>
                <w:rFonts w:hint="eastAsia"/>
              </w:rPr>
              <w:t>期末可供分配基金份额利润</w:t>
            </w:r>
          </w:p>
        </w:tc>
        <w:tc>
          <w:tcPr>
            <w:tcW w:w="1771" w:type="dxa"/>
            <w:vAlign w:val="center"/>
          </w:tcPr>
          <w:p w14:paraId="5029E2D0">
            <w:pPr>
              <w:jc w:val="right"/>
            </w:pPr>
            <w:r>
              <w:rPr>
                <w:rFonts w:hint="eastAsia"/>
              </w:rPr>
              <w:t>0.0594</w:t>
            </w:r>
          </w:p>
        </w:tc>
        <w:tc>
          <w:tcPr>
            <w:tcW w:w="1949" w:type="dxa"/>
            <w:vAlign w:val="center"/>
          </w:tcPr>
          <w:p w14:paraId="1C31FB73">
            <w:pPr>
              <w:jc w:val="right"/>
            </w:pPr>
            <w:r>
              <w:rPr>
                <w:rFonts w:hint="eastAsia"/>
              </w:rPr>
              <w:t>0.0885</w:t>
            </w:r>
          </w:p>
        </w:tc>
        <w:tc>
          <w:tcPr>
            <w:tcW w:w="1827" w:type="dxa"/>
            <w:vAlign w:val="center"/>
          </w:tcPr>
          <w:p w14:paraId="6D3104ED">
            <w:pPr>
              <w:jc w:val="right"/>
            </w:pPr>
            <w:r>
              <w:rPr>
                <w:rFonts w:hint="eastAsia"/>
              </w:rPr>
              <w:t>0.0549</w:t>
            </w:r>
          </w:p>
        </w:tc>
      </w:tr>
      <w:tr w14:paraId="32C6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B321EF">
            <w:r>
              <w:rPr>
                <w:rFonts w:hint="eastAsia"/>
              </w:rPr>
              <w:t>期末基金资产净值</w:t>
            </w:r>
          </w:p>
        </w:tc>
        <w:tc>
          <w:tcPr>
            <w:tcW w:w="1771" w:type="dxa"/>
            <w:vAlign w:val="center"/>
          </w:tcPr>
          <w:p w14:paraId="07974C2A">
            <w:pPr>
              <w:jc w:val="right"/>
            </w:pPr>
            <w:r>
              <w:rPr>
                <w:rFonts w:hint="eastAsia"/>
              </w:rPr>
              <w:t>1,065,417,137.84</w:t>
            </w:r>
          </w:p>
        </w:tc>
        <w:tc>
          <w:tcPr>
            <w:tcW w:w="1949" w:type="dxa"/>
            <w:vAlign w:val="center"/>
          </w:tcPr>
          <w:p w14:paraId="60825D9B">
            <w:pPr>
              <w:jc w:val="right"/>
            </w:pPr>
            <w:r>
              <w:rPr>
                <w:rFonts w:hint="eastAsia"/>
              </w:rPr>
              <w:t>1,646,029,692.03</w:t>
            </w:r>
          </w:p>
        </w:tc>
        <w:tc>
          <w:tcPr>
            <w:tcW w:w="1827" w:type="dxa"/>
            <w:vAlign w:val="center"/>
          </w:tcPr>
          <w:p w14:paraId="1E2FC563">
            <w:pPr>
              <w:jc w:val="right"/>
            </w:pPr>
            <w:r>
              <w:rPr>
                <w:rFonts w:hint="eastAsia"/>
              </w:rPr>
              <w:t>1,575,878,435.43</w:t>
            </w:r>
          </w:p>
        </w:tc>
      </w:tr>
      <w:tr w14:paraId="1F27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D15092">
            <w:r>
              <w:rPr>
                <w:rFonts w:hint="eastAsia"/>
              </w:rPr>
              <w:t>期末基金份额净值</w:t>
            </w:r>
          </w:p>
        </w:tc>
        <w:tc>
          <w:tcPr>
            <w:tcW w:w="1771" w:type="dxa"/>
            <w:vAlign w:val="center"/>
          </w:tcPr>
          <w:p w14:paraId="44843559">
            <w:pPr>
              <w:jc w:val="right"/>
            </w:pPr>
            <w:r>
              <w:rPr>
                <w:rFonts w:hint="eastAsia"/>
              </w:rPr>
              <w:t>1.0633</w:t>
            </w:r>
          </w:p>
        </w:tc>
        <w:tc>
          <w:tcPr>
            <w:tcW w:w="1949" w:type="dxa"/>
            <w:vAlign w:val="center"/>
          </w:tcPr>
          <w:p w14:paraId="5CD08E6C">
            <w:pPr>
              <w:jc w:val="right"/>
            </w:pPr>
            <w:r>
              <w:rPr>
                <w:rFonts w:hint="eastAsia"/>
              </w:rPr>
              <w:t>1.1078</w:t>
            </w:r>
          </w:p>
        </w:tc>
        <w:tc>
          <w:tcPr>
            <w:tcW w:w="1827" w:type="dxa"/>
            <w:vAlign w:val="center"/>
          </w:tcPr>
          <w:p w14:paraId="3906657F">
            <w:pPr>
              <w:jc w:val="right"/>
            </w:pPr>
            <w:r>
              <w:rPr>
                <w:rFonts w:hint="eastAsia"/>
              </w:rPr>
              <w:t>1.0658</w:t>
            </w:r>
          </w:p>
        </w:tc>
      </w:tr>
      <w:tr w14:paraId="24F3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8CA4E4">
            <w:r>
              <w:rPr>
                <w:rFonts w:hint="eastAsia"/>
              </w:rPr>
              <w:t>3.1.3 累计期末指标</w:t>
            </w:r>
          </w:p>
        </w:tc>
        <w:tc>
          <w:tcPr>
            <w:tcW w:w="1771" w:type="dxa"/>
            <w:vAlign w:val="center"/>
          </w:tcPr>
          <w:p w14:paraId="6E47B7E2">
            <w:r>
              <w:rPr>
                <w:rFonts w:hint="eastAsia"/>
              </w:rPr>
              <w:t>2025年末</w:t>
            </w:r>
          </w:p>
        </w:tc>
        <w:tc>
          <w:tcPr>
            <w:tcW w:w="1949" w:type="dxa"/>
            <w:vAlign w:val="center"/>
          </w:tcPr>
          <w:p w14:paraId="25804B55">
            <w:r>
              <w:rPr>
                <w:rFonts w:hint="eastAsia"/>
              </w:rPr>
              <w:t>2024年末</w:t>
            </w:r>
          </w:p>
        </w:tc>
        <w:tc>
          <w:tcPr>
            <w:tcW w:w="1827" w:type="dxa"/>
            <w:vAlign w:val="center"/>
          </w:tcPr>
          <w:p w14:paraId="58558346">
            <w:r>
              <w:rPr>
                <w:rFonts w:hint="eastAsia"/>
              </w:rPr>
              <w:t>2023年末</w:t>
            </w:r>
          </w:p>
        </w:tc>
      </w:tr>
      <w:tr w14:paraId="5AE7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DFC225">
            <w:r>
              <w:rPr>
                <w:rFonts w:hint="eastAsia"/>
              </w:rPr>
              <w:t>基金份额累计净值增长率</w:t>
            </w:r>
          </w:p>
        </w:tc>
        <w:tc>
          <w:tcPr>
            <w:tcW w:w="1771" w:type="dxa"/>
            <w:vAlign w:val="center"/>
          </w:tcPr>
          <w:p w14:paraId="0B570CF8">
            <w:pPr>
              <w:jc w:val="right"/>
            </w:pPr>
            <w:r>
              <w:rPr>
                <w:rFonts w:hint="eastAsia"/>
              </w:rPr>
              <w:t>19.45%</w:t>
            </w:r>
          </w:p>
        </w:tc>
        <w:tc>
          <w:tcPr>
            <w:tcW w:w="1949" w:type="dxa"/>
            <w:vAlign w:val="center"/>
          </w:tcPr>
          <w:p w14:paraId="44758221">
            <w:pPr>
              <w:jc w:val="right"/>
            </w:pPr>
            <w:r>
              <w:rPr>
                <w:rFonts w:hint="eastAsia"/>
              </w:rPr>
              <w:t>18.31%</w:t>
            </w:r>
          </w:p>
        </w:tc>
        <w:tc>
          <w:tcPr>
            <w:tcW w:w="1827" w:type="dxa"/>
            <w:vAlign w:val="center"/>
          </w:tcPr>
          <w:p w14:paraId="47022331">
            <w:pPr>
              <w:jc w:val="right"/>
            </w:pPr>
            <w:r>
              <w:rPr>
                <w:rFonts w:hint="eastAsia"/>
              </w:rPr>
              <w:t>13.82%</w:t>
            </w:r>
          </w:p>
        </w:tc>
      </w:tr>
    </w:tbl>
    <w:p w14:paraId="15644FED">
      <w:pPr>
        <w:pStyle w:val="47"/>
        <w:rPr>
          <w:rFonts w:hint="eastAsia"/>
        </w:rPr>
      </w:pPr>
      <w:r>
        <w:rPr>
          <w:rFonts w:hint="eastAsia"/>
        </w:rPr>
        <w:t>注：基金业绩指标不包括持有人认（申）购或交易基金的各项费用，计入费用后实际收益水平要低于所列数字；</w:t>
      </w:r>
    </w:p>
    <w:p w14:paraId="1A256B2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3B671AC">
      <w:pPr>
        <w:pStyle w:val="47"/>
        <w:rPr>
          <w:rFonts w:hint="eastAsia"/>
        </w:rPr>
      </w:pPr>
      <w:r>
        <w:tab/>
      </w:r>
      <w:r>
        <w:rPr>
          <w:rFonts w:hint="eastAsia"/>
        </w:rPr>
        <w:t>对期末可供分配利润，采用期末资产负债表中未分配利润与未分配利润中已实现部分的孰低数。</w:t>
      </w:r>
    </w:p>
    <w:p w14:paraId="4E87A9C3">
      <w:pPr>
        <w:pStyle w:val="23"/>
      </w:pPr>
      <w:bookmarkStart w:id="13" w:name="_Toc21994"/>
      <w:r>
        <w:t>基金净值表现</w:t>
      </w:r>
      <w:bookmarkEnd w:id="13"/>
      <w:r>
        <w:t xml:space="preserve"> </w:t>
      </w:r>
    </w:p>
    <w:p w14:paraId="635ECDAB">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4DA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B2148C8">
            <w:pPr>
              <w:jc w:val="center"/>
            </w:pPr>
            <w:r>
              <w:rPr>
                <w:rFonts w:hint="eastAsia"/>
                <w:b/>
              </w:rPr>
              <w:t>阶段</w:t>
            </w:r>
          </w:p>
        </w:tc>
        <w:tc>
          <w:tcPr>
            <w:tcW w:w="1101" w:type="dxa"/>
            <w:shd w:val="clear" w:color="auto" w:fill="BFBFBF"/>
            <w:vAlign w:val="center"/>
          </w:tcPr>
          <w:p w14:paraId="796F55DE">
            <w:pPr>
              <w:jc w:val="center"/>
            </w:pPr>
            <w:r>
              <w:rPr>
                <w:rFonts w:hint="eastAsia"/>
                <w:b/>
              </w:rPr>
              <w:t>份额净值增长率①</w:t>
            </w:r>
          </w:p>
        </w:tc>
        <w:tc>
          <w:tcPr>
            <w:tcW w:w="1101" w:type="dxa"/>
            <w:shd w:val="clear" w:color="auto" w:fill="BFBFBF"/>
            <w:vAlign w:val="center"/>
          </w:tcPr>
          <w:p w14:paraId="5E2D1365">
            <w:pPr>
              <w:jc w:val="center"/>
            </w:pPr>
            <w:r>
              <w:rPr>
                <w:rFonts w:hint="eastAsia"/>
                <w:b/>
              </w:rPr>
              <w:t>份额净值增长率标准差②</w:t>
            </w:r>
          </w:p>
        </w:tc>
        <w:tc>
          <w:tcPr>
            <w:tcW w:w="1101" w:type="dxa"/>
            <w:shd w:val="clear" w:color="auto" w:fill="BFBFBF"/>
            <w:vAlign w:val="center"/>
          </w:tcPr>
          <w:p w14:paraId="50C7A20D">
            <w:pPr>
              <w:jc w:val="center"/>
            </w:pPr>
            <w:r>
              <w:rPr>
                <w:rFonts w:hint="eastAsia"/>
                <w:b/>
              </w:rPr>
              <w:t>业绩比较基准收益率③</w:t>
            </w:r>
          </w:p>
        </w:tc>
        <w:tc>
          <w:tcPr>
            <w:tcW w:w="1207" w:type="dxa"/>
            <w:shd w:val="clear" w:color="auto" w:fill="BFBFBF"/>
            <w:vAlign w:val="center"/>
          </w:tcPr>
          <w:p w14:paraId="1987BADB">
            <w:pPr>
              <w:jc w:val="center"/>
            </w:pPr>
            <w:r>
              <w:rPr>
                <w:rFonts w:hint="eastAsia"/>
                <w:b/>
              </w:rPr>
              <w:t>业绩比较基准收益率标准差④</w:t>
            </w:r>
          </w:p>
        </w:tc>
        <w:tc>
          <w:tcPr>
            <w:tcW w:w="1251" w:type="dxa"/>
            <w:shd w:val="clear" w:color="auto" w:fill="BFBFBF"/>
            <w:vAlign w:val="center"/>
          </w:tcPr>
          <w:p w14:paraId="64BF9C45">
            <w:pPr>
              <w:jc w:val="center"/>
            </w:pPr>
            <w:r>
              <w:rPr>
                <w:rFonts w:hint="eastAsia"/>
                <w:b/>
              </w:rPr>
              <w:t>①-③</w:t>
            </w:r>
          </w:p>
        </w:tc>
        <w:tc>
          <w:tcPr>
            <w:tcW w:w="1218" w:type="dxa"/>
            <w:shd w:val="clear" w:color="auto" w:fill="BFBFBF"/>
            <w:vAlign w:val="center"/>
          </w:tcPr>
          <w:p w14:paraId="07ACC528">
            <w:pPr>
              <w:jc w:val="center"/>
            </w:pPr>
            <w:r>
              <w:rPr>
                <w:rFonts w:hint="eastAsia"/>
                <w:b/>
              </w:rPr>
              <w:t>②-④</w:t>
            </w:r>
          </w:p>
        </w:tc>
      </w:tr>
      <w:tr w14:paraId="68730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A4E11CE">
            <w:r>
              <w:rPr>
                <w:rFonts w:hint="eastAsia"/>
              </w:rPr>
              <w:t>过去三个月</w:t>
            </w:r>
          </w:p>
        </w:tc>
        <w:tc>
          <w:tcPr>
            <w:tcW w:w="1101" w:type="dxa"/>
            <w:vAlign w:val="center"/>
          </w:tcPr>
          <w:p w14:paraId="07024EA5">
            <w:pPr>
              <w:jc w:val="right"/>
            </w:pPr>
            <w:r>
              <w:rPr>
                <w:rFonts w:hint="eastAsia"/>
              </w:rPr>
              <w:t>0.81%</w:t>
            </w:r>
          </w:p>
        </w:tc>
        <w:tc>
          <w:tcPr>
            <w:tcW w:w="1101" w:type="dxa"/>
            <w:vAlign w:val="center"/>
          </w:tcPr>
          <w:p w14:paraId="73DD2BB3">
            <w:pPr>
              <w:jc w:val="right"/>
            </w:pPr>
            <w:r>
              <w:rPr>
                <w:rFonts w:hint="eastAsia"/>
              </w:rPr>
              <w:t>0.06%</w:t>
            </w:r>
          </w:p>
        </w:tc>
        <w:tc>
          <w:tcPr>
            <w:tcW w:w="1101" w:type="dxa"/>
            <w:vAlign w:val="center"/>
          </w:tcPr>
          <w:p w14:paraId="3BA5763C">
            <w:pPr>
              <w:jc w:val="right"/>
            </w:pPr>
            <w:r>
              <w:rPr>
                <w:rFonts w:hint="eastAsia"/>
              </w:rPr>
              <w:t>0.31%</w:t>
            </w:r>
          </w:p>
        </w:tc>
        <w:tc>
          <w:tcPr>
            <w:tcW w:w="1207" w:type="dxa"/>
            <w:vAlign w:val="center"/>
          </w:tcPr>
          <w:p w14:paraId="052E8ED8">
            <w:pPr>
              <w:jc w:val="right"/>
            </w:pPr>
            <w:r>
              <w:rPr>
                <w:rFonts w:hint="eastAsia"/>
              </w:rPr>
              <w:t>0.02%</w:t>
            </w:r>
          </w:p>
        </w:tc>
        <w:tc>
          <w:tcPr>
            <w:tcW w:w="1251" w:type="dxa"/>
            <w:vAlign w:val="center"/>
          </w:tcPr>
          <w:p w14:paraId="2DF201F6">
            <w:pPr>
              <w:jc w:val="right"/>
            </w:pPr>
            <w:r>
              <w:rPr>
                <w:rFonts w:hint="eastAsia"/>
              </w:rPr>
              <w:t>0.50%</w:t>
            </w:r>
          </w:p>
        </w:tc>
        <w:tc>
          <w:tcPr>
            <w:tcW w:w="1218" w:type="dxa"/>
            <w:vAlign w:val="center"/>
          </w:tcPr>
          <w:p w14:paraId="5EE6BEDF">
            <w:pPr>
              <w:jc w:val="right"/>
            </w:pPr>
            <w:r>
              <w:rPr>
                <w:rFonts w:hint="eastAsia"/>
              </w:rPr>
              <w:t>0.04%</w:t>
            </w:r>
          </w:p>
        </w:tc>
      </w:tr>
      <w:tr w14:paraId="29BF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C25D43">
            <w:r>
              <w:rPr>
                <w:rFonts w:hint="eastAsia"/>
              </w:rPr>
              <w:t>过去六个月</w:t>
            </w:r>
          </w:p>
        </w:tc>
        <w:tc>
          <w:tcPr>
            <w:tcW w:w="1101" w:type="dxa"/>
            <w:vAlign w:val="center"/>
          </w:tcPr>
          <w:p w14:paraId="01C8E662">
            <w:pPr>
              <w:jc w:val="right"/>
            </w:pPr>
            <w:r>
              <w:rPr>
                <w:rFonts w:hint="eastAsia"/>
              </w:rPr>
              <w:t>-0.16%</w:t>
            </w:r>
          </w:p>
        </w:tc>
        <w:tc>
          <w:tcPr>
            <w:tcW w:w="1101" w:type="dxa"/>
            <w:vAlign w:val="center"/>
          </w:tcPr>
          <w:p w14:paraId="63D89494">
            <w:pPr>
              <w:jc w:val="right"/>
            </w:pPr>
            <w:r>
              <w:rPr>
                <w:rFonts w:hint="eastAsia"/>
              </w:rPr>
              <w:t>0.07%</w:t>
            </w:r>
          </w:p>
        </w:tc>
        <w:tc>
          <w:tcPr>
            <w:tcW w:w="1101" w:type="dxa"/>
            <w:vAlign w:val="center"/>
          </w:tcPr>
          <w:p w14:paraId="22395190">
            <w:pPr>
              <w:jc w:val="right"/>
            </w:pPr>
            <w:r>
              <w:rPr>
                <w:rFonts w:hint="eastAsia"/>
              </w:rPr>
              <w:t>-0.26%</w:t>
            </w:r>
          </w:p>
        </w:tc>
        <w:tc>
          <w:tcPr>
            <w:tcW w:w="1207" w:type="dxa"/>
            <w:vAlign w:val="center"/>
          </w:tcPr>
          <w:p w14:paraId="53ABD234">
            <w:pPr>
              <w:jc w:val="right"/>
            </w:pPr>
            <w:r>
              <w:rPr>
                <w:rFonts w:hint="eastAsia"/>
              </w:rPr>
              <w:t>0.03%</w:t>
            </w:r>
          </w:p>
        </w:tc>
        <w:tc>
          <w:tcPr>
            <w:tcW w:w="1251" w:type="dxa"/>
            <w:vAlign w:val="center"/>
          </w:tcPr>
          <w:p w14:paraId="79443067">
            <w:pPr>
              <w:jc w:val="right"/>
            </w:pPr>
            <w:r>
              <w:rPr>
                <w:rFonts w:hint="eastAsia"/>
              </w:rPr>
              <w:t>0.10%</w:t>
            </w:r>
          </w:p>
        </w:tc>
        <w:tc>
          <w:tcPr>
            <w:tcW w:w="1218" w:type="dxa"/>
            <w:vAlign w:val="center"/>
          </w:tcPr>
          <w:p w14:paraId="278B69E9">
            <w:pPr>
              <w:jc w:val="right"/>
            </w:pPr>
            <w:r>
              <w:rPr>
                <w:rFonts w:hint="eastAsia"/>
              </w:rPr>
              <w:t>0.04%</w:t>
            </w:r>
          </w:p>
        </w:tc>
      </w:tr>
      <w:tr w14:paraId="3CDB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64CA2D">
            <w:r>
              <w:rPr>
                <w:rFonts w:hint="eastAsia"/>
              </w:rPr>
              <w:t>过去一年</w:t>
            </w:r>
          </w:p>
        </w:tc>
        <w:tc>
          <w:tcPr>
            <w:tcW w:w="1101" w:type="dxa"/>
            <w:vAlign w:val="center"/>
          </w:tcPr>
          <w:p w14:paraId="555B64DA">
            <w:pPr>
              <w:jc w:val="right"/>
            </w:pPr>
            <w:r>
              <w:rPr>
                <w:rFonts w:hint="eastAsia"/>
              </w:rPr>
              <w:t>0.97%</w:t>
            </w:r>
          </w:p>
        </w:tc>
        <w:tc>
          <w:tcPr>
            <w:tcW w:w="1101" w:type="dxa"/>
            <w:vAlign w:val="center"/>
          </w:tcPr>
          <w:p w14:paraId="3F0A3FA3">
            <w:pPr>
              <w:jc w:val="right"/>
            </w:pPr>
            <w:r>
              <w:rPr>
                <w:rFonts w:hint="eastAsia"/>
              </w:rPr>
              <w:t>0.06%</w:t>
            </w:r>
          </w:p>
        </w:tc>
        <w:tc>
          <w:tcPr>
            <w:tcW w:w="1101" w:type="dxa"/>
            <w:vAlign w:val="center"/>
          </w:tcPr>
          <w:p w14:paraId="3A4317E3">
            <w:pPr>
              <w:jc w:val="right"/>
            </w:pPr>
            <w:r>
              <w:rPr>
                <w:rFonts w:hint="eastAsia"/>
              </w:rPr>
              <w:t>-0.03%</w:t>
            </w:r>
          </w:p>
        </w:tc>
        <w:tc>
          <w:tcPr>
            <w:tcW w:w="1207" w:type="dxa"/>
            <w:vAlign w:val="center"/>
          </w:tcPr>
          <w:p w14:paraId="03DB920E">
            <w:pPr>
              <w:jc w:val="right"/>
            </w:pPr>
            <w:r>
              <w:rPr>
                <w:rFonts w:hint="eastAsia"/>
              </w:rPr>
              <w:t>0.03%</w:t>
            </w:r>
          </w:p>
        </w:tc>
        <w:tc>
          <w:tcPr>
            <w:tcW w:w="1251" w:type="dxa"/>
            <w:vAlign w:val="center"/>
          </w:tcPr>
          <w:p w14:paraId="047BBAC3">
            <w:pPr>
              <w:jc w:val="right"/>
            </w:pPr>
            <w:r>
              <w:rPr>
                <w:rFonts w:hint="eastAsia"/>
              </w:rPr>
              <w:t>1.00%</w:t>
            </w:r>
          </w:p>
        </w:tc>
        <w:tc>
          <w:tcPr>
            <w:tcW w:w="1218" w:type="dxa"/>
            <w:vAlign w:val="center"/>
          </w:tcPr>
          <w:p w14:paraId="73CCBEA5">
            <w:pPr>
              <w:jc w:val="right"/>
            </w:pPr>
            <w:r>
              <w:rPr>
                <w:rFonts w:hint="eastAsia"/>
              </w:rPr>
              <w:t>0.03%</w:t>
            </w:r>
          </w:p>
        </w:tc>
      </w:tr>
      <w:tr w14:paraId="5F2A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A9D99C">
            <w:r>
              <w:rPr>
                <w:rFonts w:hint="eastAsia"/>
              </w:rPr>
              <w:t>过去三年</w:t>
            </w:r>
          </w:p>
        </w:tc>
        <w:tc>
          <w:tcPr>
            <w:tcW w:w="1101" w:type="dxa"/>
            <w:vAlign w:val="center"/>
          </w:tcPr>
          <w:p w14:paraId="1326113F">
            <w:pPr>
              <w:jc w:val="right"/>
            </w:pPr>
            <w:r>
              <w:rPr>
                <w:rFonts w:hint="eastAsia"/>
              </w:rPr>
              <w:t>8.40%</w:t>
            </w:r>
          </w:p>
        </w:tc>
        <w:tc>
          <w:tcPr>
            <w:tcW w:w="1101" w:type="dxa"/>
            <w:vAlign w:val="center"/>
          </w:tcPr>
          <w:p w14:paraId="70894748">
            <w:pPr>
              <w:jc w:val="right"/>
            </w:pPr>
            <w:r>
              <w:rPr>
                <w:rFonts w:hint="eastAsia"/>
              </w:rPr>
              <w:t>0.05%</w:t>
            </w:r>
          </w:p>
        </w:tc>
        <w:tc>
          <w:tcPr>
            <w:tcW w:w="1101" w:type="dxa"/>
            <w:vAlign w:val="center"/>
          </w:tcPr>
          <w:p w14:paraId="22089598">
            <w:pPr>
              <w:jc w:val="right"/>
            </w:pPr>
            <w:r>
              <w:rPr>
                <w:rFonts w:hint="eastAsia"/>
              </w:rPr>
              <w:t>4.38%</w:t>
            </w:r>
          </w:p>
        </w:tc>
        <w:tc>
          <w:tcPr>
            <w:tcW w:w="1207" w:type="dxa"/>
            <w:vAlign w:val="center"/>
          </w:tcPr>
          <w:p w14:paraId="32DDA623">
            <w:pPr>
              <w:jc w:val="right"/>
            </w:pPr>
            <w:r>
              <w:rPr>
                <w:rFonts w:hint="eastAsia"/>
              </w:rPr>
              <w:t>0.03%</w:t>
            </w:r>
          </w:p>
        </w:tc>
        <w:tc>
          <w:tcPr>
            <w:tcW w:w="1251" w:type="dxa"/>
            <w:vAlign w:val="center"/>
          </w:tcPr>
          <w:p w14:paraId="0D65205D">
            <w:pPr>
              <w:jc w:val="right"/>
            </w:pPr>
            <w:r>
              <w:rPr>
                <w:rFonts w:hint="eastAsia"/>
              </w:rPr>
              <w:t>4.02%</w:t>
            </w:r>
          </w:p>
        </w:tc>
        <w:tc>
          <w:tcPr>
            <w:tcW w:w="1218" w:type="dxa"/>
            <w:vAlign w:val="center"/>
          </w:tcPr>
          <w:p w14:paraId="2E4740F3">
            <w:pPr>
              <w:jc w:val="right"/>
            </w:pPr>
            <w:r>
              <w:rPr>
                <w:rFonts w:hint="eastAsia"/>
              </w:rPr>
              <w:t>0.02%</w:t>
            </w:r>
          </w:p>
        </w:tc>
      </w:tr>
      <w:tr w14:paraId="3227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6DDD61">
            <w:r>
              <w:rPr>
                <w:rFonts w:hint="eastAsia"/>
              </w:rPr>
              <w:t>过去五年</w:t>
            </w:r>
          </w:p>
        </w:tc>
        <w:tc>
          <w:tcPr>
            <w:tcW w:w="1101" w:type="dxa"/>
            <w:vAlign w:val="center"/>
          </w:tcPr>
          <w:p w14:paraId="5EBF5818">
            <w:pPr>
              <w:jc w:val="right"/>
            </w:pPr>
            <w:r>
              <w:rPr>
                <w:rFonts w:hint="eastAsia"/>
              </w:rPr>
              <w:t>16.99%</w:t>
            </w:r>
          </w:p>
        </w:tc>
        <w:tc>
          <w:tcPr>
            <w:tcW w:w="1101" w:type="dxa"/>
            <w:vAlign w:val="center"/>
          </w:tcPr>
          <w:p w14:paraId="2C672291">
            <w:pPr>
              <w:jc w:val="right"/>
            </w:pPr>
            <w:r>
              <w:rPr>
                <w:rFonts w:hint="eastAsia"/>
              </w:rPr>
              <w:t>0.04%</w:t>
            </w:r>
          </w:p>
        </w:tc>
        <w:tc>
          <w:tcPr>
            <w:tcW w:w="1101" w:type="dxa"/>
            <w:vAlign w:val="center"/>
          </w:tcPr>
          <w:p w14:paraId="0E1D1B70">
            <w:pPr>
              <w:jc w:val="right"/>
            </w:pPr>
            <w:r>
              <w:rPr>
                <w:rFonts w:hint="eastAsia"/>
              </w:rPr>
              <w:t>5.87%</w:t>
            </w:r>
          </w:p>
        </w:tc>
        <w:tc>
          <w:tcPr>
            <w:tcW w:w="1207" w:type="dxa"/>
            <w:vAlign w:val="center"/>
          </w:tcPr>
          <w:p w14:paraId="6E03243B">
            <w:pPr>
              <w:jc w:val="right"/>
            </w:pPr>
            <w:r>
              <w:rPr>
                <w:rFonts w:hint="eastAsia"/>
              </w:rPr>
              <w:t>0.03%</w:t>
            </w:r>
          </w:p>
        </w:tc>
        <w:tc>
          <w:tcPr>
            <w:tcW w:w="1251" w:type="dxa"/>
            <w:vAlign w:val="center"/>
          </w:tcPr>
          <w:p w14:paraId="4A94E007">
            <w:pPr>
              <w:jc w:val="right"/>
            </w:pPr>
            <w:r>
              <w:rPr>
                <w:rFonts w:hint="eastAsia"/>
              </w:rPr>
              <w:t>11.12%</w:t>
            </w:r>
          </w:p>
        </w:tc>
        <w:tc>
          <w:tcPr>
            <w:tcW w:w="1218" w:type="dxa"/>
            <w:vAlign w:val="center"/>
          </w:tcPr>
          <w:p w14:paraId="68BF2B67">
            <w:pPr>
              <w:jc w:val="right"/>
            </w:pPr>
            <w:r>
              <w:rPr>
                <w:rFonts w:hint="eastAsia"/>
              </w:rPr>
              <w:t>0.01%</w:t>
            </w:r>
          </w:p>
        </w:tc>
      </w:tr>
      <w:tr w14:paraId="6C0A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C658DE">
            <w:r>
              <w:rPr>
                <w:rFonts w:hint="eastAsia"/>
              </w:rPr>
              <w:t>自基金合同生效起至今</w:t>
            </w:r>
          </w:p>
        </w:tc>
        <w:tc>
          <w:tcPr>
            <w:tcW w:w="1101" w:type="dxa"/>
            <w:vAlign w:val="center"/>
          </w:tcPr>
          <w:p w14:paraId="6877673D">
            <w:pPr>
              <w:jc w:val="right"/>
            </w:pPr>
            <w:r>
              <w:rPr>
                <w:rFonts w:hint="eastAsia"/>
              </w:rPr>
              <w:t>19.45%</w:t>
            </w:r>
          </w:p>
        </w:tc>
        <w:tc>
          <w:tcPr>
            <w:tcW w:w="1101" w:type="dxa"/>
            <w:vAlign w:val="center"/>
          </w:tcPr>
          <w:p w14:paraId="5FA7D289">
            <w:pPr>
              <w:jc w:val="right"/>
            </w:pPr>
            <w:r>
              <w:rPr>
                <w:rFonts w:hint="eastAsia"/>
              </w:rPr>
              <w:t>0.05%</w:t>
            </w:r>
          </w:p>
        </w:tc>
        <w:tc>
          <w:tcPr>
            <w:tcW w:w="1101" w:type="dxa"/>
            <w:vAlign w:val="center"/>
          </w:tcPr>
          <w:p w14:paraId="5BAB4810">
            <w:pPr>
              <w:jc w:val="right"/>
            </w:pPr>
            <w:r>
              <w:rPr>
                <w:rFonts w:hint="eastAsia"/>
              </w:rPr>
              <w:t>6.22%</w:t>
            </w:r>
          </w:p>
        </w:tc>
        <w:tc>
          <w:tcPr>
            <w:tcW w:w="1207" w:type="dxa"/>
            <w:vAlign w:val="center"/>
          </w:tcPr>
          <w:p w14:paraId="2B7BA7D2">
            <w:pPr>
              <w:jc w:val="right"/>
            </w:pPr>
            <w:r>
              <w:rPr>
                <w:rFonts w:hint="eastAsia"/>
              </w:rPr>
              <w:t>0.03%</w:t>
            </w:r>
          </w:p>
        </w:tc>
        <w:tc>
          <w:tcPr>
            <w:tcW w:w="1251" w:type="dxa"/>
            <w:vAlign w:val="center"/>
          </w:tcPr>
          <w:p w14:paraId="4E5F2E1C">
            <w:pPr>
              <w:jc w:val="right"/>
            </w:pPr>
            <w:r>
              <w:rPr>
                <w:rFonts w:hint="eastAsia"/>
              </w:rPr>
              <w:t>13.23%</w:t>
            </w:r>
          </w:p>
        </w:tc>
        <w:tc>
          <w:tcPr>
            <w:tcW w:w="1218" w:type="dxa"/>
            <w:vAlign w:val="center"/>
          </w:tcPr>
          <w:p w14:paraId="7A38C6CA">
            <w:pPr>
              <w:jc w:val="right"/>
            </w:pPr>
            <w:r>
              <w:rPr>
                <w:rFonts w:hint="eastAsia"/>
              </w:rPr>
              <w:t>0.02%</w:t>
            </w:r>
          </w:p>
        </w:tc>
      </w:tr>
    </w:tbl>
    <w:p w14:paraId="7548137F">
      <w:pPr>
        <w:pStyle w:val="28"/>
      </w:pPr>
      <w:bookmarkStart w:id="15" w:name="_Toc15"/>
      <w:r>
        <w:t>自基金合同生效以来基金份额累计净值增长率变动及其与同期业绩比较基准收益率变动的比较</w:t>
      </w:r>
      <w:bookmarkEnd w:id="15"/>
    </w:p>
    <w:p w14:paraId="64EB5FDF">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2B0DEFC2">
      <w:pPr>
        <w:pStyle w:val="28"/>
      </w:pPr>
      <w:bookmarkStart w:id="16" w:name="_Toc16"/>
      <w:r>
        <w:t>过去五年以来基金每年净值增长率及其与同期业绩比较基准收益率的比较</w:t>
      </w:r>
      <w:bookmarkEnd w:id="16"/>
    </w:p>
    <w:p w14:paraId="659DCD31">
      <w:pPr>
        <w:jc w:val="center"/>
      </w:pPr>
      <w:r>
        <w:drawing>
          <wp:inline distT="0" distB="0" distL="114300" distR="114300">
            <wp:extent cx="5274310" cy="367347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3773"/>
                    </a:xfrm>
                    <a:prstGeom prst="rect">
                      <a:avLst/>
                    </a:prstGeom>
                  </pic:spPr>
                </pic:pic>
              </a:graphicData>
            </a:graphic>
          </wp:inline>
        </w:drawing>
      </w:r>
    </w:p>
    <w:p w14:paraId="612CA3F0">
      <w:pPr>
        <w:pStyle w:val="23"/>
      </w:pPr>
      <w:bookmarkStart w:id="17" w:name="_Toc3308"/>
      <w:r>
        <w:t>过去三年基金的利润分配情况</w:t>
      </w:r>
      <w:bookmarkEnd w:id="17"/>
    </w:p>
    <w:p w14:paraId="645A22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35A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F62F792">
            <w:pPr>
              <w:jc w:val="center"/>
            </w:pPr>
            <w:r>
              <w:rPr>
                <w:rFonts w:hint="eastAsia"/>
                <w:b/>
              </w:rPr>
              <w:t>年度</w:t>
            </w:r>
          </w:p>
        </w:tc>
        <w:tc>
          <w:tcPr>
            <w:tcW w:w="1384" w:type="dxa"/>
            <w:shd w:val="clear" w:color="auto" w:fill="BFBFBF"/>
            <w:vAlign w:val="center"/>
          </w:tcPr>
          <w:p w14:paraId="6E575080">
            <w:pPr>
              <w:jc w:val="center"/>
            </w:pPr>
            <w:r>
              <w:rPr>
                <w:rFonts w:hint="eastAsia"/>
                <w:b/>
              </w:rPr>
              <w:t>每10份基金份额分红数</w:t>
            </w:r>
          </w:p>
        </w:tc>
        <w:tc>
          <w:tcPr>
            <w:tcW w:w="1384" w:type="dxa"/>
            <w:shd w:val="clear" w:color="auto" w:fill="BFBFBF"/>
            <w:vAlign w:val="center"/>
          </w:tcPr>
          <w:p w14:paraId="05101023">
            <w:pPr>
              <w:jc w:val="center"/>
            </w:pPr>
            <w:r>
              <w:rPr>
                <w:rFonts w:hint="eastAsia"/>
                <w:b/>
              </w:rPr>
              <w:t>现金形式发放总额</w:t>
            </w:r>
          </w:p>
        </w:tc>
        <w:tc>
          <w:tcPr>
            <w:tcW w:w="1384" w:type="dxa"/>
            <w:shd w:val="clear" w:color="auto" w:fill="BFBFBF"/>
            <w:vAlign w:val="center"/>
          </w:tcPr>
          <w:p w14:paraId="18F6A10B">
            <w:pPr>
              <w:jc w:val="center"/>
            </w:pPr>
            <w:r>
              <w:rPr>
                <w:rFonts w:hint="eastAsia"/>
                <w:b/>
              </w:rPr>
              <w:t>再投资形式发放总额</w:t>
            </w:r>
          </w:p>
        </w:tc>
        <w:tc>
          <w:tcPr>
            <w:tcW w:w="1384" w:type="dxa"/>
            <w:shd w:val="clear" w:color="auto" w:fill="BFBFBF"/>
            <w:vAlign w:val="center"/>
          </w:tcPr>
          <w:p w14:paraId="7F436C94">
            <w:pPr>
              <w:jc w:val="center"/>
            </w:pPr>
            <w:r>
              <w:rPr>
                <w:rFonts w:hint="eastAsia"/>
                <w:b/>
              </w:rPr>
              <w:t>年度利润分配合计</w:t>
            </w:r>
          </w:p>
        </w:tc>
        <w:tc>
          <w:tcPr>
            <w:tcW w:w="1384" w:type="dxa"/>
            <w:shd w:val="clear" w:color="auto" w:fill="BFBFBF"/>
            <w:vAlign w:val="center"/>
          </w:tcPr>
          <w:p w14:paraId="513921B1">
            <w:pPr>
              <w:jc w:val="center"/>
            </w:pPr>
            <w:r>
              <w:rPr>
                <w:rFonts w:hint="eastAsia"/>
                <w:b/>
              </w:rPr>
              <w:t>备注</w:t>
            </w:r>
          </w:p>
        </w:tc>
      </w:tr>
      <w:tr w14:paraId="24B2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9B4E4">
            <w:r>
              <w:rPr>
                <w:rFonts w:hint="eastAsia"/>
              </w:rPr>
              <w:t>2025年</w:t>
            </w:r>
          </w:p>
        </w:tc>
        <w:tc>
          <w:tcPr>
            <w:tcW w:w="1384" w:type="dxa"/>
            <w:vAlign w:val="center"/>
          </w:tcPr>
          <w:p w14:paraId="1B550D36">
            <w:pPr>
              <w:jc w:val="right"/>
            </w:pPr>
            <w:r>
              <w:rPr>
                <w:rFonts w:hint="eastAsia"/>
              </w:rPr>
              <w:t>0.5500</w:t>
            </w:r>
          </w:p>
        </w:tc>
        <w:tc>
          <w:tcPr>
            <w:tcW w:w="1384" w:type="dxa"/>
            <w:vAlign w:val="center"/>
          </w:tcPr>
          <w:p w14:paraId="5ABFC948">
            <w:pPr>
              <w:jc w:val="right"/>
            </w:pPr>
            <w:r>
              <w:rPr>
                <w:rFonts w:hint="eastAsia"/>
              </w:rPr>
              <w:t>81,766,006.72</w:t>
            </w:r>
          </w:p>
        </w:tc>
        <w:tc>
          <w:tcPr>
            <w:tcW w:w="1384" w:type="dxa"/>
            <w:vAlign w:val="center"/>
          </w:tcPr>
          <w:p w14:paraId="6DE213EE">
            <w:pPr>
              <w:jc w:val="right"/>
            </w:pPr>
            <w:r>
              <w:rPr>
                <w:rFonts w:hint="eastAsia"/>
              </w:rPr>
              <w:t>94,294.67</w:t>
            </w:r>
          </w:p>
        </w:tc>
        <w:tc>
          <w:tcPr>
            <w:tcW w:w="1384" w:type="dxa"/>
            <w:vAlign w:val="center"/>
          </w:tcPr>
          <w:p w14:paraId="138D08F8">
            <w:pPr>
              <w:jc w:val="right"/>
            </w:pPr>
            <w:r>
              <w:rPr>
                <w:rFonts w:hint="eastAsia"/>
              </w:rPr>
              <w:t>81,860,301.39</w:t>
            </w:r>
          </w:p>
        </w:tc>
        <w:tc>
          <w:tcPr>
            <w:tcW w:w="1384" w:type="dxa"/>
            <w:vAlign w:val="center"/>
          </w:tcPr>
          <w:p w14:paraId="7ABEB9A0">
            <w:pPr>
              <w:jc w:val="right"/>
            </w:pPr>
            <w:r>
              <w:rPr>
                <w:rFonts w:hint="eastAsia"/>
              </w:rPr>
              <w:t>-</w:t>
            </w:r>
          </w:p>
        </w:tc>
      </w:tr>
      <w:tr w14:paraId="1D95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72E02">
            <w:r>
              <w:rPr>
                <w:rFonts w:hint="eastAsia"/>
              </w:rPr>
              <w:t>2024年</w:t>
            </w:r>
          </w:p>
        </w:tc>
        <w:tc>
          <w:tcPr>
            <w:tcW w:w="1384" w:type="dxa"/>
            <w:vAlign w:val="center"/>
          </w:tcPr>
          <w:p w14:paraId="47011B28">
            <w:pPr>
              <w:jc w:val="right"/>
            </w:pPr>
            <w:r>
              <w:rPr>
                <w:rFonts w:hint="eastAsia"/>
              </w:rPr>
              <w:t>-</w:t>
            </w:r>
          </w:p>
        </w:tc>
        <w:tc>
          <w:tcPr>
            <w:tcW w:w="1384" w:type="dxa"/>
            <w:vAlign w:val="center"/>
          </w:tcPr>
          <w:p w14:paraId="4E4059F6">
            <w:pPr>
              <w:jc w:val="right"/>
            </w:pPr>
            <w:r>
              <w:rPr>
                <w:rFonts w:hint="eastAsia"/>
              </w:rPr>
              <w:t>-</w:t>
            </w:r>
          </w:p>
        </w:tc>
        <w:tc>
          <w:tcPr>
            <w:tcW w:w="1384" w:type="dxa"/>
            <w:vAlign w:val="center"/>
          </w:tcPr>
          <w:p w14:paraId="7BCEA2F2">
            <w:pPr>
              <w:jc w:val="right"/>
            </w:pPr>
            <w:r>
              <w:rPr>
                <w:rFonts w:hint="eastAsia"/>
              </w:rPr>
              <w:t>-</w:t>
            </w:r>
          </w:p>
        </w:tc>
        <w:tc>
          <w:tcPr>
            <w:tcW w:w="1384" w:type="dxa"/>
            <w:vAlign w:val="center"/>
          </w:tcPr>
          <w:p w14:paraId="3CB6B115">
            <w:pPr>
              <w:jc w:val="right"/>
            </w:pPr>
            <w:r>
              <w:rPr>
                <w:rFonts w:hint="eastAsia"/>
              </w:rPr>
              <w:t>-</w:t>
            </w:r>
          </w:p>
        </w:tc>
        <w:tc>
          <w:tcPr>
            <w:tcW w:w="1384" w:type="dxa"/>
            <w:vAlign w:val="center"/>
          </w:tcPr>
          <w:p w14:paraId="3AFBB6E3">
            <w:pPr>
              <w:jc w:val="right"/>
            </w:pPr>
            <w:r>
              <w:rPr>
                <w:rFonts w:hint="eastAsia"/>
              </w:rPr>
              <w:t>-</w:t>
            </w:r>
          </w:p>
        </w:tc>
      </w:tr>
      <w:tr w14:paraId="31CF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A9446">
            <w:r>
              <w:rPr>
                <w:rFonts w:hint="eastAsia"/>
              </w:rPr>
              <w:t>2023年</w:t>
            </w:r>
          </w:p>
        </w:tc>
        <w:tc>
          <w:tcPr>
            <w:tcW w:w="1384" w:type="dxa"/>
            <w:vAlign w:val="center"/>
          </w:tcPr>
          <w:p w14:paraId="0174EE92">
            <w:pPr>
              <w:jc w:val="right"/>
            </w:pPr>
            <w:r>
              <w:rPr>
                <w:rFonts w:hint="eastAsia"/>
              </w:rPr>
              <w:t>0.3000</w:t>
            </w:r>
          </w:p>
        </w:tc>
        <w:tc>
          <w:tcPr>
            <w:tcW w:w="1384" w:type="dxa"/>
            <w:vAlign w:val="center"/>
          </w:tcPr>
          <w:p w14:paraId="759D6DC0">
            <w:pPr>
              <w:jc w:val="right"/>
            </w:pPr>
            <w:r>
              <w:rPr>
                <w:rFonts w:hint="eastAsia"/>
              </w:rPr>
              <w:t>44,355,557.50</w:t>
            </w:r>
          </w:p>
        </w:tc>
        <w:tc>
          <w:tcPr>
            <w:tcW w:w="1384" w:type="dxa"/>
            <w:vAlign w:val="center"/>
          </w:tcPr>
          <w:p w14:paraId="1C2BED24">
            <w:pPr>
              <w:jc w:val="right"/>
            </w:pPr>
            <w:r>
              <w:rPr>
                <w:rFonts w:hint="eastAsia"/>
              </w:rPr>
              <w:t>0.15</w:t>
            </w:r>
          </w:p>
        </w:tc>
        <w:tc>
          <w:tcPr>
            <w:tcW w:w="1384" w:type="dxa"/>
            <w:vAlign w:val="center"/>
          </w:tcPr>
          <w:p w14:paraId="09D5D620">
            <w:pPr>
              <w:jc w:val="right"/>
            </w:pPr>
            <w:r>
              <w:rPr>
                <w:rFonts w:hint="eastAsia"/>
              </w:rPr>
              <w:t>44,355,557.65</w:t>
            </w:r>
          </w:p>
        </w:tc>
        <w:tc>
          <w:tcPr>
            <w:tcW w:w="1384" w:type="dxa"/>
            <w:vAlign w:val="center"/>
          </w:tcPr>
          <w:p w14:paraId="50CE4A8F">
            <w:pPr>
              <w:jc w:val="right"/>
            </w:pPr>
            <w:r>
              <w:rPr>
                <w:rFonts w:hint="eastAsia"/>
              </w:rPr>
              <w:t>-</w:t>
            </w:r>
          </w:p>
        </w:tc>
      </w:tr>
      <w:tr w14:paraId="7956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53365">
            <w:r>
              <w:rPr>
                <w:rFonts w:hint="eastAsia"/>
              </w:rPr>
              <w:t>合计</w:t>
            </w:r>
          </w:p>
        </w:tc>
        <w:tc>
          <w:tcPr>
            <w:tcW w:w="1384" w:type="dxa"/>
            <w:vAlign w:val="center"/>
          </w:tcPr>
          <w:p w14:paraId="6FE7FE90">
            <w:pPr>
              <w:jc w:val="right"/>
            </w:pPr>
            <w:r>
              <w:rPr>
                <w:rFonts w:hint="eastAsia"/>
              </w:rPr>
              <w:t>0.8500</w:t>
            </w:r>
          </w:p>
        </w:tc>
        <w:tc>
          <w:tcPr>
            <w:tcW w:w="1384" w:type="dxa"/>
            <w:vAlign w:val="center"/>
          </w:tcPr>
          <w:p w14:paraId="16A8B864">
            <w:pPr>
              <w:jc w:val="right"/>
            </w:pPr>
            <w:r>
              <w:rPr>
                <w:rFonts w:hint="eastAsia"/>
              </w:rPr>
              <w:t>126,121,564.22</w:t>
            </w:r>
          </w:p>
        </w:tc>
        <w:tc>
          <w:tcPr>
            <w:tcW w:w="1384" w:type="dxa"/>
            <w:vAlign w:val="center"/>
          </w:tcPr>
          <w:p w14:paraId="41BCA6A9">
            <w:pPr>
              <w:jc w:val="right"/>
            </w:pPr>
            <w:r>
              <w:rPr>
                <w:rFonts w:hint="eastAsia"/>
              </w:rPr>
              <w:t>94,294.82</w:t>
            </w:r>
          </w:p>
        </w:tc>
        <w:tc>
          <w:tcPr>
            <w:tcW w:w="1384" w:type="dxa"/>
            <w:vAlign w:val="center"/>
          </w:tcPr>
          <w:p w14:paraId="6DE80423">
            <w:pPr>
              <w:jc w:val="right"/>
            </w:pPr>
            <w:r>
              <w:rPr>
                <w:rFonts w:hint="eastAsia"/>
              </w:rPr>
              <w:t>126,215,859.04</w:t>
            </w:r>
          </w:p>
        </w:tc>
        <w:tc>
          <w:tcPr>
            <w:tcW w:w="1384" w:type="dxa"/>
            <w:vAlign w:val="center"/>
          </w:tcPr>
          <w:p w14:paraId="4FF96F63">
            <w:pPr>
              <w:jc w:val="right"/>
            </w:pPr>
            <w:r>
              <w:rPr>
                <w:rFonts w:hint="eastAsia"/>
              </w:rPr>
              <w:t>-</w:t>
            </w:r>
          </w:p>
        </w:tc>
      </w:tr>
    </w:tbl>
    <w:p w14:paraId="178520C3">
      <w:pPr>
        <w:pStyle w:val="26"/>
      </w:pPr>
      <w:bookmarkStart w:id="18" w:name="_Toc6946"/>
      <w:r>
        <w:t>管理人报告</w:t>
      </w:r>
      <w:bookmarkEnd w:id="18"/>
    </w:p>
    <w:p w14:paraId="765DF608">
      <w:pPr>
        <w:pStyle w:val="23"/>
      </w:pPr>
      <w:bookmarkStart w:id="19" w:name="_Toc1404"/>
      <w:r>
        <w:t>基金管理人及基金经理情况</w:t>
      </w:r>
      <w:bookmarkEnd w:id="19"/>
    </w:p>
    <w:p w14:paraId="0D8B8F8A">
      <w:pPr>
        <w:pStyle w:val="28"/>
      </w:pPr>
      <w:bookmarkStart w:id="20" w:name="_Toc20"/>
      <w:r>
        <w:t>基金管理人及其管理基金的经验</w:t>
      </w:r>
      <w:bookmarkEnd w:id="20"/>
    </w:p>
    <w:p w14:paraId="72A5AA1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C2FCDE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C4F37B9">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1734D9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9A2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64C560D">
            <w:pPr>
              <w:jc w:val="center"/>
            </w:pPr>
            <w:r>
              <w:rPr>
                <w:rFonts w:hint="eastAsia"/>
                <w:b/>
              </w:rPr>
              <w:t>姓名</w:t>
            </w:r>
          </w:p>
        </w:tc>
        <w:tc>
          <w:tcPr>
            <w:tcW w:w="830" w:type="dxa"/>
            <w:vMerge w:val="restart"/>
            <w:shd w:val="clear" w:color="auto" w:fill="BFBFBF"/>
            <w:vAlign w:val="center"/>
          </w:tcPr>
          <w:p w14:paraId="11D5CFD3">
            <w:pPr>
              <w:jc w:val="center"/>
            </w:pPr>
            <w:r>
              <w:rPr>
                <w:rFonts w:hint="eastAsia"/>
                <w:b/>
              </w:rPr>
              <w:t>职务</w:t>
            </w:r>
          </w:p>
        </w:tc>
        <w:tc>
          <w:tcPr>
            <w:tcW w:w="1090" w:type="dxa"/>
            <w:gridSpan w:val="2"/>
            <w:shd w:val="clear" w:color="auto" w:fill="BFBFBF"/>
            <w:vAlign w:val="center"/>
          </w:tcPr>
          <w:p w14:paraId="10B35823">
            <w:pPr>
              <w:jc w:val="center"/>
            </w:pPr>
            <w:r>
              <w:rPr>
                <w:rFonts w:hint="eastAsia"/>
                <w:b/>
              </w:rPr>
              <w:t>任本基金的基金经理（助理）期限</w:t>
            </w:r>
          </w:p>
        </w:tc>
        <w:tc>
          <w:tcPr>
            <w:tcW w:w="686" w:type="dxa"/>
            <w:vMerge w:val="restart"/>
            <w:shd w:val="clear" w:color="auto" w:fill="BFBFBF"/>
            <w:vAlign w:val="center"/>
          </w:tcPr>
          <w:p w14:paraId="72CB400A">
            <w:pPr>
              <w:jc w:val="center"/>
            </w:pPr>
            <w:r>
              <w:rPr>
                <w:rFonts w:hint="eastAsia"/>
                <w:b/>
              </w:rPr>
              <w:t>证券从业年限</w:t>
            </w:r>
          </w:p>
        </w:tc>
        <w:tc>
          <w:tcPr>
            <w:tcW w:w="3765" w:type="dxa"/>
            <w:vMerge w:val="restart"/>
            <w:shd w:val="clear" w:color="auto" w:fill="BFBFBF"/>
            <w:vAlign w:val="center"/>
          </w:tcPr>
          <w:p w14:paraId="6A3828DF">
            <w:pPr>
              <w:jc w:val="center"/>
            </w:pPr>
            <w:r>
              <w:rPr>
                <w:rFonts w:hint="eastAsia"/>
                <w:b/>
              </w:rPr>
              <w:t>说明</w:t>
            </w:r>
          </w:p>
        </w:tc>
      </w:tr>
      <w:tr w14:paraId="42B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4446AEA"/>
        </w:tc>
        <w:tc>
          <w:tcPr>
            <w:tcW w:w="830" w:type="dxa"/>
            <w:vMerge w:val="continue"/>
            <w:vAlign w:val="center"/>
          </w:tcPr>
          <w:p w14:paraId="0896E29D"/>
        </w:tc>
        <w:tc>
          <w:tcPr>
            <w:tcW w:w="1090" w:type="dxa"/>
            <w:shd w:val="clear" w:color="auto" w:fill="BFBFBF"/>
            <w:vAlign w:val="center"/>
          </w:tcPr>
          <w:p w14:paraId="34A8E0AD">
            <w:pPr>
              <w:jc w:val="center"/>
            </w:pPr>
            <w:r>
              <w:rPr>
                <w:rFonts w:hint="eastAsia"/>
                <w:b/>
              </w:rPr>
              <w:t>任职日期</w:t>
            </w:r>
          </w:p>
        </w:tc>
        <w:tc>
          <w:tcPr>
            <w:tcW w:w="1090" w:type="dxa"/>
            <w:shd w:val="clear" w:color="auto" w:fill="BFBFBF"/>
            <w:vAlign w:val="center"/>
          </w:tcPr>
          <w:p w14:paraId="33462079">
            <w:pPr>
              <w:jc w:val="center"/>
            </w:pPr>
            <w:r>
              <w:rPr>
                <w:rFonts w:hint="eastAsia"/>
                <w:b/>
              </w:rPr>
              <w:t>离任日期</w:t>
            </w:r>
          </w:p>
        </w:tc>
        <w:tc>
          <w:tcPr>
            <w:tcW w:w="686" w:type="dxa"/>
            <w:vMerge w:val="continue"/>
            <w:vAlign w:val="center"/>
          </w:tcPr>
          <w:p w14:paraId="55584C4D"/>
        </w:tc>
        <w:tc>
          <w:tcPr>
            <w:tcW w:w="3765" w:type="dxa"/>
            <w:vMerge w:val="continue"/>
            <w:vAlign w:val="center"/>
          </w:tcPr>
          <w:p w14:paraId="4F197583"/>
        </w:tc>
      </w:tr>
      <w:tr w14:paraId="42B7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B2692CB">
            <w:r>
              <w:rPr>
                <w:rFonts w:hint="eastAsia"/>
              </w:rPr>
              <w:t>何康</w:t>
            </w:r>
          </w:p>
        </w:tc>
        <w:tc>
          <w:tcPr>
            <w:tcW w:w="830" w:type="dxa"/>
            <w:vAlign w:val="center"/>
          </w:tcPr>
          <w:p w14:paraId="63BA89B9">
            <w:r>
              <w:rPr>
                <w:rFonts w:hint="eastAsia"/>
              </w:rPr>
              <w:t>本基金基金经理</w:t>
            </w:r>
          </w:p>
        </w:tc>
        <w:tc>
          <w:tcPr>
            <w:tcW w:w="1090" w:type="dxa"/>
            <w:vAlign w:val="center"/>
          </w:tcPr>
          <w:p w14:paraId="2458B76C">
            <w:r>
              <w:rPr>
                <w:rFonts w:hint="eastAsia"/>
              </w:rPr>
              <w:t>2020年4月29日</w:t>
            </w:r>
          </w:p>
        </w:tc>
        <w:tc>
          <w:tcPr>
            <w:tcW w:w="1090" w:type="dxa"/>
            <w:vAlign w:val="center"/>
          </w:tcPr>
          <w:p w14:paraId="6991E294">
            <w:pPr>
              <w:jc w:val="right"/>
            </w:pPr>
            <w:r>
              <w:rPr>
                <w:rFonts w:hint="eastAsia"/>
              </w:rPr>
              <w:t>-</w:t>
            </w:r>
          </w:p>
        </w:tc>
        <w:tc>
          <w:tcPr>
            <w:tcW w:w="686" w:type="dxa"/>
            <w:vAlign w:val="center"/>
          </w:tcPr>
          <w:p w14:paraId="78F8A9EC">
            <w:r>
              <w:rPr>
                <w:rFonts w:hint="eastAsia"/>
              </w:rPr>
              <w:t>21年</w:t>
            </w:r>
          </w:p>
        </w:tc>
        <w:tc>
          <w:tcPr>
            <w:tcW w:w="3765" w:type="dxa"/>
            <w:vAlign w:val="center"/>
          </w:tcPr>
          <w:p w14:paraId="61F5E622">
            <w:pPr>
              <w:jc w:val="both"/>
            </w:pPr>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2013年11月12日至2016年8月5日，任南方丰元基金经理；2013年11月28日至2016年8月5日，任南方聚利基金经理；2014年4月25日至2016年8月5日，任南方通利基金经理；2015年2月10日至2016年8月5日，任南方双元基金经理。2017年6月加入南方基金；2017年8月10日至2019年2月26日，任南方聚利基金经理；2017年8月10日至2020年4月29日，任南方双元基金经理；2019年3月25日至2020年4月29日，任南方鑫利基金经理；2018年5月17日至2020年6月19日，任南方荣尊基金经理；2018年9月17日至2021年2月26日，任南方赢元基金经理；2018年11月21日至2022年6月24日，任南方吉元短债基金经理；2020年6月19日至2022年7月22日，任南方荣尊基金经理；2017年12月15日至2023年1月13日，任南方通利基金经理；2017年9月21日至2023年2月16日，任南方稳利1年定期开放债券基金经理；2022年7月25日至2023年9月1日，任南方晨利一年定开债券发起基金经理；2023年2月16日至2023年9月1日，任南方稳利1年持有债券基金经理；2019年2月26日至2023年10月20日，任南方臻元基金经理；2023年8月30日至2024年11月1日，任南方兴锦利一年定开债券发起基金经理；2023年8月4日至2024年11月8日，任南方臻利3个月定开债券发起基金经理；2024年6月19日至2025年6月3日，任南方集利18个月持有债券基金经理；2024年2月6日至2025年6月27日，任南方睿阳稳健添利6个月持有债券基金经理；2018年4月12日至今，任南方涪利基金经理；2019年7月31日至今，任南方恒新39个月基金经理；2020年4月29日至今，任南方远利基金经理；2022年1月27日至今，任南方通元6个月持有债券基金经理；2024年5月31日至今，任南方润元基金经理；2025年7月11日至今，任南方畅利定开债券发起基金经理；2025年12月17日至今，任南方定利一年定开债券基金经理。</w:t>
            </w:r>
          </w:p>
        </w:tc>
      </w:tr>
    </w:tbl>
    <w:p w14:paraId="678D359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13F8D4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2C1E7E5">
      <w:pPr>
        <w:pStyle w:val="28"/>
      </w:pPr>
      <w:bookmarkStart w:id="22" w:name="_Toc22"/>
      <w:r>
        <w:t>基金经理薪酬机制</w:t>
      </w:r>
      <w:bookmarkEnd w:id="22"/>
    </w:p>
    <w:p w14:paraId="166BD8F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6642447">
      <w:pPr>
        <w:pStyle w:val="23"/>
      </w:pPr>
      <w:bookmarkStart w:id="23" w:name="_Toc15211"/>
      <w:r>
        <w:t>管理人对报告期内本基金运作遵规守信情况的说明</w:t>
      </w:r>
      <w:bookmarkEnd w:id="23"/>
      <w:r>
        <w:t xml:space="preserve"> </w:t>
      </w:r>
    </w:p>
    <w:p w14:paraId="6BB651D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9E8DB12">
      <w:pPr>
        <w:pStyle w:val="23"/>
      </w:pPr>
      <w:bookmarkStart w:id="24" w:name="_Toc24285"/>
      <w:r>
        <w:t>管理人对报告期内公平交易情况的专项说明</w:t>
      </w:r>
      <w:bookmarkEnd w:id="24"/>
    </w:p>
    <w:p w14:paraId="2EBF98B6">
      <w:pPr>
        <w:pStyle w:val="28"/>
      </w:pPr>
      <w:bookmarkStart w:id="25" w:name="_Toc25"/>
      <w:r>
        <w:t>公平交易制度和控制方法</w:t>
      </w:r>
      <w:bookmarkEnd w:id="25"/>
    </w:p>
    <w:p w14:paraId="75256E2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BAAC490">
      <w:pPr>
        <w:pStyle w:val="28"/>
      </w:pPr>
      <w:bookmarkStart w:id="26" w:name="_Toc26"/>
      <w:r>
        <w:t>公平交易制度的执行情况</w:t>
      </w:r>
      <w:bookmarkEnd w:id="26"/>
    </w:p>
    <w:p w14:paraId="35F59D2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A25E87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05B03BA">
      <w:pPr>
        <w:pStyle w:val="35"/>
      </w:pPr>
      <w:bookmarkStart w:id="27" w:name="_Toc27"/>
      <w:r>
        <w:t>增加执行的基金经理公平交易制度执行情况及公平交易管理情况</w:t>
      </w:r>
      <w:bookmarkEnd w:id="27"/>
    </w:p>
    <w:p w14:paraId="4AA03F0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4081E6A">
      <w:pPr>
        <w:pStyle w:val="28"/>
      </w:pPr>
      <w:bookmarkStart w:id="28" w:name="_Toc28"/>
      <w:r>
        <w:t>异常交易行为的专项说明</w:t>
      </w:r>
      <w:bookmarkEnd w:id="28"/>
    </w:p>
    <w:p w14:paraId="12E7E2A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104A5AF">
      <w:pPr>
        <w:pStyle w:val="23"/>
      </w:pPr>
      <w:bookmarkStart w:id="29" w:name="_Toc30780"/>
      <w:r>
        <w:t>管理人对报告期内基金的投资策略和业绩表现的说明</w:t>
      </w:r>
      <w:bookmarkEnd w:id="29"/>
    </w:p>
    <w:p w14:paraId="6B2676E0">
      <w:pPr>
        <w:pStyle w:val="28"/>
      </w:pPr>
      <w:bookmarkStart w:id="30" w:name="_Toc30"/>
      <w:r>
        <w:t>报告期内基金投资策略和运作分析</w:t>
      </w:r>
      <w:bookmarkEnd w:id="30"/>
    </w:p>
    <w:p w14:paraId="58F8D2DD">
      <w:pPr>
        <w:pStyle w:val="18"/>
        <w:rPr>
          <w:rFonts w:hint="eastAsia"/>
        </w:rPr>
      </w:pPr>
      <w:r>
        <w:rPr>
          <w:rFonts w:hint="eastAsia"/>
        </w:rPr>
        <w:t>全年经济指标运行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央行下调公开市场操作逆回购利率一次，幅度为10BP，下调存款准备金率一次，幅度为0.5%。市场层面，2025年利率债收益率上行。其中，1年国债收益率上行25BP、1年国开收益率上行35BP，10年国债、10年国开收益率分别上行17BP、27BP。信用债方面，信用债整体表现优于同期限国开债，5年表现好于3年，AA好于AAA。</w:t>
      </w:r>
    </w:p>
    <w:p w14:paraId="0C44D802">
      <w:pPr>
        <w:pStyle w:val="18"/>
        <w:rPr>
          <w:rFonts w:hint="eastAsia"/>
        </w:rPr>
      </w:pPr>
      <w:r>
        <w:rPr>
          <w:rFonts w:hint="eastAsia"/>
        </w:rPr>
        <w:t>组合一季度维持中性偏低久期，通过精选相对高静态信用债获得超额回报；二季度初跟随市场逐步提高久期至中性水平，增配流动性相对较好的利率债、地方债，提升组合流动性；三季度维持偏高久期，通过小仓位波段操作增厚收益；四季度根据市场情况进行止盈，逐步降低组合杠杆至偏低水平，以应对市场波动加大的局面。</w:t>
      </w:r>
    </w:p>
    <w:p w14:paraId="7D888D7B">
      <w:pPr>
        <w:pStyle w:val="28"/>
      </w:pPr>
      <w:bookmarkStart w:id="31" w:name="_Toc31"/>
      <w:r>
        <w:t>报告期内基金的业绩表现</w:t>
      </w:r>
      <w:bookmarkEnd w:id="31"/>
    </w:p>
    <w:p w14:paraId="5A3396A7">
      <w:pPr>
        <w:pStyle w:val="18"/>
        <w:rPr>
          <w:rFonts w:hint="eastAsia"/>
        </w:rPr>
      </w:pPr>
      <w:r>
        <w:rPr>
          <w:rFonts w:hint="eastAsia"/>
        </w:rPr>
        <w:t>截至报告期末，本基金份额净值为1.0633元，报告期内，份额净值增长率为0.97%，同期业绩基准增长率为-0.03%。</w:t>
      </w:r>
    </w:p>
    <w:p w14:paraId="2E3A2CFD">
      <w:pPr>
        <w:pStyle w:val="23"/>
      </w:pPr>
      <w:bookmarkStart w:id="32" w:name="_Toc26286"/>
      <w:r>
        <w:t>管理人对宏观经济、证券市场及行业走势的简要展望</w:t>
      </w:r>
      <w:bookmarkEnd w:id="32"/>
    </w:p>
    <w:p w14:paraId="195AEEE9">
      <w:pPr>
        <w:pStyle w:val="18"/>
        <w:rPr>
          <w:rFonts w:hint="eastAsia"/>
        </w:rPr>
      </w:pPr>
      <w:r>
        <w:rPr>
          <w:rFonts w:hint="eastAsia"/>
        </w:rPr>
        <w:t>展望未来，我国经济基础稳、优势多、韧性强、潜能大。同时经济发展中老问题、新挑战仍然不少，外部环境变化影响加深，国内供强需弱矛盾突出，重点领域风险隐患较多。预计我国经济长期向好的支撑条件和基本趋势没有改变。稳就业、稳企业、稳市场、稳预期的政策将继续加码，宏观政策也会更加积极有为，实施更加积极的财政政策和适度宽松的货币政策。利率债收益率短期可能有所波动，但目前流动性水平依然充裕，配置需求仍在，同时利率曲线较为平坦，短端利率债有一定配置价值，长端利率债仍以交易价值为主。</w:t>
      </w:r>
    </w:p>
    <w:p w14:paraId="06DAAC0D">
      <w:pPr>
        <w:pStyle w:val="23"/>
      </w:pPr>
      <w:bookmarkStart w:id="33" w:name="_Toc23195"/>
      <w:r>
        <w:t>管理人内部有关本基金的监察稽核工作情况</w:t>
      </w:r>
      <w:bookmarkEnd w:id="33"/>
      <w:r>
        <w:t xml:space="preserve"> </w:t>
      </w:r>
    </w:p>
    <w:p w14:paraId="63B8265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EE30BF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1D5964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2810F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5FDF57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66488E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5EB4DD0">
      <w:pPr>
        <w:pStyle w:val="23"/>
      </w:pPr>
      <w:bookmarkStart w:id="34" w:name="_Toc13370"/>
      <w:r>
        <w:t>管理人对报告期内基金估值程序等事项的说明</w:t>
      </w:r>
      <w:bookmarkEnd w:id="34"/>
    </w:p>
    <w:p w14:paraId="36CADE7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44A5FEA">
      <w:pPr>
        <w:pStyle w:val="23"/>
      </w:pPr>
      <w:bookmarkStart w:id="35" w:name="_Toc28055"/>
      <w:r>
        <w:t>管理人对报告期内基金利润分配情况的说明</w:t>
      </w:r>
      <w:bookmarkEnd w:id="35"/>
      <w:r>
        <w:t xml:space="preserve"> </w:t>
      </w:r>
    </w:p>
    <w:p w14:paraId="00FB0FDB">
      <w:pPr>
        <w:pStyle w:val="18"/>
        <w:rPr>
          <w:rFonts w:hint="eastAsia"/>
        </w:rPr>
      </w:pPr>
      <w:r>
        <w:rPr>
          <w:rFonts w:hint="eastAsia"/>
        </w:rPr>
        <w:t>本报告期内本基金进行了收益分配，符合法律法规和基金合同约定。具体如下：</w:t>
      </w:r>
    </w:p>
    <w:p w14:paraId="50B9B26E">
      <w:pPr>
        <w:pStyle w:val="18"/>
        <w:rPr>
          <w:rFonts w:hint="eastAsia"/>
        </w:rPr>
      </w:pPr>
      <w:r>
        <w:rPr>
          <w:rFonts w:hint="eastAsia"/>
        </w:rPr>
        <w:t>权益登记日2025年4月18日，每10份基金份额分红数0.3500。</w:t>
      </w:r>
    </w:p>
    <w:p w14:paraId="6E5C0ED2">
      <w:pPr>
        <w:pStyle w:val="18"/>
        <w:rPr>
          <w:rFonts w:hint="eastAsia"/>
        </w:rPr>
      </w:pPr>
      <w:r>
        <w:rPr>
          <w:rFonts w:hint="eastAsia"/>
        </w:rPr>
        <w:t>权益登记日2025年12月5日，每10份基金份额分红数0.2000。</w:t>
      </w:r>
    </w:p>
    <w:p w14:paraId="27BF24CC">
      <w:pPr>
        <w:pStyle w:val="23"/>
      </w:pPr>
      <w:bookmarkStart w:id="36" w:name="_Toc31615"/>
      <w:r>
        <w:t>报告期内基金持有人数或基金资产净值预警说明</w:t>
      </w:r>
      <w:bookmarkEnd w:id="36"/>
    </w:p>
    <w:p w14:paraId="0FD0D5D1">
      <w:pPr>
        <w:pStyle w:val="18"/>
        <w:rPr>
          <w:rFonts w:hint="eastAsia"/>
        </w:rPr>
      </w:pPr>
      <w:r>
        <w:rPr>
          <w:rFonts w:hint="eastAsia"/>
        </w:rPr>
        <w:t>报告期内，本基金未出现连续二十个交易日基金份额持有人数量不满二百人或者基金资产净值低于五千万元的情形。</w:t>
      </w:r>
    </w:p>
    <w:p w14:paraId="42B6D25E">
      <w:pPr>
        <w:pStyle w:val="26"/>
      </w:pPr>
      <w:r>
        <w:t xml:space="preserve"> </w:t>
      </w:r>
      <w:bookmarkStart w:id="37" w:name="_Toc15806"/>
      <w:r>
        <w:t>托管人报告</w:t>
      </w:r>
      <w:bookmarkEnd w:id="37"/>
    </w:p>
    <w:p w14:paraId="2C8577C2">
      <w:pPr>
        <w:pStyle w:val="23"/>
      </w:pPr>
      <w:bookmarkStart w:id="38" w:name="_Toc9550"/>
      <w:r>
        <w:t>报告期内本基金托管人遵规守信情况声明</w:t>
      </w:r>
      <w:bookmarkEnd w:id="38"/>
    </w:p>
    <w:p w14:paraId="0C80DC0E">
      <w:pPr>
        <w:pStyle w:val="18"/>
        <w:rPr>
          <w:rFonts w:hint="eastAsia"/>
        </w:rPr>
      </w:pPr>
      <w:r>
        <w:rPr>
          <w:rFonts w:hint="eastAsia"/>
        </w:rPr>
        <w:t>本报告期内，本托管人在南方远利3个月定期开放债券型发起式证券投资基金（以下称“本基金”）的托管过程中，严格遵守《中华人民共和国证券投资基金法》及其他有关法律法规、基金合同和托管协议的有关规定，不存在损害基金份额持有人利益的行为，完全尽职尽责地履行了应尽的义务。</w:t>
      </w:r>
    </w:p>
    <w:p w14:paraId="3D370A8C">
      <w:pPr>
        <w:pStyle w:val="23"/>
      </w:pPr>
      <w:bookmarkStart w:id="39" w:name="_Toc19755"/>
      <w:r>
        <w:t>托管人对报告期内本基金投资运作遵规守信、净值计算、利润分配等情况的说明</w:t>
      </w:r>
      <w:bookmarkEnd w:id="39"/>
      <w:r>
        <w:t xml:space="preserve"> </w:t>
      </w:r>
    </w:p>
    <w:p w14:paraId="6B924362">
      <w:pPr>
        <w:pStyle w:val="18"/>
        <w:rPr>
          <w:rFonts w:hint="eastAsia"/>
        </w:rPr>
      </w:pPr>
      <w:r>
        <w:rPr>
          <w:rFonts w:hint="eastAsia"/>
        </w:rPr>
        <w:t>本报告期内，本托管人根据《中华人民共和国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E25EC84">
      <w:pPr>
        <w:pStyle w:val="23"/>
      </w:pPr>
      <w:bookmarkStart w:id="40" w:name="_Toc15772"/>
      <w:r>
        <w:t>托管人对本年度报告中财务信息等内容的真实、准确和完整发表意见</w:t>
      </w:r>
      <w:bookmarkEnd w:id="40"/>
    </w:p>
    <w:p w14:paraId="7A162406">
      <w:pPr>
        <w:pStyle w:val="18"/>
        <w:rPr>
          <w:rFonts w:hint="eastAsia"/>
        </w:rPr>
      </w:pPr>
      <w:r>
        <w:rPr>
          <w:rFonts w:hint="eastAsia"/>
        </w:rPr>
        <w:t>本报告中的财务指标、净值表现、收益分配情况、财务会计报告（注：“财务会计报告”中的“各关联方投资本基金的情况”、“金融工具风险及管理”部分以及“基金份额持有人信息”部分均未在托管人复核范围内）、投资组合报告等数据真实、准确和完整。</w:t>
      </w:r>
    </w:p>
    <w:p w14:paraId="3ADE2981">
      <w:pPr>
        <w:pStyle w:val="26"/>
      </w:pPr>
      <w:r>
        <w:t xml:space="preserve"> </w:t>
      </w:r>
      <w:bookmarkStart w:id="41" w:name="_Toc26911"/>
      <w:r>
        <w:t>审计报告</w:t>
      </w:r>
      <w:bookmarkEnd w:id="41"/>
      <w:r>
        <w:t xml:space="preserve"> </w:t>
      </w:r>
    </w:p>
    <w:p w14:paraId="1753D457">
      <w:pPr>
        <w:pStyle w:val="23"/>
      </w:pPr>
      <w:bookmarkStart w:id="42" w:name="_Toc441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47F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2EB563">
            <w:r>
              <w:rPr>
                <w:rFonts w:hint="eastAsia"/>
              </w:rPr>
              <w:t>财务报表是否经过审计</w:t>
            </w:r>
          </w:p>
        </w:tc>
        <w:tc>
          <w:tcPr>
            <w:tcW w:w="4153" w:type="dxa"/>
            <w:vAlign w:val="center"/>
          </w:tcPr>
          <w:p w14:paraId="17247976">
            <w:r>
              <w:rPr>
                <w:rFonts w:hint="eastAsia"/>
              </w:rPr>
              <w:t>是</w:t>
            </w:r>
          </w:p>
        </w:tc>
      </w:tr>
      <w:tr w14:paraId="778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855201">
            <w:r>
              <w:rPr>
                <w:rFonts w:hint="eastAsia"/>
              </w:rPr>
              <w:t>审计意见类型</w:t>
            </w:r>
          </w:p>
        </w:tc>
        <w:tc>
          <w:tcPr>
            <w:tcW w:w="4153" w:type="dxa"/>
            <w:vAlign w:val="center"/>
          </w:tcPr>
          <w:p w14:paraId="6EE6399B">
            <w:r>
              <w:rPr>
                <w:rFonts w:hint="eastAsia"/>
              </w:rPr>
              <w:t>标准无保留意见</w:t>
            </w:r>
          </w:p>
        </w:tc>
      </w:tr>
      <w:tr w14:paraId="05D83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065C01">
            <w:r>
              <w:rPr>
                <w:rFonts w:hint="eastAsia"/>
              </w:rPr>
              <w:t>审计报告编号</w:t>
            </w:r>
          </w:p>
        </w:tc>
        <w:tc>
          <w:tcPr>
            <w:tcW w:w="4153" w:type="dxa"/>
            <w:vAlign w:val="center"/>
          </w:tcPr>
          <w:p w14:paraId="4A6237D6">
            <w:r>
              <w:rPr>
                <w:rFonts w:hint="eastAsia"/>
              </w:rPr>
              <w:t>容诚审字[2026]200Z0784号</w:t>
            </w:r>
          </w:p>
        </w:tc>
      </w:tr>
    </w:tbl>
    <w:p w14:paraId="2482BA3D">
      <w:pPr>
        <w:pStyle w:val="23"/>
      </w:pPr>
      <w:bookmarkStart w:id="43" w:name="_Toc3001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A667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5736DDD">
            <w:pPr>
              <w:jc w:val="center"/>
            </w:pPr>
            <w:r>
              <w:rPr>
                <w:rFonts w:hint="eastAsia"/>
                <w:b/>
              </w:rPr>
              <w:t>审计报告标题</w:t>
            </w:r>
          </w:p>
        </w:tc>
        <w:tc>
          <w:tcPr>
            <w:tcW w:w="2491" w:type="dxa"/>
            <w:gridSpan w:val="2"/>
            <w:shd w:val="clear" w:color="auto" w:fill="BFBFBF"/>
            <w:vAlign w:val="center"/>
          </w:tcPr>
          <w:p w14:paraId="4F0A3D7F">
            <w:pPr>
              <w:jc w:val="center"/>
            </w:pPr>
            <w:r>
              <w:rPr>
                <w:rFonts w:hint="eastAsia"/>
                <w:b/>
              </w:rPr>
              <w:t>审计报告</w:t>
            </w:r>
          </w:p>
        </w:tc>
      </w:tr>
      <w:tr w14:paraId="0C50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BC1DAF">
            <w:r>
              <w:rPr>
                <w:rFonts w:hint="eastAsia"/>
              </w:rPr>
              <w:t>审计报告收件人</w:t>
            </w:r>
          </w:p>
        </w:tc>
        <w:tc>
          <w:tcPr>
            <w:tcW w:w="2491" w:type="dxa"/>
            <w:gridSpan w:val="2"/>
            <w:vAlign w:val="center"/>
          </w:tcPr>
          <w:p w14:paraId="0CB90BA4">
            <w:r>
              <w:rPr>
                <w:rFonts w:hint="eastAsia"/>
              </w:rPr>
              <w:t>南方远利3个月定期开放债券型发起式证券投资基金全体基金份额持有人</w:t>
            </w:r>
          </w:p>
        </w:tc>
      </w:tr>
      <w:tr w14:paraId="0006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1C5D67">
            <w:r>
              <w:rPr>
                <w:rFonts w:hint="eastAsia"/>
              </w:rPr>
              <w:t>审计意见</w:t>
            </w:r>
          </w:p>
        </w:tc>
        <w:tc>
          <w:tcPr>
            <w:tcW w:w="2491" w:type="dxa"/>
            <w:gridSpan w:val="2"/>
            <w:vAlign w:val="center"/>
          </w:tcPr>
          <w:p w14:paraId="7CF7AC97">
            <w:pPr>
              <w:jc w:val="both"/>
              <w:rPr>
                <w:rFonts w:hint="eastAsia"/>
              </w:rPr>
            </w:pPr>
            <w:r>
              <w:rPr>
                <w:rFonts w:hint="eastAsia"/>
              </w:rPr>
              <w:t>我们审计了南方远利3个月定期开放债券型发起式证券投资基金（以下简称“南方远利3个月定期开放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远利3个月定期开放债券发起式基金2025年12月31日的财务状况以及2025年度的经营成果和净资产变动情况。</w:t>
            </w:r>
          </w:p>
        </w:tc>
      </w:tr>
      <w:tr w14:paraId="41FC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8AFE53">
            <w:r>
              <w:rPr>
                <w:rFonts w:hint="eastAsia"/>
              </w:rPr>
              <w:t>形成审计意见的基础</w:t>
            </w:r>
          </w:p>
        </w:tc>
        <w:tc>
          <w:tcPr>
            <w:tcW w:w="2491" w:type="dxa"/>
            <w:gridSpan w:val="2"/>
            <w:vAlign w:val="center"/>
          </w:tcPr>
          <w:p w14:paraId="12BA2E3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远利3个月定期开放债券发起式基金，并遵守了独立性准则中适用于公众利益实体财务报表审计的规定，同时履行了职业道德方面的其他责任。我们相信，我们获取的审计证据是充分、适当的，为发表审计意见提供了基础。</w:t>
            </w:r>
          </w:p>
        </w:tc>
      </w:tr>
      <w:tr w14:paraId="13AB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E65354">
            <w:r>
              <w:rPr>
                <w:rFonts w:hint="eastAsia"/>
              </w:rPr>
              <w:t>强调事项</w:t>
            </w:r>
          </w:p>
        </w:tc>
        <w:tc>
          <w:tcPr>
            <w:tcW w:w="2491" w:type="dxa"/>
            <w:gridSpan w:val="2"/>
            <w:vAlign w:val="center"/>
          </w:tcPr>
          <w:p w14:paraId="4519CEEB">
            <w:pPr>
              <w:jc w:val="right"/>
            </w:pPr>
            <w:r>
              <w:rPr>
                <w:rFonts w:hint="eastAsia"/>
              </w:rPr>
              <w:t>-</w:t>
            </w:r>
          </w:p>
        </w:tc>
      </w:tr>
      <w:tr w14:paraId="304D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BED712">
            <w:r>
              <w:rPr>
                <w:rFonts w:hint="eastAsia"/>
              </w:rPr>
              <w:t>其他事项</w:t>
            </w:r>
          </w:p>
        </w:tc>
        <w:tc>
          <w:tcPr>
            <w:tcW w:w="2491" w:type="dxa"/>
            <w:gridSpan w:val="2"/>
            <w:vAlign w:val="center"/>
          </w:tcPr>
          <w:p w14:paraId="5511E4B7">
            <w:pPr>
              <w:jc w:val="right"/>
            </w:pPr>
            <w:r>
              <w:rPr>
                <w:rFonts w:hint="eastAsia"/>
              </w:rPr>
              <w:t>-</w:t>
            </w:r>
          </w:p>
        </w:tc>
      </w:tr>
      <w:tr w14:paraId="333A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5DC260">
            <w:r>
              <w:rPr>
                <w:rFonts w:hint="eastAsia"/>
              </w:rPr>
              <w:t>其他信息</w:t>
            </w:r>
          </w:p>
        </w:tc>
        <w:tc>
          <w:tcPr>
            <w:tcW w:w="2491" w:type="dxa"/>
            <w:gridSpan w:val="2"/>
            <w:vAlign w:val="center"/>
          </w:tcPr>
          <w:p w14:paraId="1AF8150C">
            <w:pPr>
              <w:jc w:val="both"/>
              <w:rPr>
                <w:rFonts w:hint="eastAsia"/>
              </w:rPr>
            </w:pPr>
            <w:r>
              <w:rPr>
                <w:rFonts w:hint="eastAsia"/>
              </w:rPr>
              <w:t>南方远利3个月定期开放债券发起式基金的基金管理人南方基金管理股份有限公司（以下简称“基金管理人”）管理层对其他信息负责。其他信息包括南方远利3个月定期开放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634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DAAE5B">
            <w:r>
              <w:rPr>
                <w:rFonts w:hint="eastAsia"/>
              </w:rPr>
              <w:t>管理层和治理层对财务报表的责任</w:t>
            </w:r>
          </w:p>
        </w:tc>
        <w:tc>
          <w:tcPr>
            <w:tcW w:w="2491" w:type="dxa"/>
            <w:gridSpan w:val="2"/>
            <w:vAlign w:val="center"/>
          </w:tcPr>
          <w:p w14:paraId="2367312E">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远利3个月定期开放债券发起式基金的持续经营能力，披露与持续经营相关的事项（如适用），并运用持续经营假设，除非基金管理人管理层计划清算南方远利3个月定期开放债券发起式基金、终止运营或别无其他现实的选择。
</w:t>
            </w:r>
            <w:r>
              <w:rPr>
                <w:rFonts w:hint="eastAsia"/>
              </w:rPr>
              <w:br w:type="textWrapping"/>
            </w:r>
            <w:r>
              <w:rPr>
                <w:rFonts w:hint="eastAsia"/>
              </w:rPr>
              <w:t>基金管理人治理层负责监督南方远利3个月定期开放债券发起式基金的财务报告过程。</w:t>
            </w:r>
          </w:p>
        </w:tc>
      </w:tr>
      <w:tr w14:paraId="35AC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21398DF">
            <w:r>
              <w:rPr>
                <w:rFonts w:hint="eastAsia"/>
              </w:rPr>
              <w:t>注册会计师对财务报表审计的责任</w:t>
            </w:r>
          </w:p>
        </w:tc>
        <w:tc>
          <w:tcPr>
            <w:tcW w:w="2491" w:type="dxa"/>
            <w:gridSpan w:val="2"/>
            <w:vAlign w:val="center"/>
          </w:tcPr>
          <w:p w14:paraId="7294FAFD">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远利3个月定期开放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远利3个月定期开放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0DB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79BD20">
            <w:r>
              <w:rPr>
                <w:rFonts w:hint="eastAsia"/>
              </w:rPr>
              <w:t>会计师事务所的名称</w:t>
            </w:r>
          </w:p>
        </w:tc>
        <w:tc>
          <w:tcPr>
            <w:tcW w:w="2491" w:type="dxa"/>
            <w:gridSpan w:val="2"/>
            <w:vAlign w:val="center"/>
          </w:tcPr>
          <w:p w14:paraId="1D9163EB">
            <w:r>
              <w:rPr>
                <w:rFonts w:hint="eastAsia"/>
              </w:rPr>
              <w:t>容诚会计师事务所（特殊普通合伙）</w:t>
            </w:r>
          </w:p>
        </w:tc>
      </w:tr>
      <w:tr w14:paraId="19CB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2A1290">
            <w:r>
              <w:rPr>
                <w:rFonts w:hint="eastAsia"/>
              </w:rPr>
              <w:t>注册会计师的姓名</w:t>
            </w:r>
          </w:p>
        </w:tc>
        <w:tc>
          <w:tcPr>
            <w:tcW w:w="2491" w:type="dxa"/>
            <w:vAlign w:val="center"/>
          </w:tcPr>
          <w:p w14:paraId="7A44DEB6">
            <w:r>
              <w:rPr>
                <w:rFonts w:hint="eastAsia"/>
              </w:rPr>
              <w:t>陈熹</w:t>
            </w:r>
          </w:p>
        </w:tc>
        <w:tc>
          <w:tcPr>
            <w:tcW w:w="2768" w:type="dxa"/>
            <w:vAlign w:val="center"/>
          </w:tcPr>
          <w:p w14:paraId="5E0DCD16">
            <w:r>
              <w:rPr>
                <w:rFonts w:hint="eastAsia"/>
              </w:rPr>
              <w:t>成磊</w:t>
            </w:r>
          </w:p>
        </w:tc>
      </w:tr>
      <w:tr w14:paraId="6959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C5C964">
            <w:r>
              <w:rPr>
                <w:rFonts w:hint="eastAsia"/>
              </w:rPr>
              <w:t>会计师事务所的地址</w:t>
            </w:r>
          </w:p>
        </w:tc>
        <w:tc>
          <w:tcPr>
            <w:tcW w:w="2491" w:type="dxa"/>
            <w:gridSpan w:val="2"/>
            <w:vAlign w:val="center"/>
          </w:tcPr>
          <w:p w14:paraId="31495AE6">
            <w:r>
              <w:rPr>
                <w:rFonts w:hint="eastAsia"/>
              </w:rPr>
              <w:t>北京市西城区阜成门外大街22号1幢10层1001-1至1001-26</w:t>
            </w:r>
          </w:p>
        </w:tc>
      </w:tr>
      <w:tr w14:paraId="6526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FBA8E9">
            <w:r>
              <w:rPr>
                <w:rFonts w:hint="eastAsia"/>
              </w:rPr>
              <w:t>审计报告日期</w:t>
            </w:r>
          </w:p>
        </w:tc>
        <w:tc>
          <w:tcPr>
            <w:tcW w:w="2491" w:type="dxa"/>
            <w:gridSpan w:val="2"/>
            <w:vAlign w:val="center"/>
          </w:tcPr>
          <w:p w14:paraId="3EBE0614">
            <w:r>
              <w:rPr>
                <w:rFonts w:hint="eastAsia"/>
              </w:rPr>
              <w:t>2026年3月27日</w:t>
            </w:r>
          </w:p>
        </w:tc>
      </w:tr>
    </w:tbl>
    <w:p w14:paraId="06F7D8E0">
      <w:pPr>
        <w:pStyle w:val="26"/>
      </w:pPr>
      <w:bookmarkStart w:id="44" w:name="_Toc24247"/>
      <w:r>
        <w:t>年度财务报表</w:t>
      </w:r>
      <w:bookmarkEnd w:id="44"/>
      <w:r>
        <w:t xml:space="preserve"> </w:t>
      </w:r>
    </w:p>
    <w:p w14:paraId="278FA726">
      <w:pPr>
        <w:pStyle w:val="23"/>
      </w:pPr>
      <w:bookmarkStart w:id="45" w:name="_Toc8695"/>
      <w:r>
        <w:t>资产负债表</w:t>
      </w:r>
      <w:bookmarkEnd w:id="45"/>
    </w:p>
    <w:p w14:paraId="1137AFE9">
      <w:pPr>
        <w:pStyle w:val="18"/>
        <w:rPr>
          <w:rFonts w:hint="eastAsia"/>
        </w:rPr>
      </w:pPr>
      <w:r>
        <w:rPr>
          <w:rFonts w:hint="eastAsia"/>
        </w:rPr>
        <w:t>会计主体：南方远利3个月定期开放债券型发起式证券投资基金</w:t>
      </w:r>
    </w:p>
    <w:p w14:paraId="7372F55D">
      <w:pPr>
        <w:pStyle w:val="18"/>
        <w:rPr>
          <w:rFonts w:hint="eastAsia"/>
        </w:rPr>
      </w:pPr>
      <w:r>
        <w:rPr>
          <w:rFonts w:hint="eastAsia"/>
        </w:rPr>
        <w:t>报告截止日：2025年12月31日</w:t>
      </w:r>
    </w:p>
    <w:p w14:paraId="6E03031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6D3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87A5A6">
            <w:r>
              <w:rPr>
                <w:rFonts w:hint="eastAsia"/>
              </w:rPr>
              <w:t>资产</w:t>
            </w:r>
          </w:p>
        </w:tc>
        <w:tc>
          <w:tcPr>
            <w:tcW w:w="1262" w:type="dxa"/>
            <w:vAlign w:val="center"/>
          </w:tcPr>
          <w:p w14:paraId="3D4E68C0">
            <w:r>
              <w:rPr>
                <w:rFonts w:hint="eastAsia"/>
              </w:rPr>
              <w:t>附注号</w:t>
            </w:r>
          </w:p>
        </w:tc>
        <w:tc>
          <w:tcPr>
            <w:tcW w:w="2289" w:type="dxa"/>
            <w:vAlign w:val="center"/>
          </w:tcPr>
          <w:p w14:paraId="4537787B">
            <w:r>
              <w:rPr>
                <w:rFonts w:hint="eastAsia"/>
              </w:rPr>
              <w:t>本期末2025年12月31日</w:t>
            </w:r>
          </w:p>
        </w:tc>
        <w:tc>
          <w:tcPr>
            <w:tcW w:w="2295" w:type="dxa"/>
            <w:vAlign w:val="center"/>
          </w:tcPr>
          <w:p w14:paraId="7A91582E">
            <w:r>
              <w:rPr>
                <w:rFonts w:hint="eastAsia"/>
              </w:rPr>
              <w:t>上年度末2024年12月31日</w:t>
            </w:r>
          </w:p>
        </w:tc>
      </w:tr>
      <w:tr w14:paraId="6BA8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440120">
            <w:r>
              <w:rPr>
                <w:rFonts w:hint="eastAsia"/>
              </w:rPr>
              <w:t>资产：</w:t>
            </w:r>
          </w:p>
        </w:tc>
        <w:tc>
          <w:tcPr>
            <w:tcW w:w="1262" w:type="dxa"/>
            <w:vAlign w:val="center"/>
          </w:tcPr>
          <w:p w14:paraId="61FB7F98"/>
        </w:tc>
        <w:tc>
          <w:tcPr>
            <w:tcW w:w="2289" w:type="dxa"/>
            <w:vAlign w:val="center"/>
          </w:tcPr>
          <w:p w14:paraId="6BB317A2"/>
        </w:tc>
        <w:tc>
          <w:tcPr>
            <w:tcW w:w="2295" w:type="dxa"/>
            <w:vAlign w:val="center"/>
          </w:tcPr>
          <w:p w14:paraId="762DBC9D"/>
        </w:tc>
      </w:tr>
      <w:tr w14:paraId="619E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93D64A">
            <w:r>
              <w:rPr>
                <w:rFonts w:hint="eastAsia"/>
              </w:rPr>
              <w:t>货币资金</w:t>
            </w:r>
          </w:p>
        </w:tc>
        <w:tc>
          <w:tcPr>
            <w:tcW w:w="1262" w:type="dxa"/>
            <w:vAlign w:val="center"/>
          </w:tcPr>
          <w:p w14:paraId="229E23C3">
            <w:r>
              <w:rPr>
                <w:rFonts w:hint="eastAsia"/>
              </w:rPr>
              <w:t>7.4.7.1</w:t>
            </w:r>
          </w:p>
        </w:tc>
        <w:tc>
          <w:tcPr>
            <w:tcW w:w="2289" w:type="dxa"/>
            <w:vAlign w:val="center"/>
          </w:tcPr>
          <w:p w14:paraId="60E5D33E">
            <w:pPr>
              <w:jc w:val="right"/>
            </w:pPr>
            <w:r>
              <w:rPr>
                <w:rFonts w:hint="eastAsia"/>
              </w:rPr>
              <w:t>1,467,515.15</w:t>
            </w:r>
          </w:p>
        </w:tc>
        <w:tc>
          <w:tcPr>
            <w:tcW w:w="2295" w:type="dxa"/>
            <w:vAlign w:val="center"/>
          </w:tcPr>
          <w:p w14:paraId="515B331F">
            <w:pPr>
              <w:jc w:val="right"/>
            </w:pPr>
            <w:r>
              <w:rPr>
                <w:rFonts w:hint="eastAsia"/>
              </w:rPr>
              <w:t>1,217,321.83</w:t>
            </w:r>
          </w:p>
        </w:tc>
      </w:tr>
      <w:tr w14:paraId="2696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9E407">
            <w:r>
              <w:rPr>
                <w:rFonts w:hint="eastAsia"/>
              </w:rPr>
              <w:t>结算备付金</w:t>
            </w:r>
          </w:p>
        </w:tc>
        <w:tc>
          <w:tcPr>
            <w:tcW w:w="1262" w:type="dxa"/>
            <w:vAlign w:val="center"/>
          </w:tcPr>
          <w:p w14:paraId="35966B07"/>
        </w:tc>
        <w:tc>
          <w:tcPr>
            <w:tcW w:w="2289" w:type="dxa"/>
            <w:vAlign w:val="center"/>
          </w:tcPr>
          <w:p w14:paraId="18F4CF06">
            <w:pPr>
              <w:jc w:val="right"/>
            </w:pPr>
            <w:r>
              <w:rPr>
                <w:rFonts w:hint="eastAsia"/>
              </w:rPr>
              <w:t>106,612.61</w:t>
            </w:r>
          </w:p>
        </w:tc>
        <w:tc>
          <w:tcPr>
            <w:tcW w:w="2295" w:type="dxa"/>
            <w:vAlign w:val="center"/>
          </w:tcPr>
          <w:p w14:paraId="1235F1E6">
            <w:pPr>
              <w:jc w:val="right"/>
            </w:pPr>
            <w:r>
              <w:rPr>
                <w:rFonts w:hint="eastAsia"/>
              </w:rPr>
              <w:t>-</w:t>
            </w:r>
          </w:p>
        </w:tc>
      </w:tr>
      <w:tr w14:paraId="1563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31922">
            <w:r>
              <w:rPr>
                <w:rFonts w:hint="eastAsia"/>
              </w:rPr>
              <w:t>存出保证金</w:t>
            </w:r>
          </w:p>
        </w:tc>
        <w:tc>
          <w:tcPr>
            <w:tcW w:w="1262" w:type="dxa"/>
            <w:vAlign w:val="center"/>
          </w:tcPr>
          <w:p w14:paraId="1F993FD6"/>
        </w:tc>
        <w:tc>
          <w:tcPr>
            <w:tcW w:w="2289" w:type="dxa"/>
            <w:vAlign w:val="center"/>
          </w:tcPr>
          <w:p w14:paraId="0D24C1C7">
            <w:pPr>
              <w:jc w:val="right"/>
            </w:pPr>
            <w:r>
              <w:rPr>
                <w:rFonts w:hint="eastAsia"/>
              </w:rPr>
              <w:t>14,382.93</w:t>
            </w:r>
          </w:p>
        </w:tc>
        <w:tc>
          <w:tcPr>
            <w:tcW w:w="2295" w:type="dxa"/>
            <w:vAlign w:val="center"/>
          </w:tcPr>
          <w:p w14:paraId="2EC05A87">
            <w:pPr>
              <w:jc w:val="right"/>
            </w:pPr>
            <w:r>
              <w:rPr>
                <w:rFonts w:hint="eastAsia"/>
              </w:rPr>
              <w:t>18,707.84</w:t>
            </w:r>
          </w:p>
        </w:tc>
      </w:tr>
      <w:tr w14:paraId="44E38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34FB7">
            <w:r>
              <w:rPr>
                <w:rFonts w:hint="eastAsia"/>
              </w:rPr>
              <w:t>交易性金融资产</w:t>
            </w:r>
          </w:p>
        </w:tc>
        <w:tc>
          <w:tcPr>
            <w:tcW w:w="1262" w:type="dxa"/>
            <w:vAlign w:val="center"/>
          </w:tcPr>
          <w:p w14:paraId="032A1886">
            <w:r>
              <w:rPr>
                <w:rFonts w:hint="eastAsia"/>
              </w:rPr>
              <w:t>7.4.7.2</w:t>
            </w:r>
          </w:p>
        </w:tc>
        <w:tc>
          <w:tcPr>
            <w:tcW w:w="2289" w:type="dxa"/>
            <w:vAlign w:val="center"/>
          </w:tcPr>
          <w:p w14:paraId="1751092F">
            <w:pPr>
              <w:jc w:val="right"/>
            </w:pPr>
            <w:r>
              <w:rPr>
                <w:rFonts w:hint="eastAsia"/>
              </w:rPr>
              <w:t>1,149,118,371.38</w:t>
            </w:r>
          </w:p>
        </w:tc>
        <w:tc>
          <w:tcPr>
            <w:tcW w:w="2295" w:type="dxa"/>
            <w:vAlign w:val="center"/>
          </w:tcPr>
          <w:p w14:paraId="282E3324">
            <w:pPr>
              <w:jc w:val="right"/>
            </w:pPr>
            <w:r>
              <w:rPr>
                <w:rFonts w:hint="eastAsia"/>
              </w:rPr>
              <w:t>1,994,397,248.37</w:t>
            </w:r>
          </w:p>
        </w:tc>
      </w:tr>
      <w:tr w14:paraId="10D1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B175E">
            <w:r>
              <w:rPr>
                <w:rFonts w:hint="eastAsia"/>
              </w:rPr>
              <w:t>其中：股票投资</w:t>
            </w:r>
          </w:p>
        </w:tc>
        <w:tc>
          <w:tcPr>
            <w:tcW w:w="1262" w:type="dxa"/>
            <w:vAlign w:val="center"/>
          </w:tcPr>
          <w:p w14:paraId="25D7A1D7"/>
        </w:tc>
        <w:tc>
          <w:tcPr>
            <w:tcW w:w="2289" w:type="dxa"/>
            <w:vAlign w:val="center"/>
          </w:tcPr>
          <w:p w14:paraId="23A58C10">
            <w:pPr>
              <w:jc w:val="right"/>
            </w:pPr>
            <w:r>
              <w:rPr>
                <w:rFonts w:hint="eastAsia"/>
              </w:rPr>
              <w:t>-</w:t>
            </w:r>
          </w:p>
        </w:tc>
        <w:tc>
          <w:tcPr>
            <w:tcW w:w="2295" w:type="dxa"/>
            <w:vAlign w:val="center"/>
          </w:tcPr>
          <w:p w14:paraId="53786CDD">
            <w:pPr>
              <w:jc w:val="right"/>
            </w:pPr>
            <w:r>
              <w:rPr>
                <w:rFonts w:hint="eastAsia"/>
              </w:rPr>
              <w:t>-</w:t>
            </w:r>
          </w:p>
        </w:tc>
      </w:tr>
      <w:tr w14:paraId="23F4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8BF14">
            <w:r>
              <w:rPr>
                <w:rFonts w:hint="eastAsia"/>
              </w:rPr>
              <w:t xml:space="preserve">      基金投资</w:t>
            </w:r>
          </w:p>
        </w:tc>
        <w:tc>
          <w:tcPr>
            <w:tcW w:w="1262" w:type="dxa"/>
            <w:vAlign w:val="center"/>
          </w:tcPr>
          <w:p w14:paraId="7388F7FF"/>
        </w:tc>
        <w:tc>
          <w:tcPr>
            <w:tcW w:w="2289" w:type="dxa"/>
            <w:vAlign w:val="center"/>
          </w:tcPr>
          <w:p w14:paraId="19FE6864">
            <w:pPr>
              <w:jc w:val="right"/>
            </w:pPr>
            <w:r>
              <w:rPr>
                <w:rFonts w:hint="eastAsia"/>
              </w:rPr>
              <w:t>-</w:t>
            </w:r>
          </w:p>
        </w:tc>
        <w:tc>
          <w:tcPr>
            <w:tcW w:w="2295" w:type="dxa"/>
            <w:vAlign w:val="center"/>
          </w:tcPr>
          <w:p w14:paraId="156369AE">
            <w:pPr>
              <w:jc w:val="right"/>
            </w:pPr>
            <w:r>
              <w:rPr>
                <w:rFonts w:hint="eastAsia"/>
              </w:rPr>
              <w:t>-</w:t>
            </w:r>
          </w:p>
        </w:tc>
      </w:tr>
      <w:tr w14:paraId="3177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B6D83">
            <w:r>
              <w:rPr>
                <w:rFonts w:hint="eastAsia"/>
              </w:rPr>
              <w:t xml:space="preserve">      债券投资</w:t>
            </w:r>
          </w:p>
        </w:tc>
        <w:tc>
          <w:tcPr>
            <w:tcW w:w="1262" w:type="dxa"/>
            <w:vAlign w:val="center"/>
          </w:tcPr>
          <w:p w14:paraId="0FB65CFA"/>
        </w:tc>
        <w:tc>
          <w:tcPr>
            <w:tcW w:w="2289" w:type="dxa"/>
            <w:vAlign w:val="center"/>
          </w:tcPr>
          <w:p w14:paraId="7DA4515E">
            <w:pPr>
              <w:jc w:val="right"/>
            </w:pPr>
            <w:r>
              <w:rPr>
                <w:rFonts w:hint="eastAsia"/>
              </w:rPr>
              <w:t>1,149,118,371.38</w:t>
            </w:r>
          </w:p>
        </w:tc>
        <w:tc>
          <w:tcPr>
            <w:tcW w:w="2295" w:type="dxa"/>
            <w:vAlign w:val="center"/>
          </w:tcPr>
          <w:p w14:paraId="234A9A21">
            <w:pPr>
              <w:jc w:val="right"/>
            </w:pPr>
            <w:r>
              <w:rPr>
                <w:rFonts w:hint="eastAsia"/>
              </w:rPr>
              <w:t>1,994,397,248.37</w:t>
            </w:r>
          </w:p>
        </w:tc>
      </w:tr>
      <w:tr w14:paraId="1FA47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FB803">
            <w:r>
              <w:rPr>
                <w:rFonts w:hint="eastAsia"/>
              </w:rPr>
              <w:t xml:space="preserve">      资产支持证券投资</w:t>
            </w:r>
          </w:p>
        </w:tc>
        <w:tc>
          <w:tcPr>
            <w:tcW w:w="1262" w:type="dxa"/>
            <w:vAlign w:val="center"/>
          </w:tcPr>
          <w:p w14:paraId="12338206"/>
        </w:tc>
        <w:tc>
          <w:tcPr>
            <w:tcW w:w="2289" w:type="dxa"/>
            <w:vAlign w:val="center"/>
          </w:tcPr>
          <w:p w14:paraId="57A00895">
            <w:pPr>
              <w:jc w:val="right"/>
            </w:pPr>
            <w:r>
              <w:rPr>
                <w:rFonts w:hint="eastAsia"/>
              </w:rPr>
              <w:t>-</w:t>
            </w:r>
          </w:p>
        </w:tc>
        <w:tc>
          <w:tcPr>
            <w:tcW w:w="2295" w:type="dxa"/>
            <w:vAlign w:val="center"/>
          </w:tcPr>
          <w:p w14:paraId="611FA6C6">
            <w:pPr>
              <w:jc w:val="right"/>
            </w:pPr>
            <w:r>
              <w:rPr>
                <w:rFonts w:hint="eastAsia"/>
              </w:rPr>
              <w:t>-</w:t>
            </w:r>
          </w:p>
        </w:tc>
      </w:tr>
      <w:tr w14:paraId="0663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1E136">
            <w:r>
              <w:rPr>
                <w:rFonts w:hint="eastAsia"/>
              </w:rPr>
              <w:t xml:space="preserve">      贵金属投资</w:t>
            </w:r>
          </w:p>
        </w:tc>
        <w:tc>
          <w:tcPr>
            <w:tcW w:w="1262" w:type="dxa"/>
            <w:vAlign w:val="center"/>
          </w:tcPr>
          <w:p w14:paraId="15B60751"/>
        </w:tc>
        <w:tc>
          <w:tcPr>
            <w:tcW w:w="2289" w:type="dxa"/>
            <w:vAlign w:val="center"/>
          </w:tcPr>
          <w:p w14:paraId="545E1298">
            <w:pPr>
              <w:jc w:val="right"/>
            </w:pPr>
            <w:r>
              <w:rPr>
                <w:rFonts w:hint="eastAsia"/>
              </w:rPr>
              <w:t>-</w:t>
            </w:r>
          </w:p>
        </w:tc>
        <w:tc>
          <w:tcPr>
            <w:tcW w:w="2295" w:type="dxa"/>
            <w:vAlign w:val="center"/>
          </w:tcPr>
          <w:p w14:paraId="650AE3C1">
            <w:pPr>
              <w:jc w:val="right"/>
            </w:pPr>
            <w:r>
              <w:rPr>
                <w:rFonts w:hint="eastAsia"/>
              </w:rPr>
              <w:t>-</w:t>
            </w:r>
          </w:p>
        </w:tc>
      </w:tr>
      <w:tr w14:paraId="61DB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55C52">
            <w:r>
              <w:rPr>
                <w:rFonts w:hint="eastAsia"/>
              </w:rPr>
              <w:t xml:space="preserve">      其他投资</w:t>
            </w:r>
          </w:p>
        </w:tc>
        <w:tc>
          <w:tcPr>
            <w:tcW w:w="1262" w:type="dxa"/>
            <w:vAlign w:val="center"/>
          </w:tcPr>
          <w:p w14:paraId="77B6C2E0"/>
        </w:tc>
        <w:tc>
          <w:tcPr>
            <w:tcW w:w="2289" w:type="dxa"/>
            <w:vAlign w:val="center"/>
          </w:tcPr>
          <w:p w14:paraId="07DB630C">
            <w:pPr>
              <w:jc w:val="right"/>
            </w:pPr>
            <w:r>
              <w:rPr>
                <w:rFonts w:hint="eastAsia"/>
              </w:rPr>
              <w:t>-</w:t>
            </w:r>
          </w:p>
        </w:tc>
        <w:tc>
          <w:tcPr>
            <w:tcW w:w="2295" w:type="dxa"/>
            <w:vAlign w:val="center"/>
          </w:tcPr>
          <w:p w14:paraId="308EF700">
            <w:pPr>
              <w:jc w:val="right"/>
            </w:pPr>
            <w:r>
              <w:rPr>
                <w:rFonts w:hint="eastAsia"/>
              </w:rPr>
              <w:t>-</w:t>
            </w:r>
          </w:p>
        </w:tc>
      </w:tr>
      <w:tr w14:paraId="436B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76C93">
            <w:r>
              <w:rPr>
                <w:rFonts w:hint="eastAsia"/>
              </w:rPr>
              <w:t>衍生金融资产</w:t>
            </w:r>
          </w:p>
        </w:tc>
        <w:tc>
          <w:tcPr>
            <w:tcW w:w="1262" w:type="dxa"/>
            <w:vAlign w:val="center"/>
          </w:tcPr>
          <w:p w14:paraId="6EE25072">
            <w:r>
              <w:rPr>
                <w:rFonts w:hint="eastAsia"/>
              </w:rPr>
              <w:t>7.4.7.3</w:t>
            </w:r>
          </w:p>
        </w:tc>
        <w:tc>
          <w:tcPr>
            <w:tcW w:w="2289" w:type="dxa"/>
            <w:vAlign w:val="center"/>
          </w:tcPr>
          <w:p w14:paraId="147C7495">
            <w:pPr>
              <w:jc w:val="right"/>
            </w:pPr>
            <w:r>
              <w:rPr>
                <w:rFonts w:hint="eastAsia"/>
              </w:rPr>
              <w:t>-</w:t>
            </w:r>
          </w:p>
        </w:tc>
        <w:tc>
          <w:tcPr>
            <w:tcW w:w="2295" w:type="dxa"/>
            <w:vAlign w:val="center"/>
          </w:tcPr>
          <w:p w14:paraId="55CDB972">
            <w:pPr>
              <w:jc w:val="right"/>
            </w:pPr>
            <w:r>
              <w:rPr>
                <w:rFonts w:hint="eastAsia"/>
              </w:rPr>
              <w:t>-</w:t>
            </w:r>
          </w:p>
        </w:tc>
      </w:tr>
      <w:tr w14:paraId="548C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64161">
            <w:r>
              <w:rPr>
                <w:rFonts w:hint="eastAsia"/>
              </w:rPr>
              <w:t>买入返售金融资产</w:t>
            </w:r>
          </w:p>
        </w:tc>
        <w:tc>
          <w:tcPr>
            <w:tcW w:w="1262" w:type="dxa"/>
            <w:vAlign w:val="center"/>
          </w:tcPr>
          <w:p w14:paraId="4819375D">
            <w:r>
              <w:rPr>
                <w:rFonts w:hint="eastAsia"/>
              </w:rPr>
              <w:t>7.4.7.4</w:t>
            </w:r>
          </w:p>
        </w:tc>
        <w:tc>
          <w:tcPr>
            <w:tcW w:w="2289" w:type="dxa"/>
            <w:vAlign w:val="center"/>
          </w:tcPr>
          <w:p w14:paraId="4D7FA74B">
            <w:pPr>
              <w:jc w:val="right"/>
            </w:pPr>
            <w:r>
              <w:rPr>
                <w:rFonts w:hint="eastAsia"/>
              </w:rPr>
              <w:t>-</w:t>
            </w:r>
          </w:p>
        </w:tc>
        <w:tc>
          <w:tcPr>
            <w:tcW w:w="2295" w:type="dxa"/>
            <w:vAlign w:val="center"/>
          </w:tcPr>
          <w:p w14:paraId="417200B4">
            <w:pPr>
              <w:jc w:val="right"/>
            </w:pPr>
            <w:r>
              <w:rPr>
                <w:rFonts w:hint="eastAsia"/>
              </w:rPr>
              <w:t>10,000,691.06</w:t>
            </w:r>
          </w:p>
        </w:tc>
      </w:tr>
      <w:tr w14:paraId="2430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964C6">
            <w:r>
              <w:rPr>
                <w:rFonts w:hint="eastAsia"/>
              </w:rPr>
              <w:t>债权投资</w:t>
            </w:r>
          </w:p>
        </w:tc>
        <w:tc>
          <w:tcPr>
            <w:tcW w:w="1262" w:type="dxa"/>
            <w:vAlign w:val="center"/>
          </w:tcPr>
          <w:p w14:paraId="65F5F60B"/>
        </w:tc>
        <w:tc>
          <w:tcPr>
            <w:tcW w:w="2289" w:type="dxa"/>
            <w:vAlign w:val="center"/>
          </w:tcPr>
          <w:p w14:paraId="71F80A48">
            <w:pPr>
              <w:jc w:val="right"/>
            </w:pPr>
            <w:r>
              <w:rPr>
                <w:rFonts w:hint="eastAsia"/>
              </w:rPr>
              <w:t>-</w:t>
            </w:r>
          </w:p>
        </w:tc>
        <w:tc>
          <w:tcPr>
            <w:tcW w:w="2295" w:type="dxa"/>
            <w:vAlign w:val="center"/>
          </w:tcPr>
          <w:p w14:paraId="776D4746">
            <w:pPr>
              <w:jc w:val="right"/>
            </w:pPr>
            <w:r>
              <w:rPr>
                <w:rFonts w:hint="eastAsia"/>
              </w:rPr>
              <w:t>-</w:t>
            </w:r>
          </w:p>
        </w:tc>
      </w:tr>
      <w:tr w14:paraId="6FE7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29A19">
            <w:r>
              <w:rPr>
                <w:rFonts w:hint="eastAsia"/>
              </w:rPr>
              <w:t>其中：债券投资</w:t>
            </w:r>
          </w:p>
        </w:tc>
        <w:tc>
          <w:tcPr>
            <w:tcW w:w="1262" w:type="dxa"/>
            <w:vAlign w:val="center"/>
          </w:tcPr>
          <w:p w14:paraId="49740785"/>
        </w:tc>
        <w:tc>
          <w:tcPr>
            <w:tcW w:w="2289" w:type="dxa"/>
            <w:vAlign w:val="center"/>
          </w:tcPr>
          <w:p w14:paraId="3AAC32A7">
            <w:pPr>
              <w:jc w:val="right"/>
            </w:pPr>
            <w:r>
              <w:rPr>
                <w:rFonts w:hint="eastAsia"/>
              </w:rPr>
              <w:t>-</w:t>
            </w:r>
          </w:p>
        </w:tc>
        <w:tc>
          <w:tcPr>
            <w:tcW w:w="2295" w:type="dxa"/>
            <w:vAlign w:val="center"/>
          </w:tcPr>
          <w:p w14:paraId="172B6E92">
            <w:pPr>
              <w:jc w:val="right"/>
            </w:pPr>
            <w:r>
              <w:rPr>
                <w:rFonts w:hint="eastAsia"/>
              </w:rPr>
              <w:t>-</w:t>
            </w:r>
          </w:p>
        </w:tc>
      </w:tr>
      <w:tr w14:paraId="7C2C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9C8C5">
            <w:r>
              <w:rPr>
                <w:rFonts w:hint="eastAsia"/>
              </w:rPr>
              <w:t xml:space="preserve">      资产支持证券投资</w:t>
            </w:r>
          </w:p>
        </w:tc>
        <w:tc>
          <w:tcPr>
            <w:tcW w:w="1262" w:type="dxa"/>
            <w:vAlign w:val="center"/>
          </w:tcPr>
          <w:p w14:paraId="0CC44923"/>
        </w:tc>
        <w:tc>
          <w:tcPr>
            <w:tcW w:w="2289" w:type="dxa"/>
            <w:vAlign w:val="center"/>
          </w:tcPr>
          <w:p w14:paraId="411C31B7">
            <w:pPr>
              <w:jc w:val="right"/>
            </w:pPr>
            <w:r>
              <w:rPr>
                <w:rFonts w:hint="eastAsia"/>
              </w:rPr>
              <w:t>-</w:t>
            </w:r>
          </w:p>
        </w:tc>
        <w:tc>
          <w:tcPr>
            <w:tcW w:w="2295" w:type="dxa"/>
            <w:vAlign w:val="center"/>
          </w:tcPr>
          <w:p w14:paraId="797C6DCB">
            <w:pPr>
              <w:jc w:val="right"/>
            </w:pPr>
            <w:r>
              <w:rPr>
                <w:rFonts w:hint="eastAsia"/>
              </w:rPr>
              <w:t>-</w:t>
            </w:r>
          </w:p>
        </w:tc>
      </w:tr>
      <w:tr w14:paraId="0B67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BBD347">
            <w:r>
              <w:rPr>
                <w:rFonts w:hint="eastAsia"/>
              </w:rPr>
              <w:t xml:space="preserve">      其他投资</w:t>
            </w:r>
          </w:p>
        </w:tc>
        <w:tc>
          <w:tcPr>
            <w:tcW w:w="1262" w:type="dxa"/>
            <w:vAlign w:val="center"/>
          </w:tcPr>
          <w:p w14:paraId="4DD57347"/>
        </w:tc>
        <w:tc>
          <w:tcPr>
            <w:tcW w:w="2289" w:type="dxa"/>
            <w:vAlign w:val="center"/>
          </w:tcPr>
          <w:p w14:paraId="21AE3A3A">
            <w:pPr>
              <w:jc w:val="right"/>
            </w:pPr>
            <w:r>
              <w:rPr>
                <w:rFonts w:hint="eastAsia"/>
              </w:rPr>
              <w:t>-</w:t>
            </w:r>
          </w:p>
        </w:tc>
        <w:tc>
          <w:tcPr>
            <w:tcW w:w="2295" w:type="dxa"/>
            <w:vAlign w:val="center"/>
          </w:tcPr>
          <w:p w14:paraId="11313C50">
            <w:pPr>
              <w:jc w:val="right"/>
            </w:pPr>
            <w:r>
              <w:rPr>
                <w:rFonts w:hint="eastAsia"/>
              </w:rPr>
              <w:t>-</w:t>
            </w:r>
          </w:p>
        </w:tc>
      </w:tr>
      <w:tr w14:paraId="322D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98263">
            <w:r>
              <w:rPr>
                <w:rFonts w:hint="eastAsia"/>
              </w:rPr>
              <w:t>其他债权投资</w:t>
            </w:r>
          </w:p>
        </w:tc>
        <w:tc>
          <w:tcPr>
            <w:tcW w:w="1262" w:type="dxa"/>
            <w:vAlign w:val="center"/>
          </w:tcPr>
          <w:p w14:paraId="38504AA5"/>
        </w:tc>
        <w:tc>
          <w:tcPr>
            <w:tcW w:w="2289" w:type="dxa"/>
            <w:vAlign w:val="center"/>
          </w:tcPr>
          <w:p w14:paraId="281BF408">
            <w:pPr>
              <w:jc w:val="right"/>
            </w:pPr>
            <w:r>
              <w:rPr>
                <w:rFonts w:hint="eastAsia"/>
              </w:rPr>
              <w:t>-</w:t>
            </w:r>
          </w:p>
        </w:tc>
        <w:tc>
          <w:tcPr>
            <w:tcW w:w="2295" w:type="dxa"/>
            <w:vAlign w:val="center"/>
          </w:tcPr>
          <w:p w14:paraId="20B3680C">
            <w:pPr>
              <w:jc w:val="right"/>
            </w:pPr>
            <w:r>
              <w:rPr>
                <w:rFonts w:hint="eastAsia"/>
              </w:rPr>
              <w:t>-</w:t>
            </w:r>
          </w:p>
        </w:tc>
      </w:tr>
      <w:tr w14:paraId="69F7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9D4A7">
            <w:r>
              <w:rPr>
                <w:rFonts w:hint="eastAsia"/>
              </w:rPr>
              <w:t>其他权益工具投资</w:t>
            </w:r>
          </w:p>
        </w:tc>
        <w:tc>
          <w:tcPr>
            <w:tcW w:w="1262" w:type="dxa"/>
            <w:vAlign w:val="center"/>
          </w:tcPr>
          <w:p w14:paraId="53B3891B"/>
        </w:tc>
        <w:tc>
          <w:tcPr>
            <w:tcW w:w="2289" w:type="dxa"/>
            <w:vAlign w:val="center"/>
          </w:tcPr>
          <w:p w14:paraId="05DB0D93">
            <w:pPr>
              <w:jc w:val="right"/>
            </w:pPr>
            <w:r>
              <w:rPr>
                <w:rFonts w:hint="eastAsia"/>
              </w:rPr>
              <w:t>-</w:t>
            </w:r>
          </w:p>
        </w:tc>
        <w:tc>
          <w:tcPr>
            <w:tcW w:w="2295" w:type="dxa"/>
            <w:vAlign w:val="center"/>
          </w:tcPr>
          <w:p w14:paraId="53ADB19F">
            <w:pPr>
              <w:jc w:val="right"/>
            </w:pPr>
            <w:r>
              <w:rPr>
                <w:rFonts w:hint="eastAsia"/>
              </w:rPr>
              <w:t>-</w:t>
            </w:r>
          </w:p>
        </w:tc>
      </w:tr>
      <w:tr w14:paraId="42CA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5402A">
            <w:r>
              <w:rPr>
                <w:rFonts w:hint="eastAsia"/>
              </w:rPr>
              <w:t>应收清算款</w:t>
            </w:r>
          </w:p>
        </w:tc>
        <w:tc>
          <w:tcPr>
            <w:tcW w:w="1262" w:type="dxa"/>
            <w:vAlign w:val="center"/>
          </w:tcPr>
          <w:p w14:paraId="00A68344"/>
        </w:tc>
        <w:tc>
          <w:tcPr>
            <w:tcW w:w="2289" w:type="dxa"/>
            <w:vAlign w:val="center"/>
          </w:tcPr>
          <w:p w14:paraId="71EB1328">
            <w:pPr>
              <w:jc w:val="right"/>
            </w:pPr>
            <w:r>
              <w:rPr>
                <w:rFonts w:hint="eastAsia"/>
              </w:rPr>
              <w:t>-</w:t>
            </w:r>
          </w:p>
        </w:tc>
        <w:tc>
          <w:tcPr>
            <w:tcW w:w="2295" w:type="dxa"/>
            <w:vAlign w:val="center"/>
          </w:tcPr>
          <w:p w14:paraId="19A64F7A">
            <w:pPr>
              <w:jc w:val="right"/>
            </w:pPr>
            <w:r>
              <w:rPr>
                <w:rFonts w:hint="eastAsia"/>
              </w:rPr>
              <w:t>21,215,687.67</w:t>
            </w:r>
          </w:p>
        </w:tc>
      </w:tr>
      <w:tr w14:paraId="5BF6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1170877A">
            <w:r>
              <w:rPr>
                <w:rFonts w:hint="eastAsia"/>
              </w:rPr>
              <w:t>应收股利</w:t>
            </w:r>
          </w:p>
        </w:tc>
        <w:tc>
          <w:tcPr>
            <w:tcW w:w="1262" w:type="dxa"/>
            <w:vAlign w:val="center"/>
          </w:tcPr>
          <w:p w14:paraId="6219FC77"/>
        </w:tc>
        <w:tc>
          <w:tcPr>
            <w:tcW w:w="2289" w:type="dxa"/>
            <w:vAlign w:val="center"/>
          </w:tcPr>
          <w:p w14:paraId="7F159B6D">
            <w:pPr>
              <w:jc w:val="right"/>
            </w:pPr>
            <w:r>
              <w:rPr>
                <w:rFonts w:hint="eastAsia"/>
              </w:rPr>
              <w:t>-</w:t>
            </w:r>
          </w:p>
        </w:tc>
        <w:tc>
          <w:tcPr>
            <w:tcW w:w="2295" w:type="dxa"/>
            <w:vAlign w:val="center"/>
          </w:tcPr>
          <w:p w14:paraId="71FFF666">
            <w:pPr>
              <w:jc w:val="right"/>
            </w:pPr>
            <w:r>
              <w:rPr>
                <w:rFonts w:hint="eastAsia"/>
              </w:rPr>
              <w:t>-</w:t>
            </w:r>
          </w:p>
        </w:tc>
      </w:tr>
      <w:tr w14:paraId="0959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7030E">
            <w:r>
              <w:rPr>
                <w:rFonts w:hint="eastAsia"/>
              </w:rPr>
              <w:t>应收申购款</w:t>
            </w:r>
          </w:p>
        </w:tc>
        <w:tc>
          <w:tcPr>
            <w:tcW w:w="1262" w:type="dxa"/>
            <w:vAlign w:val="center"/>
          </w:tcPr>
          <w:p w14:paraId="4C448880"/>
        </w:tc>
        <w:tc>
          <w:tcPr>
            <w:tcW w:w="2289" w:type="dxa"/>
            <w:vAlign w:val="center"/>
          </w:tcPr>
          <w:p w14:paraId="5B3A6D31">
            <w:pPr>
              <w:jc w:val="right"/>
            </w:pPr>
            <w:r>
              <w:rPr>
                <w:rFonts w:hint="eastAsia"/>
              </w:rPr>
              <w:t>-</w:t>
            </w:r>
          </w:p>
        </w:tc>
        <w:tc>
          <w:tcPr>
            <w:tcW w:w="2295" w:type="dxa"/>
            <w:vAlign w:val="center"/>
          </w:tcPr>
          <w:p w14:paraId="6B1016AA">
            <w:pPr>
              <w:jc w:val="right"/>
            </w:pPr>
            <w:r>
              <w:rPr>
                <w:rFonts w:hint="eastAsia"/>
              </w:rPr>
              <w:t>-</w:t>
            </w:r>
          </w:p>
        </w:tc>
      </w:tr>
      <w:tr w14:paraId="5DEE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6FFB2">
            <w:r>
              <w:rPr>
                <w:rFonts w:hint="eastAsia"/>
              </w:rPr>
              <w:t>递延所得税资产</w:t>
            </w:r>
          </w:p>
        </w:tc>
        <w:tc>
          <w:tcPr>
            <w:tcW w:w="1262" w:type="dxa"/>
            <w:vAlign w:val="center"/>
          </w:tcPr>
          <w:p w14:paraId="2F3B52DC"/>
        </w:tc>
        <w:tc>
          <w:tcPr>
            <w:tcW w:w="2289" w:type="dxa"/>
            <w:vAlign w:val="center"/>
          </w:tcPr>
          <w:p w14:paraId="1536813D">
            <w:pPr>
              <w:jc w:val="right"/>
            </w:pPr>
            <w:r>
              <w:rPr>
                <w:rFonts w:hint="eastAsia"/>
              </w:rPr>
              <w:t>-</w:t>
            </w:r>
          </w:p>
        </w:tc>
        <w:tc>
          <w:tcPr>
            <w:tcW w:w="2295" w:type="dxa"/>
            <w:vAlign w:val="center"/>
          </w:tcPr>
          <w:p w14:paraId="1C1E8748">
            <w:pPr>
              <w:jc w:val="right"/>
            </w:pPr>
            <w:r>
              <w:rPr>
                <w:rFonts w:hint="eastAsia"/>
              </w:rPr>
              <w:t>-</w:t>
            </w:r>
          </w:p>
        </w:tc>
      </w:tr>
      <w:tr w14:paraId="1B89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DDB041">
            <w:r>
              <w:rPr>
                <w:rFonts w:hint="eastAsia"/>
              </w:rPr>
              <w:t>其他资产</w:t>
            </w:r>
          </w:p>
        </w:tc>
        <w:tc>
          <w:tcPr>
            <w:tcW w:w="1262" w:type="dxa"/>
            <w:vAlign w:val="center"/>
          </w:tcPr>
          <w:p w14:paraId="4EC13F33">
            <w:r>
              <w:rPr>
                <w:rFonts w:hint="eastAsia"/>
              </w:rPr>
              <w:t>7.4.7.5</w:t>
            </w:r>
          </w:p>
        </w:tc>
        <w:tc>
          <w:tcPr>
            <w:tcW w:w="2289" w:type="dxa"/>
            <w:vAlign w:val="center"/>
          </w:tcPr>
          <w:p w14:paraId="105C83AB">
            <w:pPr>
              <w:jc w:val="right"/>
            </w:pPr>
            <w:r>
              <w:rPr>
                <w:rFonts w:hint="eastAsia"/>
              </w:rPr>
              <w:t>-</w:t>
            </w:r>
          </w:p>
        </w:tc>
        <w:tc>
          <w:tcPr>
            <w:tcW w:w="2295" w:type="dxa"/>
            <w:vAlign w:val="center"/>
          </w:tcPr>
          <w:p w14:paraId="0B717013">
            <w:pPr>
              <w:jc w:val="right"/>
            </w:pPr>
            <w:r>
              <w:rPr>
                <w:rFonts w:hint="eastAsia"/>
              </w:rPr>
              <w:t>-</w:t>
            </w:r>
          </w:p>
        </w:tc>
      </w:tr>
      <w:tr w14:paraId="43C6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A0F91">
            <w:r>
              <w:rPr>
                <w:rFonts w:hint="eastAsia"/>
              </w:rPr>
              <w:t>资产总计</w:t>
            </w:r>
          </w:p>
        </w:tc>
        <w:tc>
          <w:tcPr>
            <w:tcW w:w="1262" w:type="dxa"/>
            <w:vAlign w:val="center"/>
          </w:tcPr>
          <w:p w14:paraId="50ABC549"/>
        </w:tc>
        <w:tc>
          <w:tcPr>
            <w:tcW w:w="2289" w:type="dxa"/>
            <w:vAlign w:val="center"/>
          </w:tcPr>
          <w:p w14:paraId="7815883F">
            <w:pPr>
              <w:jc w:val="right"/>
            </w:pPr>
            <w:r>
              <w:rPr>
                <w:rFonts w:hint="eastAsia"/>
              </w:rPr>
              <w:t>1,150,706,882.07</w:t>
            </w:r>
          </w:p>
        </w:tc>
        <w:tc>
          <w:tcPr>
            <w:tcW w:w="2295" w:type="dxa"/>
            <w:vAlign w:val="center"/>
          </w:tcPr>
          <w:p w14:paraId="22C599BA">
            <w:pPr>
              <w:jc w:val="right"/>
            </w:pPr>
            <w:r>
              <w:rPr>
                <w:rFonts w:hint="eastAsia"/>
              </w:rPr>
              <w:t>2,026,849,656.77</w:t>
            </w:r>
          </w:p>
        </w:tc>
      </w:tr>
      <w:tr w14:paraId="33E6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EB6EC7">
            <w:r>
              <w:rPr>
                <w:rFonts w:hint="eastAsia"/>
              </w:rPr>
              <w:t>负债和净资产</w:t>
            </w:r>
          </w:p>
        </w:tc>
        <w:tc>
          <w:tcPr>
            <w:tcW w:w="1262" w:type="dxa"/>
            <w:vAlign w:val="center"/>
          </w:tcPr>
          <w:p w14:paraId="38AA0206">
            <w:r>
              <w:rPr>
                <w:rFonts w:hint="eastAsia"/>
              </w:rPr>
              <w:t>附注号</w:t>
            </w:r>
          </w:p>
        </w:tc>
        <w:tc>
          <w:tcPr>
            <w:tcW w:w="2289" w:type="dxa"/>
            <w:vAlign w:val="center"/>
          </w:tcPr>
          <w:p w14:paraId="2E0283E2">
            <w:r>
              <w:rPr>
                <w:rFonts w:hint="eastAsia"/>
              </w:rPr>
              <w:t>本期末2025年12月31日</w:t>
            </w:r>
          </w:p>
        </w:tc>
        <w:tc>
          <w:tcPr>
            <w:tcW w:w="2295" w:type="dxa"/>
            <w:vAlign w:val="center"/>
          </w:tcPr>
          <w:p w14:paraId="3895AC38">
            <w:r>
              <w:rPr>
                <w:rFonts w:hint="eastAsia"/>
              </w:rPr>
              <w:t>上年度末2024年12月31日</w:t>
            </w:r>
          </w:p>
        </w:tc>
      </w:tr>
      <w:tr w14:paraId="7F81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E7C77">
            <w:r>
              <w:rPr>
                <w:rFonts w:hint="eastAsia"/>
              </w:rPr>
              <w:t>负债：</w:t>
            </w:r>
          </w:p>
        </w:tc>
        <w:tc>
          <w:tcPr>
            <w:tcW w:w="1262" w:type="dxa"/>
            <w:vAlign w:val="center"/>
          </w:tcPr>
          <w:p w14:paraId="58E69418"/>
        </w:tc>
        <w:tc>
          <w:tcPr>
            <w:tcW w:w="2289" w:type="dxa"/>
            <w:vAlign w:val="center"/>
          </w:tcPr>
          <w:p w14:paraId="43E5FE72"/>
        </w:tc>
        <w:tc>
          <w:tcPr>
            <w:tcW w:w="2295" w:type="dxa"/>
            <w:vAlign w:val="center"/>
          </w:tcPr>
          <w:p w14:paraId="1CEF8D18"/>
        </w:tc>
      </w:tr>
      <w:tr w14:paraId="2CCD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47042">
            <w:r>
              <w:rPr>
                <w:rFonts w:hint="eastAsia"/>
              </w:rPr>
              <w:t>短期借款</w:t>
            </w:r>
          </w:p>
        </w:tc>
        <w:tc>
          <w:tcPr>
            <w:tcW w:w="1262" w:type="dxa"/>
            <w:vAlign w:val="center"/>
          </w:tcPr>
          <w:p w14:paraId="7A4F2241"/>
        </w:tc>
        <w:tc>
          <w:tcPr>
            <w:tcW w:w="2289" w:type="dxa"/>
            <w:vAlign w:val="center"/>
          </w:tcPr>
          <w:p w14:paraId="6C73750D">
            <w:pPr>
              <w:jc w:val="right"/>
            </w:pPr>
            <w:r>
              <w:rPr>
                <w:rFonts w:hint="eastAsia"/>
              </w:rPr>
              <w:t>-</w:t>
            </w:r>
          </w:p>
        </w:tc>
        <w:tc>
          <w:tcPr>
            <w:tcW w:w="2295" w:type="dxa"/>
            <w:vAlign w:val="center"/>
          </w:tcPr>
          <w:p w14:paraId="136EE603">
            <w:pPr>
              <w:jc w:val="right"/>
            </w:pPr>
            <w:r>
              <w:rPr>
                <w:rFonts w:hint="eastAsia"/>
              </w:rPr>
              <w:t>-</w:t>
            </w:r>
          </w:p>
        </w:tc>
      </w:tr>
      <w:tr w14:paraId="0CD2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C73A6">
            <w:r>
              <w:rPr>
                <w:rFonts w:hint="eastAsia"/>
              </w:rPr>
              <w:t>交易性金融负债</w:t>
            </w:r>
          </w:p>
        </w:tc>
        <w:tc>
          <w:tcPr>
            <w:tcW w:w="1262" w:type="dxa"/>
            <w:vAlign w:val="center"/>
          </w:tcPr>
          <w:p w14:paraId="69D2083C"/>
        </w:tc>
        <w:tc>
          <w:tcPr>
            <w:tcW w:w="2289" w:type="dxa"/>
            <w:vAlign w:val="center"/>
          </w:tcPr>
          <w:p w14:paraId="1C9B94BC">
            <w:pPr>
              <w:jc w:val="right"/>
            </w:pPr>
            <w:r>
              <w:rPr>
                <w:rFonts w:hint="eastAsia"/>
              </w:rPr>
              <w:t>-</w:t>
            </w:r>
          </w:p>
        </w:tc>
        <w:tc>
          <w:tcPr>
            <w:tcW w:w="2295" w:type="dxa"/>
            <w:vAlign w:val="center"/>
          </w:tcPr>
          <w:p w14:paraId="268412F2">
            <w:pPr>
              <w:jc w:val="right"/>
            </w:pPr>
            <w:r>
              <w:rPr>
                <w:rFonts w:hint="eastAsia"/>
              </w:rPr>
              <w:t>-</w:t>
            </w:r>
          </w:p>
        </w:tc>
      </w:tr>
      <w:tr w14:paraId="2C84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896E3">
            <w:r>
              <w:rPr>
                <w:rFonts w:hint="eastAsia"/>
              </w:rPr>
              <w:t>衍生金融负债</w:t>
            </w:r>
          </w:p>
        </w:tc>
        <w:tc>
          <w:tcPr>
            <w:tcW w:w="1262" w:type="dxa"/>
            <w:vAlign w:val="center"/>
          </w:tcPr>
          <w:p w14:paraId="3ADF8BE9">
            <w:r>
              <w:rPr>
                <w:rFonts w:hint="eastAsia"/>
              </w:rPr>
              <w:t>7.4.7.3</w:t>
            </w:r>
          </w:p>
        </w:tc>
        <w:tc>
          <w:tcPr>
            <w:tcW w:w="2289" w:type="dxa"/>
            <w:vAlign w:val="center"/>
          </w:tcPr>
          <w:p w14:paraId="36AE0A23">
            <w:pPr>
              <w:jc w:val="right"/>
            </w:pPr>
            <w:r>
              <w:rPr>
                <w:rFonts w:hint="eastAsia"/>
              </w:rPr>
              <w:t>-</w:t>
            </w:r>
          </w:p>
        </w:tc>
        <w:tc>
          <w:tcPr>
            <w:tcW w:w="2295" w:type="dxa"/>
            <w:vAlign w:val="center"/>
          </w:tcPr>
          <w:p w14:paraId="43D39C6B">
            <w:pPr>
              <w:jc w:val="right"/>
            </w:pPr>
            <w:r>
              <w:rPr>
                <w:rFonts w:hint="eastAsia"/>
              </w:rPr>
              <w:t>-</w:t>
            </w:r>
          </w:p>
        </w:tc>
      </w:tr>
      <w:tr w14:paraId="02D5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A94BA">
            <w:r>
              <w:rPr>
                <w:rFonts w:hint="eastAsia"/>
              </w:rPr>
              <w:t>卖出回购金融资产款</w:t>
            </w:r>
          </w:p>
        </w:tc>
        <w:tc>
          <w:tcPr>
            <w:tcW w:w="1262" w:type="dxa"/>
            <w:vAlign w:val="center"/>
          </w:tcPr>
          <w:p w14:paraId="201F49BF"/>
        </w:tc>
        <w:tc>
          <w:tcPr>
            <w:tcW w:w="2289" w:type="dxa"/>
            <w:vAlign w:val="center"/>
          </w:tcPr>
          <w:p w14:paraId="14A9B316">
            <w:pPr>
              <w:jc w:val="right"/>
            </w:pPr>
            <w:r>
              <w:rPr>
                <w:rFonts w:hint="eastAsia"/>
              </w:rPr>
              <w:t>84,511,357.39</w:t>
            </w:r>
          </w:p>
        </w:tc>
        <w:tc>
          <w:tcPr>
            <w:tcW w:w="2295" w:type="dxa"/>
            <w:vAlign w:val="center"/>
          </w:tcPr>
          <w:p w14:paraId="023C78E6">
            <w:pPr>
              <w:jc w:val="right"/>
            </w:pPr>
            <w:r>
              <w:rPr>
                <w:rFonts w:hint="eastAsia"/>
              </w:rPr>
              <w:t>369,623,702.59</w:t>
            </w:r>
          </w:p>
        </w:tc>
      </w:tr>
      <w:tr w14:paraId="2CC9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C1637">
            <w:r>
              <w:rPr>
                <w:rFonts w:hint="eastAsia"/>
              </w:rPr>
              <w:t>应付清算款</w:t>
            </w:r>
          </w:p>
        </w:tc>
        <w:tc>
          <w:tcPr>
            <w:tcW w:w="1262" w:type="dxa"/>
            <w:vAlign w:val="center"/>
          </w:tcPr>
          <w:p w14:paraId="388653DD"/>
        </w:tc>
        <w:tc>
          <w:tcPr>
            <w:tcW w:w="2289" w:type="dxa"/>
            <w:vAlign w:val="center"/>
          </w:tcPr>
          <w:p w14:paraId="1BA23F0A">
            <w:pPr>
              <w:jc w:val="right"/>
            </w:pPr>
            <w:r>
              <w:rPr>
                <w:rFonts w:hint="eastAsia"/>
              </w:rPr>
              <w:t>-</w:t>
            </w:r>
          </w:p>
        </w:tc>
        <w:tc>
          <w:tcPr>
            <w:tcW w:w="2295" w:type="dxa"/>
            <w:vAlign w:val="center"/>
          </w:tcPr>
          <w:p w14:paraId="09B911E1">
            <w:pPr>
              <w:jc w:val="right"/>
            </w:pPr>
            <w:r>
              <w:rPr>
                <w:rFonts w:hint="eastAsia"/>
              </w:rPr>
              <w:t>10,296,354.54</w:t>
            </w:r>
          </w:p>
        </w:tc>
      </w:tr>
      <w:tr w14:paraId="464F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331D7">
            <w:r>
              <w:rPr>
                <w:rFonts w:hint="eastAsia"/>
              </w:rPr>
              <w:t>应付赎回款</w:t>
            </w:r>
          </w:p>
        </w:tc>
        <w:tc>
          <w:tcPr>
            <w:tcW w:w="1262" w:type="dxa"/>
            <w:vAlign w:val="center"/>
          </w:tcPr>
          <w:p w14:paraId="61413EA3"/>
        </w:tc>
        <w:tc>
          <w:tcPr>
            <w:tcW w:w="2289" w:type="dxa"/>
            <w:vAlign w:val="center"/>
          </w:tcPr>
          <w:p w14:paraId="3F3CDA70">
            <w:pPr>
              <w:jc w:val="right"/>
            </w:pPr>
            <w:r>
              <w:rPr>
                <w:rFonts w:hint="eastAsia"/>
              </w:rPr>
              <w:t>-</w:t>
            </w:r>
          </w:p>
        </w:tc>
        <w:tc>
          <w:tcPr>
            <w:tcW w:w="2295" w:type="dxa"/>
            <w:vAlign w:val="center"/>
          </w:tcPr>
          <w:p w14:paraId="083642B6">
            <w:pPr>
              <w:jc w:val="right"/>
            </w:pPr>
            <w:r>
              <w:rPr>
                <w:rFonts w:hint="eastAsia"/>
              </w:rPr>
              <w:t>-</w:t>
            </w:r>
          </w:p>
        </w:tc>
      </w:tr>
      <w:tr w14:paraId="7DFF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727CD">
            <w:r>
              <w:rPr>
                <w:rFonts w:hint="eastAsia"/>
              </w:rPr>
              <w:t>应付管理人报酬</w:t>
            </w:r>
          </w:p>
        </w:tc>
        <w:tc>
          <w:tcPr>
            <w:tcW w:w="1262" w:type="dxa"/>
            <w:vAlign w:val="center"/>
          </w:tcPr>
          <w:p w14:paraId="1E879C0A"/>
        </w:tc>
        <w:tc>
          <w:tcPr>
            <w:tcW w:w="2289" w:type="dxa"/>
            <w:vAlign w:val="center"/>
          </w:tcPr>
          <w:p w14:paraId="0D76A8C7">
            <w:pPr>
              <w:jc w:val="right"/>
            </w:pPr>
            <w:r>
              <w:rPr>
                <w:rFonts w:hint="eastAsia"/>
              </w:rPr>
              <w:t>353,627.32</w:t>
            </w:r>
          </w:p>
        </w:tc>
        <w:tc>
          <w:tcPr>
            <w:tcW w:w="2295" w:type="dxa"/>
            <w:vAlign w:val="center"/>
          </w:tcPr>
          <w:p w14:paraId="0B1634E0">
            <w:pPr>
              <w:jc w:val="right"/>
            </w:pPr>
            <w:r>
              <w:rPr>
                <w:rFonts w:hint="eastAsia"/>
              </w:rPr>
              <w:t>417,153.58</w:t>
            </w:r>
          </w:p>
        </w:tc>
      </w:tr>
      <w:tr w14:paraId="625F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5D274">
            <w:r>
              <w:rPr>
                <w:rFonts w:hint="eastAsia"/>
              </w:rPr>
              <w:t>应付托管费</w:t>
            </w:r>
          </w:p>
        </w:tc>
        <w:tc>
          <w:tcPr>
            <w:tcW w:w="1262" w:type="dxa"/>
            <w:vAlign w:val="center"/>
          </w:tcPr>
          <w:p w14:paraId="2BC17804"/>
        </w:tc>
        <w:tc>
          <w:tcPr>
            <w:tcW w:w="2289" w:type="dxa"/>
            <w:vAlign w:val="center"/>
          </w:tcPr>
          <w:p w14:paraId="48573A63">
            <w:pPr>
              <w:jc w:val="right"/>
            </w:pPr>
            <w:r>
              <w:rPr>
                <w:rFonts w:hint="eastAsia"/>
              </w:rPr>
              <w:t>117,875.77</w:t>
            </w:r>
          </w:p>
        </w:tc>
        <w:tc>
          <w:tcPr>
            <w:tcW w:w="2295" w:type="dxa"/>
            <w:vAlign w:val="center"/>
          </w:tcPr>
          <w:p w14:paraId="2E4FAD95">
            <w:pPr>
              <w:jc w:val="right"/>
            </w:pPr>
            <w:r>
              <w:rPr>
                <w:rFonts w:hint="eastAsia"/>
              </w:rPr>
              <w:t>139,051.19</w:t>
            </w:r>
          </w:p>
        </w:tc>
      </w:tr>
      <w:tr w14:paraId="61C7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F77C4">
            <w:r>
              <w:rPr>
                <w:rFonts w:hint="eastAsia"/>
              </w:rPr>
              <w:t>应付销售服务费</w:t>
            </w:r>
          </w:p>
        </w:tc>
        <w:tc>
          <w:tcPr>
            <w:tcW w:w="1262" w:type="dxa"/>
            <w:vAlign w:val="center"/>
          </w:tcPr>
          <w:p w14:paraId="1080DD8C"/>
        </w:tc>
        <w:tc>
          <w:tcPr>
            <w:tcW w:w="2289" w:type="dxa"/>
            <w:vAlign w:val="center"/>
          </w:tcPr>
          <w:p w14:paraId="7A5E6625">
            <w:pPr>
              <w:jc w:val="right"/>
            </w:pPr>
            <w:r>
              <w:rPr>
                <w:rFonts w:hint="eastAsia"/>
              </w:rPr>
              <w:t>-</w:t>
            </w:r>
          </w:p>
        </w:tc>
        <w:tc>
          <w:tcPr>
            <w:tcW w:w="2295" w:type="dxa"/>
            <w:vAlign w:val="center"/>
          </w:tcPr>
          <w:p w14:paraId="11B275C1">
            <w:pPr>
              <w:jc w:val="right"/>
            </w:pPr>
            <w:r>
              <w:rPr>
                <w:rFonts w:hint="eastAsia"/>
              </w:rPr>
              <w:t>-</w:t>
            </w:r>
          </w:p>
        </w:tc>
      </w:tr>
      <w:tr w14:paraId="25E8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26BF0">
            <w:r>
              <w:rPr>
                <w:rFonts w:hint="eastAsia"/>
              </w:rPr>
              <w:t>应付投资顾问费</w:t>
            </w:r>
          </w:p>
        </w:tc>
        <w:tc>
          <w:tcPr>
            <w:tcW w:w="1262" w:type="dxa"/>
            <w:vAlign w:val="center"/>
          </w:tcPr>
          <w:p w14:paraId="17DF98FC"/>
        </w:tc>
        <w:tc>
          <w:tcPr>
            <w:tcW w:w="2289" w:type="dxa"/>
            <w:vAlign w:val="center"/>
          </w:tcPr>
          <w:p w14:paraId="47A4AECA">
            <w:pPr>
              <w:jc w:val="right"/>
            </w:pPr>
            <w:r>
              <w:rPr>
                <w:rFonts w:hint="eastAsia"/>
              </w:rPr>
              <w:t>-</w:t>
            </w:r>
          </w:p>
        </w:tc>
        <w:tc>
          <w:tcPr>
            <w:tcW w:w="2295" w:type="dxa"/>
            <w:vAlign w:val="center"/>
          </w:tcPr>
          <w:p w14:paraId="2F8E3EAC">
            <w:pPr>
              <w:jc w:val="right"/>
            </w:pPr>
            <w:r>
              <w:rPr>
                <w:rFonts w:hint="eastAsia"/>
              </w:rPr>
              <w:t>-</w:t>
            </w:r>
          </w:p>
        </w:tc>
      </w:tr>
      <w:tr w14:paraId="5E98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68CBC">
            <w:r>
              <w:rPr>
                <w:rFonts w:hint="eastAsia"/>
              </w:rPr>
              <w:t>应交税费</w:t>
            </w:r>
          </w:p>
        </w:tc>
        <w:tc>
          <w:tcPr>
            <w:tcW w:w="1262" w:type="dxa"/>
            <w:vAlign w:val="center"/>
          </w:tcPr>
          <w:p w14:paraId="41C13466"/>
        </w:tc>
        <w:tc>
          <w:tcPr>
            <w:tcW w:w="2289" w:type="dxa"/>
            <w:vAlign w:val="center"/>
          </w:tcPr>
          <w:p w14:paraId="1FF5D99E">
            <w:pPr>
              <w:jc w:val="right"/>
            </w:pPr>
            <w:r>
              <w:rPr>
                <w:rFonts w:hint="eastAsia"/>
              </w:rPr>
              <w:t>63,108.49</w:t>
            </w:r>
          </w:p>
        </w:tc>
        <w:tc>
          <w:tcPr>
            <w:tcW w:w="2295" w:type="dxa"/>
            <w:vAlign w:val="center"/>
          </w:tcPr>
          <w:p w14:paraId="6C01497D">
            <w:pPr>
              <w:jc w:val="right"/>
            </w:pPr>
            <w:r>
              <w:rPr>
                <w:rFonts w:hint="eastAsia"/>
              </w:rPr>
              <w:t>111,771.09</w:t>
            </w:r>
          </w:p>
        </w:tc>
      </w:tr>
      <w:tr w14:paraId="2FAB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79291">
            <w:r>
              <w:rPr>
                <w:rFonts w:hint="eastAsia"/>
              </w:rPr>
              <w:t>应付利润</w:t>
            </w:r>
          </w:p>
        </w:tc>
        <w:tc>
          <w:tcPr>
            <w:tcW w:w="1262" w:type="dxa"/>
            <w:vAlign w:val="center"/>
          </w:tcPr>
          <w:p w14:paraId="351A46FA"/>
        </w:tc>
        <w:tc>
          <w:tcPr>
            <w:tcW w:w="2289" w:type="dxa"/>
            <w:vAlign w:val="center"/>
          </w:tcPr>
          <w:p w14:paraId="18D41829">
            <w:pPr>
              <w:jc w:val="right"/>
            </w:pPr>
            <w:r>
              <w:rPr>
                <w:rFonts w:hint="eastAsia"/>
              </w:rPr>
              <w:t>-</w:t>
            </w:r>
          </w:p>
        </w:tc>
        <w:tc>
          <w:tcPr>
            <w:tcW w:w="2295" w:type="dxa"/>
            <w:vAlign w:val="center"/>
          </w:tcPr>
          <w:p w14:paraId="7EC7E18D">
            <w:pPr>
              <w:jc w:val="right"/>
            </w:pPr>
            <w:r>
              <w:rPr>
                <w:rFonts w:hint="eastAsia"/>
              </w:rPr>
              <w:t>-</w:t>
            </w:r>
          </w:p>
        </w:tc>
      </w:tr>
      <w:tr w14:paraId="2859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A04F3">
            <w:r>
              <w:rPr>
                <w:rFonts w:hint="eastAsia"/>
              </w:rPr>
              <w:t>递延所得税负债</w:t>
            </w:r>
          </w:p>
        </w:tc>
        <w:tc>
          <w:tcPr>
            <w:tcW w:w="1262" w:type="dxa"/>
            <w:vAlign w:val="center"/>
          </w:tcPr>
          <w:p w14:paraId="5EF48FE4"/>
        </w:tc>
        <w:tc>
          <w:tcPr>
            <w:tcW w:w="2289" w:type="dxa"/>
            <w:vAlign w:val="center"/>
          </w:tcPr>
          <w:p w14:paraId="157A78BB">
            <w:pPr>
              <w:jc w:val="right"/>
            </w:pPr>
            <w:r>
              <w:rPr>
                <w:rFonts w:hint="eastAsia"/>
              </w:rPr>
              <w:t>-</w:t>
            </w:r>
          </w:p>
        </w:tc>
        <w:tc>
          <w:tcPr>
            <w:tcW w:w="2295" w:type="dxa"/>
            <w:vAlign w:val="center"/>
          </w:tcPr>
          <w:p w14:paraId="5A208163">
            <w:pPr>
              <w:jc w:val="right"/>
            </w:pPr>
            <w:r>
              <w:rPr>
                <w:rFonts w:hint="eastAsia"/>
              </w:rPr>
              <w:t>-</w:t>
            </w:r>
          </w:p>
        </w:tc>
      </w:tr>
      <w:tr w14:paraId="763C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7FFC3">
            <w:r>
              <w:rPr>
                <w:rFonts w:hint="eastAsia"/>
              </w:rPr>
              <w:t>其他负债</w:t>
            </w:r>
          </w:p>
        </w:tc>
        <w:tc>
          <w:tcPr>
            <w:tcW w:w="1262" w:type="dxa"/>
            <w:vAlign w:val="center"/>
          </w:tcPr>
          <w:p w14:paraId="5BB20A31">
            <w:r>
              <w:rPr>
                <w:rFonts w:hint="eastAsia"/>
              </w:rPr>
              <w:t>7.4.7.6</w:t>
            </w:r>
          </w:p>
        </w:tc>
        <w:tc>
          <w:tcPr>
            <w:tcW w:w="2289" w:type="dxa"/>
            <w:vAlign w:val="center"/>
          </w:tcPr>
          <w:p w14:paraId="0CA86FE4">
            <w:pPr>
              <w:jc w:val="right"/>
            </w:pPr>
            <w:r>
              <w:rPr>
                <w:rFonts w:hint="eastAsia"/>
              </w:rPr>
              <w:t>243,775.26</w:t>
            </w:r>
          </w:p>
        </w:tc>
        <w:tc>
          <w:tcPr>
            <w:tcW w:w="2295" w:type="dxa"/>
            <w:vAlign w:val="center"/>
          </w:tcPr>
          <w:p w14:paraId="49BD1C8C">
            <w:pPr>
              <w:jc w:val="right"/>
            </w:pPr>
            <w:r>
              <w:rPr>
                <w:rFonts w:hint="eastAsia"/>
              </w:rPr>
              <w:t>231,931.75</w:t>
            </w:r>
          </w:p>
        </w:tc>
      </w:tr>
      <w:tr w14:paraId="21BA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E79F6">
            <w:r>
              <w:rPr>
                <w:rFonts w:hint="eastAsia"/>
              </w:rPr>
              <w:t>负债合计</w:t>
            </w:r>
          </w:p>
        </w:tc>
        <w:tc>
          <w:tcPr>
            <w:tcW w:w="1262" w:type="dxa"/>
            <w:vAlign w:val="center"/>
          </w:tcPr>
          <w:p w14:paraId="28C5F394"/>
        </w:tc>
        <w:tc>
          <w:tcPr>
            <w:tcW w:w="2289" w:type="dxa"/>
            <w:vAlign w:val="center"/>
          </w:tcPr>
          <w:p w14:paraId="6D331918">
            <w:pPr>
              <w:jc w:val="right"/>
            </w:pPr>
            <w:r>
              <w:rPr>
                <w:rFonts w:hint="eastAsia"/>
              </w:rPr>
              <w:t>85,289,744.23</w:t>
            </w:r>
          </w:p>
        </w:tc>
        <w:tc>
          <w:tcPr>
            <w:tcW w:w="2295" w:type="dxa"/>
            <w:vAlign w:val="center"/>
          </w:tcPr>
          <w:p w14:paraId="04A8E1A1">
            <w:pPr>
              <w:jc w:val="right"/>
            </w:pPr>
            <w:r>
              <w:rPr>
                <w:rFonts w:hint="eastAsia"/>
              </w:rPr>
              <w:t>380,819,964.74</w:t>
            </w:r>
          </w:p>
        </w:tc>
      </w:tr>
      <w:tr w14:paraId="423BA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2EBFC80B">
            <w:r>
              <w:rPr>
                <w:rFonts w:hint="eastAsia"/>
              </w:rPr>
              <w:t>净资产：</w:t>
            </w:r>
          </w:p>
        </w:tc>
        <w:tc>
          <w:tcPr>
            <w:tcW w:w="1262" w:type="dxa"/>
            <w:vAlign w:val="center"/>
          </w:tcPr>
          <w:p w14:paraId="1D3CAD66"/>
        </w:tc>
        <w:tc>
          <w:tcPr>
            <w:tcW w:w="2289" w:type="dxa"/>
            <w:vAlign w:val="center"/>
          </w:tcPr>
          <w:p w14:paraId="088EAC7F"/>
        </w:tc>
        <w:tc>
          <w:tcPr>
            <w:tcW w:w="2295" w:type="dxa"/>
            <w:vAlign w:val="center"/>
          </w:tcPr>
          <w:p w14:paraId="6468EC45"/>
        </w:tc>
      </w:tr>
      <w:tr w14:paraId="3C4D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02BC75">
            <w:r>
              <w:rPr>
                <w:rFonts w:hint="eastAsia"/>
              </w:rPr>
              <w:t>实收基金</w:t>
            </w:r>
          </w:p>
        </w:tc>
        <w:tc>
          <w:tcPr>
            <w:tcW w:w="1262" w:type="dxa"/>
            <w:vAlign w:val="center"/>
          </w:tcPr>
          <w:p w14:paraId="7F55F91F">
            <w:r>
              <w:rPr>
                <w:rFonts w:hint="eastAsia"/>
              </w:rPr>
              <w:t>7.4.7.7</w:t>
            </w:r>
          </w:p>
        </w:tc>
        <w:tc>
          <w:tcPr>
            <w:tcW w:w="2289" w:type="dxa"/>
            <w:vAlign w:val="center"/>
          </w:tcPr>
          <w:p w14:paraId="0D19B6DA">
            <w:pPr>
              <w:jc w:val="right"/>
            </w:pPr>
            <w:r>
              <w:rPr>
                <w:rFonts w:hint="eastAsia"/>
              </w:rPr>
              <w:t>1,001,961,129.58</w:t>
            </w:r>
          </w:p>
        </w:tc>
        <w:tc>
          <w:tcPr>
            <w:tcW w:w="2295" w:type="dxa"/>
            <w:vAlign w:val="center"/>
          </w:tcPr>
          <w:p w14:paraId="1A08926B">
            <w:pPr>
              <w:jc w:val="right"/>
            </w:pPr>
            <w:r>
              <w:rPr>
                <w:rFonts w:hint="eastAsia"/>
              </w:rPr>
              <w:t>1,485,842,266.76</w:t>
            </w:r>
          </w:p>
        </w:tc>
      </w:tr>
      <w:tr w14:paraId="7457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4E3C8">
            <w:r>
              <w:rPr>
                <w:rFonts w:hint="eastAsia"/>
              </w:rPr>
              <w:t>其他综合收益</w:t>
            </w:r>
          </w:p>
        </w:tc>
        <w:tc>
          <w:tcPr>
            <w:tcW w:w="1262" w:type="dxa"/>
            <w:vAlign w:val="center"/>
          </w:tcPr>
          <w:p w14:paraId="654EC623"/>
        </w:tc>
        <w:tc>
          <w:tcPr>
            <w:tcW w:w="2289" w:type="dxa"/>
            <w:vAlign w:val="center"/>
          </w:tcPr>
          <w:p w14:paraId="65A02FE4">
            <w:pPr>
              <w:jc w:val="right"/>
            </w:pPr>
            <w:r>
              <w:rPr>
                <w:rFonts w:hint="eastAsia"/>
              </w:rPr>
              <w:t>-</w:t>
            </w:r>
          </w:p>
        </w:tc>
        <w:tc>
          <w:tcPr>
            <w:tcW w:w="2295" w:type="dxa"/>
            <w:vAlign w:val="center"/>
          </w:tcPr>
          <w:p w14:paraId="21917D6D">
            <w:pPr>
              <w:jc w:val="right"/>
            </w:pPr>
            <w:r>
              <w:rPr>
                <w:rFonts w:hint="eastAsia"/>
              </w:rPr>
              <w:t>-</w:t>
            </w:r>
          </w:p>
        </w:tc>
      </w:tr>
      <w:tr w14:paraId="2725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67EDD1">
            <w:r>
              <w:rPr>
                <w:rFonts w:hint="eastAsia"/>
              </w:rPr>
              <w:t>未分配利润</w:t>
            </w:r>
          </w:p>
        </w:tc>
        <w:tc>
          <w:tcPr>
            <w:tcW w:w="1262" w:type="dxa"/>
            <w:vAlign w:val="center"/>
          </w:tcPr>
          <w:p w14:paraId="2F5AF183">
            <w:r>
              <w:rPr>
                <w:rFonts w:hint="eastAsia"/>
              </w:rPr>
              <w:t>7.4.7.8</w:t>
            </w:r>
          </w:p>
        </w:tc>
        <w:tc>
          <w:tcPr>
            <w:tcW w:w="2289" w:type="dxa"/>
            <w:vAlign w:val="center"/>
          </w:tcPr>
          <w:p w14:paraId="244B0274">
            <w:pPr>
              <w:jc w:val="right"/>
            </w:pPr>
            <w:r>
              <w:rPr>
                <w:rFonts w:hint="eastAsia"/>
              </w:rPr>
              <w:t>63,456,008.26</w:t>
            </w:r>
          </w:p>
        </w:tc>
        <w:tc>
          <w:tcPr>
            <w:tcW w:w="2295" w:type="dxa"/>
            <w:vAlign w:val="center"/>
          </w:tcPr>
          <w:p w14:paraId="741EA845">
            <w:pPr>
              <w:jc w:val="right"/>
            </w:pPr>
            <w:r>
              <w:rPr>
                <w:rFonts w:hint="eastAsia"/>
              </w:rPr>
              <w:t>160,187,425.27</w:t>
            </w:r>
          </w:p>
        </w:tc>
      </w:tr>
      <w:tr w14:paraId="1595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A25AE">
            <w:r>
              <w:rPr>
                <w:rFonts w:hint="eastAsia"/>
              </w:rPr>
              <w:t>净资产合计</w:t>
            </w:r>
          </w:p>
        </w:tc>
        <w:tc>
          <w:tcPr>
            <w:tcW w:w="1262" w:type="dxa"/>
            <w:vAlign w:val="center"/>
          </w:tcPr>
          <w:p w14:paraId="13F2FC37"/>
        </w:tc>
        <w:tc>
          <w:tcPr>
            <w:tcW w:w="2289" w:type="dxa"/>
            <w:vAlign w:val="center"/>
          </w:tcPr>
          <w:p w14:paraId="3C96FF4B">
            <w:pPr>
              <w:jc w:val="right"/>
            </w:pPr>
            <w:r>
              <w:rPr>
                <w:rFonts w:hint="eastAsia"/>
              </w:rPr>
              <w:t>1,065,417,137.84</w:t>
            </w:r>
          </w:p>
        </w:tc>
        <w:tc>
          <w:tcPr>
            <w:tcW w:w="2295" w:type="dxa"/>
            <w:vAlign w:val="center"/>
          </w:tcPr>
          <w:p w14:paraId="409BA285">
            <w:pPr>
              <w:jc w:val="right"/>
            </w:pPr>
            <w:r>
              <w:rPr>
                <w:rFonts w:hint="eastAsia"/>
              </w:rPr>
              <w:t>1,646,029,692.03</w:t>
            </w:r>
          </w:p>
        </w:tc>
      </w:tr>
      <w:tr w14:paraId="10B96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C3E27">
            <w:r>
              <w:rPr>
                <w:rFonts w:hint="eastAsia"/>
              </w:rPr>
              <w:t>负债和净资产总计</w:t>
            </w:r>
          </w:p>
        </w:tc>
        <w:tc>
          <w:tcPr>
            <w:tcW w:w="1262" w:type="dxa"/>
            <w:vAlign w:val="center"/>
          </w:tcPr>
          <w:p w14:paraId="75BBF0C6"/>
        </w:tc>
        <w:tc>
          <w:tcPr>
            <w:tcW w:w="2289" w:type="dxa"/>
            <w:vAlign w:val="center"/>
          </w:tcPr>
          <w:p w14:paraId="289C2A50">
            <w:pPr>
              <w:jc w:val="right"/>
            </w:pPr>
            <w:r>
              <w:rPr>
                <w:rFonts w:hint="eastAsia"/>
              </w:rPr>
              <w:t>1,150,706,882.07</w:t>
            </w:r>
          </w:p>
        </w:tc>
        <w:tc>
          <w:tcPr>
            <w:tcW w:w="2295" w:type="dxa"/>
            <w:vAlign w:val="center"/>
          </w:tcPr>
          <w:p w14:paraId="7FD9F239">
            <w:pPr>
              <w:jc w:val="right"/>
            </w:pPr>
            <w:r>
              <w:rPr>
                <w:rFonts w:hint="eastAsia"/>
              </w:rPr>
              <w:t>2,026,849,656.77</w:t>
            </w:r>
          </w:p>
        </w:tc>
      </w:tr>
    </w:tbl>
    <w:p w14:paraId="3E2DE3C9">
      <w:pPr>
        <w:pStyle w:val="47"/>
        <w:rPr>
          <w:rFonts w:hint="eastAsia"/>
        </w:rPr>
      </w:pPr>
      <w:r>
        <w:rPr>
          <w:rFonts w:hint="eastAsia"/>
        </w:rPr>
        <w:t>注：报告截止日2025年12月31日，基金份额净值1.0633元，基金份额总额1,001,961,129.58份。</w:t>
      </w:r>
    </w:p>
    <w:p w14:paraId="2111936B">
      <w:pPr>
        <w:pStyle w:val="23"/>
      </w:pPr>
      <w:bookmarkStart w:id="46" w:name="_Toc22912"/>
      <w:r>
        <w:t>利润表</w:t>
      </w:r>
      <w:bookmarkEnd w:id="46"/>
    </w:p>
    <w:p w14:paraId="0142FEA0">
      <w:pPr>
        <w:pStyle w:val="18"/>
        <w:rPr>
          <w:rFonts w:hint="eastAsia"/>
        </w:rPr>
      </w:pPr>
      <w:r>
        <w:rPr>
          <w:rFonts w:hint="eastAsia"/>
        </w:rPr>
        <w:t>会计主体：南方远利3个月定期开放债券型发起式证券投资基金</w:t>
      </w:r>
    </w:p>
    <w:p w14:paraId="244F4D6A">
      <w:pPr>
        <w:pStyle w:val="18"/>
        <w:rPr>
          <w:rFonts w:hint="eastAsia"/>
        </w:rPr>
      </w:pPr>
      <w:r>
        <w:rPr>
          <w:rFonts w:hint="eastAsia"/>
        </w:rPr>
        <w:t>本报告期：2025年1月1日至2025年12月31日</w:t>
      </w:r>
    </w:p>
    <w:p w14:paraId="1902A3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C5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6FF9395">
            <w:pPr>
              <w:jc w:val="center"/>
            </w:pPr>
            <w:r>
              <w:rPr>
                <w:rFonts w:hint="eastAsia"/>
                <w:b/>
              </w:rPr>
              <w:t>项目</w:t>
            </w:r>
          </w:p>
        </w:tc>
        <w:tc>
          <w:tcPr>
            <w:tcW w:w="1262" w:type="dxa"/>
            <w:shd w:val="clear" w:color="auto" w:fill="BFBFBF"/>
            <w:vAlign w:val="center"/>
          </w:tcPr>
          <w:p w14:paraId="0F0E9A89">
            <w:pPr>
              <w:jc w:val="center"/>
            </w:pPr>
            <w:r>
              <w:rPr>
                <w:rFonts w:hint="eastAsia"/>
                <w:b/>
              </w:rPr>
              <w:t>附注号</w:t>
            </w:r>
          </w:p>
        </w:tc>
        <w:tc>
          <w:tcPr>
            <w:tcW w:w="2289" w:type="dxa"/>
            <w:shd w:val="clear" w:color="auto" w:fill="BFBFBF"/>
            <w:vAlign w:val="center"/>
          </w:tcPr>
          <w:p w14:paraId="2FF6BC1F">
            <w:pPr>
              <w:jc w:val="center"/>
            </w:pPr>
            <w:r>
              <w:rPr>
                <w:rFonts w:hint="eastAsia"/>
                <w:b/>
              </w:rPr>
              <w:t>本期2025年1月1日至2025年12月31日</w:t>
            </w:r>
          </w:p>
        </w:tc>
        <w:tc>
          <w:tcPr>
            <w:tcW w:w="2295" w:type="dxa"/>
            <w:shd w:val="clear" w:color="auto" w:fill="BFBFBF"/>
            <w:vAlign w:val="center"/>
          </w:tcPr>
          <w:p w14:paraId="1BDE91E7">
            <w:pPr>
              <w:jc w:val="center"/>
            </w:pPr>
            <w:r>
              <w:rPr>
                <w:rFonts w:hint="eastAsia"/>
                <w:b/>
              </w:rPr>
              <w:t>上年度可比期间2024年1月1日至2024年12月31日</w:t>
            </w:r>
          </w:p>
        </w:tc>
      </w:tr>
      <w:tr w14:paraId="4D50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BD2FE">
            <w:r>
              <w:rPr>
                <w:rFonts w:hint="eastAsia"/>
              </w:rPr>
              <w:t>一、营业总收入</w:t>
            </w:r>
          </w:p>
        </w:tc>
        <w:tc>
          <w:tcPr>
            <w:tcW w:w="1262" w:type="dxa"/>
            <w:vAlign w:val="center"/>
          </w:tcPr>
          <w:p w14:paraId="387A1608"/>
        </w:tc>
        <w:tc>
          <w:tcPr>
            <w:tcW w:w="2289" w:type="dxa"/>
            <w:vAlign w:val="center"/>
          </w:tcPr>
          <w:p w14:paraId="51F3D707">
            <w:pPr>
              <w:jc w:val="right"/>
            </w:pPr>
            <w:r>
              <w:rPr>
                <w:rFonts w:hint="eastAsia"/>
              </w:rPr>
              <w:t>27,412,900.62</w:t>
            </w:r>
          </w:p>
        </w:tc>
        <w:tc>
          <w:tcPr>
            <w:tcW w:w="2295" w:type="dxa"/>
            <w:vAlign w:val="center"/>
          </w:tcPr>
          <w:p w14:paraId="7CFB76A3">
            <w:pPr>
              <w:jc w:val="right"/>
            </w:pPr>
            <w:r>
              <w:rPr>
                <w:rFonts w:hint="eastAsia"/>
              </w:rPr>
              <w:t>76,732,998.88</w:t>
            </w:r>
          </w:p>
        </w:tc>
      </w:tr>
      <w:tr w14:paraId="0540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31EAE9">
            <w:r>
              <w:rPr>
                <w:rFonts w:hint="eastAsia"/>
              </w:rPr>
              <w:t>1.利息收入</w:t>
            </w:r>
          </w:p>
        </w:tc>
        <w:tc>
          <w:tcPr>
            <w:tcW w:w="1262" w:type="dxa"/>
            <w:vAlign w:val="center"/>
          </w:tcPr>
          <w:p w14:paraId="7DF020D6"/>
        </w:tc>
        <w:tc>
          <w:tcPr>
            <w:tcW w:w="2289" w:type="dxa"/>
            <w:vAlign w:val="center"/>
          </w:tcPr>
          <w:p w14:paraId="0A576587">
            <w:pPr>
              <w:jc w:val="right"/>
            </w:pPr>
            <w:r>
              <w:rPr>
                <w:rFonts w:hint="eastAsia"/>
              </w:rPr>
              <w:t>37,654.45</w:t>
            </w:r>
          </w:p>
        </w:tc>
        <w:tc>
          <w:tcPr>
            <w:tcW w:w="2295" w:type="dxa"/>
            <w:vAlign w:val="center"/>
          </w:tcPr>
          <w:p w14:paraId="1FE4D794">
            <w:pPr>
              <w:jc w:val="right"/>
            </w:pPr>
            <w:r>
              <w:rPr>
                <w:rFonts w:hint="eastAsia"/>
              </w:rPr>
              <w:t>165,537.54</w:t>
            </w:r>
          </w:p>
        </w:tc>
      </w:tr>
      <w:tr w14:paraId="125A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C1A0F6">
            <w:r>
              <w:rPr>
                <w:rFonts w:hint="eastAsia"/>
              </w:rPr>
              <w:t>其中：存款利息收入</w:t>
            </w:r>
          </w:p>
        </w:tc>
        <w:tc>
          <w:tcPr>
            <w:tcW w:w="1262" w:type="dxa"/>
            <w:vAlign w:val="center"/>
          </w:tcPr>
          <w:p w14:paraId="4086A236">
            <w:r>
              <w:rPr>
                <w:rFonts w:hint="eastAsia"/>
              </w:rPr>
              <w:t>7.4.7.9</w:t>
            </w:r>
          </w:p>
        </w:tc>
        <w:tc>
          <w:tcPr>
            <w:tcW w:w="2289" w:type="dxa"/>
            <w:vAlign w:val="center"/>
          </w:tcPr>
          <w:p w14:paraId="762B2A08">
            <w:pPr>
              <w:jc w:val="right"/>
            </w:pPr>
            <w:r>
              <w:rPr>
                <w:rFonts w:hint="eastAsia"/>
              </w:rPr>
              <w:t>16,434.42</w:t>
            </w:r>
          </w:p>
        </w:tc>
        <w:tc>
          <w:tcPr>
            <w:tcW w:w="2295" w:type="dxa"/>
            <w:vAlign w:val="center"/>
          </w:tcPr>
          <w:p w14:paraId="3866076A">
            <w:pPr>
              <w:jc w:val="right"/>
            </w:pPr>
            <w:r>
              <w:rPr>
                <w:rFonts w:hint="eastAsia"/>
              </w:rPr>
              <w:t>152,427.14</w:t>
            </w:r>
          </w:p>
        </w:tc>
      </w:tr>
      <w:tr w14:paraId="6109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30F8E">
            <w:r>
              <w:rPr>
                <w:rFonts w:hint="eastAsia"/>
              </w:rPr>
              <w:t xml:space="preserve">      债券利息收入</w:t>
            </w:r>
          </w:p>
        </w:tc>
        <w:tc>
          <w:tcPr>
            <w:tcW w:w="1262" w:type="dxa"/>
            <w:vAlign w:val="center"/>
          </w:tcPr>
          <w:p w14:paraId="3207EE67"/>
        </w:tc>
        <w:tc>
          <w:tcPr>
            <w:tcW w:w="2289" w:type="dxa"/>
            <w:vAlign w:val="center"/>
          </w:tcPr>
          <w:p w14:paraId="1562506C">
            <w:pPr>
              <w:jc w:val="right"/>
            </w:pPr>
            <w:r>
              <w:rPr>
                <w:rFonts w:hint="eastAsia"/>
              </w:rPr>
              <w:t>-</w:t>
            </w:r>
          </w:p>
        </w:tc>
        <w:tc>
          <w:tcPr>
            <w:tcW w:w="2295" w:type="dxa"/>
            <w:vAlign w:val="center"/>
          </w:tcPr>
          <w:p w14:paraId="6C450DDE">
            <w:pPr>
              <w:jc w:val="right"/>
            </w:pPr>
            <w:r>
              <w:rPr>
                <w:rFonts w:hint="eastAsia"/>
              </w:rPr>
              <w:t>-</w:t>
            </w:r>
          </w:p>
        </w:tc>
      </w:tr>
      <w:tr w14:paraId="3B17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C9A933">
            <w:r>
              <w:rPr>
                <w:rFonts w:hint="eastAsia"/>
              </w:rPr>
              <w:t xml:space="preserve">      资产支持证券利息收入</w:t>
            </w:r>
          </w:p>
        </w:tc>
        <w:tc>
          <w:tcPr>
            <w:tcW w:w="1262" w:type="dxa"/>
            <w:vAlign w:val="center"/>
          </w:tcPr>
          <w:p w14:paraId="45B1F88C"/>
        </w:tc>
        <w:tc>
          <w:tcPr>
            <w:tcW w:w="2289" w:type="dxa"/>
            <w:vAlign w:val="center"/>
          </w:tcPr>
          <w:p w14:paraId="766F991E">
            <w:pPr>
              <w:jc w:val="right"/>
            </w:pPr>
            <w:r>
              <w:rPr>
                <w:rFonts w:hint="eastAsia"/>
              </w:rPr>
              <w:t>-</w:t>
            </w:r>
          </w:p>
        </w:tc>
        <w:tc>
          <w:tcPr>
            <w:tcW w:w="2295" w:type="dxa"/>
            <w:vAlign w:val="center"/>
          </w:tcPr>
          <w:p w14:paraId="5A7FFF1C">
            <w:pPr>
              <w:jc w:val="right"/>
            </w:pPr>
            <w:r>
              <w:rPr>
                <w:rFonts w:hint="eastAsia"/>
              </w:rPr>
              <w:t>-</w:t>
            </w:r>
          </w:p>
        </w:tc>
      </w:tr>
      <w:tr w14:paraId="4687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3DC21C">
            <w:r>
              <w:rPr>
                <w:rFonts w:hint="eastAsia"/>
              </w:rPr>
              <w:t xml:space="preserve">      买入返售金融资产收入</w:t>
            </w:r>
          </w:p>
        </w:tc>
        <w:tc>
          <w:tcPr>
            <w:tcW w:w="1262" w:type="dxa"/>
            <w:vAlign w:val="center"/>
          </w:tcPr>
          <w:p w14:paraId="21B08B70"/>
        </w:tc>
        <w:tc>
          <w:tcPr>
            <w:tcW w:w="2289" w:type="dxa"/>
            <w:vAlign w:val="center"/>
          </w:tcPr>
          <w:p w14:paraId="78002DB7">
            <w:pPr>
              <w:jc w:val="right"/>
            </w:pPr>
            <w:r>
              <w:rPr>
                <w:rFonts w:hint="eastAsia"/>
              </w:rPr>
              <w:t>21,220.03</w:t>
            </w:r>
          </w:p>
        </w:tc>
        <w:tc>
          <w:tcPr>
            <w:tcW w:w="2295" w:type="dxa"/>
            <w:vAlign w:val="center"/>
          </w:tcPr>
          <w:p w14:paraId="007C5FF8">
            <w:pPr>
              <w:jc w:val="right"/>
            </w:pPr>
            <w:r>
              <w:rPr>
                <w:rFonts w:hint="eastAsia"/>
              </w:rPr>
              <w:t>13,110.40</w:t>
            </w:r>
          </w:p>
        </w:tc>
      </w:tr>
      <w:tr w14:paraId="7D77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C7755">
            <w:r>
              <w:rPr>
                <w:rFonts w:hint="eastAsia"/>
              </w:rPr>
              <w:t xml:space="preserve">      其他利息收入</w:t>
            </w:r>
          </w:p>
        </w:tc>
        <w:tc>
          <w:tcPr>
            <w:tcW w:w="1262" w:type="dxa"/>
            <w:vAlign w:val="center"/>
          </w:tcPr>
          <w:p w14:paraId="7A5B73DB"/>
        </w:tc>
        <w:tc>
          <w:tcPr>
            <w:tcW w:w="2289" w:type="dxa"/>
            <w:vAlign w:val="center"/>
          </w:tcPr>
          <w:p w14:paraId="49600D4F">
            <w:pPr>
              <w:jc w:val="right"/>
            </w:pPr>
            <w:r>
              <w:rPr>
                <w:rFonts w:hint="eastAsia"/>
              </w:rPr>
              <w:t>-</w:t>
            </w:r>
          </w:p>
        </w:tc>
        <w:tc>
          <w:tcPr>
            <w:tcW w:w="2295" w:type="dxa"/>
            <w:vAlign w:val="center"/>
          </w:tcPr>
          <w:p w14:paraId="34638025">
            <w:pPr>
              <w:jc w:val="right"/>
            </w:pPr>
            <w:r>
              <w:rPr>
                <w:rFonts w:hint="eastAsia"/>
              </w:rPr>
              <w:t>-</w:t>
            </w:r>
          </w:p>
        </w:tc>
      </w:tr>
      <w:tr w14:paraId="2EE0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1D4A9">
            <w:r>
              <w:rPr>
                <w:rFonts w:hint="eastAsia"/>
              </w:rPr>
              <w:t>2.投资收益（损失以“-”填列）</w:t>
            </w:r>
          </w:p>
        </w:tc>
        <w:tc>
          <w:tcPr>
            <w:tcW w:w="1262" w:type="dxa"/>
            <w:vAlign w:val="center"/>
          </w:tcPr>
          <w:p w14:paraId="68F3D12B"/>
        </w:tc>
        <w:tc>
          <w:tcPr>
            <w:tcW w:w="2289" w:type="dxa"/>
            <w:vAlign w:val="center"/>
          </w:tcPr>
          <w:p w14:paraId="70A3AD9E">
            <w:pPr>
              <w:jc w:val="right"/>
            </w:pPr>
            <w:r>
              <w:rPr>
                <w:rFonts w:hint="eastAsia"/>
              </w:rPr>
              <w:t>51,759,617.64</w:t>
            </w:r>
          </w:p>
        </w:tc>
        <w:tc>
          <w:tcPr>
            <w:tcW w:w="2295" w:type="dxa"/>
            <w:vAlign w:val="center"/>
          </w:tcPr>
          <w:p w14:paraId="2B51FA96">
            <w:pPr>
              <w:jc w:val="right"/>
            </w:pPr>
            <w:r>
              <w:rPr>
                <w:rFonts w:hint="eastAsia"/>
              </w:rPr>
              <w:t>64,267,883.25</w:t>
            </w:r>
          </w:p>
        </w:tc>
      </w:tr>
      <w:tr w14:paraId="2B1F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A4C6F">
            <w:r>
              <w:rPr>
                <w:rFonts w:hint="eastAsia"/>
              </w:rPr>
              <w:t>其中：股票投资收益</w:t>
            </w:r>
          </w:p>
        </w:tc>
        <w:tc>
          <w:tcPr>
            <w:tcW w:w="1262" w:type="dxa"/>
            <w:vAlign w:val="center"/>
          </w:tcPr>
          <w:p w14:paraId="19F50AF2">
            <w:r>
              <w:rPr>
                <w:rFonts w:hint="eastAsia"/>
              </w:rPr>
              <w:t>7.4.7.10</w:t>
            </w:r>
          </w:p>
        </w:tc>
        <w:tc>
          <w:tcPr>
            <w:tcW w:w="2289" w:type="dxa"/>
            <w:vAlign w:val="center"/>
          </w:tcPr>
          <w:p w14:paraId="74AA5592">
            <w:pPr>
              <w:jc w:val="right"/>
            </w:pPr>
            <w:r>
              <w:rPr>
                <w:rFonts w:hint="eastAsia"/>
              </w:rPr>
              <w:t>-</w:t>
            </w:r>
          </w:p>
        </w:tc>
        <w:tc>
          <w:tcPr>
            <w:tcW w:w="2295" w:type="dxa"/>
            <w:vAlign w:val="center"/>
          </w:tcPr>
          <w:p w14:paraId="0EB98063">
            <w:pPr>
              <w:jc w:val="right"/>
            </w:pPr>
            <w:r>
              <w:rPr>
                <w:rFonts w:hint="eastAsia"/>
              </w:rPr>
              <w:t>-</w:t>
            </w:r>
          </w:p>
        </w:tc>
      </w:tr>
      <w:tr w14:paraId="7F23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97F079">
            <w:r>
              <w:rPr>
                <w:rFonts w:hint="eastAsia"/>
              </w:rPr>
              <w:t xml:space="preserve">      基金投资收益</w:t>
            </w:r>
          </w:p>
        </w:tc>
        <w:tc>
          <w:tcPr>
            <w:tcW w:w="1262" w:type="dxa"/>
            <w:vAlign w:val="center"/>
          </w:tcPr>
          <w:p w14:paraId="6E6B6921">
            <w:r>
              <w:rPr>
                <w:rFonts w:hint="eastAsia"/>
              </w:rPr>
              <w:t>7.4.7.11</w:t>
            </w:r>
          </w:p>
        </w:tc>
        <w:tc>
          <w:tcPr>
            <w:tcW w:w="2289" w:type="dxa"/>
            <w:vAlign w:val="center"/>
          </w:tcPr>
          <w:p w14:paraId="6BB134F4">
            <w:pPr>
              <w:jc w:val="right"/>
            </w:pPr>
            <w:r>
              <w:rPr>
                <w:rFonts w:hint="eastAsia"/>
              </w:rPr>
              <w:t>-</w:t>
            </w:r>
          </w:p>
        </w:tc>
        <w:tc>
          <w:tcPr>
            <w:tcW w:w="2295" w:type="dxa"/>
            <w:vAlign w:val="center"/>
          </w:tcPr>
          <w:p w14:paraId="55C809A8">
            <w:pPr>
              <w:jc w:val="right"/>
            </w:pPr>
            <w:r>
              <w:rPr>
                <w:rFonts w:hint="eastAsia"/>
              </w:rPr>
              <w:t>-</w:t>
            </w:r>
          </w:p>
        </w:tc>
      </w:tr>
      <w:tr w14:paraId="03AE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1DAD2">
            <w:r>
              <w:rPr>
                <w:rFonts w:hint="eastAsia"/>
              </w:rPr>
              <w:t xml:space="preserve">      债券投资收益</w:t>
            </w:r>
          </w:p>
        </w:tc>
        <w:tc>
          <w:tcPr>
            <w:tcW w:w="1262" w:type="dxa"/>
            <w:vAlign w:val="center"/>
          </w:tcPr>
          <w:p w14:paraId="0958F78F">
            <w:r>
              <w:rPr>
                <w:rFonts w:hint="eastAsia"/>
              </w:rPr>
              <w:t>7.4.7.12</w:t>
            </w:r>
          </w:p>
        </w:tc>
        <w:tc>
          <w:tcPr>
            <w:tcW w:w="2289" w:type="dxa"/>
            <w:vAlign w:val="center"/>
          </w:tcPr>
          <w:p w14:paraId="15A6615D">
            <w:pPr>
              <w:jc w:val="right"/>
            </w:pPr>
            <w:r>
              <w:rPr>
                <w:rFonts w:hint="eastAsia"/>
              </w:rPr>
              <w:t>51,759,617.64</w:t>
            </w:r>
          </w:p>
        </w:tc>
        <w:tc>
          <w:tcPr>
            <w:tcW w:w="2295" w:type="dxa"/>
            <w:vAlign w:val="center"/>
          </w:tcPr>
          <w:p w14:paraId="4C1A795A">
            <w:pPr>
              <w:jc w:val="right"/>
            </w:pPr>
            <w:r>
              <w:rPr>
                <w:rFonts w:hint="eastAsia"/>
              </w:rPr>
              <w:t>64,267,883.25</w:t>
            </w:r>
          </w:p>
        </w:tc>
      </w:tr>
      <w:tr w14:paraId="6C4A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62D9F">
            <w:r>
              <w:rPr>
                <w:rFonts w:hint="eastAsia"/>
              </w:rPr>
              <w:t xml:space="preserve">      资产支持证券投资收益</w:t>
            </w:r>
          </w:p>
        </w:tc>
        <w:tc>
          <w:tcPr>
            <w:tcW w:w="1262" w:type="dxa"/>
            <w:vAlign w:val="center"/>
          </w:tcPr>
          <w:p w14:paraId="55F7F89A">
            <w:r>
              <w:rPr>
                <w:rFonts w:hint="eastAsia"/>
              </w:rPr>
              <w:t>7.4.7.13</w:t>
            </w:r>
          </w:p>
        </w:tc>
        <w:tc>
          <w:tcPr>
            <w:tcW w:w="2289" w:type="dxa"/>
            <w:vAlign w:val="center"/>
          </w:tcPr>
          <w:p w14:paraId="08D080EF">
            <w:pPr>
              <w:jc w:val="right"/>
            </w:pPr>
            <w:r>
              <w:rPr>
                <w:rFonts w:hint="eastAsia"/>
              </w:rPr>
              <w:t>-</w:t>
            </w:r>
          </w:p>
        </w:tc>
        <w:tc>
          <w:tcPr>
            <w:tcW w:w="2295" w:type="dxa"/>
            <w:vAlign w:val="center"/>
          </w:tcPr>
          <w:p w14:paraId="5BDDFE94">
            <w:pPr>
              <w:jc w:val="right"/>
            </w:pPr>
            <w:r>
              <w:rPr>
                <w:rFonts w:hint="eastAsia"/>
              </w:rPr>
              <w:t>-</w:t>
            </w:r>
          </w:p>
        </w:tc>
      </w:tr>
      <w:tr w14:paraId="4064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1ECA21">
            <w:r>
              <w:rPr>
                <w:rFonts w:hint="eastAsia"/>
              </w:rPr>
              <w:t xml:space="preserve">      贵金属投资收益</w:t>
            </w:r>
          </w:p>
        </w:tc>
        <w:tc>
          <w:tcPr>
            <w:tcW w:w="1262" w:type="dxa"/>
            <w:vAlign w:val="center"/>
          </w:tcPr>
          <w:p w14:paraId="682679B0"/>
        </w:tc>
        <w:tc>
          <w:tcPr>
            <w:tcW w:w="2289" w:type="dxa"/>
            <w:vAlign w:val="center"/>
          </w:tcPr>
          <w:p w14:paraId="28238B44">
            <w:pPr>
              <w:jc w:val="right"/>
            </w:pPr>
            <w:r>
              <w:rPr>
                <w:rFonts w:hint="eastAsia"/>
              </w:rPr>
              <w:t>-</w:t>
            </w:r>
          </w:p>
        </w:tc>
        <w:tc>
          <w:tcPr>
            <w:tcW w:w="2295" w:type="dxa"/>
            <w:vAlign w:val="center"/>
          </w:tcPr>
          <w:p w14:paraId="3A94FD2F">
            <w:pPr>
              <w:jc w:val="right"/>
            </w:pPr>
            <w:r>
              <w:rPr>
                <w:rFonts w:hint="eastAsia"/>
              </w:rPr>
              <w:t>-</w:t>
            </w:r>
          </w:p>
        </w:tc>
      </w:tr>
      <w:tr w14:paraId="75BA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251989">
            <w:r>
              <w:rPr>
                <w:rFonts w:hint="eastAsia"/>
              </w:rPr>
              <w:t xml:space="preserve">      衍生工具收益</w:t>
            </w:r>
          </w:p>
        </w:tc>
        <w:tc>
          <w:tcPr>
            <w:tcW w:w="1262" w:type="dxa"/>
            <w:vAlign w:val="center"/>
          </w:tcPr>
          <w:p w14:paraId="02D7BC54">
            <w:r>
              <w:rPr>
                <w:rFonts w:hint="eastAsia"/>
              </w:rPr>
              <w:t>7.4.7.14</w:t>
            </w:r>
          </w:p>
        </w:tc>
        <w:tc>
          <w:tcPr>
            <w:tcW w:w="2289" w:type="dxa"/>
            <w:vAlign w:val="center"/>
          </w:tcPr>
          <w:p w14:paraId="016E158B">
            <w:pPr>
              <w:jc w:val="right"/>
            </w:pPr>
            <w:r>
              <w:rPr>
                <w:rFonts w:hint="eastAsia"/>
              </w:rPr>
              <w:t>-</w:t>
            </w:r>
          </w:p>
        </w:tc>
        <w:tc>
          <w:tcPr>
            <w:tcW w:w="2295" w:type="dxa"/>
            <w:vAlign w:val="center"/>
          </w:tcPr>
          <w:p w14:paraId="0D3A4A49">
            <w:pPr>
              <w:jc w:val="right"/>
            </w:pPr>
            <w:r>
              <w:rPr>
                <w:rFonts w:hint="eastAsia"/>
              </w:rPr>
              <w:t>-</w:t>
            </w:r>
          </w:p>
        </w:tc>
      </w:tr>
      <w:tr w14:paraId="2D76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D4E08">
            <w:r>
              <w:rPr>
                <w:rFonts w:hint="eastAsia"/>
              </w:rPr>
              <w:t xml:space="preserve">      股利收益</w:t>
            </w:r>
          </w:p>
        </w:tc>
        <w:tc>
          <w:tcPr>
            <w:tcW w:w="1262" w:type="dxa"/>
            <w:vAlign w:val="center"/>
          </w:tcPr>
          <w:p w14:paraId="7D9391A9">
            <w:r>
              <w:rPr>
                <w:rFonts w:hint="eastAsia"/>
              </w:rPr>
              <w:t>7.4.7.15</w:t>
            </w:r>
          </w:p>
        </w:tc>
        <w:tc>
          <w:tcPr>
            <w:tcW w:w="2289" w:type="dxa"/>
            <w:vAlign w:val="center"/>
          </w:tcPr>
          <w:p w14:paraId="42B0A5C1">
            <w:pPr>
              <w:jc w:val="right"/>
            </w:pPr>
            <w:r>
              <w:rPr>
                <w:rFonts w:hint="eastAsia"/>
              </w:rPr>
              <w:t>-</w:t>
            </w:r>
          </w:p>
        </w:tc>
        <w:tc>
          <w:tcPr>
            <w:tcW w:w="2295" w:type="dxa"/>
            <w:vAlign w:val="center"/>
          </w:tcPr>
          <w:p w14:paraId="5C26CB83">
            <w:pPr>
              <w:jc w:val="right"/>
            </w:pPr>
            <w:r>
              <w:rPr>
                <w:rFonts w:hint="eastAsia"/>
              </w:rPr>
              <w:t>-</w:t>
            </w:r>
          </w:p>
        </w:tc>
      </w:tr>
      <w:tr w14:paraId="243D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26458">
            <w:r>
              <w:rPr>
                <w:rFonts w:hint="eastAsia"/>
              </w:rPr>
              <w:t xml:space="preserve">      以摊余成本计量的金融资产终止确认产生的收益</w:t>
            </w:r>
          </w:p>
        </w:tc>
        <w:tc>
          <w:tcPr>
            <w:tcW w:w="1262" w:type="dxa"/>
            <w:vAlign w:val="center"/>
          </w:tcPr>
          <w:p w14:paraId="4714BC43"/>
        </w:tc>
        <w:tc>
          <w:tcPr>
            <w:tcW w:w="2289" w:type="dxa"/>
            <w:vAlign w:val="center"/>
          </w:tcPr>
          <w:p w14:paraId="3A98BF2B">
            <w:pPr>
              <w:jc w:val="right"/>
            </w:pPr>
            <w:r>
              <w:rPr>
                <w:rFonts w:hint="eastAsia"/>
              </w:rPr>
              <w:t>-</w:t>
            </w:r>
          </w:p>
        </w:tc>
        <w:tc>
          <w:tcPr>
            <w:tcW w:w="2295" w:type="dxa"/>
            <w:vAlign w:val="center"/>
          </w:tcPr>
          <w:p w14:paraId="07203240">
            <w:pPr>
              <w:jc w:val="right"/>
            </w:pPr>
            <w:r>
              <w:rPr>
                <w:rFonts w:hint="eastAsia"/>
              </w:rPr>
              <w:t>-</w:t>
            </w:r>
          </w:p>
        </w:tc>
      </w:tr>
      <w:tr w14:paraId="143A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312BE8">
            <w:r>
              <w:rPr>
                <w:rFonts w:hint="eastAsia"/>
              </w:rPr>
              <w:t xml:space="preserve">      其他投资收益</w:t>
            </w:r>
          </w:p>
        </w:tc>
        <w:tc>
          <w:tcPr>
            <w:tcW w:w="1262" w:type="dxa"/>
            <w:vAlign w:val="center"/>
          </w:tcPr>
          <w:p w14:paraId="4E399D10"/>
        </w:tc>
        <w:tc>
          <w:tcPr>
            <w:tcW w:w="2289" w:type="dxa"/>
            <w:vAlign w:val="center"/>
          </w:tcPr>
          <w:p w14:paraId="560D0CC8">
            <w:pPr>
              <w:jc w:val="right"/>
            </w:pPr>
            <w:r>
              <w:rPr>
                <w:rFonts w:hint="eastAsia"/>
              </w:rPr>
              <w:t>-</w:t>
            </w:r>
          </w:p>
        </w:tc>
        <w:tc>
          <w:tcPr>
            <w:tcW w:w="2295" w:type="dxa"/>
            <w:vAlign w:val="center"/>
          </w:tcPr>
          <w:p w14:paraId="6A125641">
            <w:pPr>
              <w:jc w:val="right"/>
            </w:pPr>
            <w:r>
              <w:rPr>
                <w:rFonts w:hint="eastAsia"/>
              </w:rPr>
              <w:t>-</w:t>
            </w:r>
          </w:p>
        </w:tc>
      </w:tr>
      <w:tr w14:paraId="440E6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953CC">
            <w:r>
              <w:rPr>
                <w:rFonts w:hint="eastAsia"/>
              </w:rPr>
              <w:t>3.公允价值变动收益（损失以“-”号填列）</w:t>
            </w:r>
          </w:p>
        </w:tc>
        <w:tc>
          <w:tcPr>
            <w:tcW w:w="1262" w:type="dxa"/>
            <w:vAlign w:val="center"/>
          </w:tcPr>
          <w:p w14:paraId="4AFD3560">
            <w:r>
              <w:rPr>
                <w:rFonts w:hint="eastAsia"/>
              </w:rPr>
              <w:t>7.4.7.16</w:t>
            </w:r>
          </w:p>
        </w:tc>
        <w:tc>
          <w:tcPr>
            <w:tcW w:w="2289" w:type="dxa"/>
            <w:vAlign w:val="center"/>
          </w:tcPr>
          <w:p w14:paraId="1D498E07">
            <w:pPr>
              <w:jc w:val="right"/>
            </w:pPr>
            <w:r>
              <w:rPr>
                <w:rFonts w:hint="eastAsia"/>
              </w:rPr>
              <w:t>-24,384,371.47</w:t>
            </w:r>
          </w:p>
        </w:tc>
        <w:tc>
          <w:tcPr>
            <w:tcW w:w="2295" w:type="dxa"/>
            <w:vAlign w:val="center"/>
          </w:tcPr>
          <w:p w14:paraId="46A0E794">
            <w:pPr>
              <w:jc w:val="right"/>
            </w:pPr>
            <w:r>
              <w:rPr>
                <w:rFonts w:hint="eastAsia"/>
              </w:rPr>
              <w:t>12,299,578.09</w:t>
            </w:r>
          </w:p>
        </w:tc>
      </w:tr>
      <w:tr w14:paraId="53F2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E4FEE4">
            <w:r>
              <w:rPr>
                <w:rFonts w:hint="eastAsia"/>
              </w:rPr>
              <w:t>4.汇兑收益（损失以“－”号填列）</w:t>
            </w:r>
          </w:p>
        </w:tc>
        <w:tc>
          <w:tcPr>
            <w:tcW w:w="1262" w:type="dxa"/>
            <w:vAlign w:val="center"/>
          </w:tcPr>
          <w:p w14:paraId="0B2CCA8E"/>
        </w:tc>
        <w:tc>
          <w:tcPr>
            <w:tcW w:w="2289" w:type="dxa"/>
            <w:vAlign w:val="center"/>
          </w:tcPr>
          <w:p w14:paraId="1DA63976">
            <w:pPr>
              <w:jc w:val="right"/>
            </w:pPr>
            <w:r>
              <w:rPr>
                <w:rFonts w:hint="eastAsia"/>
              </w:rPr>
              <w:t>-</w:t>
            </w:r>
          </w:p>
        </w:tc>
        <w:tc>
          <w:tcPr>
            <w:tcW w:w="2295" w:type="dxa"/>
            <w:vAlign w:val="center"/>
          </w:tcPr>
          <w:p w14:paraId="1859506D">
            <w:pPr>
              <w:jc w:val="right"/>
            </w:pPr>
            <w:r>
              <w:rPr>
                <w:rFonts w:hint="eastAsia"/>
              </w:rPr>
              <w:t>-</w:t>
            </w:r>
          </w:p>
        </w:tc>
      </w:tr>
      <w:tr w14:paraId="2E57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EDCEE">
            <w:r>
              <w:rPr>
                <w:rFonts w:hint="eastAsia"/>
              </w:rPr>
              <w:t>5.其他收入（损失以“-”号填列）</w:t>
            </w:r>
          </w:p>
        </w:tc>
        <w:tc>
          <w:tcPr>
            <w:tcW w:w="1262" w:type="dxa"/>
            <w:vAlign w:val="center"/>
          </w:tcPr>
          <w:p w14:paraId="15810A56">
            <w:r>
              <w:rPr>
                <w:rFonts w:hint="eastAsia"/>
              </w:rPr>
              <w:t>7.4.7.17</w:t>
            </w:r>
          </w:p>
        </w:tc>
        <w:tc>
          <w:tcPr>
            <w:tcW w:w="2289" w:type="dxa"/>
            <w:vAlign w:val="center"/>
          </w:tcPr>
          <w:p w14:paraId="62141EA0">
            <w:pPr>
              <w:jc w:val="right"/>
            </w:pPr>
            <w:r>
              <w:rPr>
                <w:rFonts w:hint="eastAsia"/>
              </w:rPr>
              <w:t>-</w:t>
            </w:r>
          </w:p>
        </w:tc>
        <w:tc>
          <w:tcPr>
            <w:tcW w:w="2295" w:type="dxa"/>
            <w:vAlign w:val="center"/>
          </w:tcPr>
          <w:p w14:paraId="566AA691">
            <w:pPr>
              <w:jc w:val="right"/>
            </w:pPr>
            <w:r>
              <w:rPr>
                <w:rFonts w:hint="eastAsia"/>
              </w:rPr>
              <w:t>-</w:t>
            </w:r>
          </w:p>
        </w:tc>
      </w:tr>
      <w:tr w14:paraId="6CE0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FA5BB">
            <w:r>
              <w:rPr>
                <w:rFonts w:hint="eastAsia"/>
              </w:rPr>
              <w:t>减：二、营业总支出</w:t>
            </w:r>
          </w:p>
        </w:tc>
        <w:tc>
          <w:tcPr>
            <w:tcW w:w="1262" w:type="dxa"/>
            <w:vAlign w:val="center"/>
          </w:tcPr>
          <w:p w14:paraId="210BE185"/>
        </w:tc>
        <w:tc>
          <w:tcPr>
            <w:tcW w:w="2289" w:type="dxa"/>
            <w:vAlign w:val="center"/>
          </w:tcPr>
          <w:p w14:paraId="7942194C">
            <w:pPr>
              <w:jc w:val="right"/>
            </w:pPr>
            <w:r>
              <w:rPr>
                <w:rFonts w:hint="eastAsia"/>
              </w:rPr>
              <w:t>12,218,597.46</w:t>
            </w:r>
          </w:p>
        </w:tc>
        <w:tc>
          <w:tcPr>
            <w:tcW w:w="2295" w:type="dxa"/>
            <w:vAlign w:val="center"/>
          </w:tcPr>
          <w:p w14:paraId="7FC47E0F">
            <w:pPr>
              <w:jc w:val="right"/>
            </w:pPr>
            <w:r>
              <w:rPr>
                <w:rFonts w:hint="eastAsia"/>
              </w:rPr>
              <w:t>14,581,410.47</w:t>
            </w:r>
          </w:p>
        </w:tc>
      </w:tr>
      <w:tr w14:paraId="23688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5FBF9">
            <w:r>
              <w:rPr>
                <w:rFonts w:hint="eastAsia"/>
              </w:rPr>
              <w:t>1.管理人报酬</w:t>
            </w:r>
          </w:p>
        </w:tc>
        <w:tc>
          <w:tcPr>
            <w:tcW w:w="1262" w:type="dxa"/>
            <w:vAlign w:val="center"/>
          </w:tcPr>
          <w:p w14:paraId="2CF0798F">
            <w:r>
              <w:rPr>
                <w:rFonts w:hint="eastAsia"/>
              </w:rPr>
              <w:t>7.4.10.2.1</w:t>
            </w:r>
          </w:p>
        </w:tc>
        <w:tc>
          <w:tcPr>
            <w:tcW w:w="2289" w:type="dxa"/>
            <w:vAlign w:val="center"/>
          </w:tcPr>
          <w:p w14:paraId="17B4B58A">
            <w:pPr>
              <w:jc w:val="right"/>
            </w:pPr>
            <w:r>
              <w:rPr>
                <w:rFonts w:hint="eastAsia"/>
              </w:rPr>
              <w:t>4,810,380.25</w:t>
            </w:r>
          </w:p>
        </w:tc>
        <w:tc>
          <w:tcPr>
            <w:tcW w:w="2295" w:type="dxa"/>
            <w:vAlign w:val="center"/>
          </w:tcPr>
          <w:p w14:paraId="360AC458">
            <w:pPr>
              <w:jc w:val="right"/>
            </w:pPr>
            <w:r>
              <w:rPr>
                <w:rFonts w:hint="eastAsia"/>
              </w:rPr>
              <w:t>4,828,649.22</w:t>
            </w:r>
          </w:p>
        </w:tc>
      </w:tr>
      <w:tr w14:paraId="6AC7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BAEC79">
            <w:r>
              <w:rPr>
                <w:rFonts w:hint="eastAsia"/>
              </w:rPr>
              <w:t>其中：暂估管理人报酬</w:t>
            </w:r>
          </w:p>
        </w:tc>
        <w:tc>
          <w:tcPr>
            <w:tcW w:w="1262" w:type="dxa"/>
            <w:vAlign w:val="center"/>
          </w:tcPr>
          <w:p w14:paraId="3A5997FD"/>
        </w:tc>
        <w:tc>
          <w:tcPr>
            <w:tcW w:w="2289" w:type="dxa"/>
            <w:vAlign w:val="center"/>
          </w:tcPr>
          <w:p w14:paraId="3CBA5470">
            <w:pPr>
              <w:jc w:val="right"/>
            </w:pPr>
            <w:r>
              <w:rPr>
                <w:rFonts w:hint="eastAsia"/>
              </w:rPr>
              <w:t>-</w:t>
            </w:r>
          </w:p>
        </w:tc>
        <w:tc>
          <w:tcPr>
            <w:tcW w:w="2295" w:type="dxa"/>
            <w:vAlign w:val="center"/>
          </w:tcPr>
          <w:p w14:paraId="3D642265">
            <w:pPr>
              <w:jc w:val="right"/>
            </w:pPr>
            <w:r>
              <w:rPr>
                <w:rFonts w:hint="eastAsia"/>
              </w:rPr>
              <w:t>-</w:t>
            </w:r>
          </w:p>
        </w:tc>
      </w:tr>
      <w:tr w14:paraId="32F7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8ED7A">
            <w:r>
              <w:rPr>
                <w:rFonts w:hint="eastAsia"/>
              </w:rPr>
              <w:t>2.托管费</w:t>
            </w:r>
          </w:p>
        </w:tc>
        <w:tc>
          <w:tcPr>
            <w:tcW w:w="1262" w:type="dxa"/>
            <w:vAlign w:val="center"/>
          </w:tcPr>
          <w:p w14:paraId="418EDC7F">
            <w:r>
              <w:rPr>
                <w:rFonts w:hint="eastAsia"/>
              </w:rPr>
              <w:t>7.4.10.2.2</w:t>
            </w:r>
          </w:p>
        </w:tc>
        <w:tc>
          <w:tcPr>
            <w:tcW w:w="2289" w:type="dxa"/>
            <w:vAlign w:val="center"/>
          </w:tcPr>
          <w:p w14:paraId="164B7198">
            <w:pPr>
              <w:jc w:val="right"/>
            </w:pPr>
            <w:r>
              <w:rPr>
                <w:rFonts w:hint="eastAsia"/>
              </w:rPr>
              <w:t>1,603,460.18</w:t>
            </w:r>
          </w:p>
        </w:tc>
        <w:tc>
          <w:tcPr>
            <w:tcW w:w="2295" w:type="dxa"/>
            <w:vAlign w:val="center"/>
          </w:tcPr>
          <w:p w14:paraId="54E7D8D5">
            <w:pPr>
              <w:jc w:val="right"/>
            </w:pPr>
            <w:r>
              <w:rPr>
                <w:rFonts w:hint="eastAsia"/>
              </w:rPr>
              <w:t>1,609,549.74</w:t>
            </w:r>
          </w:p>
        </w:tc>
      </w:tr>
      <w:tr w14:paraId="403E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B9082D">
            <w:r>
              <w:rPr>
                <w:rFonts w:hint="eastAsia"/>
              </w:rPr>
              <w:t>3.销售服务费</w:t>
            </w:r>
          </w:p>
        </w:tc>
        <w:tc>
          <w:tcPr>
            <w:tcW w:w="1262" w:type="dxa"/>
            <w:vAlign w:val="center"/>
          </w:tcPr>
          <w:p w14:paraId="0C464328">
            <w:r>
              <w:rPr>
                <w:rFonts w:hint="eastAsia"/>
              </w:rPr>
              <w:t>7.4.10.2.3</w:t>
            </w:r>
          </w:p>
        </w:tc>
        <w:tc>
          <w:tcPr>
            <w:tcW w:w="2289" w:type="dxa"/>
            <w:vAlign w:val="center"/>
          </w:tcPr>
          <w:p w14:paraId="1BE49D76">
            <w:pPr>
              <w:jc w:val="right"/>
            </w:pPr>
            <w:r>
              <w:rPr>
                <w:rFonts w:hint="eastAsia"/>
              </w:rPr>
              <w:t>-</w:t>
            </w:r>
          </w:p>
        </w:tc>
        <w:tc>
          <w:tcPr>
            <w:tcW w:w="2295" w:type="dxa"/>
            <w:vAlign w:val="center"/>
          </w:tcPr>
          <w:p w14:paraId="2F06E047">
            <w:pPr>
              <w:jc w:val="right"/>
            </w:pPr>
            <w:r>
              <w:rPr>
                <w:rFonts w:hint="eastAsia"/>
              </w:rPr>
              <w:t>-</w:t>
            </w:r>
          </w:p>
        </w:tc>
      </w:tr>
      <w:tr w14:paraId="0699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B8A52">
            <w:r>
              <w:rPr>
                <w:rFonts w:hint="eastAsia"/>
              </w:rPr>
              <w:t>4.投资顾问费</w:t>
            </w:r>
          </w:p>
        </w:tc>
        <w:tc>
          <w:tcPr>
            <w:tcW w:w="1262" w:type="dxa"/>
            <w:vAlign w:val="center"/>
          </w:tcPr>
          <w:p w14:paraId="3DF73A39"/>
        </w:tc>
        <w:tc>
          <w:tcPr>
            <w:tcW w:w="2289" w:type="dxa"/>
            <w:vAlign w:val="center"/>
          </w:tcPr>
          <w:p w14:paraId="58AC51EB">
            <w:pPr>
              <w:jc w:val="right"/>
            </w:pPr>
            <w:r>
              <w:rPr>
                <w:rFonts w:hint="eastAsia"/>
              </w:rPr>
              <w:t>-</w:t>
            </w:r>
          </w:p>
        </w:tc>
        <w:tc>
          <w:tcPr>
            <w:tcW w:w="2295" w:type="dxa"/>
            <w:vAlign w:val="center"/>
          </w:tcPr>
          <w:p w14:paraId="36E943DC">
            <w:pPr>
              <w:jc w:val="right"/>
            </w:pPr>
            <w:r>
              <w:rPr>
                <w:rFonts w:hint="eastAsia"/>
              </w:rPr>
              <w:t>-</w:t>
            </w:r>
          </w:p>
        </w:tc>
      </w:tr>
      <w:tr w14:paraId="17D5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0F50E9">
            <w:r>
              <w:rPr>
                <w:rFonts w:hint="eastAsia"/>
              </w:rPr>
              <w:t>5.利息支出</w:t>
            </w:r>
          </w:p>
        </w:tc>
        <w:tc>
          <w:tcPr>
            <w:tcW w:w="1262" w:type="dxa"/>
            <w:vAlign w:val="center"/>
          </w:tcPr>
          <w:p w14:paraId="3DA83ACB"/>
        </w:tc>
        <w:tc>
          <w:tcPr>
            <w:tcW w:w="2289" w:type="dxa"/>
            <w:vAlign w:val="center"/>
          </w:tcPr>
          <w:p w14:paraId="659D9D51">
            <w:pPr>
              <w:jc w:val="right"/>
            </w:pPr>
            <w:r>
              <w:rPr>
                <w:rFonts w:hint="eastAsia"/>
              </w:rPr>
              <w:t>5,468,970.55</w:t>
            </w:r>
          </w:p>
        </w:tc>
        <w:tc>
          <w:tcPr>
            <w:tcW w:w="2295" w:type="dxa"/>
            <w:vAlign w:val="center"/>
          </w:tcPr>
          <w:p w14:paraId="03E75230">
            <w:pPr>
              <w:jc w:val="right"/>
            </w:pPr>
            <w:r>
              <w:rPr>
                <w:rFonts w:hint="eastAsia"/>
              </w:rPr>
              <w:t>7,764,420.77</w:t>
            </w:r>
          </w:p>
        </w:tc>
      </w:tr>
      <w:tr w14:paraId="493A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1D725">
            <w:r>
              <w:rPr>
                <w:rFonts w:hint="eastAsia"/>
              </w:rPr>
              <w:t>其中：卖出回购金融资产支出</w:t>
            </w:r>
          </w:p>
        </w:tc>
        <w:tc>
          <w:tcPr>
            <w:tcW w:w="1262" w:type="dxa"/>
            <w:vAlign w:val="center"/>
          </w:tcPr>
          <w:p w14:paraId="3F6B7C26"/>
        </w:tc>
        <w:tc>
          <w:tcPr>
            <w:tcW w:w="2289" w:type="dxa"/>
            <w:vAlign w:val="center"/>
          </w:tcPr>
          <w:p w14:paraId="3EDC53CA">
            <w:pPr>
              <w:jc w:val="right"/>
            </w:pPr>
            <w:r>
              <w:rPr>
                <w:rFonts w:hint="eastAsia"/>
              </w:rPr>
              <w:t>5,468,970.55</w:t>
            </w:r>
          </w:p>
        </w:tc>
        <w:tc>
          <w:tcPr>
            <w:tcW w:w="2295" w:type="dxa"/>
            <w:vAlign w:val="center"/>
          </w:tcPr>
          <w:p w14:paraId="77AFB56E">
            <w:pPr>
              <w:jc w:val="right"/>
            </w:pPr>
            <w:r>
              <w:rPr>
                <w:rFonts w:hint="eastAsia"/>
              </w:rPr>
              <w:t>7,764,420.77</w:t>
            </w:r>
          </w:p>
        </w:tc>
      </w:tr>
      <w:tr w14:paraId="784A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CB562A">
            <w:r>
              <w:rPr>
                <w:rFonts w:hint="eastAsia"/>
              </w:rPr>
              <w:t>6.信用减值损失</w:t>
            </w:r>
          </w:p>
        </w:tc>
        <w:tc>
          <w:tcPr>
            <w:tcW w:w="1262" w:type="dxa"/>
            <w:vAlign w:val="center"/>
          </w:tcPr>
          <w:p w14:paraId="152903B2"/>
        </w:tc>
        <w:tc>
          <w:tcPr>
            <w:tcW w:w="2289" w:type="dxa"/>
            <w:vAlign w:val="center"/>
          </w:tcPr>
          <w:p w14:paraId="4B32D314">
            <w:pPr>
              <w:jc w:val="right"/>
            </w:pPr>
            <w:r>
              <w:rPr>
                <w:rFonts w:hint="eastAsia"/>
              </w:rPr>
              <w:t>-</w:t>
            </w:r>
          </w:p>
        </w:tc>
        <w:tc>
          <w:tcPr>
            <w:tcW w:w="2295" w:type="dxa"/>
            <w:vAlign w:val="center"/>
          </w:tcPr>
          <w:p w14:paraId="2CD72721">
            <w:pPr>
              <w:jc w:val="right"/>
            </w:pPr>
            <w:r>
              <w:rPr>
                <w:rFonts w:hint="eastAsia"/>
              </w:rPr>
              <w:t>-</w:t>
            </w:r>
          </w:p>
        </w:tc>
      </w:tr>
      <w:tr w14:paraId="08F3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5AE40C">
            <w:r>
              <w:rPr>
                <w:rFonts w:hint="eastAsia"/>
              </w:rPr>
              <w:t>7.税金及附加</w:t>
            </w:r>
          </w:p>
        </w:tc>
        <w:tc>
          <w:tcPr>
            <w:tcW w:w="1262" w:type="dxa"/>
            <w:vAlign w:val="center"/>
          </w:tcPr>
          <w:p w14:paraId="2C0EEB27"/>
        </w:tc>
        <w:tc>
          <w:tcPr>
            <w:tcW w:w="2289" w:type="dxa"/>
            <w:vAlign w:val="center"/>
          </w:tcPr>
          <w:p w14:paraId="2F61A60F">
            <w:pPr>
              <w:jc w:val="right"/>
            </w:pPr>
            <w:r>
              <w:rPr>
                <w:rFonts w:hint="eastAsia"/>
              </w:rPr>
              <w:t>109,286.48</w:t>
            </w:r>
          </w:p>
        </w:tc>
        <w:tc>
          <w:tcPr>
            <w:tcW w:w="2295" w:type="dxa"/>
            <w:vAlign w:val="center"/>
          </w:tcPr>
          <w:p w14:paraId="6213D28C">
            <w:pPr>
              <w:jc w:val="right"/>
            </w:pPr>
            <w:r>
              <w:rPr>
                <w:rFonts w:hint="eastAsia"/>
              </w:rPr>
              <w:t>161,590.74</w:t>
            </w:r>
          </w:p>
        </w:tc>
      </w:tr>
      <w:tr w14:paraId="3AD3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C6794">
            <w:r>
              <w:rPr>
                <w:rFonts w:hint="eastAsia"/>
              </w:rPr>
              <w:t>8.其他费用</w:t>
            </w:r>
          </w:p>
        </w:tc>
        <w:tc>
          <w:tcPr>
            <w:tcW w:w="1262" w:type="dxa"/>
            <w:vAlign w:val="center"/>
          </w:tcPr>
          <w:p w14:paraId="5B5647FA">
            <w:r>
              <w:rPr>
                <w:rFonts w:hint="eastAsia"/>
              </w:rPr>
              <w:t>7.4.7.18</w:t>
            </w:r>
          </w:p>
        </w:tc>
        <w:tc>
          <w:tcPr>
            <w:tcW w:w="2289" w:type="dxa"/>
            <w:vAlign w:val="center"/>
          </w:tcPr>
          <w:p w14:paraId="5C4D10A6">
            <w:pPr>
              <w:jc w:val="right"/>
            </w:pPr>
            <w:r>
              <w:rPr>
                <w:rFonts w:hint="eastAsia"/>
              </w:rPr>
              <w:t>226,500.00</w:t>
            </w:r>
          </w:p>
        </w:tc>
        <w:tc>
          <w:tcPr>
            <w:tcW w:w="2295" w:type="dxa"/>
            <w:vAlign w:val="center"/>
          </w:tcPr>
          <w:p w14:paraId="06FE121B">
            <w:pPr>
              <w:jc w:val="right"/>
            </w:pPr>
            <w:r>
              <w:rPr>
                <w:rFonts w:hint="eastAsia"/>
              </w:rPr>
              <w:t>217,200.00</w:t>
            </w:r>
          </w:p>
        </w:tc>
      </w:tr>
      <w:tr w14:paraId="4C3A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BB0EA">
            <w:r>
              <w:rPr>
                <w:rFonts w:hint="eastAsia"/>
              </w:rPr>
              <w:t>三、利润总额（亏损总额以“-”号填列）</w:t>
            </w:r>
          </w:p>
        </w:tc>
        <w:tc>
          <w:tcPr>
            <w:tcW w:w="1262" w:type="dxa"/>
            <w:vAlign w:val="center"/>
          </w:tcPr>
          <w:p w14:paraId="2F966328"/>
        </w:tc>
        <w:tc>
          <w:tcPr>
            <w:tcW w:w="2289" w:type="dxa"/>
            <w:vAlign w:val="center"/>
          </w:tcPr>
          <w:p w14:paraId="59942299">
            <w:pPr>
              <w:jc w:val="right"/>
            </w:pPr>
            <w:r>
              <w:rPr>
                <w:rFonts w:hint="eastAsia"/>
              </w:rPr>
              <w:t>15,194,303.16</w:t>
            </w:r>
          </w:p>
        </w:tc>
        <w:tc>
          <w:tcPr>
            <w:tcW w:w="2295" w:type="dxa"/>
            <w:vAlign w:val="center"/>
          </w:tcPr>
          <w:p w14:paraId="229F312B">
            <w:pPr>
              <w:jc w:val="right"/>
            </w:pPr>
            <w:r>
              <w:rPr>
                <w:rFonts w:hint="eastAsia"/>
              </w:rPr>
              <w:t>62,151,588.41</w:t>
            </w:r>
          </w:p>
        </w:tc>
      </w:tr>
      <w:tr w14:paraId="3B1A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83F9A">
            <w:r>
              <w:rPr>
                <w:rFonts w:hint="eastAsia"/>
              </w:rPr>
              <w:t>减：所得税费用</w:t>
            </w:r>
          </w:p>
        </w:tc>
        <w:tc>
          <w:tcPr>
            <w:tcW w:w="1262" w:type="dxa"/>
            <w:vAlign w:val="center"/>
          </w:tcPr>
          <w:p w14:paraId="7F101427"/>
        </w:tc>
        <w:tc>
          <w:tcPr>
            <w:tcW w:w="2289" w:type="dxa"/>
            <w:vAlign w:val="center"/>
          </w:tcPr>
          <w:p w14:paraId="15DA85C4">
            <w:pPr>
              <w:jc w:val="right"/>
            </w:pPr>
            <w:r>
              <w:rPr>
                <w:rFonts w:hint="eastAsia"/>
              </w:rPr>
              <w:t>-</w:t>
            </w:r>
          </w:p>
        </w:tc>
        <w:tc>
          <w:tcPr>
            <w:tcW w:w="2295" w:type="dxa"/>
            <w:vAlign w:val="center"/>
          </w:tcPr>
          <w:p w14:paraId="01D30BEC">
            <w:pPr>
              <w:jc w:val="right"/>
            </w:pPr>
            <w:r>
              <w:rPr>
                <w:rFonts w:hint="eastAsia"/>
              </w:rPr>
              <w:t>-</w:t>
            </w:r>
          </w:p>
        </w:tc>
      </w:tr>
      <w:tr w14:paraId="52CD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C67C4F">
            <w:r>
              <w:rPr>
                <w:rFonts w:hint="eastAsia"/>
              </w:rPr>
              <w:t>四、净利润（净亏损以“-”号填列）</w:t>
            </w:r>
          </w:p>
        </w:tc>
        <w:tc>
          <w:tcPr>
            <w:tcW w:w="1262" w:type="dxa"/>
            <w:vAlign w:val="center"/>
          </w:tcPr>
          <w:p w14:paraId="34336132"/>
        </w:tc>
        <w:tc>
          <w:tcPr>
            <w:tcW w:w="2289" w:type="dxa"/>
            <w:vAlign w:val="center"/>
          </w:tcPr>
          <w:p w14:paraId="37B6C0F0">
            <w:pPr>
              <w:jc w:val="right"/>
            </w:pPr>
            <w:r>
              <w:rPr>
                <w:rFonts w:hint="eastAsia"/>
              </w:rPr>
              <w:t>15,194,303.16</w:t>
            </w:r>
          </w:p>
        </w:tc>
        <w:tc>
          <w:tcPr>
            <w:tcW w:w="2295" w:type="dxa"/>
            <w:vAlign w:val="center"/>
          </w:tcPr>
          <w:p w14:paraId="29543AE1">
            <w:pPr>
              <w:jc w:val="right"/>
            </w:pPr>
            <w:r>
              <w:rPr>
                <w:rFonts w:hint="eastAsia"/>
              </w:rPr>
              <w:t>62,151,588.41</w:t>
            </w:r>
          </w:p>
        </w:tc>
      </w:tr>
      <w:tr w14:paraId="07AF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29FF6">
            <w:r>
              <w:rPr>
                <w:rFonts w:hint="eastAsia"/>
              </w:rPr>
              <w:t>五、其他综合收益的税后净额</w:t>
            </w:r>
          </w:p>
        </w:tc>
        <w:tc>
          <w:tcPr>
            <w:tcW w:w="1262" w:type="dxa"/>
            <w:vAlign w:val="center"/>
          </w:tcPr>
          <w:p w14:paraId="67F652E1"/>
        </w:tc>
        <w:tc>
          <w:tcPr>
            <w:tcW w:w="2289" w:type="dxa"/>
            <w:vAlign w:val="center"/>
          </w:tcPr>
          <w:p w14:paraId="546611C2">
            <w:pPr>
              <w:jc w:val="right"/>
            </w:pPr>
            <w:r>
              <w:rPr>
                <w:rFonts w:hint="eastAsia"/>
              </w:rPr>
              <w:t>-</w:t>
            </w:r>
          </w:p>
        </w:tc>
        <w:tc>
          <w:tcPr>
            <w:tcW w:w="2295" w:type="dxa"/>
            <w:vAlign w:val="center"/>
          </w:tcPr>
          <w:p w14:paraId="547B4E37">
            <w:pPr>
              <w:jc w:val="right"/>
            </w:pPr>
            <w:r>
              <w:rPr>
                <w:rFonts w:hint="eastAsia"/>
              </w:rPr>
              <w:t>-</w:t>
            </w:r>
          </w:p>
        </w:tc>
      </w:tr>
      <w:tr w14:paraId="241B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B183F">
            <w:r>
              <w:rPr>
                <w:rFonts w:hint="eastAsia"/>
              </w:rPr>
              <w:t>六、综合收益总额</w:t>
            </w:r>
          </w:p>
        </w:tc>
        <w:tc>
          <w:tcPr>
            <w:tcW w:w="1262" w:type="dxa"/>
            <w:vAlign w:val="center"/>
          </w:tcPr>
          <w:p w14:paraId="482E3C22"/>
        </w:tc>
        <w:tc>
          <w:tcPr>
            <w:tcW w:w="2289" w:type="dxa"/>
            <w:vAlign w:val="center"/>
          </w:tcPr>
          <w:p w14:paraId="34CFFB5E">
            <w:pPr>
              <w:jc w:val="right"/>
            </w:pPr>
            <w:r>
              <w:rPr>
                <w:rFonts w:hint="eastAsia"/>
              </w:rPr>
              <w:t>15,194,303.16</w:t>
            </w:r>
          </w:p>
        </w:tc>
        <w:tc>
          <w:tcPr>
            <w:tcW w:w="2295" w:type="dxa"/>
            <w:vAlign w:val="center"/>
          </w:tcPr>
          <w:p w14:paraId="5607D60A">
            <w:pPr>
              <w:jc w:val="right"/>
            </w:pPr>
            <w:r>
              <w:rPr>
                <w:rFonts w:hint="eastAsia"/>
              </w:rPr>
              <w:t>62,151,588.41</w:t>
            </w:r>
          </w:p>
        </w:tc>
      </w:tr>
    </w:tbl>
    <w:p w14:paraId="0A6E8D20">
      <w:pPr>
        <w:pStyle w:val="23"/>
      </w:pPr>
      <w:bookmarkStart w:id="47" w:name="_Toc28282"/>
      <w:r>
        <w:t>净资产变动表</w:t>
      </w:r>
      <w:bookmarkEnd w:id="47"/>
    </w:p>
    <w:p w14:paraId="0DCECF1B">
      <w:pPr>
        <w:pStyle w:val="18"/>
        <w:rPr>
          <w:rFonts w:hint="eastAsia"/>
        </w:rPr>
      </w:pPr>
      <w:r>
        <w:rPr>
          <w:rFonts w:hint="eastAsia"/>
        </w:rPr>
        <w:t>会计主体：南方远利3个月定期开放债券型发起式证券投资基金</w:t>
      </w:r>
    </w:p>
    <w:p w14:paraId="25F1B157">
      <w:pPr>
        <w:pStyle w:val="18"/>
        <w:rPr>
          <w:rFonts w:hint="eastAsia"/>
        </w:rPr>
      </w:pPr>
      <w:r>
        <w:rPr>
          <w:rFonts w:hint="eastAsia"/>
        </w:rPr>
        <w:t>本报告期：2025年1月1日至2025年12月31日</w:t>
      </w:r>
    </w:p>
    <w:p w14:paraId="2CC9AB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C7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FCD60C">
            <w:r>
              <w:rPr>
                <w:rFonts w:hint="eastAsia"/>
              </w:rPr>
              <w:t>项目</w:t>
            </w:r>
          </w:p>
        </w:tc>
        <w:tc>
          <w:tcPr>
            <w:tcW w:w="1661" w:type="dxa"/>
            <w:gridSpan w:val="4"/>
            <w:vAlign w:val="center"/>
          </w:tcPr>
          <w:p w14:paraId="45E497A2">
            <w:r>
              <w:rPr>
                <w:rFonts w:hint="eastAsia"/>
              </w:rPr>
              <w:t>本期2025年1月1日至2025年12月31日</w:t>
            </w:r>
          </w:p>
        </w:tc>
      </w:tr>
      <w:tr w14:paraId="1F64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E4D61A"/>
        </w:tc>
        <w:tc>
          <w:tcPr>
            <w:tcW w:w="1661" w:type="dxa"/>
            <w:vAlign w:val="center"/>
          </w:tcPr>
          <w:p w14:paraId="7E4B6516">
            <w:r>
              <w:rPr>
                <w:rFonts w:hint="eastAsia"/>
              </w:rPr>
              <w:t>实收基金</w:t>
            </w:r>
          </w:p>
        </w:tc>
        <w:tc>
          <w:tcPr>
            <w:tcW w:w="1661" w:type="dxa"/>
            <w:vAlign w:val="center"/>
          </w:tcPr>
          <w:p w14:paraId="406F76C8">
            <w:r>
              <w:rPr>
                <w:rFonts w:hint="eastAsia"/>
              </w:rPr>
              <w:t>其他综合收益</w:t>
            </w:r>
          </w:p>
        </w:tc>
        <w:tc>
          <w:tcPr>
            <w:tcW w:w="1661" w:type="dxa"/>
            <w:vAlign w:val="center"/>
          </w:tcPr>
          <w:p w14:paraId="78B091AF">
            <w:r>
              <w:rPr>
                <w:rFonts w:hint="eastAsia"/>
              </w:rPr>
              <w:t>未分配利润</w:t>
            </w:r>
          </w:p>
        </w:tc>
        <w:tc>
          <w:tcPr>
            <w:tcW w:w="1661" w:type="dxa"/>
            <w:vAlign w:val="center"/>
          </w:tcPr>
          <w:p w14:paraId="3842BCB9">
            <w:r>
              <w:rPr>
                <w:rFonts w:hint="eastAsia"/>
              </w:rPr>
              <w:t>净资产合计</w:t>
            </w:r>
          </w:p>
        </w:tc>
      </w:tr>
      <w:tr w14:paraId="2EEA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C265A6">
            <w:r>
              <w:rPr>
                <w:rFonts w:hint="eastAsia"/>
              </w:rPr>
              <w:t>一、上期期末净资产</w:t>
            </w:r>
          </w:p>
        </w:tc>
        <w:tc>
          <w:tcPr>
            <w:tcW w:w="1661" w:type="dxa"/>
            <w:vAlign w:val="center"/>
          </w:tcPr>
          <w:p w14:paraId="72C86175">
            <w:pPr>
              <w:jc w:val="right"/>
            </w:pPr>
            <w:r>
              <w:rPr>
                <w:rFonts w:hint="eastAsia"/>
              </w:rPr>
              <w:t>1,485,842,266.76</w:t>
            </w:r>
          </w:p>
        </w:tc>
        <w:tc>
          <w:tcPr>
            <w:tcW w:w="1661" w:type="dxa"/>
            <w:vAlign w:val="center"/>
          </w:tcPr>
          <w:p w14:paraId="46F7E91D">
            <w:pPr>
              <w:jc w:val="right"/>
            </w:pPr>
            <w:r>
              <w:rPr>
                <w:rFonts w:hint="eastAsia"/>
              </w:rPr>
              <w:t>-</w:t>
            </w:r>
          </w:p>
        </w:tc>
        <w:tc>
          <w:tcPr>
            <w:tcW w:w="1661" w:type="dxa"/>
            <w:vAlign w:val="center"/>
          </w:tcPr>
          <w:p w14:paraId="2C6498FC">
            <w:pPr>
              <w:jc w:val="right"/>
            </w:pPr>
            <w:r>
              <w:rPr>
                <w:rFonts w:hint="eastAsia"/>
              </w:rPr>
              <w:t>160,187,425.27</w:t>
            </w:r>
          </w:p>
        </w:tc>
        <w:tc>
          <w:tcPr>
            <w:tcW w:w="1661" w:type="dxa"/>
            <w:vAlign w:val="center"/>
          </w:tcPr>
          <w:p w14:paraId="54B1D1D3">
            <w:pPr>
              <w:jc w:val="right"/>
            </w:pPr>
            <w:r>
              <w:rPr>
                <w:rFonts w:hint="eastAsia"/>
              </w:rPr>
              <w:t>1,646,029,692.03</w:t>
            </w:r>
          </w:p>
        </w:tc>
      </w:tr>
      <w:tr w14:paraId="0106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40E32">
            <w:r>
              <w:rPr>
                <w:rFonts w:hint="eastAsia"/>
              </w:rPr>
              <w:t>加：会计政策变更</w:t>
            </w:r>
          </w:p>
        </w:tc>
        <w:tc>
          <w:tcPr>
            <w:tcW w:w="1661" w:type="dxa"/>
            <w:vAlign w:val="center"/>
          </w:tcPr>
          <w:p w14:paraId="0CB261A0">
            <w:pPr>
              <w:jc w:val="right"/>
            </w:pPr>
            <w:r>
              <w:rPr>
                <w:rFonts w:hint="eastAsia"/>
              </w:rPr>
              <w:t>-</w:t>
            </w:r>
          </w:p>
        </w:tc>
        <w:tc>
          <w:tcPr>
            <w:tcW w:w="1661" w:type="dxa"/>
            <w:vAlign w:val="center"/>
          </w:tcPr>
          <w:p w14:paraId="47052852">
            <w:pPr>
              <w:jc w:val="right"/>
            </w:pPr>
            <w:r>
              <w:rPr>
                <w:rFonts w:hint="eastAsia"/>
              </w:rPr>
              <w:t>-</w:t>
            </w:r>
          </w:p>
        </w:tc>
        <w:tc>
          <w:tcPr>
            <w:tcW w:w="1661" w:type="dxa"/>
            <w:vAlign w:val="center"/>
          </w:tcPr>
          <w:p w14:paraId="190FF6D2">
            <w:pPr>
              <w:jc w:val="right"/>
            </w:pPr>
            <w:r>
              <w:rPr>
                <w:rFonts w:hint="eastAsia"/>
              </w:rPr>
              <w:t>-</w:t>
            </w:r>
          </w:p>
        </w:tc>
        <w:tc>
          <w:tcPr>
            <w:tcW w:w="1661" w:type="dxa"/>
            <w:vAlign w:val="center"/>
          </w:tcPr>
          <w:p w14:paraId="1F421BAA">
            <w:pPr>
              <w:jc w:val="right"/>
            </w:pPr>
            <w:r>
              <w:rPr>
                <w:rFonts w:hint="eastAsia"/>
              </w:rPr>
              <w:t>-</w:t>
            </w:r>
          </w:p>
        </w:tc>
      </w:tr>
      <w:tr w14:paraId="7D4D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0E2F44">
            <w:r>
              <w:rPr>
                <w:rFonts w:hint="eastAsia"/>
              </w:rPr>
              <w:t xml:space="preserve">    前期差错更正</w:t>
            </w:r>
          </w:p>
        </w:tc>
        <w:tc>
          <w:tcPr>
            <w:tcW w:w="1661" w:type="dxa"/>
            <w:vAlign w:val="center"/>
          </w:tcPr>
          <w:p w14:paraId="281A5667">
            <w:pPr>
              <w:jc w:val="right"/>
            </w:pPr>
            <w:r>
              <w:rPr>
                <w:rFonts w:hint="eastAsia"/>
              </w:rPr>
              <w:t>-</w:t>
            </w:r>
          </w:p>
        </w:tc>
        <w:tc>
          <w:tcPr>
            <w:tcW w:w="1661" w:type="dxa"/>
            <w:vAlign w:val="center"/>
          </w:tcPr>
          <w:p w14:paraId="368D8229">
            <w:pPr>
              <w:jc w:val="right"/>
            </w:pPr>
            <w:r>
              <w:rPr>
                <w:rFonts w:hint="eastAsia"/>
              </w:rPr>
              <w:t>-</w:t>
            </w:r>
          </w:p>
        </w:tc>
        <w:tc>
          <w:tcPr>
            <w:tcW w:w="1661" w:type="dxa"/>
            <w:vAlign w:val="center"/>
          </w:tcPr>
          <w:p w14:paraId="49ACEB83">
            <w:pPr>
              <w:jc w:val="right"/>
            </w:pPr>
            <w:r>
              <w:rPr>
                <w:rFonts w:hint="eastAsia"/>
              </w:rPr>
              <w:t>-</w:t>
            </w:r>
          </w:p>
        </w:tc>
        <w:tc>
          <w:tcPr>
            <w:tcW w:w="1661" w:type="dxa"/>
            <w:vAlign w:val="center"/>
          </w:tcPr>
          <w:p w14:paraId="3A54486D">
            <w:pPr>
              <w:jc w:val="right"/>
            </w:pPr>
            <w:r>
              <w:rPr>
                <w:rFonts w:hint="eastAsia"/>
              </w:rPr>
              <w:t>-</w:t>
            </w:r>
          </w:p>
        </w:tc>
      </w:tr>
      <w:tr w14:paraId="383A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DEE017">
            <w:r>
              <w:rPr>
                <w:rFonts w:hint="eastAsia"/>
              </w:rPr>
              <w:t xml:space="preserve">    其他</w:t>
            </w:r>
          </w:p>
        </w:tc>
        <w:tc>
          <w:tcPr>
            <w:tcW w:w="1661" w:type="dxa"/>
            <w:vAlign w:val="center"/>
          </w:tcPr>
          <w:p w14:paraId="151955D8">
            <w:pPr>
              <w:jc w:val="right"/>
            </w:pPr>
            <w:r>
              <w:rPr>
                <w:rFonts w:hint="eastAsia"/>
              </w:rPr>
              <w:t>-</w:t>
            </w:r>
          </w:p>
        </w:tc>
        <w:tc>
          <w:tcPr>
            <w:tcW w:w="1661" w:type="dxa"/>
            <w:vAlign w:val="center"/>
          </w:tcPr>
          <w:p w14:paraId="5F071EF3">
            <w:pPr>
              <w:jc w:val="right"/>
            </w:pPr>
            <w:r>
              <w:rPr>
                <w:rFonts w:hint="eastAsia"/>
              </w:rPr>
              <w:t>-</w:t>
            </w:r>
          </w:p>
        </w:tc>
        <w:tc>
          <w:tcPr>
            <w:tcW w:w="1661" w:type="dxa"/>
            <w:vAlign w:val="center"/>
          </w:tcPr>
          <w:p w14:paraId="6E3128A4">
            <w:pPr>
              <w:jc w:val="right"/>
            </w:pPr>
            <w:r>
              <w:rPr>
                <w:rFonts w:hint="eastAsia"/>
              </w:rPr>
              <w:t>-</w:t>
            </w:r>
          </w:p>
        </w:tc>
        <w:tc>
          <w:tcPr>
            <w:tcW w:w="1661" w:type="dxa"/>
            <w:vAlign w:val="center"/>
          </w:tcPr>
          <w:p w14:paraId="171B3879">
            <w:pPr>
              <w:jc w:val="right"/>
            </w:pPr>
            <w:r>
              <w:rPr>
                <w:rFonts w:hint="eastAsia"/>
              </w:rPr>
              <w:t>-</w:t>
            </w:r>
          </w:p>
        </w:tc>
      </w:tr>
      <w:tr w14:paraId="663F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E636D7">
            <w:r>
              <w:rPr>
                <w:rFonts w:hint="eastAsia"/>
              </w:rPr>
              <w:t>二、本期期初净资产</w:t>
            </w:r>
          </w:p>
        </w:tc>
        <w:tc>
          <w:tcPr>
            <w:tcW w:w="1661" w:type="dxa"/>
            <w:vAlign w:val="center"/>
          </w:tcPr>
          <w:p w14:paraId="558927DF">
            <w:pPr>
              <w:jc w:val="right"/>
            </w:pPr>
            <w:r>
              <w:rPr>
                <w:rFonts w:hint="eastAsia"/>
              </w:rPr>
              <w:t>1,485,842,266.76</w:t>
            </w:r>
          </w:p>
        </w:tc>
        <w:tc>
          <w:tcPr>
            <w:tcW w:w="1661" w:type="dxa"/>
            <w:vAlign w:val="center"/>
          </w:tcPr>
          <w:p w14:paraId="7137FF6A">
            <w:pPr>
              <w:jc w:val="right"/>
            </w:pPr>
            <w:r>
              <w:rPr>
                <w:rFonts w:hint="eastAsia"/>
              </w:rPr>
              <w:t>-</w:t>
            </w:r>
          </w:p>
        </w:tc>
        <w:tc>
          <w:tcPr>
            <w:tcW w:w="1661" w:type="dxa"/>
            <w:vAlign w:val="center"/>
          </w:tcPr>
          <w:p w14:paraId="6C9C6022">
            <w:pPr>
              <w:jc w:val="right"/>
            </w:pPr>
            <w:r>
              <w:rPr>
                <w:rFonts w:hint="eastAsia"/>
              </w:rPr>
              <w:t>160,187,425.27</w:t>
            </w:r>
          </w:p>
        </w:tc>
        <w:tc>
          <w:tcPr>
            <w:tcW w:w="1661" w:type="dxa"/>
            <w:vAlign w:val="center"/>
          </w:tcPr>
          <w:p w14:paraId="4C222B79">
            <w:pPr>
              <w:jc w:val="right"/>
            </w:pPr>
            <w:r>
              <w:rPr>
                <w:rFonts w:hint="eastAsia"/>
              </w:rPr>
              <w:t>1,646,029,692.03</w:t>
            </w:r>
          </w:p>
        </w:tc>
      </w:tr>
      <w:tr w14:paraId="44F4E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A5A8D">
            <w:r>
              <w:rPr>
                <w:rFonts w:hint="eastAsia"/>
              </w:rPr>
              <w:t>三、本期增减变动额（减少以“-”号填列）</w:t>
            </w:r>
          </w:p>
        </w:tc>
        <w:tc>
          <w:tcPr>
            <w:tcW w:w="1661" w:type="dxa"/>
            <w:vAlign w:val="center"/>
          </w:tcPr>
          <w:p w14:paraId="6A9188B8">
            <w:pPr>
              <w:jc w:val="right"/>
            </w:pPr>
            <w:r>
              <w:rPr>
                <w:rFonts w:hint="eastAsia"/>
              </w:rPr>
              <w:t>-483,881,137.18</w:t>
            </w:r>
          </w:p>
        </w:tc>
        <w:tc>
          <w:tcPr>
            <w:tcW w:w="1661" w:type="dxa"/>
            <w:vAlign w:val="center"/>
          </w:tcPr>
          <w:p w14:paraId="3B42EB8E">
            <w:pPr>
              <w:jc w:val="right"/>
            </w:pPr>
            <w:r>
              <w:rPr>
                <w:rFonts w:hint="eastAsia"/>
              </w:rPr>
              <w:t>-</w:t>
            </w:r>
          </w:p>
        </w:tc>
        <w:tc>
          <w:tcPr>
            <w:tcW w:w="1661" w:type="dxa"/>
            <w:vAlign w:val="center"/>
          </w:tcPr>
          <w:p w14:paraId="651445FC">
            <w:pPr>
              <w:jc w:val="right"/>
            </w:pPr>
            <w:r>
              <w:rPr>
                <w:rFonts w:hint="eastAsia"/>
              </w:rPr>
              <w:t>-96,731,417.01</w:t>
            </w:r>
          </w:p>
        </w:tc>
        <w:tc>
          <w:tcPr>
            <w:tcW w:w="1661" w:type="dxa"/>
            <w:vAlign w:val="center"/>
          </w:tcPr>
          <w:p w14:paraId="3BC8CCFE">
            <w:pPr>
              <w:jc w:val="right"/>
            </w:pPr>
            <w:r>
              <w:rPr>
                <w:rFonts w:hint="eastAsia"/>
              </w:rPr>
              <w:t>-580,612,554.19</w:t>
            </w:r>
          </w:p>
        </w:tc>
      </w:tr>
      <w:tr w14:paraId="2C11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0484F4">
            <w:r>
              <w:rPr>
                <w:rFonts w:hint="eastAsia"/>
              </w:rPr>
              <w:t>（一）、综合收益总额</w:t>
            </w:r>
          </w:p>
        </w:tc>
        <w:tc>
          <w:tcPr>
            <w:tcW w:w="1661" w:type="dxa"/>
            <w:vAlign w:val="center"/>
          </w:tcPr>
          <w:p w14:paraId="66D8C99C">
            <w:pPr>
              <w:jc w:val="right"/>
            </w:pPr>
            <w:r>
              <w:rPr>
                <w:rFonts w:hint="eastAsia"/>
              </w:rPr>
              <w:t>-</w:t>
            </w:r>
          </w:p>
        </w:tc>
        <w:tc>
          <w:tcPr>
            <w:tcW w:w="1661" w:type="dxa"/>
            <w:vAlign w:val="center"/>
          </w:tcPr>
          <w:p w14:paraId="69AA04EA">
            <w:pPr>
              <w:jc w:val="right"/>
            </w:pPr>
            <w:r>
              <w:rPr>
                <w:rFonts w:hint="eastAsia"/>
              </w:rPr>
              <w:t>-</w:t>
            </w:r>
          </w:p>
        </w:tc>
        <w:tc>
          <w:tcPr>
            <w:tcW w:w="1661" w:type="dxa"/>
            <w:vAlign w:val="center"/>
          </w:tcPr>
          <w:p w14:paraId="74C05216">
            <w:pPr>
              <w:jc w:val="right"/>
            </w:pPr>
            <w:r>
              <w:rPr>
                <w:rFonts w:hint="eastAsia"/>
              </w:rPr>
              <w:t>15,194,303.16</w:t>
            </w:r>
          </w:p>
        </w:tc>
        <w:tc>
          <w:tcPr>
            <w:tcW w:w="1661" w:type="dxa"/>
            <w:vAlign w:val="center"/>
          </w:tcPr>
          <w:p w14:paraId="524970AC">
            <w:pPr>
              <w:jc w:val="right"/>
            </w:pPr>
            <w:r>
              <w:rPr>
                <w:rFonts w:hint="eastAsia"/>
              </w:rPr>
              <w:t>15,194,303.16</w:t>
            </w:r>
          </w:p>
        </w:tc>
      </w:tr>
      <w:tr w14:paraId="6964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B7CF11">
            <w:r>
              <w:rPr>
                <w:rFonts w:hint="eastAsia"/>
              </w:rPr>
              <w:t>（二）、本期基金份额交易产生的净资产变动数（净资产减少以“-”号填列）</w:t>
            </w:r>
          </w:p>
        </w:tc>
        <w:tc>
          <w:tcPr>
            <w:tcW w:w="1661" w:type="dxa"/>
            <w:vAlign w:val="center"/>
          </w:tcPr>
          <w:p w14:paraId="26A7AD6E">
            <w:pPr>
              <w:jc w:val="right"/>
            </w:pPr>
            <w:r>
              <w:rPr>
                <w:rFonts w:hint="eastAsia"/>
              </w:rPr>
              <w:t>-483,881,137.18</w:t>
            </w:r>
          </w:p>
        </w:tc>
        <w:tc>
          <w:tcPr>
            <w:tcW w:w="1661" w:type="dxa"/>
            <w:vAlign w:val="center"/>
          </w:tcPr>
          <w:p w14:paraId="2383BFE5">
            <w:pPr>
              <w:jc w:val="right"/>
            </w:pPr>
            <w:r>
              <w:rPr>
                <w:rFonts w:hint="eastAsia"/>
              </w:rPr>
              <w:t>-</w:t>
            </w:r>
          </w:p>
        </w:tc>
        <w:tc>
          <w:tcPr>
            <w:tcW w:w="1661" w:type="dxa"/>
            <w:vAlign w:val="center"/>
          </w:tcPr>
          <w:p w14:paraId="187A0DF9">
            <w:pPr>
              <w:jc w:val="right"/>
            </w:pPr>
            <w:r>
              <w:rPr>
                <w:rFonts w:hint="eastAsia"/>
              </w:rPr>
              <w:t>-30,065,418.78</w:t>
            </w:r>
          </w:p>
        </w:tc>
        <w:tc>
          <w:tcPr>
            <w:tcW w:w="1661" w:type="dxa"/>
            <w:vAlign w:val="center"/>
          </w:tcPr>
          <w:p w14:paraId="41A47C2A">
            <w:pPr>
              <w:jc w:val="right"/>
            </w:pPr>
            <w:r>
              <w:rPr>
                <w:rFonts w:hint="eastAsia"/>
              </w:rPr>
              <w:t>-513,946,555.96</w:t>
            </w:r>
          </w:p>
        </w:tc>
      </w:tr>
      <w:tr w14:paraId="2A17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E0F5E7">
            <w:r>
              <w:rPr>
                <w:rFonts w:hint="eastAsia"/>
              </w:rPr>
              <w:t>其中：1.基金申购款</w:t>
            </w:r>
          </w:p>
        </w:tc>
        <w:tc>
          <w:tcPr>
            <w:tcW w:w="1661" w:type="dxa"/>
            <w:vAlign w:val="center"/>
          </w:tcPr>
          <w:p w14:paraId="5A0C4B5A">
            <w:pPr>
              <w:jc w:val="right"/>
            </w:pPr>
            <w:r>
              <w:rPr>
                <w:rFonts w:hint="eastAsia"/>
              </w:rPr>
              <w:t>5,616,736.87</w:t>
            </w:r>
          </w:p>
        </w:tc>
        <w:tc>
          <w:tcPr>
            <w:tcW w:w="1661" w:type="dxa"/>
            <w:vAlign w:val="center"/>
          </w:tcPr>
          <w:p w14:paraId="571C4E6C">
            <w:pPr>
              <w:jc w:val="right"/>
            </w:pPr>
            <w:r>
              <w:rPr>
                <w:rFonts w:hint="eastAsia"/>
              </w:rPr>
              <w:t>-</w:t>
            </w:r>
          </w:p>
        </w:tc>
        <w:tc>
          <w:tcPr>
            <w:tcW w:w="1661" w:type="dxa"/>
            <w:vAlign w:val="center"/>
          </w:tcPr>
          <w:p w14:paraId="689A4621">
            <w:pPr>
              <w:jc w:val="right"/>
            </w:pPr>
            <w:r>
              <w:rPr>
                <w:rFonts w:hint="eastAsia"/>
              </w:rPr>
              <w:t>479,257.85</w:t>
            </w:r>
          </w:p>
        </w:tc>
        <w:tc>
          <w:tcPr>
            <w:tcW w:w="1661" w:type="dxa"/>
            <w:vAlign w:val="center"/>
          </w:tcPr>
          <w:p w14:paraId="6A91FF17">
            <w:pPr>
              <w:jc w:val="right"/>
            </w:pPr>
            <w:r>
              <w:rPr>
                <w:rFonts w:hint="eastAsia"/>
              </w:rPr>
              <w:t>6,095,994.72</w:t>
            </w:r>
          </w:p>
        </w:tc>
      </w:tr>
      <w:tr w14:paraId="32B0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EAE46B">
            <w:r>
              <w:rPr>
                <w:rFonts w:hint="eastAsia"/>
              </w:rPr>
              <w:t xml:space="preserve">      2.基金赎回款</w:t>
            </w:r>
          </w:p>
        </w:tc>
        <w:tc>
          <w:tcPr>
            <w:tcW w:w="1661" w:type="dxa"/>
            <w:vAlign w:val="center"/>
          </w:tcPr>
          <w:p w14:paraId="1B2DC0E0">
            <w:pPr>
              <w:jc w:val="right"/>
            </w:pPr>
            <w:r>
              <w:rPr>
                <w:rFonts w:hint="eastAsia"/>
              </w:rPr>
              <w:t>-489,497,874.05</w:t>
            </w:r>
          </w:p>
        </w:tc>
        <w:tc>
          <w:tcPr>
            <w:tcW w:w="1661" w:type="dxa"/>
            <w:vAlign w:val="center"/>
          </w:tcPr>
          <w:p w14:paraId="42795C0C">
            <w:pPr>
              <w:jc w:val="right"/>
            </w:pPr>
            <w:r>
              <w:rPr>
                <w:rFonts w:hint="eastAsia"/>
              </w:rPr>
              <w:t>-</w:t>
            </w:r>
          </w:p>
        </w:tc>
        <w:tc>
          <w:tcPr>
            <w:tcW w:w="1661" w:type="dxa"/>
            <w:vAlign w:val="center"/>
          </w:tcPr>
          <w:p w14:paraId="65850200">
            <w:pPr>
              <w:jc w:val="right"/>
            </w:pPr>
            <w:r>
              <w:rPr>
                <w:rFonts w:hint="eastAsia"/>
              </w:rPr>
              <w:t>-30,544,676.63</w:t>
            </w:r>
          </w:p>
        </w:tc>
        <w:tc>
          <w:tcPr>
            <w:tcW w:w="1661" w:type="dxa"/>
            <w:vAlign w:val="center"/>
          </w:tcPr>
          <w:p w14:paraId="6E0C91A9">
            <w:pPr>
              <w:jc w:val="right"/>
            </w:pPr>
            <w:r>
              <w:rPr>
                <w:rFonts w:hint="eastAsia"/>
              </w:rPr>
              <w:t>-520,042,550.68</w:t>
            </w:r>
          </w:p>
        </w:tc>
      </w:tr>
      <w:tr w14:paraId="268D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BFAB7">
            <w:r>
              <w:rPr>
                <w:rFonts w:hint="eastAsia"/>
              </w:rPr>
              <w:t>（三）、本期向基金份额持有人分配利润产生的净资产变动（净资产减少以“-”号填列）</w:t>
            </w:r>
          </w:p>
        </w:tc>
        <w:tc>
          <w:tcPr>
            <w:tcW w:w="1661" w:type="dxa"/>
            <w:vAlign w:val="center"/>
          </w:tcPr>
          <w:p w14:paraId="21D85218">
            <w:pPr>
              <w:jc w:val="right"/>
            </w:pPr>
            <w:r>
              <w:rPr>
                <w:rFonts w:hint="eastAsia"/>
              </w:rPr>
              <w:t>-</w:t>
            </w:r>
          </w:p>
        </w:tc>
        <w:tc>
          <w:tcPr>
            <w:tcW w:w="1661" w:type="dxa"/>
            <w:vAlign w:val="center"/>
          </w:tcPr>
          <w:p w14:paraId="29431899">
            <w:pPr>
              <w:jc w:val="right"/>
            </w:pPr>
            <w:r>
              <w:rPr>
                <w:rFonts w:hint="eastAsia"/>
              </w:rPr>
              <w:t>-</w:t>
            </w:r>
          </w:p>
        </w:tc>
        <w:tc>
          <w:tcPr>
            <w:tcW w:w="1661" w:type="dxa"/>
            <w:vAlign w:val="center"/>
          </w:tcPr>
          <w:p w14:paraId="7453FB9D">
            <w:pPr>
              <w:jc w:val="right"/>
            </w:pPr>
            <w:r>
              <w:rPr>
                <w:rFonts w:hint="eastAsia"/>
              </w:rPr>
              <w:t>-81,860,301.39</w:t>
            </w:r>
          </w:p>
        </w:tc>
        <w:tc>
          <w:tcPr>
            <w:tcW w:w="1661" w:type="dxa"/>
            <w:vAlign w:val="center"/>
          </w:tcPr>
          <w:p w14:paraId="08D74A27">
            <w:pPr>
              <w:jc w:val="right"/>
            </w:pPr>
            <w:r>
              <w:rPr>
                <w:rFonts w:hint="eastAsia"/>
              </w:rPr>
              <w:t>-81,860,301.39</w:t>
            </w:r>
          </w:p>
        </w:tc>
      </w:tr>
      <w:tr w14:paraId="7680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AEFC17">
            <w:r>
              <w:rPr>
                <w:rFonts w:hint="eastAsia"/>
              </w:rPr>
              <w:t>（四）、其他综合收益结转留存收益</w:t>
            </w:r>
          </w:p>
        </w:tc>
        <w:tc>
          <w:tcPr>
            <w:tcW w:w="1661" w:type="dxa"/>
            <w:vAlign w:val="center"/>
          </w:tcPr>
          <w:p w14:paraId="3D3BA3C7">
            <w:pPr>
              <w:jc w:val="right"/>
            </w:pPr>
            <w:r>
              <w:rPr>
                <w:rFonts w:hint="eastAsia"/>
              </w:rPr>
              <w:t>-</w:t>
            </w:r>
          </w:p>
        </w:tc>
        <w:tc>
          <w:tcPr>
            <w:tcW w:w="1661" w:type="dxa"/>
            <w:vAlign w:val="center"/>
          </w:tcPr>
          <w:p w14:paraId="0F4BFB4B">
            <w:pPr>
              <w:jc w:val="right"/>
            </w:pPr>
            <w:r>
              <w:rPr>
                <w:rFonts w:hint="eastAsia"/>
              </w:rPr>
              <w:t>-</w:t>
            </w:r>
          </w:p>
        </w:tc>
        <w:tc>
          <w:tcPr>
            <w:tcW w:w="1661" w:type="dxa"/>
            <w:vAlign w:val="center"/>
          </w:tcPr>
          <w:p w14:paraId="2443EB45">
            <w:pPr>
              <w:jc w:val="right"/>
            </w:pPr>
            <w:r>
              <w:rPr>
                <w:rFonts w:hint="eastAsia"/>
              </w:rPr>
              <w:t>-</w:t>
            </w:r>
          </w:p>
        </w:tc>
        <w:tc>
          <w:tcPr>
            <w:tcW w:w="1661" w:type="dxa"/>
            <w:vAlign w:val="center"/>
          </w:tcPr>
          <w:p w14:paraId="2EAEC015">
            <w:pPr>
              <w:jc w:val="right"/>
            </w:pPr>
            <w:r>
              <w:rPr>
                <w:rFonts w:hint="eastAsia"/>
              </w:rPr>
              <w:t>-</w:t>
            </w:r>
          </w:p>
        </w:tc>
      </w:tr>
      <w:tr w14:paraId="11BF7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F235FA">
            <w:r>
              <w:rPr>
                <w:rFonts w:hint="eastAsia"/>
              </w:rPr>
              <w:t>四、本期期末净资产</w:t>
            </w:r>
          </w:p>
        </w:tc>
        <w:tc>
          <w:tcPr>
            <w:tcW w:w="1661" w:type="dxa"/>
            <w:vAlign w:val="center"/>
          </w:tcPr>
          <w:p w14:paraId="5FBC870A">
            <w:pPr>
              <w:jc w:val="right"/>
            </w:pPr>
            <w:r>
              <w:rPr>
                <w:rFonts w:hint="eastAsia"/>
              </w:rPr>
              <w:t>1,001,961,129.58</w:t>
            </w:r>
          </w:p>
        </w:tc>
        <w:tc>
          <w:tcPr>
            <w:tcW w:w="1661" w:type="dxa"/>
            <w:vAlign w:val="center"/>
          </w:tcPr>
          <w:p w14:paraId="3BF6FF30">
            <w:pPr>
              <w:jc w:val="right"/>
            </w:pPr>
            <w:r>
              <w:rPr>
                <w:rFonts w:hint="eastAsia"/>
              </w:rPr>
              <w:t>-</w:t>
            </w:r>
          </w:p>
        </w:tc>
        <w:tc>
          <w:tcPr>
            <w:tcW w:w="1661" w:type="dxa"/>
            <w:vAlign w:val="center"/>
          </w:tcPr>
          <w:p w14:paraId="7D4BC0B9">
            <w:pPr>
              <w:jc w:val="right"/>
            </w:pPr>
            <w:r>
              <w:rPr>
                <w:rFonts w:hint="eastAsia"/>
              </w:rPr>
              <w:t>63,456,008.26</w:t>
            </w:r>
          </w:p>
        </w:tc>
        <w:tc>
          <w:tcPr>
            <w:tcW w:w="1661" w:type="dxa"/>
            <w:vAlign w:val="center"/>
          </w:tcPr>
          <w:p w14:paraId="5EEF9926">
            <w:pPr>
              <w:jc w:val="right"/>
            </w:pPr>
            <w:r>
              <w:rPr>
                <w:rFonts w:hint="eastAsia"/>
              </w:rPr>
              <w:t>1,065,417,137.84</w:t>
            </w:r>
          </w:p>
        </w:tc>
      </w:tr>
      <w:tr w14:paraId="140A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2619062">
            <w:r>
              <w:rPr>
                <w:rFonts w:hint="eastAsia"/>
              </w:rPr>
              <w:t>项目</w:t>
            </w:r>
          </w:p>
        </w:tc>
        <w:tc>
          <w:tcPr>
            <w:tcW w:w="1661" w:type="dxa"/>
            <w:gridSpan w:val="4"/>
            <w:vAlign w:val="center"/>
          </w:tcPr>
          <w:p w14:paraId="5CD2402E">
            <w:r>
              <w:rPr>
                <w:rFonts w:hint="eastAsia"/>
              </w:rPr>
              <w:t>上年度可比期间2024年1月1日至2024年12月31日</w:t>
            </w:r>
          </w:p>
        </w:tc>
      </w:tr>
      <w:tr w14:paraId="367F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4D48B3"/>
        </w:tc>
        <w:tc>
          <w:tcPr>
            <w:tcW w:w="1661" w:type="dxa"/>
            <w:vAlign w:val="center"/>
          </w:tcPr>
          <w:p w14:paraId="39D146EF">
            <w:r>
              <w:rPr>
                <w:rFonts w:hint="eastAsia"/>
              </w:rPr>
              <w:t>实收基金</w:t>
            </w:r>
          </w:p>
        </w:tc>
        <w:tc>
          <w:tcPr>
            <w:tcW w:w="1661" w:type="dxa"/>
            <w:vAlign w:val="center"/>
          </w:tcPr>
          <w:p w14:paraId="3A12AA11">
            <w:r>
              <w:rPr>
                <w:rFonts w:hint="eastAsia"/>
              </w:rPr>
              <w:t>其他综合收益</w:t>
            </w:r>
          </w:p>
        </w:tc>
        <w:tc>
          <w:tcPr>
            <w:tcW w:w="1661" w:type="dxa"/>
            <w:vAlign w:val="center"/>
          </w:tcPr>
          <w:p w14:paraId="2DA17C9B">
            <w:r>
              <w:rPr>
                <w:rFonts w:hint="eastAsia"/>
              </w:rPr>
              <w:t>未分配利润</w:t>
            </w:r>
          </w:p>
        </w:tc>
        <w:tc>
          <w:tcPr>
            <w:tcW w:w="1661" w:type="dxa"/>
            <w:vAlign w:val="center"/>
          </w:tcPr>
          <w:p w14:paraId="7035E997">
            <w:r>
              <w:rPr>
                <w:rFonts w:hint="eastAsia"/>
              </w:rPr>
              <w:t>净资产合计</w:t>
            </w:r>
          </w:p>
        </w:tc>
      </w:tr>
      <w:tr w14:paraId="5161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EA5BD0">
            <w:r>
              <w:rPr>
                <w:rFonts w:hint="eastAsia"/>
              </w:rPr>
              <w:t>一、上期期末净资产</w:t>
            </w:r>
          </w:p>
        </w:tc>
        <w:tc>
          <w:tcPr>
            <w:tcW w:w="1661" w:type="dxa"/>
            <w:vAlign w:val="center"/>
          </w:tcPr>
          <w:p w14:paraId="268A6D69">
            <w:pPr>
              <w:jc w:val="right"/>
            </w:pPr>
            <w:r>
              <w:rPr>
                <w:rFonts w:hint="eastAsia"/>
              </w:rPr>
              <w:t>1,478,518,575.83</w:t>
            </w:r>
          </w:p>
        </w:tc>
        <w:tc>
          <w:tcPr>
            <w:tcW w:w="1661" w:type="dxa"/>
            <w:vAlign w:val="center"/>
          </w:tcPr>
          <w:p w14:paraId="7DE2653E">
            <w:pPr>
              <w:jc w:val="right"/>
            </w:pPr>
            <w:r>
              <w:rPr>
                <w:rFonts w:hint="eastAsia"/>
              </w:rPr>
              <w:t>-</w:t>
            </w:r>
          </w:p>
        </w:tc>
        <w:tc>
          <w:tcPr>
            <w:tcW w:w="1661" w:type="dxa"/>
            <w:vAlign w:val="center"/>
          </w:tcPr>
          <w:p w14:paraId="62A8EA72">
            <w:pPr>
              <w:jc w:val="right"/>
            </w:pPr>
            <w:r>
              <w:rPr>
                <w:rFonts w:hint="eastAsia"/>
              </w:rPr>
              <w:t>97,359,859.60</w:t>
            </w:r>
          </w:p>
        </w:tc>
        <w:tc>
          <w:tcPr>
            <w:tcW w:w="1661" w:type="dxa"/>
            <w:vAlign w:val="center"/>
          </w:tcPr>
          <w:p w14:paraId="7FEB9E0E">
            <w:pPr>
              <w:jc w:val="right"/>
            </w:pPr>
            <w:r>
              <w:rPr>
                <w:rFonts w:hint="eastAsia"/>
              </w:rPr>
              <w:t>1,575,878,435.43</w:t>
            </w:r>
          </w:p>
        </w:tc>
      </w:tr>
      <w:tr w14:paraId="363A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5C297">
            <w:r>
              <w:rPr>
                <w:rFonts w:hint="eastAsia"/>
              </w:rPr>
              <w:t>加：会计政策变更</w:t>
            </w:r>
          </w:p>
        </w:tc>
        <w:tc>
          <w:tcPr>
            <w:tcW w:w="1661" w:type="dxa"/>
            <w:vAlign w:val="center"/>
          </w:tcPr>
          <w:p w14:paraId="195D7A15">
            <w:pPr>
              <w:jc w:val="right"/>
            </w:pPr>
            <w:r>
              <w:rPr>
                <w:rFonts w:hint="eastAsia"/>
              </w:rPr>
              <w:t>-</w:t>
            </w:r>
          </w:p>
        </w:tc>
        <w:tc>
          <w:tcPr>
            <w:tcW w:w="1661" w:type="dxa"/>
            <w:vAlign w:val="center"/>
          </w:tcPr>
          <w:p w14:paraId="4B70C725">
            <w:pPr>
              <w:jc w:val="right"/>
            </w:pPr>
            <w:r>
              <w:rPr>
                <w:rFonts w:hint="eastAsia"/>
              </w:rPr>
              <w:t>-</w:t>
            </w:r>
          </w:p>
        </w:tc>
        <w:tc>
          <w:tcPr>
            <w:tcW w:w="1661" w:type="dxa"/>
            <w:vAlign w:val="center"/>
          </w:tcPr>
          <w:p w14:paraId="7BC6F56B">
            <w:pPr>
              <w:jc w:val="right"/>
            </w:pPr>
            <w:r>
              <w:rPr>
                <w:rFonts w:hint="eastAsia"/>
              </w:rPr>
              <w:t>-</w:t>
            </w:r>
          </w:p>
        </w:tc>
        <w:tc>
          <w:tcPr>
            <w:tcW w:w="1661" w:type="dxa"/>
            <w:vAlign w:val="center"/>
          </w:tcPr>
          <w:p w14:paraId="73BA4ED4">
            <w:pPr>
              <w:jc w:val="right"/>
            </w:pPr>
            <w:r>
              <w:rPr>
                <w:rFonts w:hint="eastAsia"/>
              </w:rPr>
              <w:t>-</w:t>
            </w:r>
          </w:p>
        </w:tc>
      </w:tr>
      <w:tr w14:paraId="6758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81899F">
            <w:r>
              <w:rPr>
                <w:rFonts w:hint="eastAsia"/>
              </w:rPr>
              <w:t xml:space="preserve">    前期差错更正</w:t>
            </w:r>
          </w:p>
        </w:tc>
        <w:tc>
          <w:tcPr>
            <w:tcW w:w="1661" w:type="dxa"/>
            <w:vAlign w:val="center"/>
          </w:tcPr>
          <w:p w14:paraId="522B7BF2">
            <w:pPr>
              <w:jc w:val="right"/>
            </w:pPr>
            <w:r>
              <w:rPr>
                <w:rFonts w:hint="eastAsia"/>
              </w:rPr>
              <w:t>-</w:t>
            </w:r>
          </w:p>
        </w:tc>
        <w:tc>
          <w:tcPr>
            <w:tcW w:w="1661" w:type="dxa"/>
            <w:vAlign w:val="center"/>
          </w:tcPr>
          <w:p w14:paraId="7FABF9BA">
            <w:pPr>
              <w:jc w:val="right"/>
            </w:pPr>
            <w:r>
              <w:rPr>
                <w:rFonts w:hint="eastAsia"/>
              </w:rPr>
              <w:t>-</w:t>
            </w:r>
          </w:p>
        </w:tc>
        <w:tc>
          <w:tcPr>
            <w:tcW w:w="1661" w:type="dxa"/>
            <w:vAlign w:val="center"/>
          </w:tcPr>
          <w:p w14:paraId="2F67C838">
            <w:pPr>
              <w:jc w:val="right"/>
            </w:pPr>
            <w:r>
              <w:rPr>
                <w:rFonts w:hint="eastAsia"/>
              </w:rPr>
              <w:t>-</w:t>
            </w:r>
          </w:p>
        </w:tc>
        <w:tc>
          <w:tcPr>
            <w:tcW w:w="1661" w:type="dxa"/>
            <w:vAlign w:val="center"/>
          </w:tcPr>
          <w:p w14:paraId="5D4AE1CA">
            <w:pPr>
              <w:jc w:val="right"/>
            </w:pPr>
            <w:r>
              <w:rPr>
                <w:rFonts w:hint="eastAsia"/>
              </w:rPr>
              <w:t>-</w:t>
            </w:r>
          </w:p>
        </w:tc>
      </w:tr>
      <w:tr w14:paraId="70B8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DBEAFB">
            <w:r>
              <w:rPr>
                <w:rFonts w:hint="eastAsia"/>
              </w:rPr>
              <w:t xml:space="preserve">    其他</w:t>
            </w:r>
          </w:p>
        </w:tc>
        <w:tc>
          <w:tcPr>
            <w:tcW w:w="1661" w:type="dxa"/>
            <w:vAlign w:val="center"/>
          </w:tcPr>
          <w:p w14:paraId="6526AAA6">
            <w:pPr>
              <w:jc w:val="right"/>
            </w:pPr>
            <w:r>
              <w:rPr>
                <w:rFonts w:hint="eastAsia"/>
              </w:rPr>
              <w:t>-</w:t>
            </w:r>
          </w:p>
        </w:tc>
        <w:tc>
          <w:tcPr>
            <w:tcW w:w="1661" w:type="dxa"/>
            <w:vAlign w:val="center"/>
          </w:tcPr>
          <w:p w14:paraId="66068E32">
            <w:pPr>
              <w:jc w:val="right"/>
            </w:pPr>
            <w:r>
              <w:rPr>
                <w:rFonts w:hint="eastAsia"/>
              </w:rPr>
              <w:t>-</w:t>
            </w:r>
          </w:p>
        </w:tc>
        <w:tc>
          <w:tcPr>
            <w:tcW w:w="1661" w:type="dxa"/>
            <w:vAlign w:val="center"/>
          </w:tcPr>
          <w:p w14:paraId="0DCABEAC">
            <w:pPr>
              <w:jc w:val="right"/>
            </w:pPr>
            <w:r>
              <w:rPr>
                <w:rFonts w:hint="eastAsia"/>
              </w:rPr>
              <w:t>-</w:t>
            </w:r>
          </w:p>
        </w:tc>
        <w:tc>
          <w:tcPr>
            <w:tcW w:w="1661" w:type="dxa"/>
            <w:vAlign w:val="center"/>
          </w:tcPr>
          <w:p w14:paraId="28018BF7">
            <w:pPr>
              <w:jc w:val="right"/>
            </w:pPr>
            <w:r>
              <w:rPr>
                <w:rFonts w:hint="eastAsia"/>
              </w:rPr>
              <w:t>-</w:t>
            </w:r>
          </w:p>
        </w:tc>
      </w:tr>
      <w:tr w14:paraId="44E2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BE8956">
            <w:r>
              <w:rPr>
                <w:rFonts w:hint="eastAsia"/>
              </w:rPr>
              <w:t>二、本期期初净资产</w:t>
            </w:r>
          </w:p>
        </w:tc>
        <w:tc>
          <w:tcPr>
            <w:tcW w:w="1661" w:type="dxa"/>
            <w:vAlign w:val="center"/>
          </w:tcPr>
          <w:p w14:paraId="6379DF23">
            <w:pPr>
              <w:jc w:val="right"/>
            </w:pPr>
            <w:r>
              <w:rPr>
                <w:rFonts w:hint="eastAsia"/>
              </w:rPr>
              <w:t>1,478,518,575.83</w:t>
            </w:r>
          </w:p>
        </w:tc>
        <w:tc>
          <w:tcPr>
            <w:tcW w:w="1661" w:type="dxa"/>
            <w:vAlign w:val="center"/>
          </w:tcPr>
          <w:p w14:paraId="47A4D875">
            <w:pPr>
              <w:jc w:val="right"/>
            </w:pPr>
            <w:r>
              <w:rPr>
                <w:rFonts w:hint="eastAsia"/>
              </w:rPr>
              <w:t>-</w:t>
            </w:r>
          </w:p>
        </w:tc>
        <w:tc>
          <w:tcPr>
            <w:tcW w:w="1661" w:type="dxa"/>
            <w:vAlign w:val="center"/>
          </w:tcPr>
          <w:p w14:paraId="2B086B8C">
            <w:pPr>
              <w:jc w:val="right"/>
            </w:pPr>
            <w:r>
              <w:rPr>
                <w:rFonts w:hint="eastAsia"/>
              </w:rPr>
              <w:t>97,359,859.60</w:t>
            </w:r>
          </w:p>
        </w:tc>
        <w:tc>
          <w:tcPr>
            <w:tcW w:w="1661" w:type="dxa"/>
            <w:vAlign w:val="center"/>
          </w:tcPr>
          <w:p w14:paraId="3738F3E8">
            <w:pPr>
              <w:jc w:val="right"/>
            </w:pPr>
            <w:r>
              <w:rPr>
                <w:rFonts w:hint="eastAsia"/>
              </w:rPr>
              <w:t>1,575,878,435.43</w:t>
            </w:r>
          </w:p>
        </w:tc>
      </w:tr>
      <w:tr w14:paraId="0228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5E01C">
            <w:r>
              <w:rPr>
                <w:rFonts w:hint="eastAsia"/>
              </w:rPr>
              <w:t>三、本期增减变动额（减少以“-”号填列）</w:t>
            </w:r>
          </w:p>
        </w:tc>
        <w:tc>
          <w:tcPr>
            <w:tcW w:w="1661" w:type="dxa"/>
            <w:vAlign w:val="center"/>
          </w:tcPr>
          <w:p w14:paraId="1A04C9E8">
            <w:pPr>
              <w:jc w:val="right"/>
            </w:pPr>
            <w:r>
              <w:rPr>
                <w:rFonts w:hint="eastAsia"/>
              </w:rPr>
              <w:t>7,323,690.93</w:t>
            </w:r>
          </w:p>
        </w:tc>
        <w:tc>
          <w:tcPr>
            <w:tcW w:w="1661" w:type="dxa"/>
            <w:vAlign w:val="center"/>
          </w:tcPr>
          <w:p w14:paraId="7236CBB8">
            <w:pPr>
              <w:jc w:val="right"/>
            </w:pPr>
            <w:r>
              <w:rPr>
                <w:rFonts w:hint="eastAsia"/>
              </w:rPr>
              <w:t>-</w:t>
            </w:r>
          </w:p>
        </w:tc>
        <w:tc>
          <w:tcPr>
            <w:tcW w:w="1661" w:type="dxa"/>
            <w:vAlign w:val="center"/>
          </w:tcPr>
          <w:p w14:paraId="0621940E">
            <w:pPr>
              <w:jc w:val="right"/>
            </w:pPr>
            <w:r>
              <w:rPr>
                <w:rFonts w:hint="eastAsia"/>
              </w:rPr>
              <w:t>62,827,565.67</w:t>
            </w:r>
          </w:p>
        </w:tc>
        <w:tc>
          <w:tcPr>
            <w:tcW w:w="1661" w:type="dxa"/>
            <w:vAlign w:val="center"/>
          </w:tcPr>
          <w:p w14:paraId="3C264FEC">
            <w:pPr>
              <w:jc w:val="right"/>
            </w:pPr>
            <w:r>
              <w:rPr>
                <w:rFonts w:hint="eastAsia"/>
              </w:rPr>
              <w:t>70,151,256.60</w:t>
            </w:r>
          </w:p>
        </w:tc>
      </w:tr>
      <w:tr w14:paraId="3F10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4B0030">
            <w:r>
              <w:rPr>
                <w:rFonts w:hint="eastAsia"/>
              </w:rPr>
              <w:t>（一）、综合收益总额</w:t>
            </w:r>
          </w:p>
        </w:tc>
        <w:tc>
          <w:tcPr>
            <w:tcW w:w="1661" w:type="dxa"/>
            <w:vAlign w:val="center"/>
          </w:tcPr>
          <w:p w14:paraId="4A21E61C">
            <w:pPr>
              <w:jc w:val="right"/>
            </w:pPr>
            <w:r>
              <w:rPr>
                <w:rFonts w:hint="eastAsia"/>
              </w:rPr>
              <w:t>-</w:t>
            </w:r>
          </w:p>
        </w:tc>
        <w:tc>
          <w:tcPr>
            <w:tcW w:w="1661" w:type="dxa"/>
            <w:vAlign w:val="center"/>
          </w:tcPr>
          <w:p w14:paraId="75AF87D6">
            <w:pPr>
              <w:jc w:val="right"/>
            </w:pPr>
            <w:r>
              <w:rPr>
                <w:rFonts w:hint="eastAsia"/>
              </w:rPr>
              <w:t>-</w:t>
            </w:r>
          </w:p>
        </w:tc>
        <w:tc>
          <w:tcPr>
            <w:tcW w:w="1661" w:type="dxa"/>
            <w:vAlign w:val="center"/>
          </w:tcPr>
          <w:p w14:paraId="57AC0F6D">
            <w:pPr>
              <w:jc w:val="right"/>
            </w:pPr>
            <w:r>
              <w:rPr>
                <w:rFonts w:hint="eastAsia"/>
              </w:rPr>
              <w:t>62,151,588.41</w:t>
            </w:r>
          </w:p>
        </w:tc>
        <w:tc>
          <w:tcPr>
            <w:tcW w:w="1661" w:type="dxa"/>
            <w:vAlign w:val="center"/>
          </w:tcPr>
          <w:p w14:paraId="7E71035B">
            <w:pPr>
              <w:jc w:val="right"/>
            </w:pPr>
            <w:r>
              <w:rPr>
                <w:rFonts w:hint="eastAsia"/>
              </w:rPr>
              <w:t>62,151,588.41</w:t>
            </w:r>
          </w:p>
        </w:tc>
      </w:tr>
      <w:tr w14:paraId="32B9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FB2497">
            <w:r>
              <w:rPr>
                <w:rFonts w:hint="eastAsia"/>
              </w:rPr>
              <w:t>（二）、本期基金份额交易产生的净资产变动数（净资产减少以“-”号填列）</w:t>
            </w:r>
          </w:p>
        </w:tc>
        <w:tc>
          <w:tcPr>
            <w:tcW w:w="1661" w:type="dxa"/>
            <w:vAlign w:val="center"/>
          </w:tcPr>
          <w:p w14:paraId="647C98B5">
            <w:pPr>
              <w:jc w:val="right"/>
            </w:pPr>
            <w:r>
              <w:rPr>
                <w:rFonts w:hint="eastAsia"/>
              </w:rPr>
              <w:t>7,323,690.93</w:t>
            </w:r>
          </w:p>
        </w:tc>
        <w:tc>
          <w:tcPr>
            <w:tcW w:w="1661" w:type="dxa"/>
            <w:vAlign w:val="center"/>
          </w:tcPr>
          <w:p w14:paraId="7E6722D9">
            <w:pPr>
              <w:jc w:val="right"/>
            </w:pPr>
            <w:r>
              <w:rPr>
                <w:rFonts w:hint="eastAsia"/>
              </w:rPr>
              <w:t>-</w:t>
            </w:r>
          </w:p>
        </w:tc>
        <w:tc>
          <w:tcPr>
            <w:tcW w:w="1661" w:type="dxa"/>
            <w:vAlign w:val="center"/>
          </w:tcPr>
          <w:p w14:paraId="409B40BF">
            <w:pPr>
              <w:jc w:val="right"/>
            </w:pPr>
            <w:r>
              <w:rPr>
                <w:rFonts w:hint="eastAsia"/>
              </w:rPr>
              <w:t>675,977.26</w:t>
            </w:r>
          </w:p>
        </w:tc>
        <w:tc>
          <w:tcPr>
            <w:tcW w:w="1661" w:type="dxa"/>
            <w:vAlign w:val="center"/>
          </w:tcPr>
          <w:p w14:paraId="6C103604">
            <w:pPr>
              <w:jc w:val="right"/>
            </w:pPr>
            <w:r>
              <w:rPr>
                <w:rFonts w:hint="eastAsia"/>
              </w:rPr>
              <w:t>7,999,668.19</w:t>
            </w:r>
          </w:p>
        </w:tc>
      </w:tr>
      <w:tr w14:paraId="0D54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30848">
            <w:r>
              <w:rPr>
                <w:rFonts w:hint="eastAsia"/>
              </w:rPr>
              <w:t>其中：1.基金申购款</w:t>
            </w:r>
          </w:p>
        </w:tc>
        <w:tc>
          <w:tcPr>
            <w:tcW w:w="1661" w:type="dxa"/>
            <w:vAlign w:val="center"/>
          </w:tcPr>
          <w:p w14:paraId="11845632">
            <w:pPr>
              <w:jc w:val="right"/>
            </w:pPr>
            <w:r>
              <w:rPr>
                <w:rFonts w:hint="eastAsia"/>
              </w:rPr>
              <w:t>7,323,927.35</w:t>
            </w:r>
          </w:p>
        </w:tc>
        <w:tc>
          <w:tcPr>
            <w:tcW w:w="1661" w:type="dxa"/>
            <w:vAlign w:val="center"/>
          </w:tcPr>
          <w:p w14:paraId="57DBA51D">
            <w:pPr>
              <w:jc w:val="right"/>
            </w:pPr>
            <w:r>
              <w:rPr>
                <w:rFonts w:hint="eastAsia"/>
              </w:rPr>
              <w:t>-</w:t>
            </w:r>
          </w:p>
        </w:tc>
        <w:tc>
          <w:tcPr>
            <w:tcW w:w="1661" w:type="dxa"/>
            <w:vAlign w:val="center"/>
          </w:tcPr>
          <w:p w14:paraId="7656DFF9">
            <w:pPr>
              <w:jc w:val="right"/>
            </w:pPr>
            <w:r>
              <w:rPr>
                <w:rFonts w:hint="eastAsia"/>
              </w:rPr>
              <w:t>675,998.40</w:t>
            </w:r>
          </w:p>
        </w:tc>
        <w:tc>
          <w:tcPr>
            <w:tcW w:w="1661" w:type="dxa"/>
            <w:vAlign w:val="center"/>
          </w:tcPr>
          <w:p w14:paraId="5CE2D11F">
            <w:pPr>
              <w:jc w:val="right"/>
            </w:pPr>
            <w:r>
              <w:rPr>
                <w:rFonts w:hint="eastAsia"/>
              </w:rPr>
              <w:t>7,999,925.75</w:t>
            </w:r>
          </w:p>
        </w:tc>
      </w:tr>
      <w:tr w14:paraId="19C5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F78B3F">
            <w:r>
              <w:rPr>
                <w:rFonts w:hint="eastAsia"/>
              </w:rPr>
              <w:t xml:space="preserve">      2.基金赎回款</w:t>
            </w:r>
          </w:p>
        </w:tc>
        <w:tc>
          <w:tcPr>
            <w:tcW w:w="1661" w:type="dxa"/>
            <w:vAlign w:val="center"/>
          </w:tcPr>
          <w:p w14:paraId="4EF4C66D">
            <w:pPr>
              <w:jc w:val="right"/>
            </w:pPr>
            <w:r>
              <w:rPr>
                <w:rFonts w:hint="eastAsia"/>
              </w:rPr>
              <w:t>-236.42</w:t>
            </w:r>
          </w:p>
        </w:tc>
        <w:tc>
          <w:tcPr>
            <w:tcW w:w="1661" w:type="dxa"/>
            <w:vAlign w:val="center"/>
          </w:tcPr>
          <w:p w14:paraId="3FD8D44F">
            <w:pPr>
              <w:jc w:val="right"/>
            </w:pPr>
            <w:r>
              <w:rPr>
                <w:rFonts w:hint="eastAsia"/>
              </w:rPr>
              <w:t>-</w:t>
            </w:r>
          </w:p>
        </w:tc>
        <w:tc>
          <w:tcPr>
            <w:tcW w:w="1661" w:type="dxa"/>
            <w:vAlign w:val="center"/>
          </w:tcPr>
          <w:p w14:paraId="4D947838">
            <w:pPr>
              <w:jc w:val="right"/>
            </w:pPr>
            <w:r>
              <w:rPr>
                <w:rFonts w:hint="eastAsia"/>
              </w:rPr>
              <w:t>-21.14</w:t>
            </w:r>
          </w:p>
        </w:tc>
        <w:tc>
          <w:tcPr>
            <w:tcW w:w="1661" w:type="dxa"/>
            <w:vAlign w:val="center"/>
          </w:tcPr>
          <w:p w14:paraId="20928555">
            <w:pPr>
              <w:jc w:val="right"/>
            </w:pPr>
            <w:r>
              <w:rPr>
                <w:rFonts w:hint="eastAsia"/>
              </w:rPr>
              <w:t>-257.56</w:t>
            </w:r>
          </w:p>
        </w:tc>
      </w:tr>
      <w:tr w14:paraId="7288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4D6CFC">
            <w:r>
              <w:rPr>
                <w:rFonts w:hint="eastAsia"/>
              </w:rPr>
              <w:t>（三）、本期向基金份额持有人分配利润产生的净资产变动（净资产减少以“-”号填列）</w:t>
            </w:r>
          </w:p>
        </w:tc>
        <w:tc>
          <w:tcPr>
            <w:tcW w:w="1661" w:type="dxa"/>
            <w:vAlign w:val="center"/>
          </w:tcPr>
          <w:p w14:paraId="066912AE">
            <w:pPr>
              <w:jc w:val="right"/>
            </w:pPr>
            <w:r>
              <w:rPr>
                <w:rFonts w:hint="eastAsia"/>
              </w:rPr>
              <w:t>-</w:t>
            </w:r>
          </w:p>
        </w:tc>
        <w:tc>
          <w:tcPr>
            <w:tcW w:w="1661" w:type="dxa"/>
            <w:vAlign w:val="center"/>
          </w:tcPr>
          <w:p w14:paraId="6CF7A943">
            <w:pPr>
              <w:jc w:val="right"/>
            </w:pPr>
            <w:r>
              <w:rPr>
                <w:rFonts w:hint="eastAsia"/>
              </w:rPr>
              <w:t>-</w:t>
            </w:r>
          </w:p>
        </w:tc>
        <w:tc>
          <w:tcPr>
            <w:tcW w:w="1661" w:type="dxa"/>
            <w:vAlign w:val="center"/>
          </w:tcPr>
          <w:p w14:paraId="064C8AFC">
            <w:pPr>
              <w:jc w:val="right"/>
            </w:pPr>
            <w:r>
              <w:rPr>
                <w:rFonts w:hint="eastAsia"/>
              </w:rPr>
              <w:t>-</w:t>
            </w:r>
          </w:p>
        </w:tc>
        <w:tc>
          <w:tcPr>
            <w:tcW w:w="1661" w:type="dxa"/>
            <w:vAlign w:val="center"/>
          </w:tcPr>
          <w:p w14:paraId="4237D5FB">
            <w:pPr>
              <w:jc w:val="right"/>
            </w:pPr>
            <w:r>
              <w:rPr>
                <w:rFonts w:hint="eastAsia"/>
              </w:rPr>
              <w:t>-</w:t>
            </w:r>
          </w:p>
        </w:tc>
      </w:tr>
      <w:tr w14:paraId="56B8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DAAF3">
            <w:r>
              <w:rPr>
                <w:rFonts w:hint="eastAsia"/>
              </w:rPr>
              <w:t>（四）、其他综合收益结转留存收益</w:t>
            </w:r>
          </w:p>
        </w:tc>
        <w:tc>
          <w:tcPr>
            <w:tcW w:w="1661" w:type="dxa"/>
            <w:vAlign w:val="center"/>
          </w:tcPr>
          <w:p w14:paraId="2D8431CD">
            <w:pPr>
              <w:jc w:val="right"/>
            </w:pPr>
            <w:r>
              <w:rPr>
                <w:rFonts w:hint="eastAsia"/>
              </w:rPr>
              <w:t>-</w:t>
            </w:r>
          </w:p>
        </w:tc>
        <w:tc>
          <w:tcPr>
            <w:tcW w:w="1661" w:type="dxa"/>
            <w:vAlign w:val="center"/>
          </w:tcPr>
          <w:p w14:paraId="612148DF">
            <w:pPr>
              <w:jc w:val="right"/>
            </w:pPr>
            <w:r>
              <w:rPr>
                <w:rFonts w:hint="eastAsia"/>
              </w:rPr>
              <w:t>-</w:t>
            </w:r>
          </w:p>
        </w:tc>
        <w:tc>
          <w:tcPr>
            <w:tcW w:w="1661" w:type="dxa"/>
            <w:vAlign w:val="center"/>
          </w:tcPr>
          <w:p w14:paraId="39398467">
            <w:pPr>
              <w:jc w:val="right"/>
            </w:pPr>
            <w:r>
              <w:rPr>
                <w:rFonts w:hint="eastAsia"/>
              </w:rPr>
              <w:t>-</w:t>
            </w:r>
          </w:p>
        </w:tc>
        <w:tc>
          <w:tcPr>
            <w:tcW w:w="1661" w:type="dxa"/>
            <w:vAlign w:val="center"/>
          </w:tcPr>
          <w:p w14:paraId="20611B59">
            <w:pPr>
              <w:jc w:val="right"/>
            </w:pPr>
            <w:r>
              <w:rPr>
                <w:rFonts w:hint="eastAsia"/>
              </w:rPr>
              <w:t>-</w:t>
            </w:r>
          </w:p>
        </w:tc>
      </w:tr>
      <w:tr w14:paraId="4BF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1ADE57">
            <w:r>
              <w:rPr>
                <w:rFonts w:hint="eastAsia"/>
              </w:rPr>
              <w:t>四、本期期末净资产</w:t>
            </w:r>
          </w:p>
        </w:tc>
        <w:tc>
          <w:tcPr>
            <w:tcW w:w="1661" w:type="dxa"/>
            <w:vAlign w:val="center"/>
          </w:tcPr>
          <w:p w14:paraId="5E8D17F4">
            <w:pPr>
              <w:jc w:val="right"/>
            </w:pPr>
            <w:r>
              <w:rPr>
                <w:rFonts w:hint="eastAsia"/>
              </w:rPr>
              <w:t>1,485,842,266.76</w:t>
            </w:r>
          </w:p>
        </w:tc>
        <w:tc>
          <w:tcPr>
            <w:tcW w:w="1661" w:type="dxa"/>
            <w:vAlign w:val="center"/>
          </w:tcPr>
          <w:p w14:paraId="78DE6591">
            <w:pPr>
              <w:jc w:val="right"/>
            </w:pPr>
            <w:r>
              <w:rPr>
                <w:rFonts w:hint="eastAsia"/>
              </w:rPr>
              <w:t>-</w:t>
            </w:r>
          </w:p>
        </w:tc>
        <w:tc>
          <w:tcPr>
            <w:tcW w:w="1661" w:type="dxa"/>
            <w:vAlign w:val="center"/>
          </w:tcPr>
          <w:p w14:paraId="676E9593">
            <w:pPr>
              <w:jc w:val="right"/>
            </w:pPr>
            <w:r>
              <w:rPr>
                <w:rFonts w:hint="eastAsia"/>
              </w:rPr>
              <w:t>160,187,425.27</w:t>
            </w:r>
          </w:p>
        </w:tc>
        <w:tc>
          <w:tcPr>
            <w:tcW w:w="1661" w:type="dxa"/>
            <w:vAlign w:val="center"/>
          </w:tcPr>
          <w:p w14:paraId="57BAAC41">
            <w:pPr>
              <w:jc w:val="right"/>
            </w:pPr>
            <w:r>
              <w:rPr>
                <w:rFonts w:hint="eastAsia"/>
              </w:rPr>
              <w:t>1,646,029,692.03</w:t>
            </w:r>
          </w:p>
        </w:tc>
      </w:tr>
    </w:tbl>
    <w:p w14:paraId="2C94CAAF">
      <w:pPr>
        <w:pStyle w:val="18"/>
        <w:rPr>
          <w:rFonts w:hint="eastAsia"/>
        </w:rPr>
      </w:pPr>
      <w:r>
        <w:rPr>
          <w:rFonts w:hint="eastAsia"/>
        </w:rPr>
        <w:t>报表附注为财务报表的组成部分。</w:t>
      </w:r>
    </w:p>
    <w:p w14:paraId="6F387178">
      <w:pPr>
        <w:pStyle w:val="18"/>
        <w:rPr>
          <w:rFonts w:hint="eastAsia"/>
        </w:rPr>
      </w:pPr>
      <w:r>
        <w:rPr>
          <w:rFonts w:hint="eastAsia"/>
        </w:rPr>
        <w:t>本报告 7.1 至 7.4 财务报表由下列负责人签署：</w:t>
      </w:r>
    </w:p>
    <w:p w14:paraId="69C33FFB">
      <w:pPr>
        <w:pStyle w:val="18"/>
        <w:rPr>
          <w:rFonts w:hint="eastAsia"/>
        </w:rPr>
      </w:pPr>
      <w:r>
        <w:rPr>
          <w:rFonts w:hint="eastAsia"/>
        </w:rPr>
        <w:t>____杨小松___           ____蔡忠评______          ____徐超____</w:t>
      </w:r>
    </w:p>
    <w:p w14:paraId="3776FFA1">
      <w:pPr>
        <w:pStyle w:val="18"/>
        <w:rPr>
          <w:rFonts w:hint="eastAsia"/>
        </w:rPr>
      </w:pPr>
      <w:r>
        <w:rPr>
          <w:rFonts w:hint="eastAsia"/>
        </w:rPr>
        <w:t>基金管理人负责人     主管会计工作负责人         会计机构负责人</w:t>
      </w:r>
    </w:p>
    <w:p w14:paraId="691C0008">
      <w:pPr>
        <w:pStyle w:val="23"/>
      </w:pPr>
      <w:bookmarkStart w:id="48" w:name="_Toc32380"/>
      <w:r>
        <w:t>报表附注</w:t>
      </w:r>
      <w:bookmarkEnd w:id="48"/>
      <w:r>
        <w:t xml:space="preserve"> </w:t>
      </w:r>
    </w:p>
    <w:p w14:paraId="6455DD1C">
      <w:pPr>
        <w:pStyle w:val="28"/>
      </w:pPr>
      <w:bookmarkStart w:id="49" w:name="_Toc49"/>
      <w:r>
        <w:t>基金基本情况</w:t>
      </w:r>
      <w:bookmarkEnd w:id="49"/>
    </w:p>
    <w:p w14:paraId="5C0466A6">
      <w:pPr>
        <w:pStyle w:val="18"/>
        <w:rPr>
          <w:rFonts w:hint="eastAsia"/>
        </w:rPr>
      </w:pPr>
      <w:r>
        <w:rPr>
          <w:rFonts w:hint="eastAsia"/>
        </w:rPr>
        <w:t>南方远利3个月定期开放债券型发起式证券投资基金(以下简称“本基金”)经中国证券监督管理委员会(以下简称“中国证监会”)证监许可[2019]1916号《关于准予南方远利3个月定期开放债券型发起式证券投资基金注册的批复》注册，由南方基金管理股份有限公司依照《中华人民共和国证券投资基金法》和《南方远利3个月定期开放债券型发起式证券投资基金基金合同》负责公开募集。本基金为契约型定期开放式，存续期限不定，首次设立募集不包括认购资金利息共募集人民币209,999,000.00元，业经普华永道中天会计师事务所(特殊普通合伙)普华永道中天验字(2019)第0700号验资报告予以验证。经向中国证监会备案，《南方远利3个月定期开放债券型发起式证券投资基金基金合同》于2019年12月20日正式生效，基金合同生效日的基金份额总额为210,013,695.91份，其中认购资金利息折合14,695.91份基金份额。本基金的基金管理人为南方基金管理股份有限公司，基金托管人为宁波银行股份有限公司。</w:t>
      </w:r>
    </w:p>
    <w:p w14:paraId="1C803C76">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371F85A3">
      <w:pPr>
        <w:pStyle w:val="18"/>
        <w:rPr>
          <w:rFonts w:hint="eastAsia"/>
        </w:rPr>
      </w:pPr>
      <w:r>
        <w:rPr>
          <w:rFonts w:hint="eastAsia"/>
        </w:rPr>
        <w:t>根据《南方远利3个月定期开放债券型发起式证券投资基金基金合同》和《南方远利3个月定期开放债券型发起式证券投资基金招募说明书》的有关规定，本基金自基金合同生效后，每3个月开放一次申购和赎回。本基金封闭期内不办理申购与赎回业务，也不上市交易。</w:t>
      </w:r>
    </w:p>
    <w:p w14:paraId="4ACCACC0">
      <w:pPr>
        <w:pStyle w:val="18"/>
        <w:rPr>
          <w:rFonts w:hint="eastAsia"/>
        </w:rPr>
      </w:pPr>
      <w:r>
        <w:rPr>
          <w:rFonts w:hint="eastAsia"/>
        </w:rPr>
        <w:t>根据《中华人民共和国证券投资基金法》和《南方远利3个月定期开放债券型发起式证券投资基金基金合同》的有关规定，本基金主要投资于债券资产(包括国内依法发行上市交易的国债、央行票据、金融债券、企业债券、公司债券、中期票据、短期融资券、超短期融资券、次级债券、政府机构债、地方政府债等)、资产支持证券、债券回购、银行存款(包括协议存款、定期存款及其他银行存款)、同业存单、货币市场工具以及经中国证监会允许基金投资的其他金融工具，但需符合中国证监会的相关规定。本基金不投资于股票、可转债。本基金的投资组合比例为：债券资产的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4B6B2C0D">
      <w:pPr>
        <w:pStyle w:val="18"/>
        <w:rPr>
          <w:rFonts w:hint="eastAsia"/>
        </w:rPr>
      </w:pPr>
      <w:r>
        <w:rPr>
          <w:rFonts w:hint="eastAsia"/>
        </w:rPr>
        <w:t>本财务报表由本基金的基金管理人南方基金管理股份有限公司于2026年3月27日批准报出。</w:t>
      </w:r>
    </w:p>
    <w:p w14:paraId="1E74651C">
      <w:pPr>
        <w:pStyle w:val="28"/>
      </w:pPr>
      <w:bookmarkStart w:id="50" w:name="_Toc50"/>
      <w:r>
        <w:t xml:space="preserve"> 会计报表的编制基础 </w:t>
      </w:r>
      <w:bookmarkEnd w:id="50"/>
    </w:p>
    <w:p w14:paraId="374BD7AC">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DC2D762">
      <w:pPr>
        <w:pStyle w:val="18"/>
        <w:rPr>
          <w:rFonts w:hint="eastAsia"/>
        </w:rPr>
      </w:pPr>
      <w:r>
        <w:rPr>
          <w:rFonts w:hint="eastAsia"/>
        </w:rPr>
        <w:t>本财务报表以持续经营为基础编制。</w:t>
      </w:r>
    </w:p>
    <w:p w14:paraId="1AE083E8">
      <w:pPr>
        <w:pStyle w:val="28"/>
      </w:pPr>
      <w:bookmarkStart w:id="51" w:name="_Toc51"/>
      <w:r>
        <w:t xml:space="preserve"> 遵循企业会计准则及其他有关规定的声明</w:t>
      </w:r>
      <w:bookmarkEnd w:id="51"/>
    </w:p>
    <w:p w14:paraId="5FF33FC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C6A2516">
      <w:pPr>
        <w:pStyle w:val="28"/>
      </w:pPr>
      <w:bookmarkStart w:id="52" w:name="_Toc52"/>
      <w:r>
        <w:t xml:space="preserve">重要会计政策和会计估计 </w:t>
      </w:r>
      <w:bookmarkEnd w:id="52"/>
    </w:p>
    <w:p w14:paraId="1E8BB1E3">
      <w:pPr>
        <w:pStyle w:val="35"/>
      </w:pPr>
      <w:bookmarkStart w:id="53" w:name="_Toc53"/>
      <w:r>
        <w:t>会计年度</w:t>
      </w:r>
      <w:bookmarkEnd w:id="53"/>
    </w:p>
    <w:p w14:paraId="73C070AF">
      <w:pPr>
        <w:pStyle w:val="18"/>
        <w:rPr>
          <w:rFonts w:hint="eastAsia"/>
        </w:rPr>
      </w:pPr>
      <w:r>
        <w:rPr>
          <w:rFonts w:hint="eastAsia"/>
        </w:rPr>
        <w:t>本基金会计年度为公历1月1日起至12月31日止。</w:t>
      </w:r>
    </w:p>
    <w:p w14:paraId="00D453A9">
      <w:pPr>
        <w:pStyle w:val="35"/>
      </w:pPr>
      <w:bookmarkStart w:id="54" w:name="_Toc54"/>
      <w:r>
        <w:t>记账本位币</w:t>
      </w:r>
      <w:bookmarkEnd w:id="54"/>
    </w:p>
    <w:p w14:paraId="67F3E001">
      <w:pPr>
        <w:pStyle w:val="18"/>
        <w:rPr>
          <w:rFonts w:hint="eastAsia"/>
        </w:rPr>
      </w:pPr>
      <w:r>
        <w:rPr>
          <w:rFonts w:hint="eastAsia"/>
        </w:rPr>
        <w:t>本基金的记账本位币为人民币。</w:t>
      </w:r>
    </w:p>
    <w:p w14:paraId="5FC1CF49">
      <w:pPr>
        <w:pStyle w:val="35"/>
      </w:pPr>
      <w:bookmarkStart w:id="55" w:name="_Toc55"/>
      <w:r>
        <w:t>金融资产和金融负债的分类</w:t>
      </w:r>
      <w:bookmarkEnd w:id="55"/>
    </w:p>
    <w:p w14:paraId="2F2A6D25">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7EEABA07">
      <w:pPr>
        <w:pStyle w:val="18"/>
        <w:rPr>
          <w:rFonts w:hint="eastAsia"/>
        </w:rPr>
      </w:pPr>
      <w:r>
        <w:rPr>
          <w:rFonts w:hint="eastAsia"/>
        </w:rPr>
        <w:t>(1)金融资产</w:t>
      </w:r>
    </w:p>
    <w:p w14:paraId="45A2D931">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C09823D">
      <w:pPr>
        <w:pStyle w:val="18"/>
        <w:rPr>
          <w:rFonts w:hint="eastAsia"/>
        </w:rPr>
      </w:pPr>
      <w:r>
        <w:rPr>
          <w:rFonts w:hint="eastAsia"/>
        </w:rPr>
        <w:t>债务工具</w:t>
      </w:r>
    </w:p>
    <w:p w14:paraId="254FF53C">
      <w:pPr>
        <w:pStyle w:val="18"/>
        <w:rPr>
          <w:rFonts w:hint="eastAsia"/>
        </w:rPr>
      </w:pPr>
      <w:r>
        <w:rPr>
          <w:rFonts w:hint="eastAsia"/>
        </w:rPr>
        <w:t>本基金持有的债务工具是指从发行方角度分析符合金融负债定义的工具，分别采用以下两种方式进行计量：</w:t>
      </w:r>
    </w:p>
    <w:p w14:paraId="530A4443">
      <w:pPr>
        <w:pStyle w:val="18"/>
        <w:rPr>
          <w:rFonts w:hint="eastAsia"/>
        </w:rPr>
      </w:pPr>
      <w:r>
        <w:rPr>
          <w:rFonts w:hint="eastAsia"/>
        </w:rPr>
        <w:t>以摊余成本计量：</w:t>
      </w:r>
    </w:p>
    <w:p w14:paraId="120F716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A85F6F7">
      <w:pPr>
        <w:pStyle w:val="18"/>
        <w:rPr>
          <w:rFonts w:hint="eastAsia"/>
        </w:rPr>
      </w:pPr>
      <w:r>
        <w:rPr>
          <w:rFonts w:hint="eastAsia"/>
        </w:rPr>
        <w:t>以公允价值计量且其变动计入当期损益：</w:t>
      </w:r>
    </w:p>
    <w:p w14:paraId="00D1A45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54850F4">
      <w:pPr>
        <w:pStyle w:val="18"/>
        <w:rPr>
          <w:rFonts w:hint="eastAsia"/>
        </w:rPr>
      </w:pPr>
      <w:r>
        <w:rPr>
          <w:rFonts w:hint="eastAsia"/>
        </w:rPr>
        <w:t>(2)金融负债</w:t>
      </w:r>
    </w:p>
    <w:p w14:paraId="6BB2730D">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4958C26">
      <w:pPr>
        <w:pStyle w:val="35"/>
      </w:pPr>
      <w:bookmarkStart w:id="56" w:name="_Toc56"/>
      <w:r>
        <w:t xml:space="preserve">金融资产和金融负债的初始确认、后续计量和终止确认 </w:t>
      </w:r>
      <w:bookmarkEnd w:id="56"/>
    </w:p>
    <w:p w14:paraId="3371EE44">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1315DCE">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8B74DB4">
      <w:pPr>
        <w:pStyle w:val="18"/>
        <w:rPr>
          <w:rFonts w:hint="eastAsia"/>
        </w:rPr>
      </w:pPr>
      <w:r>
        <w:rPr>
          <w:rFonts w:hint="eastAsia"/>
        </w:rPr>
        <w:t>本基金对于以摊余成本计量的金融资产，以预期信用损失为基础确认损失准备。</w:t>
      </w:r>
    </w:p>
    <w:p w14:paraId="4723EB3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571B199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F6C07AC">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DE9FE48">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B34C0B9">
      <w:pPr>
        <w:pStyle w:val="18"/>
        <w:rPr>
          <w:rFonts w:hint="eastAsia"/>
        </w:rPr>
      </w:pPr>
      <w:r>
        <w:rPr>
          <w:rFonts w:hint="eastAsia"/>
        </w:rPr>
        <w:t>本基金将计提或转回的损失准备计入当期损益。</w:t>
      </w:r>
    </w:p>
    <w:p w14:paraId="02A34D69">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2654D198">
      <w:pPr>
        <w:pStyle w:val="18"/>
        <w:rPr>
          <w:rFonts w:hint="eastAsia"/>
        </w:rPr>
      </w:pPr>
      <w:r>
        <w:rPr>
          <w:rFonts w:hint="eastAsia"/>
        </w:rPr>
        <w:t>金融资产终止确认时，其账面价值与收到的对价的差额，计入当期损益。</w:t>
      </w:r>
    </w:p>
    <w:p w14:paraId="20C85601">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32744B6">
      <w:pPr>
        <w:pStyle w:val="35"/>
      </w:pPr>
      <w:bookmarkStart w:id="57" w:name="_Toc57"/>
      <w:r>
        <w:t>金融资产和金融负债的估值原则</w:t>
      </w:r>
      <w:bookmarkEnd w:id="57"/>
    </w:p>
    <w:p w14:paraId="0FF6FB2B">
      <w:pPr>
        <w:pStyle w:val="18"/>
        <w:rPr>
          <w:rFonts w:hint="eastAsia"/>
        </w:rPr>
      </w:pPr>
      <w:r>
        <w:rPr>
          <w:rFonts w:hint="eastAsia"/>
        </w:rPr>
        <w:t>本基金持有的以公允价值计量且其变动计入当期损益的金融资产按如下原则确定公允价值并进行估值：</w:t>
      </w:r>
    </w:p>
    <w:p w14:paraId="082968E8">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9AC05F1">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335354A">
      <w:pPr>
        <w:pStyle w:val="18"/>
        <w:rPr>
          <w:rFonts w:hint="eastAsia"/>
        </w:rPr>
      </w:pPr>
      <w:r>
        <w:rPr>
          <w:rFonts w:hint="eastAsia"/>
        </w:rPr>
        <w:t>(3)如经济环境发生重大变化或证券发行人发生影响金融工具价格的重大事件，应对估值进行调整并确定公允价值。</w:t>
      </w:r>
    </w:p>
    <w:p w14:paraId="2800AA9E">
      <w:pPr>
        <w:pStyle w:val="35"/>
      </w:pPr>
      <w:bookmarkStart w:id="58" w:name="_Toc58"/>
      <w:r>
        <w:t>金融资产和金融负债的抵销</w:t>
      </w:r>
      <w:bookmarkEnd w:id="58"/>
    </w:p>
    <w:p w14:paraId="5E197BF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E928B13">
      <w:pPr>
        <w:pStyle w:val="35"/>
      </w:pPr>
      <w:bookmarkStart w:id="59" w:name="_Toc59"/>
      <w:r>
        <w:t>实收基金</w:t>
      </w:r>
      <w:bookmarkEnd w:id="59"/>
    </w:p>
    <w:p w14:paraId="08F3F41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007378B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039CB5FA">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EEDBE7E">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9A6325A">
      <w:pPr>
        <w:pStyle w:val="18"/>
        <w:rPr>
          <w:rFonts w:hint="eastAsia"/>
        </w:rPr>
      </w:pPr>
      <w:r>
        <w:rPr>
          <w:rFonts w:hint="eastAsia"/>
        </w:rPr>
        <w:t>本基金将实收基金分类为权益工具，列报于净资产。</w:t>
      </w:r>
    </w:p>
    <w:p w14:paraId="25343D90">
      <w:pPr>
        <w:pStyle w:val="35"/>
      </w:pPr>
      <w:bookmarkStart w:id="60" w:name="_Toc60"/>
      <w:r>
        <w:t>损益平准金</w:t>
      </w:r>
      <w:bookmarkEnd w:id="60"/>
    </w:p>
    <w:p w14:paraId="65288AE4">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C3F2155">
      <w:pPr>
        <w:pStyle w:val="35"/>
      </w:pPr>
      <w:bookmarkStart w:id="61" w:name="_Toc61"/>
      <w:r>
        <w:t>收入/（损失）的确认和计量</w:t>
      </w:r>
      <w:bookmarkEnd w:id="61"/>
    </w:p>
    <w:p w14:paraId="3E252514">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3EFA1686">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C7E3E61">
      <w:pPr>
        <w:pStyle w:val="18"/>
        <w:rPr>
          <w:rFonts w:hint="eastAsia"/>
        </w:rPr>
      </w:pPr>
      <w:r>
        <w:rPr>
          <w:rFonts w:hint="eastAsia"/>
        </w:rPr>
        <w:t>应收款项在持有期间确认的利息收入按实际利率法计算，实际利率法与直线法差异较小的则按直线法计算。</w:t>
      </w:r>
    </w:p>
    <w:p w14:paraId="58151F82">
      <w:pPr>
        <w:pStyle w:val="35"/>
      </w:pPr>
      <w:bookmarkStart w:id="62" w:name="_Toc62"/>
      <w:r>
        <w:t>费用的确认和计量</w:t>
      </w:r>
      <w:bookmarkEnd w:id="62"/>
    </w:p>
    <w:p w14:paraId="50E7A926">
      <w:pPr>
        <w:pStyle w:val="18"/>
        <w:rPr>
          <w:rFonts w:hint="eastAsia"/>
        </w:rPr>
      </w:pPr>
      <w:r>
        <w:rPr>
          <w:rFonts w:hint="eastAsia"/>
        </w:rPr>
        <w:t>本基金的管理人报酬和托管费在费用涵盖期间按基金合同约定的费率和计算方法逐日确认。</w:t>
      </w:r>
    </w:p>
    <w:p w14:paraId="33B80AB7">
      <w:pPr>
        <w:pStyle w:val="18"/>
        <w:rPr>
          <w:rFonts w:hint="eastAsia"/>
        </w:rPr>
      </w:pPr>
      <w:r>
        <w:rPr>
          <w:rFonts w:hint="eastAsia"/>
        </w:rPr>
        <w:t>以摊余成本计量的金融负债在持有期间确认的利息支出按实际利率法计算，实际利率法与直线法差异较小的则按直线法计算。</w:t>
      </w:r>
    </w:p>
    <w:p w14:paraId="7001ECC2">
      <w:pPr>
        <w:pStyle w:val="35"/>
      </w:pPr>
      <w:bookmarkStart w:id="63" w:name="_Toc63"/>
      <w:r>
        <w:t>基金的收益分配政策</w:t>
      </w:r>
      <w:bookmarkEnd w:id="63"/>
    </w:p>
    <w:p w14:paraId="7D2DECF4">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77E1D8E">
      <w:pPr>
        <w:pStyle w:val="18"/>
        <w:rPr>
          <w:rFonts w:hint="eastAsia"/>
        </w:rPr>
      </w:pPr>
      <w:r>
        <w:rPr>
          <w:rFonts w:hint="eastAsia"/>
        </w:rPr>
        <w:t>经宣告的拟分配基金收益于分红除权日从净资产转出。</w:t>
      </w:r>
    </w:p>
    <w:p w14:paraId="7544E316">
      <w:pPr>
        <w:pStyle w:val="35"/>
      </w:pPr>
      <w:bookmarkStart w:id="64" w:name="_Toc64"/>
      <w:r>
        <w:t xml:space="preserve"> 分部报告</w:t>
      </w:r>
      <w:bookmarkEnd w:id="64"/>
    </w:p>
    <w:p w14:paraId="748BA809">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82B83FF">
      <w:pPr>
        <w:pStyle w:val="18"/>
        <w:rPr>
          <w:rFonts w:hint="eastAsia"/>
        </w:rPr>
      </w:pPr>
      <w:r>
        <w:rPr>
          <w:rFonts w:hint="eastAsia"/>
        </w:rPr>
        <w:t>本基金目前以一个单一的经营分部运作，不需要披露分部信息。</w:t>
      </w:r>
    </w:p>
    <w:p w14:paraId="4C7D3F16">
      <w:pPr>
        <w:pStyle w:val="35"/>
      </w:pPr>
      <w:bookmarkStart w:id="65" w:name="_Toc65"/>
      <w:r>
        <w:t>其他重要的会计政策和会计估计</w:t>
      </w:r>
      <w:bookmarkEnd w:id="65"/>
    </w:p>
    <w:p w14:paraId="27E485C1">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5772B2B">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23F5FEA">
      <w:pPr>
        <w:pStyle w:val="28"/>
      </w:pPr>
      <w:bookmarkStart w:id="66" w:name="_Toc66"/>
      <w:r>
        <w:t xml:space="preserve">会计政策和会计估计变更以及差错更正的说明 </w:t>
      </w:r>
      <w:bookmarkEnd w:id="66"/>
    </w:p>
    <w:p w14:paraId="4013582D">
      <w:pPr>
        <w:pStyle w:val="35"/>
      </w:pPr>
      <w:bookmarkStart w:id="67" w:name="_Toc67"/>
      <w:r>
        <w:t xml:space="preserve">会计政策变更的说明 </w:t>
      </w:r>
      <w:bookmarkEnd w:id="67"/>
    </w:p>
    <w:p w14:paraId="6C55E565">
      <w:pPr>
        <w:pStyle w:val="18"/>
        <w:rPr>
          <w:rFonts w:hint="eastAsia"/>
        </w:rPr>
      </w:pPr>
      <w:r>
        <w:rPr>
          <w:rFonts w:hint="eastAsia"/>
        </w:rPr>
        <w:t>本基金本报告期未发生会计政策变更。</w:t>
      </w:r>
    </w:p>
    <w:p w14:paraId="643A78E8">
      <w:pPr>
        <w:pStyle w:val="35"/>
      </w:pPr>
      <w:bookmarkStart w:id="68" w:name="_Toc68"/>
      <w:r>
        <w:t>会计估计变更的说明</w:t>
      </w:r>
      <w:bookmarkEnd w:id="68"/>
    </w:p>
    <w:p w14:paraId="46DFE0B8">
      <w:pPr>
        <w:pStyle w:val="18"/>
        <w:rPr>
          <w:rFonts w:hint="eastAsia"/>
        </w:rPr>
      </w:pPr>
      <w:r>
        <w:rPr>
          <w:rFonts w:hint="eastAsia"/>
        </w:rPr>
        <w:t>本基金本报告期未发生会计估计变更。</w:t>
      </w:r>
    </w:p>
    <w:p w14:paraId="538421D5">
      <w:pPr>
        <w:pStyle w:val="35"/>
      </w:pPr>
      <w:bookmarkStart w:id="69" w:name="_Toc69"/>
      <w:r>
        <w:t>差错更正的说明</w:t>
      </w:r>
      <w:bookmarkEnd w:id="69"/>
    </w:p>
    <w:p w14:paraId="0E112B12">
      <w:pPr>
        <w:pStyle w:val="18"/>
        <w:rPr>
          <w:rFonts w:hint="eastAsia"/>
        </w:rPr>
      </w:pPr>
      <w:r>
        <w:rPr>
          <w:rFonts w:hint="eastAsia"/>
        </w:rPr>
        <w:t>本基金在本报告期间无须说明的会计差错更正。</w:t>
      </w:r>
    </w:p>
    <w:p w14:paraId="6C657A54">
      <w:pPr>
        <w:pStyle w:val="28"/>
      </w:pPr>
      <w:bookmarkStart w:id="70" w:name="_Toc70"/>
      <w:r>
        <w:t>税项</w:t>
      </w:r>
      <w:bookmarkEnd w:id="70"/>
    </w:p>
    <w:p w14:paraId="74B5D56A">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8C5834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63C1E44">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04415E7">
      <w:pPr>
        <w:pStyle w:val="18"/>
        <w:rPr>
          <w:rFonts w:hint="eastAsia"/>
        </w:rPr>
      </w:pPr>
      <w:r>
        <w:rPr>
          <w:rFonts w:hint="eastAsia"/>
        </w:rPr>
        <w:t>(2)对基金从证券市场中取得的收入，包括买卖债券的差价收入，债券的利息收入及其他收入，暂不征收企业所得税。</w:t>
      </w:r>
    </w:p>
    <w:p w14:paraId="4F836845">
      <w:pPr>
        <w:pStyle w:val="18"/>
        <w:rPr>
          <w:rFonts w:hint="eastAsia"/>
        </w:rPr>
      </w:pPr>
      <w:r>
        <w:rPr>
          <w:rFonts w:hint="eastAsia"/>
        </w:rPr>
        <w:t>(3)对基金取得的企业债券利息收入，应由发行债券的企业在向基金支付利息时代扣代缴20%的个人所得税。</w:t>
      </w:r>
    </w:p>
    <w:p w14:paraId="0C9FA6EB">
      <w:pPr>
        <w:pStyle w:val="18"/>
        <w:rPr>
          <w:rFonts w:hint="eastAsia"/>
        </w:rPr>
      </w:pPr>
      <w:r>
        <w:rPr>
          <w:rFonts w:hint="eastAsia"/>
        </w:rPr>
        <w:t>(4)本基金的城市维护建设税、教育费附加和地方教育附加等税费按照实际缴纳增值税额的适用比例计算缴纳。</w:t>
      </w:r>
    </w:p>
    <w:p w14:paraId="3E059720">
      <w:pPr>
        <w:pStyle w:val="28"/>
      </w:pPr>
      <w:bookmarkStart w:id="71" w:name="_Toc71"/>
      <w:r>
        <w:t xml:space="preserve">重要财务报表项目的说明 </w:t>
      </w:r>
      <w:bookmarkEnd w:id="71"/>
    </w:p>
    <w:p w14:paraId="26AAFE06">
      <w:pPr>
        <w:pStyle w:val="35"/>
      </w:pPr>
      <w:bookmarkStart w:id="72" w:name="_Toc72"/>
      <w:r>
        <w:t>货币资金</w:t>
      </w:r>
      <w:bookmarkEnd w:id="72"/>
    </w:p>
    <w:p w14:paraId="259B3C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14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BFB6D6">
            <w:pPr>
              <w:jc w:val="center"/>
            </w:pPr>
            <w:r>
              <w:rPr>
                <w:rFonts w:hint="eastAsia"/>
                <w:b/>
              </w:rPr>
              <w:t>项目</w:t>
            </w:r>
          </w:p>
        </w:tc>
        <w:tc>
          <w:tcPr>
            <w:tcW w:w="2768" w:type="dxa"/>
            <w:shd w:val="clear" w:color="auto" w:fill="BFBFBF"/>
            <w:vAlign w:val="center"/>
          </w:tcPr>
          <w:p w14:paraId="5DAC1CCA">
            <w:pPr>
              <w:jc w:val="center"/>
            </w:pPr>
            <w:r>
              <w:rPr>
                <w:rFonts w:hint="eastAsia"/>
                <w:b/>
              </w:rPr>
              <w:t>本期末2025年12月31日</w:t>
            </w:r>
          </w:p>
        </w:tc>
        <w:tc>
          <w:tcPr>
            <w:tcW w:w="2768" w:type="dxa"/>
            <w:shd w:val="clear" w:color="auto" w:fill="BFBFBF"/>
            <w:vAlign w:val="center"/>
          </w:tcPr>
          <w:p w14:paraId="1A4BB05E">
            <w:pPr>
              <w:jc w:val="center"/>
            </w:pPr>
            <w:r>
              <w:rPr>
                <w:rFonts w:hint="eastAsia"/>
                <w:b/>
              </w:rPr>
              <w:t>上年度末2024年12月31日</w:t>
            </w:r>
          </w:p>
        </w:tc>
      </w:tr>
      <w:tr w14:paraId="25C1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F79F7">
            <w:r>
              <w:rPr>
                <w:rFonts w:hint="eastAsia"/>
              </w:rPr>
              <w:t>活期存款</w:t>
            </w:r>
          </w:p>
        </w:tc>
        <w:tc>
          <w:tcPr>
            <w:tcW w:w="2768" w:type="dxa"/>
            <w:vAlign w:val="center"/>
          </w:tcPr>
          <w:p w14:paraId="5DF930C9">
            <w:pPr>
              <w:jc w:val="right"/>
            </w:pPr>
            <w:r>
              <w:rPr>
                <w:rFonts w:hint="eastAsia"/>
              </w:rPr>
              <w:t>1,467,515.15</w:t>
            </w:r>
          </w:p>
        </w:tc>
        <w:tc>
          <w:tcPr>
            <w:tcW w:w="2768" w:type="dxa"/>
            <w:vAlign w:val="center"/>
          </w:tcPr>
          <w:p w14:paraId="30F5EBF9">
            <w:pPr>
              <w:jc w:val="right"/>
            </w:pPr>
            <w:r>
              <w:rPr>
                <w:rFonts w:hint="eastAsia"/>
              </w:rPr>
              <w:t>1,217,321.83</w:t>
            </w:r>
          </w:p>
        </w:tc>
      </w:tr>
      <w:tr w14:paraId="0525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BCFBA">
            <w:r>
              <w:rPr>
                <w:rFonts w:hint="eastAsia"/>
              </w:rPr>
              <w:t>等于：本金</w:t>
            </w:r>
          </w:p>
        </w:tc>
        <w:tc>
          <w:tcPr>
            <w:tcW w:w="2768" w:type="dxa"/>
            <w:vAlign w:val="center"/>
          </w:tcPr>
          <w:p w14:paraId="713D9A2B">
            <w:pPr>
              <w:jc w:val="right"/>
            </w:pPr>
            <w:r>
              <w:rPr>
                <w:rFonts w:hint="eastAsia"/>
              </w:rPr>
              <w:t>1,467,175.74</w:t>
            </w:r>
          </w:p>
        </w:tc>
        <w:tc>
          <w:tcPr>
            <w:tcW w:w="2768" w:type="dxa"/>
            <w:vAlign w:val="center"/>
          </w:tcPr>
          <w:p w14:paraId="3005D097">
            <w:pPr>
              <w:jc w:val="right"/>
            </w:pPr>
            <w:r>
              <w:rPr>
                <w:rFonts w:hint="eastAsia"/>
              </w:rPr>
              <w:t>1,217,048.76</w:t>
            </w:r>
          </w:p>
        </w:tc>
      </w:tr>
      <w:tr w14:paraId="01CD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E764E">
            <w:r>
              <w:rPr>
                <w:rFonts w:hint="eastAsia"/>
              </w:rPr>
              <w:t xml:space="preserve">      加：应计利息</w:t>
            </w:r>
          </w:p>
        </w:tc>
        <w:tc>
          <w:tcPr>
            <w:tcW w:w="2768" w:type="dxa"/>
            <w:vAlign w:val="center"/>
          </w:tcPr>
          <w:p w14:paraId="487689D5">
            <w:pPr>
              <w:jc w:val="right"/>
            </w:pPr>
            <w:r>
              <w:rPr>
                <w:rFonts w:hint="eastAsia"/>
              </w:rPr>
              <w:t>339.41</w:t>
            </w:r>
          </w:p>
        </w:tc>
        <w:tc>
          <w:tcPr>
            <w:tcW w:w="2768" w:type="dxa"/>
            <w:vAlign w:val="center"/>
          </w:tcPr>
          <w:p w14:paraId="6883FD90">
            <w:pPr>
              <w:jc w:val="right"/>
            </w:pPr>
            <w:r>
              <w:rPr>
                <w:rFonts w:hint="eastAsia"/>
              </w:rPr>
              <w:t>273.07</w:t>
            </w:r>
          </w:p>
        </w:tc>
      </w:tr>
      <w:tr w14:paraId="479E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B80EA">
            <w:r>
              <w:rPr>
                <w:rFonts w:hint="eastAsia"/>
              </w:rPr>
              <w:t xml:space="preserve">      减：坏账准备</w:t>
            </w:r>
          </w:p>
        </w:tc>
        <w:tc>
          <w:tcPr>
            <w:tcW w:w="2768" w:type="dxa"/>
            <w:vAlign w:val="center"/>
          </w:tcPr>
          <w:p w14:paraId="56C632FC">
            <w:pPr>
              <w:jc w:val="right"/>
            </w:pPr>
            <w:r>
              <w:rPr>
                <w:rFonts w:hint="eastAsia"/>
              </w:rPr>
              <w:t>-</w:t>
            </w:r>
          </w:p>
        </w:tc>
        <w:tc>
          <w:tcPr>
            <w:tcW w:w="2768" w:type="dxa"/>
            <w:vAlign w:val="center"/>
          </w:tcPr>
          <w:p w14:paraId="4892018E">
            <w:pPr>
              <w:jc w:val="right"/>
            </w:pPr>
            <w:r>
              <w:rPr>
                <w:rFonts w:hint="eastAsia"/>
              </w:rPr>
              <w:t>-</w:t>
            </w:r>
          </w:p>
        </w:tc>
      </w:tr>
      <w:tr w14:paraId="3618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4813F7">
            <w:r>
              <w:rPr>
                <w:rFonts w:hint="eastAsia"/>
              </w:rPr>
              <w:t>定期存款</w:t>
            </w:r>
          </w:p>
        </w:tc>
        <w:tc>
          <w:tcPr>
            <w:tcW w:w="2768" w:type="dxa"/>
            <w:vAlign w:val="center"/>
          </w:tcPr>
          <w:p w14:paraId="2F99BCA6">
            <w:pPr>
              <w:jc w:val="right"/>
            </w:pPr>
            <w:r>
              <w:rPr>
                <w:rFonts w:hint="eastAsia"/>
              </w:rPr>
              <w:t>-</w:t>
            </w:r>
          </w:p>
        </w:tc>
        <w:tc>
          <w:tcPr>
            <w:tcW w:w="2768" w:type="dxa"/>
            <w:vAlign w:val="center"/>
          </w:tcPr>
          <w:p w14:paraId="2F09EE58">
            <w:pPr>
              <w:jc w:val="right"/>
            </w:pPr>
            <w:r>
              <w:rPr>
                <w:rFonts w:hint="eastAsia"/>
              </w:rPr>
              <w:t>-</w:t>
            </w:r>
          </w:p>
        </w:tc>
      </w:tr>
      <w:tr w14:paraId="240A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5C14E1">
            <w:r>
              <w:rPr>
                <w:rFonts w:hint="eastAsia"/>
              </w:rPr>
              <w:t>等于：本金</w:t>
            </w:r>
          </w:p>
        </w:tc>
        <w:tc>
          <w:tcPr>
            <w:tcW w:w="2768" w:type="dxa"/>
            <w:vAlign w:val="center"/>
          </w:tcPr>
          <w:p w14:paraId="1C96772B">
            <w:pPr>
              <w:jc w:val="right"/>
            </w:pPr>
            <w:r>
              <w:rPr>
                <w:rFonts w:hint="eastAsia"/>
              </w:rPr>
              <w:t>-</w:t>
            </w:r>
          </w:p>
        </w:tc>
        <w:tc>
          <w:tcPr>
            <w:tcW w:w="2768" w:type="dxa"/>
            <w:vAlign w:val="center"/>
          </w:tcPr>
          <w:p w14:paraId="6B4BE09D">
            <w:pPr>
              <w:jc w:val="right"/>
            </w:pPr>
            <w:r>
              <w:rPr>
                <w:rFonts w:hint="eastAsia"/>
              </w:rPr>
              <w:t>-</w:t>
            </w:r>
          </w:p>
        </w:tc>
      </w:tr>
      <w:tr w14:paraId="5D24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BB42F">
            <w:r>
              <w:rPr>
                <w:rFonts w:hint="eastAsia"/>
              </w:rPr>
              <w:t xml:space="preserve">      加：应计利息</w:t>
            </w:r>
          </w:p>
        </w:tc>
        <w:tc>
          <w:tcPr>
            <w:tcW w:w="2768" w:type="dxa"/>
            <w:vAlign w:val="center"/>
          </w:tcPr>
          <w:p w14:paraId="181F9F69">
            <w:pPr>
              <w:jc w:val="right"/>
            </w:pPr>
            <w:r>
              <w:rPr>
                <w:rFonts w:hint="eastAsia"/>
              </w:rPr>
              <w:t>-</w:t>
            </w:r>
          </w:p>
        </w:tc>
        <w:tc>
          <w:tcPr>
            <w:tcW w:w="2768" w:type="dxa"/>
            <w:vAlign w:val="center"/>
          </w:tcPr>
          <w:p w14:paraId="4018CB9A">
            <w:pPr>
              <w:jc w:val="right"/>
            </w:pPr>
            <w:r>
              <w:rPr>
                <w:rFonts w:hint="eastAsia"/>
              </w:rPr>
              <w:t>-</w:t>
            </w:r>
          </w:p>
        </w:tc>
      </w:tr>
      <w:tr w14:paraId="40A5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57D52B">
            <w:r>
              <w:rPr>
                <w:rFonts w:hint="eastAsia"/>
              </w:rPr>
              <w:t xml:space="preserve">      减：坏账准备</w:t>
            </w:r>
          </w:p>
        </w:tc>
        <w:tc>
          <w:tcPr>
            <w:tcW w:w="2768" w:type="dxa"/>
            <w:vAlign w:val="center"/>
          </w:tcPr>
          <w:p w14:paraId="45CF0633">
            <w:pPr>
              <w:jc w:val="right"/>
            </w:pPr>
            <w:r>
              <w:rPr>
                <w:rFonts w:hint="eastAsia"/>
              </w:rPr>
              <w:t>-</w:t>
            </w:r>
          </w:p>
        </w:tc>
        <w:tc>
          <w:tcPr>
            <w:tcW w:w="2768" w:type="dxa"/>
            <w:vAlign w:val="center"/>
          </w:tcPr>
          <w:p w14:paraId="3629E080">
            <w:pPr>
              <w:jc w:val="right"/>
            </w:pPr>
            <w:r>
              <w:rPr>
                <w:rFonts w:hint="eastAsia"/>
              </w:rPr>
              <w:t>-</w:t>
            </w:r>
          </w:p>
        </w:tc>
      </w:tr>
      <w:tr w14:paraId="5F74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0856B">
            <w:r>
              <w:rPr>
                <w:rFonts w:hint="eastAsia"/>
              </w:rPr>
              <w:t>其中：存款期限1个月以内</w:t>
            </w:r>
          </w:p>
        </w:tc>
        <w:tc>
          <w:tcPr>
            <w:tcW w:w="2768" w:type="dxa"/>
            <w:vAlign w:val="center"/>
          </w:tcPr>
          <w:p w14:paraId="686BA318">
            <w:pPr>
              <w:jc w:val="right"/>
            </w:pPr>
            <w:r>
              <w:rPr>
                <w:rFonts w:hint="eastAsia"/>
              </w:rPr>
              <w:t>-</w:t>
            </w:r>
          </w:p>
        </w:tc>
        <w:tc>
          <w:tcPr>
            <w:tcW w:w="2768" w:type="dxa"/>
            <w:vAlign w:val="center"/>
          </w:tcPr>
          <w:p w14:paraId="6FFF3B8E">
            <w:pPr>
              <w:jc w:val="right"/>
            </w:pPr>
            <w:r>
              <w:rPr>
                <w:rFonts w:hint="eastAsia"/>
              </w:rPr>
              <w:t>-</w:t>
            </w:r>
          </w:p>
        </w:tc>
      </w:tr>
      <w:tr w14:paraId="1771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83FF6">
            <w:r>
              <w:rPr>
                <w:rFonts w:hint="eastAsia"/>
              </w:rPr>
              <w:t xml:space="preserve">      存款期限1-3个月</w:t>
            </w:r>
          </w:p>
        </w:tc>
        <w:tc>
          <w:tcPr>
            <w:tcW w:w="2768" w:type="dxa"/>
            <w:vAlign w:val="center"/>
          </w:tcPr>
          <w:p w14:paraId="2AFAD730">
            <w:pPr>
              <w:jc w:val="right"/>
            </w:pPr>
            <w:r>
              <w:rPr>
                <w:rFonts w:hint="eastAsia"/>
              </w:rPr>
              <w:t>-</w:t>
            </w:r>
          </w:p>
        </w:tc>
        <w:tc>
          <w:tcPr>
            <w:tcW w:w="2768" w:type="dxa"/>
            <w:vAlign w:val="center"/>
          </w:tcPr>
          <w:p w14:paraId="72FDBBE7">
            <w:pPr>
              <w:jc w:val="right"/>
            </w:pPr>
            <w:r>
              <w:rPr>
                <w:rFonts w:hint="eastAsia"/>
              </w:rPr>
              <w:t>-</w:t>
            </w:r>
          </w:p>
        </w:tc>
      </w:tr>
      <w:tr w14:paraId="1A48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E6C5A">
            <w:r>
              <w:rPr>
                <w:rFonts w:hint="eastAsia"/>
              </w:rPr>
              <w:t xml:space="preserve">      存款期限3个月以上</w:t>
            </w:r>
          </w:p>
        </w:tc>
        <w:tc>
          <w:tcPr>
            <w:tcW w:w="2768" w:type="dxa"/>
            <w:vAlign w:val="center"/>
          </w:tcPr>
          <w:p w14:paraId="3E181046">
            <w:pPr>
              <w:jc w:val="right"/>
            </w:pPr>
            <w:r>
              <w:rPr>
                <w:rFonts w:hint="eastAsia"/>
              </w:rPr>
              <w:t>-</w:t>
            </w:r>
          </w:p>
        </w:tc>
        <w:tc>
          <w:tcPr>
            <w:tcW w:w="2768" w:type="dxa"/>
            <w:vAlign w:val="center"/>
          </w:tcPr>
          <w:p w14:paraId="657B5E78">
            <w:pPr>
              <w:jc w:val="right"/>
            </w:pPr>
            <w:r>
              <w:rPr>
                <w:rFonts w:hint="eastAsia"/>
              </w:rPr>
              <w:t>-</w:t>
            </w:r>
          </w:p>
        </w:tc>
      </w:tr>
      <w:tr w14:paraId="5619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7D446">
            <w:r>
              <w:rPr>
                <w:rFonts w:hint="eastAsia"/>
              </w:rPr>
              <w:t>其他存款</w:t>
            </w:r>
          </w:p>
        </w:tc>
        <w:tc>
          <w:tcPr>
            <w:tcW w:w="2768" w:type="dxa"/>
            <w:vAlign w:val="center"/>
          </w:tcPr>
          <w:p w14:paraId="16CA2E4E">
            <w:pPr>
              <w:jc w:val="right"/>
            </w:pPr>
            <w:r>
              <w:rPr>
                <w:rFonts w:hint="eastAsia"/>
              </w:rPr>
              <w:t>-</w:t>
            </w:r>
          </w:p>
        </w:tc>
        <w:tc>
          <w:tcPr>
            <w:tcW w:w="2768" w:type="dxa"/>
            <w:vAlign w:val="center"/>
          </w:tcPr>
          <w:p w14:paraId="1E3A10BF">
            <w:pPr>
              <w:jc w:val="right"/>
            </w:pPr>
            <w:r>
              <w:rPr>
                <w:rFonts w:hint="eastAsia"/>
              </w:rPr>
              <w:t>-</w:t>
            </w:r>
          </w:p>
        </w:tc>
      </w:tr>
      <w:tr w14:paraId="5F7A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FDFD7">
            <w:r>
              <w:rPr>
                <w:rFonts w:hint="eastAsia"/>
              </w:rPr>
              <w:t>等于：本金</w:t>
            </w:r>
          </w:p>
        </w:tc>
        <w:tc>
          <w:tcPr>
            <w:tcW w:w="2768" w:type="dxa"/>
            <w:vAlign w:val="center"/>
          </w:tcPr>
          <w:p w14:paraId="40D9DE4E">
            <w:pPr>
              <w:jc w:val="right"/>
            </w:pPr>
            <w:r>
              <w:rPr>
                <w:rFonts w:hint="eastAsia"/>
              </w:rPr>
              <w:t>-</w:t>
            </w:r>
          </w:p>
        </w:tc>
        <w:tc>
          <w:tcPr>
            <w:tcW w:w="2768" w:type="dxa"/>
            <w:vAlign w:val="center"/>
          </w:tcPr>
          <w:p w14:paraId="7DE5C557">
            <w:pPr>
              <w:jc w:val="right"/>
            </w:pPr>
            <w:r>
              <w:rPr>
                <w:rFonts w:hint="eastAsia"/>
              </w:rPr>
              <w:t>-</w:t>
            </w:r>
          </w:p>
        </w:tc>
      </w:tr>
      <w:tr w14:paraId="0B54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5221B">
            <w:r>
              <w:rPr>
                <w:rFonts w:hint="eastAsia"/>
              </w:rPr>
              <w:t xml:space="preserve">      加：应计利息</w:t>
            </w:r>
          </w:p>
        </w:tc>
        <w:tc>
          <w:tcPr>
            <w:tcW w:w="2768" w:type="dxa"/>
            <w:vAlign w:val="center"/>
          </w:tcPr>
          <w:p w14:paraId="7A57C4AA">
            <w:pPr>
              <w:jc w:val="right"/>
            </w:pPr>
            <w:r>
              <w:rPr>
                <w:rFonts w:hint="eastAsia"/>
              </w:rPr>
              <w:t>-</w:t>
            </w:r>
          </w:p>
        </w:tc>
        <w:tc>
          <w:tcPr>
            <w:tcW w:w="2768" w:type="dxa"/>
            <w:vAlign w:val="center"/>
          </w:tcPr>
          <w:p w14:paraId="533375B3">
            <w:pPr>
              <w:jc w:val="right"/>
            </w:pPr>
            <w:r>
              <w:rPr>
                <w:rFonts w:hint="eastAsia"/>
              </w:rPr>
              <w:t>-</w:t>
            </w:r>
          </w:p>
        </w:tc>
      </w:tr>
      <w:tr w14:paraId="5F08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2DC11">
            <w:r>
              <w:rPr>
                <w:rFonts w:hint="eastAsia"/>
              </w:rPr>
              <w:t xml:space="preserve">      减：坏账准备</w:t>
            </w:r>
          </w:p>
        </w:tc>
        <w:tc>
          <w:tcPr>
            <w:tcW w:w="2768" w:type="dxa"/>
            <w:vAlign w:val="center"/>
          </w:tcPr>
          <w:p w14:paraId="322AEEC8">
            <w:pPr>
              <w:jc w:val="right"/>
            </w:pPr>
            <w:r>
              <w:rPr>
                <w:rFonts w:hint="eastAsia"/>
              </w:rPr>
              <w:t>-</w:t>
            </w:r>
          </w:p>
        </w:tc>
        <w:tc>
          <w:tcPr>
            <w:tcW w:w="2768" w:type="dxa"/>
            <w:vAlign w:val="center"/>
          </w:tcPr>
          <w:p w14:paraId="2A3EC6FE">
            <w:pPr>
              <w:jc w:val="right"/>
            </w:pPr>
            <w:r>
              <w:rPr>
                <w:rFonts w:hint="eastAsia"/>
              </w:rPr>
              <w:t>-</w:t>
            </w:r>
          </w:p>
        </w:tc>
      </w:tr>
      <w:tr w14:paraId="4B06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16465">
            <w:r>
              <w:rPr>
                <w:rFonts w:hint="eastAsia"/>
              </w:rPr>
              <w:t>合计</w:t>
            </w:r>
          </w:p>
        </w:tc>
        <w:tc>
          <w:tcPr>
            <w:tcW w:w="2768" w:type="dxa"/>
            <w:vAlign w:val="center"/>
          </w:tcPr>
          <w:p w14:paraId="4148FE0F">
            <w:pPr>
              <w:jc w:val="right"/>
            </w:pPr>
            <w:r>
              <w:rPr>
                <w:rFonts w:hint="eastAsia"/>
              </w:rPr>
              <w:t>1,467,515.15</w:t>
            </w:r>
          </w:p>
        </w:tc>
        <w:tc>
          <w:tcPr>
            <w:tcW w:w="2768" w:type="dxa"/>
            <w:vAlign w:val="center"/>
          </w:tcPr>
          <w:p w14:paraId="2D62C09B">
            <w:pPr>
              <w:jc w:val="right"/>
            </w:pPr>
            <w:r>
              <w:rPr>
                <w:rFonts w:hint="eastAsia"/>
              </w:rPr>
              <w:t>1,217,321.83</w:t>
            </w:r>
          </w:p>
        </w:tc>
      </w:tr>
    </w:tbl>
    <w:p w14:paraId="68F4DCA5">
      <w:pPr>
        <w:pStyle w:val="35"/>
      </w:pPr>
      <w:bookmarkStart w:id="73" w:name="_Toc73"/>
      <w:r>
        <w:t>交易性金融资产</w:t>
      </w:r>
      <w:bookmarkEnd w:id="73"/>
    </w:p>
    <w:p w14:paraId="7A640B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3C5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31A63CD">
            <w:r>
              <w:rPr>
                <w:rFonts w:hint="eastAsia"/>
              </w:rPr>
              <w:t>项目</w:t>
            </w:r>
          </w:p>
        </w:tc>
        <w:tc>
          <w:tcPr>
            <w:tcW w:w="1860" w:type="dxa"/>
            <w:gridSpan w:val="4"/>
            <w:vAlign w:val="center"/>
          </w:tcPr>
          <w:p w14:paraId="600320ED">
            <w:r>
              <w:rPr>
                <w:rFonts w:hint="eastAsia"/>
              </w:rPr>
              <w:t>本期末2025年12月31日</w:t>
            </w:r>
          </w:p>
        </w:tc>
      </w:tr>
      <w:tr w14:paraId="7CBC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771BD8B"/>
        </w:tc>
        <w:tc>
          <w:tcPr>
            <w:tcW w:w="1860" w:type="dxa"/>
            <w:vAlign w:val="center"/>
          </w:tcPr>
          <w:p w14:paraId="4E976000">
            <w:r>
              <w:rPr>
                <w:rFonts w:hint="eastAsia"/>
              </w:rPr>
              <w:t>成本</w:t>
            </w:r>
          </w:p>
        </w:tc>
        <w:tc>
          <w:tcPr>
            <w:tcW w:w="1517" w:type="dxa"/>
            <w:vAlign w:val="center"/>
          </w:tcPr>
          <w:p w14:paraId="50242D99">
            <w:r>
              <w:rPr>
                <w:rFonts w:hint="eastAsia"/>
              </w:rPr>
              <w:t>应计利息</w:t>
            </w:r>
          </w:p>
        </w:tc>
        <w:tc>
          <w:tcPr>
            <w:tcW w:w="1860" w:type="dxa"/>
            <w:vAlign w:val="center"/>
          </w:tcPr>
          <w:p w14:paraId="1AB7E8F9">
            <w:r>
              <w:rPr>
                <w:rFonts w:hint="eastAsia"/>
              </w:rPr>
              <w:t>公允价值</w:t>
            </w:r>
          </w:p>
        </w:tc>
        <w:tc>
          <w:tcPr>
            <w:tcW w:w="1517" w:type="dxa"/>
            <w:vAlign w:val="center"/>
          </w:tcPr>
          <w:p w14:paraId="150D7610">
            <w:r>
              <w:rPr>
                <w:rFonts w:hint="eastAsia"/>
              </w:rPr>
              <w:t>公允价值变动</w:t>
            </w:r>
          </w:p>
        </w:tc>
      </w:tr>
      <w:tr w14:paraId="33C8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911E2A">
            <w:r>
              <w:rPr>
                <w:rFonts w:hint="eastAsia"/>
              </w:rPr>
              <w:t>股票</w:t>
            </w:r>
          </w:p>
        </w:tc>
        <w:tc>
          <w:tcPr>
            <w:tcW w:w="1860" w:type="dxa"/>
            <w:vAlign w:val="center"/>
          </w:tcPr>
          <w:p w14:paraId="4AF9AFCA">
            <w:pPr>
              <w:jc w:val="right"/>
            </w:pPr>
            <w:r>
              <w:rPr>
                <w:rFonts w:hint="eastAsia"/>
              </w:rPr>
              <w:t>-</w:t>
            </w:r>
          </w:p>
        </w:tc>
        <w:tc>
          <w:tcPr>
            <w:tcW w:w="1517" w:type="dxa"/>
            <w:vAlign w:val="center"/>
          </w:tcPr>
          <w:p w14:paraId="6831D445">
            <w:pPr>
              <w:jc w:val="right"/>
            </w:pPr>
            <w:r>
              <w:rPr>
                <w:rFonts w:hint="eastAsia"/>
              </w:rPr>
              <w:t>-</w:t>
            </w:r>
          </w:p>
        </w:tc>
        <w:tc>
          <w:tcPr>
            <w:tcW w:w="1860" w:type="dxa"/>
            <w:vAlign w:val="center"/>
          </w:tcPr>
          <w:p w14:paraId="3A1F868A">
            <w:pPr>
              <w:jc w:val="right"/>
            </w:pPr>
            <w:r>
              <w:rPr>
                <w:rFonts w:hint="eastAsia"/>
              </w:rPr>
              <w:t>-</w:t>
            </w:r>
          </w:p>
        </w:tc>
        <w:tc>
          <w:tcPr>
            <w:tcW w:w="1517" w:type="dxa"/>
            <w:vAlign w:val="center"/>
          </w:tcPr>
          <w:p w14:paraId="21B810A4">
            <w:pPr>
              <w:jc w:val="right"/>
            </w:pPr>
            <w:r>
              <w:rPr>
                <w:rFonts w:hint="eastAsia"/>
              </w:rPr>
              <w:t>-</w:t>
            </w:r>
          </w:p>
        </w:tc>
      </w:tr>
      <w:tr w14:paraId="4943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0804BF">
            <w:r>
              <w:rPr>
                <w:rFonts w:hint="eastAsia"/>
              </w:rPr>
              <w:t>贵金属投资-金交所黄金合约</w:t>
            </w:r>
          </w:p>
        </w:tc>
        <w:tc>
          <w:tcPr>
            <w:tcW w:w="1860" w:type="dxa"/>
            <w:vAlign w:val="center"/>
          </w:tcPr>
          <w:p w14:paraId="219209FC">
            <w:pPr>
              <w:jc w:val="right"/>
            </w:pPr>
            <w:r>
              <w:rPr>
                <w:rFonts w:hint="eastAsia"/>
              </w:rPr>
              <w:t>-</w:t>
            </w:r>
          </w:p>
        </w:tc>
        <w:tc>
          <w:tcPr>
            <w:tcW w:w="1517" w:type="dxa"/>
            <w:vAlign w:val="center"/>
          </w:tcPr>
          <w:p w14:paraId="74C4EB92">
            <w:pPr>
              <w:jc w:val="right"/>
            </w:pPr>
            <w:r>
              <w:rPr>
                <w:rFonts w:hint="eastAsia"/>
              </w:rPr>
              <w:t>-</w:t>
            </w:r>
          </w:p>
        </w:tc>
        <w:tc>
          <w:tcPr>
            <w:tcW w:w="1860" w:type="dxa"/>
            <w:vAlign w:val="center"/>
          </w:tcPr>
          <w:p w14:paraId="085F44CE">
            <w:pPr>
              <w:jc w:val="right"/>
            </w:pPr>
            <w:r>
              <w:rPr>
                <w:rFonts w:hint="eastAsia"/>
              </w:rPr>
              <w:t>-</w:t>
            </w:r>
          </w:p>
        </w:tc>
        <w:tc>
          <w:tcPr>
            <w:tcW w:w="1517" w:type="dxa"/>
            <w:vAlign w:val="center"/>
          </w:tcPr>
          <w:p w14:paraId="26606B86">
            <w:pPr>
              <w:jc w:val="right"/>
            </w:pPr>
            <w:r>
              <w:rPr>
                <w:rFonts w:hint="eastAsia"/>
              </w:rPr>
              <w:t>-</w:t>
            </w:r>
          </w:p>
        </w:tc>
      </w:tr>
      <w:tr w14:paraId="6AA2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39455BB">
            <w:r>
              <w:rPr>
                <w:rFonts w:hint="eastAsia"/>
              </w:rPr>
              <w:t>债券</w:t>
            </w:r>
          </w:p>
        </w:tc>
        <w:tc>
          <w:tcPr>
            <w:tcW w:w="897" w:type="dxa"/>
            <w:vAlign w:val="center"/>
          </w:tcPr>
          <w:p w14:paraId="5B919D4B">
            <w:r>
              <w:rPr>
                <w:rFonts w:hint="eastAsia"/>
              </w:rPr>
              <w:t>交易所市场</w:t>
            </w:r>
          </w:p>
        </w:tc>
        <w:tc>
          <w:tcPr>
            <w:tcW w:w="1860" w:type="dxa"/>
            <w:vAlign w:val="center"/>
          </w:tcPr>
          <w:p w14:paraId="613E0CFB">
            <w:pPr>
              <w:jc w:val="right"/>
            </w:pPr>
            <w:r>
              <w:rPr>
                <w:rFonts w:hint="eastAsia"/>
              </w:rPr>
              <w:t>174,734,675.24</w:t>
            </w:r>
          </w:p>
        </w:tc>
        <w:tc>
          <w:tcPr>
            <w:tcW w:w="1517" w:type="dxa"/>
            <w:vAlign w:val="center"/>
          </w:tcPr>
          <w:p w14:paraId="01B23784">
            <w:pPr>
              <w:jc w:val="right"/>
            </w:pPr>
            <w:r>
              <w:rPr>
                <w:rFonts w:hint="eastAsia"/>
              </w:rPr>
              <w:t>3,227,773.82</w:t>
            </w:r>
          </w:p>
        </w:tc>
        <w:tc>
          <w:tcPr>
            <w:tcW w:w="1860" w:type="dxa"/>
            <w:vAlign w:val="center"/>
          </w:tcPr>
          <w:p w14:paraId="190F2D23">
            <w:pPr>
              <w:jc w:val="right"/>
            </w:pPr>
            <w:r>
              <w:rPr>
                <w:rFonts w:hint="eastAsia"/>
              </w:rPr>
              <w:t>177,539,773.82</w:t>
            </w:r>
          </w:p>
        </w:tc>
        <w:tc>
          <w:tcPr>
            <w:tcW w:w="1517" w:type="dxa"/>
            <w:vAlign w:val="center"/>
          </w:tcPr>
          <w:p w14:paraId="5748B258">
            <w:pPr>
              <w:jc w:val="right"/>
            </w:pPr>
            <w:r>
              <w:rPr>
                <w:rFonts w:hint="eastAsia"/>
              </w:rPr>
              <w:t>-422,675.24</w:t>
            </w:r>
          </w:p>
        </w:tc>
      </w:tr>
      <w:tr w14:paraId="07DD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24C59B"/>
        </w:tc>
        <w:tc>
          <w:tcPr>
            <w:tcW w:w="897" w:type="dxa"/>
            <w:vAlign w:val="center"/>
          </w:tcPr>
          <w:p w14:paraId="2DDA601C">
            <w:r>
              <w:rPr>
                <w:rFonts w:hint="eastAsia"/>
              </w:rPr>
              <w:t>银行间市场</w:t>
            </w:r>
          </w:p>
        </w:tc>
        <w:tc>
          <w:tcPr>
            <w:tcW w:w="1860" w:type="dxa"/>
            <w:vAlign w:val="center"/>
          </w:tcPr>
          <w:p w14:paraId="5F7F2508">
            <w:pPr>
              <w:jc w:val="right"/>
            </w:pPr>
            <w:r>
              <w:rPr>
                <w:rFonts w:hint="eastAsia"/>
              </w:rPr>
              <w:t>969,163,548.22</w:t>
            </w:r>
          </w:p>
        </w:tc>
        <w:tc>
          <w:tcPr>
            <w:tcW w:w="1517" w:type="dxa"/>
            <w:vAlign w:val="center"/>
          </w:tcPr>
          <w:p w14:paraId="2939660B">
            <w:pPr>
              <w:jc w:val="right"/>
            </w:pPr>
            <w:r>
              <w:rPr>
                <w:rFonts w:hint="eastAsia"/>
              </w:rPr>
              <w:t>8,124,597.56</w:t>
            </w:r>
          </w:p>
        </w:tc>
        <w:tc>
          <w:tcPr>
            <w:tcW w:w="1860" w:type="dxa"/>
            <w:vAlign w:val="center"/>
          </w:tcPr>
          <w:p w14:paraId="0C2B4018">
            <w:pPr>
              <w:jc w:val="right"/>
            </w:pPr>
            <w:r>
              <w:rPr>
                <w:rFonts w:hint="eastAsia"/>
              </w:rPr>
              <w:t>971,578,597.56</w:t>
            </w:r>
          </w:p>
        </w:tc>
        <w:tc>
          <w:tcPr>
            <w:tcW w:w="1517" w:type="dxa"/>
            <w:vAlign w:val="center"/>
          </w:tcPr>
          <w:p w14:paraId="5F9DBD50">
            <w:pPr>
              <w:jc w:val="right"/>
            </w:pPr>
            <w:r>
              <w:rPr>
                <w:rFonts w:hint="eastAsia"/>
              </w:rPr>
              <w:t>-5,709,548.22</w:t>
            </w:r>
          </w:p>
        </w:tc>
      </w:tr>
      <w:tr w14:paraId="29033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79E2FF2"/>
        </w:tc>
        <w:tc>
          <w:tcPr>
            <w:tcW w:w="897" w:type="dxa"/>
            <w:vAlign w:val="center"/>
          </w:tcPr>
          <w:p w14:paraId="281369CC">
            <w:r>
              <w:rPr>
                <w:rFonts w:hint="eastAsia"/>
              </w:rPr>
              <w:t>合计</w:t>
            </w:r>
          </w:p>
        </w:tc>
        <w:tc>
          <w:tcPr>
            <w:tcW w:w="1860" w:type="dxa"/>
            <w:vAlign w:val="center"/>
          </w:tcPr>
          <w:p w14:paraId="5C3350C8">
            <w:pPr>
              <w:jc w:val="right"/>
            </w:pPr>
            <w:r>
              <w:rPr>
                <w:rFonts w:hint="eastAsia"/>
              </w:rPr>
              <w:t>1,143,898,223.46</w:t>
            </w:r>
          </w:p>
        </w:tc>
        <w:tc>
          <w:tcPr>
            <w:tcW w:w="1517" w:type="dxa"/>
            <w:vAlign w:val="center"/>
          </w:tcPr>
          <w:p w14:paraId="6058EAD8">
            <w:pPr>
              <w:jc w:val="right"/>
            </w:pPr>
            <w:r>
              <w:rPr>
                <w:rFonts w:hint="eastAsia"/>
              </w:rPr>
              <w:t>11,352,371.38</w:t>
            </w:r>
          </w:p>
        </w:tc>
        <w:tc>
          <w:tcPr>
            <w:tcW w:w="1860" w:type="dxa"/>
            <w:vAlign w:val="center"/>
          </w:tcPr>
          <w:p w14:paraId="11BDE502">
            <w:pPr>
              <w:jc w:val="right"/>
            </w:pPr>
            <w:r>
              <w:rPr>
                <w:rFonts w:hint="eastAsia"/>
              </w:rPr>
              <w:t>1,149,118,371.38</w:t>
            </w:r>
          </w:p>
        </w:tc>
        <w:tc>
          <w:tcPr>
            <w:tcW w:w="1517" w:type="dxa"/>
            <w:vAlign w:val="center"/>
          </w:tcPr>
          <w:p w14:paraId="00B643A7">
            <w:pPr>
              <w:jc w:val="right"/>
            </w:pPr>
            <w:r>
              <w:rPr>
                <w:rFonts w:hint="eastAsia"/>
              </w:rPr>
              <w:t>-6,132,223.46</w:t>
            </w:r>
          </w:p>
        </w:tc>
      </w:tr>
      <w:tr w14:paraId="6F14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974E12">
            <w:r>
              <w:rPr>
                <w:rFonts w:hint="eastAsia"/>
              </w:rPr>
              <w:t>资产支持证券</w:t>
            </w:r>
          </w:p>
        </w:tc>
        <w:tc>
          <w:tcPr>
            <w:tcW w:w="1860" w:type="dxa"/>
            <w:vAlign w:val="center"/>
          </w:tcPr>
          <w:p w14:paraId="6D345EF3">
            <w:pPr>
              <w:jc w:val="right"/>
            </w:pPr>
            <w:r>
              <w:rPr>
                <w:rFonts w:hint="eastAsia"/>
              </w:rPr>
              <w:t>-</w:t>
            </w:r>
          </w:p>
        </w:tc>
        <w:tc>
          <w:tcPr>
            <w:tcW w:w="1517" w:type="dxa"/>
            <w:vAlign w:val="center"/>
          </w:tcPr>
          <w:p w14:paraId="376E9626">
            <w:pPr>
              <w:jc w:val="right"/>
            </w:pPr>
            <w:r>
              <w:rPr>
                <w:rFonts w:hint="eastAsia"/>
              </w:rPr>
              <w:t>-</w:t>
            </w:r>
          </w:p>
        </w:tc>
        <w:tc>
          <w:tcPr>
            <w:tcW w:w="1860" w:type="dxa"/>
            <w:vAlign w:val="center"/>
          </w:tcPr>
          <w:p w14:paraId="1C500CC5">
            <w:pPr>
              <w:jc w:val="right"/>
            </w:pPr>
            <w:r>
              <w:rPr>
                <w:rFonts w:hint="eastAsia"/>
              </w:rPr>
              <w:t>-</w:t>
            </w:r>
          </w:p>
        </w:tc>
        <w:tc>
          <w:tcPr>
            <w:tcW w:w="1517" w:type="dxa"/>
            <w:vAlign w:val="center"/>
          </w:tcPr>
          <w:p w14:paraId="60DEB11D">
            <w:pPr>
              <w:jc w:val="right"/>
            </w:pPr>
            <w:r>
              <w:rPr>
                <w:rFonts w:hint="eastAsia"/>
              </w:rPr>
              <w:t>-</w:t>
            </w:r>
          </w:p>
        </w:tc>
      </w:tr>
      <w:tr w14:paraId="475B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23F3E8">
            <w:r>
              <w:rPr>
                <w:rFonts w:hint="eastAsia"/>
              </w:rPr>
              <w:t>基金</w:t>
            </w:r>
          </w:p>
        </w:tc>
        <w:tc>
          <w:tcPr>
            <w:tcW w:w="1860" w:type="dxa"/>
            <w:vAlign w:val="center"/>
          </w:tcPr>
          <w:p w14:paraId="1013E0FA">
            <w:pPr>
              <w:jc w:val="right"/>
            </w:pPr>
            <w:r>
              <w:rPr>
                <w:rFonts w:hint="eastAsia"/>
              </w:rPr>
              <w:t>-</w:t>
            </w:r>
          </w:p>
        </w:tc>
        <w:tc>
          <w:tcPr>
            <w:tcW w:w="1517" w:type="dxa"/>
            <w:vAlign w:val="center"/>
          </w:tcPr>
          <w:p w14:paraId="6E8B6717">
            <w:pPr>
              <w:jc w:val="right"/>
            </w:pPr>
            <w:r>
              <w:rPr>
                <w:rFonts w:hint="eastAsia"/>
              </w:rPr>
              <w:t>-</w:t>
            </w:r>
          </w:p>
        </w:tc>
        <w:tc>
          <w:tcPr>
            <w:tcW w:w="1860" w:type="dxa"/>
            <w:vAlign w:val="center"/>
          </w:tcPr>
          <w:p w14:paraId="25C30086">
            <w:pPr>
              <w:jc w:val="right"/>
            </w:pPr>
            <w:r>
              <w:rPr>
                <w:rFonts w:hint="eastAsia"/>
              </w:rPr>
              <w:t>-</w:t>
            </w:r>
          </w:p>
        </w:tc>
        <w:tc>
          <w:tcPr>
            <w:tcW w:w="1517" w:type="dxa"/>
            <w:vAlign w:val="center"/>
          </w:tcPr>
          <w:p w14:paraId="22D459C4">
            <w:pPr>
              <w:jc w:val="right"/>
            </w:pPr>
            <w:r>
              <w:rPr>
                <w:rFonts w:hint="eastAsia"/>
              </w:rPr>
              <w:t>-</w:t>
            </w:r>
          </w:p>
        </w:tc>
      </w:tr>
      <w:tr w14:paraId="0B5F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826875">
            <w:r>
              <w:rPr>
                <w:rFonts w:hint="eastAsia"/>
              </w:rPr>
              <w:t>其他</w:t>
            </w:r>
          </w:p>
        </w:tc>
        <w:tc>
          <w:tcPr>
            <w:tcW w:w="1860" w:type="dxa"/>
            <w:vAlign w:val="center"/>
          </w:tcPr>
          <w:p w14:paraId="595D3735">
            <w:pPr>
              <w:jc w:val="right"/>
            </w:pPr>
            <w:r>
              <w:rPr>
                <w:rFonts w:hint="eastAsia"/>
              </w:rPr>
              <w:t>-</w:t>
            </w:r>
          </w:p>
        </w:tc>
        <w:tc>
          <w:tcPr>
            <w:tcW w:w="1517" w:type="dxa"/>
            <w:vAlign w:val="center"/>
          </w:tcPr>
          <w:p w14:paraId="0AE03394">
            <w:pPr>
              <w:jc w:val="right"/>
            </w:pPr>
            <w:r>
              <w:rPr>
                <w:rFonts w:hint="eastAsia"/>
              </w:rPr>
              <w:t>-</w:t>
            </w:r>
          </w:p>
        </w:tc>
        <w:tc>
          <w:tcPr>
            <w:tcW w:w="1860" w:type="dxa"/>
            <w:vAlign w:val="center"/>
          </w:tcPr>
          <w:p w14:paraId="3D0CF136">
            <w:pPr>
              <w:jc w:val="right"/>
            </w:pPr>
            <w:r>
              <w:rPr>
                <w:rFonts w:hint="eastAsia"/>
              </w:rPr>
              <w:t>-</w:t>
            </w:r>
          </w:p>
        </w:tc>
        <w:tc>
          <w:tcPr>
            <w:tcW w:w="1517" w:type="dxa"/>
            <w:vAlign w:val="center"/>
          </w:tcPr>
          <w:p w14:paraId="4196EB76">
            <w:pPr>
              <w:jc w:val="right"/>
            </w:pPr>
            <w:r>
              <w:rPr>
                <w:rFonts w:hint="eastAsia"/>
              </w:rPr>
              <w:t>-</w:t>
            </w:r>
          </w:p>
        </w:tc>
      </w:tr>
      <w:tr w14:paraId="7011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86D252">
            <w:r>
              <w:rPr>
                <w:rFonts w:hint="eastAsia"/>
              </w:rPr>
              <w:t>合计</w:t>
            </w:r>
          </w:p>
        </w:tc>
        <w:tc>
          <w:tcPr>
            <w:tcW w:w="1860" w:type="dxa"/>
            <w:vAlign w:val="center"/>
          </w:tcPr>
          <w:p w14:paraId="73431FEB">
            <w:pPr>
              <w:jc w:val="right"/>
            </w:pPr>
            <w:r>
              <w:rPr>
                <w:rFonts w:hint="eastAsia"/>
              </w:rPr>
              <w:t>1,143,898,223.46</w:t>
            </w:r>
          </w:p>
        </w:tc>
        <w:tc>
          <w:tcPr>
            <w:tcW w:w="1517" w:type="dxa"/>
            <w:vAlign w:val="center"/>
          </w:tcPr>
          <w:p w14:paraId="46B031A5">
            <w:pPr>
              <w:jc w:val="right"/>
            </w:pPr>
            <w:r>
              <w:rPr>
                <w:rFonts w:hint="eastAsia"/>
              </w:rPr>
              <w:t>11,352,371.38</w:t>
            </w:r>
          </w:p>
        </w:tc>
        <w:tc>
          <w:tcPr>
            <w:tcW w:w="1860" w:type="dxa"/>
            <w:vAlign w:val="center"/>
          </w:tcPr>
          <w:p w14:paraId="7208E844">
            <w:pPr>
              <w:jc w:val="right"/>
            </w:pPr>
            <w:r>
              <w:rPr>
                <w:rFonts w:hint="eastAsia"/>
              </w:rPr>
              <w:t>1,149,118,371.38</w:t>
            </w:r>
          </w:p>
        </w:tc>
        <w:tc>
          <w:tcPr>
            <w:tcW w:w="1517" w:type="dxa"/>
            <w:vAlign w:val="center"/>
          </w:tcPr>
          <w:p w14:paraId="0A00DD0B">
            <w:pPr>
              <w:jc w:val="right"/>
            </w:pPr>
            <w:r>
              <w:rPr>
                <w:rFonts w:hint="eastAsia"/>
              </w:rPr>
              <w:t>-6,132,223.46</w:t>
            </w:r>
          </w:p>
        </w:tc>
      </w:tr>
      <w:tr w14:paraId="4F87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D21BB2A">
            <w:r>
              <w:rPr>
                <w:rFonts w:hint="eastAsia"/>
              </w:rPr>
              <w:t>项目</w:t>
            </w:r>
          </w:p>
        </w:tc>
        <w:tc>
          <w:tcPr>
            <w:tcW w:w="1860" w:type="dxa"/>
            <w:gridSpan w:val="4"/>
            <w:vAlign w:val="center"/>
          </w:tcPr>
          <w:p w14:paraId="19BD9EC4">
            <w:r>
              <w:rPr>
                <w:rFonts w:hint="eastAsia"/>
              </w:rPr>
              <w:t>上年度末2024年12月31日</w:t>
            </w:r>
          </w:p>
        </w:tc>
      </w:tr>
      <w:tr w14:paraId="5037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AA53E12"/>
        </w:tc>
        <w:tc>
          <w:tcPr>
            <w:tcW w:w="1860" w:type="dxa"/>
            <w:vAlign w:val="center"/>
          </w:tcPr>
          <w:p w14:paraId="0A092CAB">
            <w:r>
              <w:rPr>
                <w:rFonts w:hint="eastAsia"/>
              </w:rPr>
              <w:t>成本</w:t>
            </w:r>
          </w:p>
        </w:tc>
        <w:tc>
          <w:tcPr>
            <w:tcW w:w="1517" w:type="dxa"/>
            <w:vAlign w:val="center"/>
          </w:tcPr>
          <w:p w14:paraId="5EFA9DDA">
            <w:r>
              <w:rPr>
                <w:rFonts w:hint="eastAsia"/>
              </w:rPr>
              <w:t>应计利息</w:t>
            </w:r>
          </w:p>
        </w:tc>
        <w:tc>
          <w:tcPr>
            <w:tcW w:w="1860" w:type="dxa"/>
            <w:vAlign w:val="center"/>
          </w:tcPr>
          <w:p w14:paraId="47F89022">
            <w:r>
              <w:rPr>
                <w:rFonts w:hint="eastAsia"/>
              </w:rPr>
              <w:t>公允价值</w:t>
            </w:r>
          </w:p>
        </w:tc>
        <w:tc>
          <w:tcPr>
            <w:tcW w:w="1517" w:type="dxa"/>
            <w:vAlign w:val="center"/>
          </w:tcPr>
          <w:p w14:paraId="4D722B26">
            <w:r>
              <w:rPr>
                <w:rFonts w:hint="eastAsia"/>
              </w:rPr>
              <w:t>公允价值变动</w:t>
            </w:r>
          </w:p>
        </w:tc>
      </w:tr>
      <w:tr w14:paraId="0E0D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202955">
            <w:r>
              <w:rPr>
                <w:rFonts w:hint="eastAsia"/>
              </w:rPr>
              <w:t>股票</w:t>
            </w:r>
          </w:p>
        </w:tc>
        <w:tc>
          <w:tcPr>
            <w:tcW w:w="1860" w:type="dxa"/>
            <w:vAlign w:val="center"/>
          </w:tcPr>
          <w:p w14:paraId="1EBAC914">
            <w:pPr>
              <w:jc w:val="right"/>
            </w:pPr>
            <w:r>
              <w:rPr>
                <w:rFonts w:hint="eastAsia"/>
              </w:rPr>
              <w:t>-</w:t>
            </w:r>
          </w:p>
        </w:tc>
        <w:tc>
          <w:tcPr>
            <w:tcW w:w="1517" w:type="dxa"/>
            <w:vAlign w:val="center"/>
          </w:tcPr>
          <w:p w14:paraId="4B06E7E0">
            <w:pPr>
              <w:jc w:val="right"/>
            </w:pPr>
            <w:r>
              <w:rPr>
                <w:rFonts w:hint="eastAsia"/>
              </w:rPr>
              <w:t>-</w:t>
            </w:r>
          </w:p>
        </w:tc>
        <w:tc>
          <w:tcPr>
            <w:tcW w:w="1860" w:type="dxa"/>
            <w:vAlign w:val="center"/>
          </w:tcPr>
          <w:p w14:paraId="47F90D92">
            <w:pPr>
              <w:jc w:val="right"/>
            </w:pPr>
            <w:r>
              <w:rPr>
                <w:rFonts w:hint="eastAsia"/>
              </w:rPr>
              <w:t>-</w:t>
            </w:r>
          </w:p>
        </w:tc>
        <w:tc>
          <w:tcPr>
            <w:tcW w:w="1517" w:type="dxa"/>
            <w:vAlign w:val="center"/>
          </w:tcPr>
          <w:p w14:paraId="08248A87">
            <w:pPr>
              <w:jc w:val="right"/>
            </w:pPr>
            <w:r>
              <w:rPr>
                <w:rFonts w:hint="eastAsia"/>
              </w:rPr>
              <w:t>-</w:t>
            </w:r>
          </w:p>
        </w:tc>
      </w:tr>
      <w:tr w14:paraId="17D0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CD39E0">
            <w:r>
              <w:rPr>
                <w:rFonts w:hint="eastAsia"/>
              </w:rPr>
              <w:t>贵金属投资-金交所黄金合约</w:t>
            </w:r>
          </w:p>
        </w:tc>
        <w:tc>
          <w:tcPr>
            <w:tcW w:w="1860" w:type="dxa"/>
            <w:vAlign w:val="center"/>
          </w:tcPr>
          <w:p w14:paraId="472981C6">
            <w:pPr>
              <w:jc w:val="right"/>
            </w:pPr>
            <w:r>
              <w:rPr>
                <w:rFonts w:hint="eastAsia"/>
              </w:rPr>
              <w:t>-</w:t>
            </w:r>
          </w:p>
        </w:tc>
        <w:tc>
          <w:tcPr>
            <w:tcW w:w="1517" w:type="dxa"/>
            <w:vAlign w:val="center"/>
          </w:tcPr>
          <w:p w14:paraId="76F1C359">
            <w:pPr>
              <w:jc w:val="right"/>
            </w:pPr>
            <w:r>
              <w:rPr>
                <w:rFonts w:hint="eastAsia"/>
              </w:rPr>
              <w:t>-</w:t>
            </w:r>
          </w:p>
        </w:tc>
        <w:tc>
          <w:tcPr>
            <w:tcW w:w="1860" w:type="dxa"/>
            <w:vAlign w:val="center"/>
          </w:tcPr>
          <w:p w14:paraId="1ED86B5F">
            <w:pPr>
              <w:jc w:val="right"/>
            </w:pPr>
            <w:r>
              <w:rPr>
                <w:rFonts w:hint="eastAsia"/>
              </w:rPr>
              <w:t>-</w:t>
            </w:r>
          </w:p>
        </w:tc>
        <w:tc>
          <w:tcPr>
            <w:tcW w:w="1517" w:type="dxa"/>
            <w:vAlign w:val="center"/>
          </w:tcPr>
          <w:p w14:paraId="44B185D8">
            <w:pPr>
              <w:jc w:val="right"/>
            </w:pPr>
            <w:r>
              <w:rPr>
                <w:rFonts w:hint="eastAsia"/>
              </w:rPr>
              <w:t>-</w:t>
            </w:r>
          </w:p>
        </w:tc>
      </w:tr>
      <w:tr w14:paraId="1482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86057C1">
            <w:r>
              <w:rPr>
                <w:rFonts w:hint="eastAsia"/>
              </w:rPr>
              <w:t>债券</w:t>
            </w:r>
          </w:p>
        </w:tc>
        <w:tc>
          <w:tcPr>
            <w:tcW w:w="897" w:type="dxa"/>
            <w:vAlign w:val="center"/>
          </w:tcPr>
          <w:p w14:paraId="0794753D">
            <w:r>
              <w:rPr>
                <w:rFonts w:hint="eastAsia"/>
              </w:rPr>
              <w:t>交易所市场</w:t>
            </w:r>
          </w:p>
        </w:tc>
        <w:tc>
          <w:tcPr>
            <w:tcW w:w="1860" w:type="dxa"/>
            <w:vAlign w:val="center"/>
          </w:tcPr>
          <w:p w14:paraId="6A3CBD6E">
            <w:pPr>
              <w:jc w:val="right"/>
            </w:pPr>
            <w:r>
              <w:rPr>
                <w:rFonts w:hint="eastAsia"/>
              </w:rPr>
              <w:t>504,074,622.68</w:t>
            </w:r>
          </w:p>
        </w:tc>
        <w:tc>
          <w:tcPr>
            <w:tcW w:w="1517" w:type="dxa"/>
            <w:vAlign w:val="center"/>
          </w:tcPr>
          <w:p w14:paraId="15132C74">
            <w:pPr>
              <w:jc w:val="right"/>
            </w:pPr>
            <w:r>
              <w:rPr>
                <w:rFonts w:hint="eastAsia"/>
              </w:rPr>
              <w:t>10,881,146.75</w:t>
            </w:r>
          </w:p>
        </w:tc>
        <w:tc>
          <w:tcPr>
            <w:tcW w:w="1860" w:type="dxa"/>
            <w:vAlign w:val="center"/>
          </w:tcPr>
          <w:p w14:paraId="3AA66902">
            <w:pPr>
              <w:jc w:val="right"/>
            </w:pPr>
            <w:r>
              <w:rPr>
                <w:rFonts w:hint="eastAsia"/>
              </w:rPr>
              <w:t>519,220,146.75</w:t>
            </w:r>
          </w:p>
        </w:tc>
        <w:tc>
          <w:tcPr>
            <w:tcW w:w="1517" w:type="dxa"/>
            <w:vAlign w:val="center"/>
          </w:tcPr>
          <w:p w14:paraId="09F21393">
            <w:pPr>
              <w:jc w:val="right"/>
            </w:pPr>
            <w:r>
              <w:rPr>
                <w:rFonts w:hint="eastAsia"/>
              </w:rPr>
              <w:t>4,264,377.32</w:t>
            </w:r>
          </w:p>
        </w:tc>
      </w:tr>
      <w:tr w14:paraId="4359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3A1E2F0"/>
        </w:tc>
        <w:tc>
          <w:tcPr>
            <w:tcW w:w="897" w:type="dxa"/>
            <w:vAlign w:val="center"/>
          </w:tcPr>
          <w:p w14:paraId="4D6AFFB5">
            <w:r>
              <w:rPr>
                <w:rFonts w:hint="eastAsia"/>
              </w:rPr>
              <w:t>银行间市场</w:t>
            </w:r>
          </w:p>
        </w:tc>
        <w:tc>
          <w:tcPr>
            <w:tcW w:w="1860" w:type="dxa"/>
            <w:vAlign w:val="center"/>
          </w:tcPr>
          <w:p w14:paraId="44BDCF69">
            <w:pPr>
              <w:jc w:val="right"/>
            </w:pPr>
            <w:r>
              <w:rPr>
                <w:rFonts w:hint="eastAsia"/>
              </w:rPr>
              <w:t>1,444,230,229.31</w:t>
            </w:r>
          </w:p>
        </w:tc>
        <w:tc>
          <w:tcPr>
            <w:tcW w:w="1517" w:type="dxa"/>
            <w:vAlign w:val="center"/>
          </w:tcPr>
          <w:p w14:paraId="1E56C3B0">
            <w:pPr>
              <w:jc w:val="right"/>
            </w:pPr>
            <w:r>
              <w:rPr>
                <w:rFonts w:hint="eastAsia"/>
              </w:rPr>
              <w:t>16,959,101.62</w:t>
            </w:r>
          </w:p>
        </w:tc>
        <w:tc>
          <w:tcPr>
            <w:tcW w:w="1860" w:type="dxa"/>
            <w:vAlign w:val="center"/>
          </w:tcPr>
          <w:p w14:paraId="37E19471">
            <w:pPr>
              <w:jc w:val="right"/>
            </w:pPr>
            <w:r>
              <w:rPr>
                <w:rFonts w:hint="eastAsia"/>
              </w:rPr>
              <w:t>1,475,177,101.62</w:t>
            </w:r>
          </w:p>
        </w:tc>
        <w:tc>
          <w:tcPr>
            <w:tcW w:w="1517" w:type="dxa"/>
            <w:vAlign w:val="center"/>
          </w:tcPr>
          <w:p w14:paraId="514B18DD">
            <w:pPr>
              <w:jc w:val="right"/>
            </w:pPr>
            <w:r>
              <w:rPr>
                <w:rFonts w:hint="eastAsia"/>
              </w:rPr>
              <w:t>13,987,770.69</w:t>
            </w:r>
          </w:p>
        </w:tc>
      </w:tr>
      <w:tr w14:paraId="7F81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D22B47"/>
        </w:tc>
        <w:tc>
          <w:tcPr>
            <w:tcW w:w="897" w:type="dxa"/>
            <w:vAlign w:val="center"/>
          </w:tcPr>
          <w:p w14:paraId="6BAD42FA">
            <w:r>
              <w:rPr>
                <w:rFonts w:hint="eastAsia"/>
              </w:rPr>
              <w:t>合计</w:t>
            </w:r>
          </w:p>
        </w:tc>
        <w:tc>
          <w:tcPr>
            <w:tcW w:w="1860" w:type="dxa"/>
            <w:vAlign w:val="center"/>
          </w:tcPr>
          <w:p w14:paraId="10C2E550">
            <w:pPr>
              <w:jc w:val="right"/>
            </w:pPr>
            <w:r>
              <w:rPr>
                <w:rFonts w:hint="eastAsia"/>
              </w:rPr>
              <w:t>1,948,304,851.99</w:t>
            </w:r>
          </w:p>
        </w:tc>
        <w:tc>
          <w:tcPr>
            <w:tcW w:w="1517" w:type="dxa"/>
            <w:vAlign w:val="center"/>
          </w:tcPr>
          <w:p w14:paraId="7D9CD932">
            <w:pPr>
              <w:jc w:val="right"/>
            </w:pPr>
            <w:r>
              <w:rPr>
                <w:rFonts w:hint="eastAsia"/>
              </w:rPr>
              <w:t>27,840,248.37</w:t>
            </w:r>
          </w:p>
        </w:tc>
        <w:tc>
          <w:tcPr>
            <w:tcW w:w="1860" w:type="dxa"/>
            <w:vAlign w:val="center"/>
          </w:tcPr>
          <w:p w14:paraId="4BF2F539">
            <w:pPr>
              <w:jc w:val="right"/>
            </w:pPr>
            <w:r>
              <w:rPr>
                <w:rFonts w:hint="eastAsia"/>
              </w:rPr>
              <w:t>1,994,397,248.37</w:t>
            </w:r>
          </w:p>
        </w:tc>
        <w:tc>
          <w:tcPr>
            <w:tcW w:w="1517" w:type="dxa"/>
            <w:vAlign w:val="center"/>
          </w:tcPr>
          <w:p w14:paraId="3BD53E24">
            <w:pPr>
              <w:jc w:val="right"/>
            </w:pPr>
            <w:r>
              <w:rPr>
                <w:rFonts w:hint="eastAsia"/>
              </w:rPr>
              <w:t>18,252,148.01</w:t>
            </w:r>
          </w:p>
        </w:tc>
      </w:tr>
      <w:tr w14:paraId="665A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26CE49">
            <w:r>
              <w:rPr>
                <w:rFonts w:hint="eastAsia"/>
              </w:rPr>
              <w:t>资产支持证券</w:t>
            </w:r>
          </w:p>
        </w:tc>
        <w:tc>
          <w:tcPr>
            <w:tcW w:w="1860" w:type="dxa"/>
            <w:vAlign w:val="center"/>
          </w:tcPr>
          <w:p w14:paraId="3652B6FC">
            <w:pPr>
              <w:jc w:val="right"/>
            </w:pPr>
            <w:r>
              <w:rPr>
                <w:rFonts w:hint="eastAsia"/>
              </w:rPr>
              <w:t>-</w:t>
            </w:r>
          </w:p>
        </w:tc>
        <w:tc>
          <w:tcPr>
            <w:tcW w:w="1517" w:type="dxa"/>
            <w:vAlign w:val="center"/>
          </w:tcPr>
          <w:p w14:paraId="63709CF2">
            <w:pPr>
              <w:jc w:val="right"/>
            </w:pPr>
            <w:r>
              <w:rPr>
                <w:rFonts w:hint="eastAsia"/>
              </w:rPr>
              <w:t>-</w:t>
            </w:r>
          </w:p>
        </w:tc>
        <w:tc>
          <w:tcPr>
            <w:tcW w:w="1860" w:type="dxa"/>
            <w:vAlign w:val="center"/>
          </w:tcPr>
          <w:p w14:paraId="260C6AF3">
            <w:pPr>
              <w:jc w:val="right"/>
            </w:pPr>
            <w:r>
              <w:rPr>
                <w:rFonts w:hint="eastAsia"/>
              </w:rPr>
              <w:t>-</w:t>
            </w:r>
          </w:p>
        </w:tc>
        <w:tc>
          <w:tcPr>
            <w:tcW w:w="1517" w:type="dxa"/>
            <w:vAlign w:val="center"/>
          </w:tcPr>
          <w:p w14:paraId="649798B9">
            <w:pPr>
              <w:jc w:val="right"/>
            </w:pPr>
            <w:r>
              <w:rPr>
                <w:rFonts w:hint="eastAsia"/>
              </w:rPr>
              <w:t>-</w:t>
            </w:r>
          </w:p>
        </w:tc>
      </w:tr>
      <w:tr w14:paraId="2689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D623DD">
            <w:r>
              <w:rPr>
                <w:rFonts w:hint="eastAsia"/>
              </w:rPr>
              <w:t>基金</w:t>
            </w:r>
          </w:p>
        </w:tc>
        <w:tc>
          <w:tcPr>
            <w:tcW w:w="1860" w:type="dxa"/>
            <w:vAlign w:val="center"/>
          </w:tcPr>
          <w:p w14:paraId="32620A52">
            <w:pPr>
              <w:jc w:val="right"/>
            </w:pPr>
            <w:r>
              <w:rPr>
                <w:rFonts w:hint="eastAsia"/>
              </w:rPr>
              <w:t>-</w:t>
            </w:r>
          </w:p>
        </w:tc>
        <w:tc>
          <w:tcPr>
            <w:tcW w:w="1517" w:type="dxa"/>
            <w:vAlign w:val="center"/>
          </w:tcPr>
          <w:p w14:paraId="3E83E98F">
            <w:pPr>
              <w:jc w:val="right"/>
            </w:pPr>
            <w:r>
              <w:rPr>
                <w:rFonts w:hint="eastAsia"/>
              </w:rPr>
              <w:t>-</w:t>
            </w:r>
          </w:p>
        </w:tc>
        <w:tc>
          <w:tcPr>
            <w:tcW w:w="1860" w:type="dxa"/>
            <w:vAlign w:val="center"/>
          </w:tcPr>
          <w:p w14:paraId="5A61035B">
            <w:pPr>
              <w:jc w:val="right"/>
            </w:pPr>
            <w:r>
              <w:rPr>
                <w:rFonts w:hint="eastAsia"/>
              </w:rPr>
              <w:t>-</w:t>
            </w:r>
          </w:p>
        </w:tc>
        <w:tc>
          <w:tcPr>
            <w:tcW w:w="1517" w:type="dxa"/>
            <w:vAlign w:val="center"/>
          </w:tcPr>
          <w:p w14:paraId="679DF5D0">
            <w:pPr>
              <w:jc w:val="right"/>
            </w:pPr>
            <w:r>
              <w:rPr>
                <w:rFonts w:hint="eastAsia"/>
              </w:rPr>
              <w:t>-</w:t>
            </w:r>
          </w:p>
        </w:tc>
      </w:tr>
      <w:tr w14:paraId="4626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0EDDCF">
            <w:r>
              <w:rPr>
                <w:rFonts w:hint="eastAsia"/>
              </w:rPr>
              <w:t>其他</w:t>
            </w:r>
          </w:p>
        </w:tc>
        <w:tc>
          <w:tcPr>
            <w:tcW w:w="1860" w:type="dxa"/>
            <w:vAlign w:val="center"/>
          </w:tcPr>
          <w:p w14:paraId="57313433">
            <w:pPr>
              <w:jc w:val="right"/>
            </w:pPr>
            <w:r>
              <w:rPr>
                <w:rFonts w:hint="eastAsia"/>
              </w:rPr>
              <w:t>-</w:t>
            </w:r>
          </w:p>
        </w:tc>
        <w:tc>
          <w:tcPr>
            <w:tcW w:w="1517" w:type="dxa"/>
            <w:vAlign w:val="center"/>
          </w:tcPr>
          <w:p w14:paraId="73F3E84B">
            <w:pPr>
              <w:jc w:val="right"/>
            </w:pPr>
            <w:r>
              <w:rPr>
                <w:rFonts w:hint="eastAsia"/>
              </w:rPr>
              <w:t>-</w:t>
            </w:r>
          </w:p>
        </w:tc>
        <w:tc>
          <w:tcPr>
            <w:tcW w:w="1860" w:type="dxa"/>
            <w:vAlign w:val="center"/>
          </w:tcPr>
          <w:p w14:paraId="3C211649">
            <w:pPr>
              <w:jc w:val="right"/>
            </w:pPr>
            <w:r>
              <w:rPr>
                <w:rFonts w:hint="eastAsia"/>
              </w:rPr>
              <w:t>-</w:t>
            </w:r>
          </w:p>
        </w:tc>
        <w:tc>
          <w:tcPr>
            <w:tcW w:w="1517" w:type="dxa"/>
            <w:vAlign w:val="center"/>
          </w:tcPr>
          <w:p w14:paraId="499C3BE6">
            <w:pPr>
              <w:jc w:val="right"/>
            </w:pPr>
            <w:r>
              <w:rPr>
                <w:rFonts w:hint="eastAsia"/>
              </w:rPr>
              <w:t>-</w:t>
            </w:r>
          </w:p>
        </w:tc>
      </w:tr>
      <w:tr w14:paraId="4874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94EA72">
            <w:r>
              <w:rPr>
                <w:rFonts w:hint="eastAsia"/>
              </w:rPr>
              <w:t>合计</w:t>
            </w:r>
          </w:p>
        </w:tc>
        <w:tc>
          <w:tcPr>
            <w:tcW w:w="1860" w:type="dxa"/>
            <w:vAlign w:val="center"/>
          </w:tcPr>
          <w:p w14:paraId="3375D827">
            <w:pPr>
              <w:jc w:val="right"/>
            </w:pPr>
            <w:r>
              <w:rPr>
                <w:rFonts w:hint="eastAsia"/>
              </w:rPr>
              <w:t>1,948,304,851.99</w:t>
            </w:r>
          </w:p>
        </w:tc>
        <w:tc>
          <w:tcPr>
            <w:tcW w:w="1517" w:type="dxa"/>
            <w:vAlign w:val="center"/>
          </w:tcPr>
          <w:p w14:paraId="1A2E9346">
            <w:pPr>
              <w:jc w:val="right"/>
            </w:pPr>
            <w:r>
              <w:rPr>
                <w:rFonts w:hint="eastAsia"/>
              </w:rPr>
              <w:t>27,840,248.37</w:t>
            </w:r>
          </w:p>
        </w:tc>
        <w:tc>
          <w:tcPr>
            <w:tcW w:w="1860" w:type="dxa"/>
            <w:vAlign w:val="center"/>
          </w:tcPr>
          <w:p w14:paraId="467F9063">
            <w:pPr>
              <w:jc w:val="right"/>
            </w:pPr>
            <w:r>
              <w:rPr>
                <w:rFonts w:hint="eastAsia"/>
              </w:rPr>
              <w:t>1,994,397,248.37</w:t>
            </w:r>
          </w:p>
        </w:tc>
        <w:tc>
          <w:tcPr>
            <w:tcW w:w="1517" w:type="dxa"/>
            <w:vAlign w:val="center"/>
          </w:tcPr>
          <w:p w14:paraId="0D87808A">
            <w:pPr>
              <w:jc w:val="right"/>
            </w:pPr>
            <w:r>
              <w:rPr>
                <w:rFonts w:hint="eastAsia"/>
              </w:rPr>
              <w:t>18,252,148.01</w:t>
            </w:r>
          </w:p>
        </w:tc>
      </w:tr>
    </w:tbl>
    <w:p w14:paraId="72D4D7CC">
      <w:pPr>
        <w:pStyle w:val="35"/>
      </w:pPr>
      <w:bookmarkStart w:id="74" w:name="_Toc74"/>
      <w:r>
        <w:t>衍生金融资产/负债</w:t>
      </w:r>
      <w:bookmarkEnd w:id="74"/>
    </w:p>
    <w:p w14:paraId="5EDD11E8">
      <w:pPr>
        <w:pStyle w:val="36"/>
      </w:pPr>
      <w:bookmarkStart w:id="75" w:name="_Toc75"/>
      <w:r>
        <w:t>衍生金融资产/负债期末余额</w:t>
      </w:r>
      <w:bookmarkEnd w:id="75"/>
    </w:p>
    <w:p w14:paraId="1FEC1B45">
      <w:pPr>
        <w:pStyle w:val="18"/>
        <w:rPr>
          <w:rFonts w:hint="eastAsia"/>
        </w:rPr>
      </w:pPr>
      <w:r>
        <w:rPr>
          <w:rFonts w:hint="eastAsia"/>
        </w:rPr>
        <w:t>无。</w:t>
      </w:r>
    </w:p>
    <w:p w14:paraId="680732C8">
      <w:pPr>
        <w:pStyle w:val="35"/>
      </w:pPr>
      <w:bookmarkStart w:id="76" w:name="_Toc76"/>
      <w:r>
        <w:t xml:space="preserve"> 买入返售金融资产</w:t>
      </w:r>
      <w:bookmarkEnd w:id="76"/>
    </w:p>
    <w:p w14:paraId="5B916955">
      <w:pPr>
        <w:pStyle w:val="36"/>
      </w:pPr>
      <w:bookmarkStart w:id="77" w:name="_Toc77"/>
      <w:r>
        <w:t>各项买入返售金融资产期末余额</w:t>
      </w:r>
      <w:bookmarkEnd w:id="77"/>
    </w:p>
    <w:p w14:paraId="236879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9DC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35946E5">
            <w:r>
              <w:rPr>
                <w:rFonts w:hint="eastAsia"/>
              </w:rPr>
              <w:t>项目</w:t>
            </w:r>
          </w:p>
        </w:tc>
        <w:tc>
          <w:tcPr>
            <w:tcW w:w="2519" w:type="dxa"/>
            <w:gridSpan w:val="2"/>
            <w:vAlign w:val="center"/>
          </w:tcPr>
          <w:p w14:paraId="06996300">
            <w:r>
              <w:rPr>
                <w:rFonts w:hint="eastAsia"/>
              </w:rPr>
              <w:t>本期末2025年12月31日</w:t>
            </w:r>
          </w:p>
        </w:tc>
      </w:tr>
      <w:tr w14:paraId="444A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54907FB"/>
        </w:tc>
        <w:tc>
          <w:tcPr>
            <w:tcW w:w="2519" w:type="dxa"/>
            <w:vAlign w:val="center"/>
          </w:tcPr>
          <w:p w14:paraId="0DC6B18B">
            <w:r>
              <w:rPr>
                <w:rFonts w:hint="eastAsia"/>
              </w:rPr>
              <w:t>账面余额</w:t>
            </w:r>
          </w:p>
        </w:tc>
        <w:tc>
          <w:tcPr>
            <w:tcW w:w="3322" w:type="dxa"/>
            <w:vAlign w:val="center"/>
          </w:tcPr>
          <w:p w14:paraId="1E006563">
            <w:r>
              <w:rPr>
                <w:rFonts w:hint="eastAsia"/>
              </w:rPr>
              <w:t>其中：买断式逆回购</w:t>
            </w:r>
          </w:p>
        </w:tc>
      </w:tr>
      <w:tr w14:paraId="36EE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68198E">
            <w:r>
              <w:rPr>
                <w:rFonts w:hint="eastAsia"/>
              </w:rPr>
              <w:t>交易所市场</w:t>
            </w:r>
          </w:p>
        </w:tc>
        <w:tc>
          <w:tcPr>
            <w:tcW w:w="2519" w:type="dxa"/>
            <w:vAlign w:val="center"/>
          </w:tcPr>
          <w:p w14:paraId="5634E582">
            <w:pPr>
              <w:jc w:val="right"/>
            </w:pPr>
            <w:r>
              <w:rPr>
                <w:rFonts w:hint="eastAsia"/>
              </w:rPr>
              <w:t>-</w:t>
            </w:r>
          </w:p>
        </w:tc>
        <w:tc>
          <w:tcPr>
            <w:tcW w:w="3322" w:type="dxa"/>
            <w:vAlign w:val="center"/>
          </w:tcPr>
          <w:p w14:paraId="57589795">
            <w:pPr>
              <w:jc w:val="right"/>
            </w:pPr>
            <w:r>
              <w:rPr>
                <w:rFonts w:hint="eastAsia"/>
              </w:rPr>
              <w:t>-</w:t>
            </w:r>
          </w:p>
        </w:tc>
      </w:tr>
      <w:tr w14:paraId="46EC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6B11EA2">
            <w:r>
              <w:rPr>
                <w:rFonts w:hint="eastAsia"/>
              </w:rPr>
              <w:t>银行间市场</w:t>
            </w:r>
          </w:p>
        </w:tc>
        <w:tc>
          <w:tcPr>
            <w:tcW w:w="2519" w:type="dxa"/>
            <w:vAlign w:val="center"/>
          </w:tcPr>
          <w:p w14:paraId="17CC69CF">
            <w:pPr>
              <w:jc w:val="right"/>
            </w:pPr>
            <w:r>
              <w:rPr>
                <w:rFonts w:hint="eastAsia"/>
              </w:rPr>
              <w:t>-</w:t>
            </w:r>
          </w:p>
        </w:tc>
        <w:tc>
          <w:tcPr>
            <w:tcW w:w="3322" w:type="dxa"/>
            <w:vAlign w:val="center"/>
          </w:tcPr>
          <w:p w14:paraId="506D0391">
            <w:pPr>
              <w:jc w:val="right"/>
            </w:pPr>
            <w:r>
              <w:rPr>
                <w:rFonts w:hint="eastAsia"/>
              </w:rPr>
              <w:t>-</w:t>
            </w:r>
          </w:p>
        </w:tc>
      </w:tr>
      <w:tr w14:paraId="1FCC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8E0096B">
            <w:r>
              <w:rPr>
                <w:rFonts w:hint="eastAsia"/>
              </w:rPr>
              <w:t>合计</w:t>
            </w:r>
          </w:p>
        </w:tc>
        <w:tc>
          <w:tcPr>
            <w:tcW w:w="2519" w:type="dxa"/>
            <w:vAlign w:val="center"/>
          </w:tcPr>
          <w:p w14:paraId="69D2C9FE">
            <w:pPr>
              <w:jc w:val="right"/>
            </w:pPr>
            <w:r>
              <w:rPr>
                <w:rFonts w:hint="eastAsia"/>
              </w:rPr>
              <w:t>-</w:t>
            </w:r>
          </w:p>
        </w:tc>
        <w:tc>
          <w:tcPr>
            <w:tcW w:w="3322" w:type="dxa"/>
            <w:vAlign w:val="center"/>
          </w:tcPr>
          <w:p w14:paraId="2650EDFA">
            <w:pPr>
              <w:jc w:val="right"/>
            </w:pPr>
            <w:r>
              <w:rPr>
                <w:rFonts w:hint="eastAsia"/>
              </w:rPr>
              <w:t>-</w:t>
            </w:r>
          </w:p>
        </w:tc>
      </w:tr>
      <w:tr w14:paraId="64AE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9622DFA">
            <w:r>
              <w:rPr>
                <w:rFonts w:hint="eastAsia"/>
              </w:rPr>
              <w:t>项目</w:t>
            </w:r>
          </w:p>
        </w:tc>
        <w:tc>
          <w:tcPr>
            <w:tcW w:w="2519" w:type="dxa"/>
            <w:gridSpan w:val="2"/>
            <w:vAlign w:val="center"/>
          </w:tcPr>
          <w:p w14:paraId="19F4A56D">
            <w:r>
              <w:rPr>
                <w:rFonts w:hint="eastAsia"/>
              </w:rPr>
              <w:t>上年度末2024年12月31日</w:t>
            </w:r>
          </w:p>
        </w:tc>
      </w:tr>
      <w:tr w14:paraId="29AC6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84F1D28"/>
        </w:tc>
        <w:tc>
          <w:tcPr>
            <w:tcW w:w="2519" w:type="dxa"/>
            <w:vAlign w:val="center"/>
          </w:tcPr>
          <w:p w14:paraId="53437391">
            <w:r>
              <w:rPr>
                <w:rFonts w:hint="eastAsia"/>
              </w:rPr>
              <w:t>账面余额</w:t>
            </w:r>
          </w:p>
        </w:tc>
        <w:tc>
          <w:tcPr>
            <w:tcW w:w="3322" w:type="dxa"/>
            <w:vAlign w:val="center"/>
          </w:tcPr>
          <w:p w14:paraId="17C47EEA">
            <w:r>
              <w:rPr>
                <w:rFonts w:hint="eastAsia"/>
              </w:rPr>
              <w:t>其中：买断式逆回购</w:t>
            </w:r>
          </w:p>
        </w:tc>
      </w:tr>
      <w:tr w14:paraId="367B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64F53A2">
            <w:r>
              <w:rPr>
                <w:rFonts w:hint="eastAsia"/>
              </w:rPr>
              <w:t>交易所市场</w:t>
            </w:r>
          </w:p>
        </w:tc>
        <w:tc>
          <w:tcPr>
            <w:tcW w:w="2519" w:type="dxa"/>
            <w:vAlign w:val="center"/>
          </w:tcPr>
          <w:p w14:paraId="6720E2C7">
            <w:pPr>
              <w:jc w:val="right"/>
            </w:pPr>
            <w:r>
              <w:rPr>
                <w:rFonts w:hint="eastAsia"/>
              </w:rPr>
              <w:t>-</w:t>
            </w:r>
          </w:p>
        </w:tc>
        <w:tc>
          <w:tcPr>
            <w:tcW w:w="3322" w:type="dxa"/>
            <w:vAlign w:val="center"/>
          </w:tcPr>
          <w:p w14:paraId="79142202">
            <w:pPr>
              <w:jc w:val="right"/>
            </w:pPr>
            <w:r>
              <w:rPr>
                <w:rFonts w:hint="eastAsia"/>
              </w:rPr>
              <w:t>-</w:t>
            </w:r>
          </w:p>
        </w:tc>
      </w:tr>
      <w:tr w14:paraId="56A7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489343F">
            <w:r>
              <w:rPr>
                <w:rFonts w:hint="eastAsia"/>
              </w:rPr>
              <w:t>银行间市场</w:t>
            </w:r>
          </w:p>
        </w:tc>
        <w:tc>
          <w:tcPr>
            <w:tcW w:w="2519" w:type="dxa"/>
            <w:vAlign w:val="center"/>
          </w:tcPr>
          <w:p w14:paraId="76C1231C">
            <w:pPr>
              <w:jc w:val="right"/>
            </w:pPr>
            <w:r>
              <w:rPr>
                <w:rFonts w:hint="eastAsia"/>
              </w:rPr>
              <w:t>10,000,691.06</w:t>
            </w:r>
          </w:p>
        </w:tc>
        <w:tc>
          <w:tcPr>
            <w:tcW w:w="3322" w:type="dxa"/>
            <w:vAlign w:val="center"/>
          </w:tcPr>
          <w:p w14:paraId="2B7C4F6D">
            <w:pPr>
              <w:jc w:val="right"/>
            </w:pPr>
            <w:r>
              <w:rPr>
                <w:rFonts w:hint="eastAsia"/>
              </w:rPr>
              <w:t>-</w:t>
            </w:r>
          </w:p>
        </w:tc>
      </w:tr>
      <w:tr w14:paraId="3E74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989CE8">
            <w:r>
              <w:rPr>
                <w:rFonts w:hint="eastAsia"/>
              </w:rPr>
              <w:t>合计</w:t>
            </w:r>
          </w:p>
        </w:tc>
        <w:tc>
          <w:tcPr>
            <w:tcW w:w="2519" w:type="dxa"/>
            <w:vAlign w:val="center"/>
          </w:tcPr>
          <w:p w14:paraId="5A016127">
            <w:pPr>
              <w:jc w:val="right"/>
            </w:pPr>
            <w:r>
              <w:rPr>
                <w:rFonts w:hint="eastAsia"/>
              </w:rPr>
              <w:t>10,000,691.06</w:t>
            </w:r>
          </w:p>
        </w:tc>
        <w:tc>
          <w:tcPr>
            <w:tcW w:w="3322" w:type="dxa"/>
            <w:vAlign w:val="center"/>
          </w:tcPr>
          <w:p w14:paraId="5393512D">
            <w:pPr>
              <w:jc w:val="right"/>
            </w:pPr>
            <w:r>
              <w:rPr>
                <w:rFonts w:hint="eastAsia"/>
              </w:rPr>
              <w:t>-</w:t>
            </w:r>
          </w:p>
        </w:tc>
      </w:tr>
    </w:tbl>
    <w:p w14:paraId="1A415E1A">
      <w:pPr>
        <w:pStyle w:val="36"/>
      </w:pPr>
      <w:bookmarkStart w:id="78" w:name="_Toc78"/>
      <w:r>
        <w:t xml:space="preserve"> 期末买断式逆回购交易中取得的债券</w:t>
      </w:r>
      <w:bookmarkEnd w:id="78"/>
    </w:p>
    <w:p w14:paraId="1F47DE8B">
      <w:pPr>
        <w:pStyle w:val="18"/>
        <w:rPr>
          <w:rFonts w:hint="eastAsia"/>
        </w:rPr>
      </w:pPr>
      <w:r>
        <w:rPr>
          <w:rFonts w:hint="eastAsia"/>
        </w:rPr>
        <w:t>无。</w:t>
      </w:r>
    </w:p>
    <w:p w14:paraId="36C7CD58">
      <w:pPr>
        <w:pStyle w:val="35"/>
      </w:pPr>
      <w:bookmarkStart w:id="79" w:name="_Toc79"/>
      <w:r>
        <w:t xml:space="preserve"> 其他资产</w:t>
      </w:r>
      <w:bookmarkEnd w:id="79"/>
    </w:p>
    <w:p w14:paraId="1E3441DF">
      <w:pPr>
        <w:pStyle w:val="18"/>
        <w:rPr>
          <w:rFonts w:hint="eastAsia"/>
        </w:rPr>
      </w:pPr>
      <w:r>
        <w:rPr>
          <w:rFonts w:hint="eastAsia"/>
        </w:rPr>
        <w:t>无。</w:t>
      </w:r>
    </w:p>
    <w:p w14:paraId="5AE0775D">
      <w:pPr>
        <w:pStyle w:val="35"/>
      </w:pPr>
      <w:bookmarkStart w:id="80" w:name="_Toc80"/>
      <w:r>
        <w:t>其他负债</w:t>
      </w:r>
      <w:bookmarkEnd w:id="80"/>
    </w:p>
    <w:p w14:paraId="76DD6C1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7A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A35442">
            <w:pPr>
              <w:jc w:val="center"/>
            </w:pPr>
            <w:r>
              <w:rPr>
                <w:rFonts w:hint="eastAsia"/>
                <w:b/>
              </w:rPr>
              <w:t>项目</w:t>
            </w:r>
          </w:p>
        </w:tc>
        <w:tc>
          <w:tcPr>
            <w:tcW w:w="2768" w:type="dxa"/>
            <w:shd w:val="clear" w:color="auto" w:fill="BFBFBF"/>
            <w:vAlign w:val="center"/>
          </w:tcPr>
          <w:p w14:paraId="6C366853">
            <w:pPr>
              <w:jc w:val="center"/>
            </w:pPr>
            <w:r>
              <w:rPr>
                <w:rFonts w:hint="eastAsia"/>
                <w:b/>
              </w:rPr>
              <w:t>本期末2025年12月31日</w:t>
            </w:r>
          </w:p>
        </w:tc>
        <w:tc>
          <w:tcPr>
            <w:tcW w:w="2768" w:type="dxa"/>
            <w:shd w:val="clear" w:color="auto" w:fill="BFBFBF"/>
            <w:vAlign w:val="center"/>
          </w:tcPr>
          <w:p w14:paraId="1408C41E">
            <w:pPr>
              <w:jc w:val="center"/>
            </w:pPr>
            <w:r>
              <w:rPr>
                <w:rFonts w:hint="eastAsia"/>
                <w:b/>
              </w:rPr>
              <w:t>上年度末2024年12月31日</w:t>
            </w:r>
          </w:p>
        </w:tc>
      </w:tr>
      <w:tr w14:paraId="1408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6F8D6F">
            <w:r>
              <w:rPr>
                <w:rFonts w:hint="eastAsia"/>
              </w:rPr>
              <w:t>应付券商交易单元保证金</w:t>
            </w:r>
          </w:p>
        </w:tc>
        <w:tc>
          <w:tcPr>
            <w:tcW w:w="2768" w:type="dxa"/>
            <w:vAlign w:val="center"/>
          </w:tcPr>
          <w:p w14:paraId="28F5AD50">
            <w:pPr>
              <w:jc w:val="right"/>
            </w:pPr>
            <w:r>
              <w:rPr>
                <w:rFonts w:hint="eastAsia"/>
              </w:rPr>
              <w:t>-</w:t>
            </w:r>
          </w:p>
        </w:tc>
        <w:tc>
          <w:tcPr>
            <w:tcW w:w="2768" w:type="dxa"/>
            <w:vAlign w:val="center"/>
          </w:tcPr>
          <w:p w14:paraId="43F51AC1">
            <w:pPr>
              <w:jc w:val="right"/>
            </w:pPr>
            <w:r>
              <w:rPr>
                <w:rFonts w:hint="eastAsia"/>
              </w:rPr>
              <w:t>-</w:t>
            </w:r>
          </w:p>
        </w:tc>
      </w:tr>
      <w:tr w14:paraId="4511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38ED46">
            <w:r>
              <w:rPr>
                <w:rFonts w:hint="eastAsia"/>
              </w:rPr>
              <w:t>应付赎回费</w:t>
            </w:r>
          </w:p>
        </w:tc>
        <w:tc>
          <w:tcPr>
            <w:tcW w:w="2768" w:type="dxa"/>
            <w:vAlign w:val="center"/>
          </w:tcPr>
          <w:p w14:paraId="6E7ED970">
            <w:pPr>
              <w:jc w:val="right"/>
            </w:pPr>
            <w:r>
              <w:rPr>
                <w:rFonts w:hint="eastAsia"/>
              </w:rPr>
              <w:t>-</w:t>
            </w:r>
          </w:p>
        </w:tc>
        <w:tc>
          <w:tcPr>
            <w:tcW w:w="2768" w:type="dxa"/>
            <w:vAlign w:val="center"/>
          </w:tcPr>
          <w:p w14:paraId="6A5AA7CE">
            <w:pPr>
              <w:jc w:val="right"/>
            </w:pPr>
            <w:r>
              <w:rPr>
                <w:rFonts w:hint="eastAsia"/>
              </w:rPr>
              <w:t>-</w:t>
            </w:r>
          </w:p>
        </w:tc>
      </w:tr>
      <w:tr w14:paraId="1B16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FC6128">
            <w:r>
              <w:rPr>
                <w:rFonts w:hint="eastAsia"/>
              </w:rPr>
              <w:t>应付证券出借违约金</w:t>
            </w:r>
          </w:p>
        </w:tc>
        <w:tc>
          <w:tcPr>
            <w:tcW w:w="2768" w:type="dxa"/>
            <w:vAlign w:val="center"/>
          </w:tcPr>
          <w:p w14:paraId="257380C7">
            <w:pPr>
              <w:jc w:val="right"/>
            </w:pPr>
            <w:r>
              <w:rPr>
                <w:rFonts w:hint="eastAsia"/>
              </w:rPr>
              <w:t>-</w:t>
            </w:r>
          </w:p>
        </w:tc>
        <w:tc>
          <w:tcPr>
            <w:tcW w:w="2768" w:type="dxa"/>
            <w:vAlign w:val="center"/>
          </w:tcPr>
          <w:p w14:paraId="5DDA519F">
            <w:pPr>
              <w:jc w:val="right"/>
            </w:pPr>
            <w:r>
              <w:rPr>
                <w:rFonts w:hint="eastAsia"/>
              </w:rPr>
              <w:t>-</w:t>
            </w:r>
          </w:p>
        </w:tc>
      </w:tr>
      <w:tr w14:paraId="4E1A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D16A3">
            <w:r>
              <w:rPr>
                <w:rFonts w:hint="eastAsia"/>
              </w:rPr>
              <w:t>应付交易费用</w:t>
            </w:r>
          </w:p>
        </w:tc>
        <w:tc>
          <w:tcPr>
            <w:tcW w:w="2768" w:type="dxa"/>
            <w:vAlign w:val="center"/>
          </w:tcPr>
          <w:p w14:paraId="080D4C81">
            <w:pPr>
              <w:jc w:val="right"/>
            </w:pPr>
            <w:r>
              <w:rPr>
                <w:rFonts w:hint="eastAsia"/>
              </w:rPr>
              <w:t>54,475.26</w:t>
            </w:r>
          </w:p>
        </w:tc>
        <w:tc>
          <w:tcPr>
            <w:tcW w:w="2768" w:type="dxa"/>
            <w:vAlign w:val="center"/>
          </w:tcPr>
          <w:p w14:paraId="3EEDF7F2">
            <w:pPr>
              <w:jc w:val="right"/>
            </w:pPr>
            <w:r>
              <w:rPr>
                <w:rFonts w:hint="eastAsia"/>
              </w:rPr>
              <w:t>51,931.75</w:t>
            </w:r>
          </w:p>
        </w:tc>
      </w:tr>
      <w:tr w14:paraId="51EB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0A025">
            <w:r>
              <w:rPr>
                <w:rFonts w:hint="eastAsia"/>
              </w:rPr>
              <w:t>其中：交易所市场</w:t>
            </w:r>
          </w:p>
        </w:tc>
        <w:tc>
          <w:tcPr>
            <w:tcW w:w="2768" w:type="dxa"/>
            <w:vAlign w:val="center"/>
          </w:tcPr>
          <w:p w14:paraId="004E21AB">
            <w:pPr>
              <w:jc w:val="right"/>
            </w:pPr>
            <w:r>
              <w:rPr>
                <w:rFonts w:hint="eastAsia"/>
              </w:rPr>
              <w:t>-</w:t>
            </w:r>
          </w:p>
        </w:tc>
        <w:tc>
          <w:tcPr>
            <w:tcW w:w="2768" w:type="dxa"/>
            <w:vAlign w:val="center"/>
          </w:tcPr>
          <w:p w14:paraId="7FE22CEE">
            <w:pPr>
              <w:jc w:val="right"/>
            </w:pPr>
            <w:r>
              <w:rPr>
                <w:rFonts w:hint="eastAsia"/>
              </w:rPr>
              <w:t>-</w:t>
            </w:r>
          </w:p>
        </w:tc>
      </w:tr>
      <w:tr w14:paraId="5064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C3567">
            <w:r>
              <w:rPr>
                <w:rFonts w:hint="eastAsia"/>
              </w:rPr>
              <w:t xml:space="preserve">      银行间市场</w:t>
            </w:r>
          </w:p>
        </w:tc>
        <w:tc>
          <w:tcPr>
            <w:tcW w:w="2768" w:type="dxa"/>
            <w:vAlign w:val="center"/>
          </w:tcPr>
          <w:p w14:paraId="31379F0D">
            <w:pPr>
              <w:jc w:val="right"/>
            </w:pPr>
            <w:r>
              <w:rPr>
                <w:rFonts w:hint="eastAsia"/>
              </w:rPr>
              <w:t>54,475.26</w:t>
            </w:r>
          </w:p>
        </w:tc>
        <w:tc>
          <w:tcPr>
            <w:tcW w:w="2768" w:type="dxa"/>
            <w:vAlign w:val="center"/>
          </w:tcPr>
          <w:p w14:paraId="42788AE4">
            <w:pPr>
              <w:jc w:val="right"/>
            </w:pPr>
            <w:r>
              <w:rPr>
                <w:rFonts w:hint="eastAsia"/>
              </w:rPr>
              <w:t>51,931.75</w:t>
            </w:r>
          </w:p>
        </w:tc>
      </w:tr>
      <w:tr w14:paraId="48C5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99942">
            <w:r>
              <w:rPr>
                <w:rFonts w:hint="eastAsia"/>
              </w:rPr>
              <w:t>应付利息</w:t>
            </w:r>
          </w:p>
        </w:tc>
        <w:tc>
          <w:tcPr>
            <w:tcW w:w="2768" w:type="dxa"/>
            <w:vAlign w:val="center"/>
          </w:tcPr>
          <w:p w14:paraId="098AEB4A">
            <w:pPr>
              <w:jc w:val="right"/>
            </w:pPr>
            <w:r>
              <w:rPr>
                <w:rFonts w:hint="eastAsia"/>
              </w:rPr>
              <w:t>-</w:t>
            </w:r>
          </w:p>
        </w:tc>
        <w:tc>
          <w:tcPr>
            <w:tcW w:w="2768" w:type="dxa"/>
            <w:vAlign w:val="center"/>
          </w:tcPr>
          <w:p w14:paraId="3CB65AB1">
            <w:pPr>
              <w:jc w:val="right"/>
            </w:pPr>
            <w:r>
              <w:rPr>
                <w:rFonts w:hint="eastAsia"/>
              </w:rPr>
              <w:t>-</w:t>
            </w:r>
          </w:p>
        </w:tc>
      </w:tr>
      <w:tr w14:paraId="587D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F74B41">
            <w:r>
              <w:rPr>
                <w:rFonts w:hint="eastAsia"/>
              </w:rPr>
              <w:t>预提费用</w:t>
            </w:r>
          </w:p>
        </w:tc>
        <w:tc>
          <w:tcPr>
            <w:tcW w:w="2768" w:type="dxa"/>
            <w:vAlign w:val="center"/>
          </w:tcPr>
          <w:p w14:paraId="1ED0B04A">
            <w:pPr>
              <w:jc w:val="right"/>
            </w:pPr>
            <w:r>
              <w:rPr>
                <w:rFonts w:hint="eastAsia"/>
              </w:rPr>
              <w:t>189,300.00</w:t>
            </w:r>
          </w:p>
        </w:tc>
        <w:tc>
          <w:tcPr>
            <w:tcW w:w="2768" w:type="dxa"/>
            <w:vAlign w:val="center"/>
          </w:tcPr>
          <w:p w14:paraId="4B438C5B">
            <w:pPr>
              <w:jc w:val="right"/>
            </w:pPr>
            <w:r>
              <w:rPr>
                <w:rFonts w:hint="eastAsia"/>
              </w:rPr>
              <w:t>180,000.00</w:t>
            </w:r>
          </w:p>
        </w:tc>
      </w:tr>
      <w:tr w14:paraId="13F5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15984">
            <w:r>
              <w:rPr>
                <w:rFonts w:hint="eastAsia"/>
              </w:rPr>
              <w:t>合计</w:t>
            </w:r>
          </w:p>
        </w:tc>
        <w:tc>
          <w:tcPr>
            <w:tcW w:w="2768" w:type="dxa"/>
            <w:vAlign w:val="center"/>
          </w:tcPr>
          <w:p w14:paraId="6FF898FC">
            <w:pPr>
              <w:jc w:val="right"/>
            </w:pPr>
            <w:r>
              <w:rPr>
                <w:rFonts w:hint="eastAsia"/>
              </w:rPr>
              <w:t>243,775.26</w:t>
            </w:r>
          </w:p>
        </w:tc>
        <w:tc>
          <w:tcPr>
            <w:tcW w:w="2768" w:type="dxa"/>
            <w:vAlign w:val="center"/>
          </w:tcPr>
          <w:p w14:paraId="1D313F5B">
            <w:pPr>
              <w:jc w:val="right"/>
            </w:pPr>
            <w:r>
              <w:rPr>
                <w:rFonts w:hint="eastAsia"/>
              </w:rPr>
              <w:t>231,931.75</w:t>
            </w:r>
          </w:p>
        </w:tc>
      </w:tr>
    </w:tbl>
    <w:p w14:paraId="799EDED2">
      <w:pPr>
        <w:pStyle w:val="35"/>
      </w:pPr>
      <w:bookmarkStart w:id="81" w:name="_Toc81"/>
      <w:r>
        <w:t xml:space="preserve">实收基金 </w:t>
      </w:r>
      <w:bookmarkEnd w:id="81"/>
    </w:p>
    <w:p w14:paraId="15991E6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A87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79BAA9">
            <w:pPr>
              <w:jc w:val="center"/>
            </w:pPr>
            <w:r>
              <w:rPr>
                <w:rFonts w:hint="eastAsia"/>
                <w:b/>
              </w:rPr>
              <w:t>项目</w:t>
            </w:r>
          </w:p>
        </w:tc>
        <w:tc>
          <w:tcPr>
            <w:tcW w:w="2491" w:type="dxa"/>
            <w:gridSpan w:val="2"/>
            <w:shd w:val="clear" w:color="auto" w:fill="BFBFBF"/>
            <w:vAlign w:val="center"/>
          </w:tcPr>
          <w:p w14:paraId="15BB61E2">
            <w:pPr>
              <w:jc w:val="center"/>
            </w:pPr>
            <w:r>
              <w:rPr>
                <w:rFonts w:hint="eastAsia"/>
                <w:b/>
              </w:rPr>
              <w:t>本期2025年1月1日至2025年12月31日</w:t>
            </w:r>
          </w:p>
        </w:tc>
      </w:tr>
      <w:tr w14:paraId="4368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DBA1F75"/>
        </w:tc>
        <w:tc>
          <w:tcPr>
            <w:tcW w:w="2491" w:type="dxa"/>
            <w:shd w:val="clear" w:color="auto" w:fill="BFBFBF"/>
            <w:vAlign w:val="center"/>
          </w:tcPr>
          <w:p w14:paraId="724FD4E7">
            <w:pPr>
              <w:jc w:val="center"/>
            </w:pPr>
            <w:r>
              <w:rPr>
                <w:rFonts w:hint="eastAsia"/>
                <w:b/>
              </w:rPr>
              <w:t>基金份额（份）</w:t>
            </w:r>
          </w:p>
        </w:tc>
        <w:tc>
          <w:tcPr>
            <w:tcW w:w="2907" w:type="dxa"/>
            <w:shd w:val="clear" w:color="auto" w:fill="BFBFBF"/>
            <w:vAlign w:val="center"/>
          </w:tcPr>
          <w:p w14:paraId="4DC4B3DE">
            <w:pPr>
              <w:jc w:val="center"/>
            </w:pPr>
            <w:r>
              <w:rPr>
                <w:rFonts w:hint="eastAsia"/>
                <w:b/>
              </w:rPr>
              <w:t>账面金额</w:t>
            </w:r>
          </w:p>
        </w:tc>
      </w:tr>
      <w:tr w14:paraId="3EBF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7E5A3F">
            <w:r>
              <w:rPr>
                <w:rFonts w:hint="eastAsia"/>
              </w:rPr>
              <w:t>上年度末</w:t>
            </w:r>
          </w:p>
        </w:tc>
        <w:tc>
          <w:tcPr>
            <w:tcW w:w="2491" w:type="dxa"/>
            <w:vAlign w:val="center"/>
          </w:tcPr>
          <w:p w14:paraId="69298D56">
            <w:pPr>
              <w:jc w:val="right"/>
            </w:pPr>
            <w:r>
              <w:rPr>
                <w:rFonts w:hint="eastAsia"/>
              </w:rPr>
              <w:t>1,485,842,266.76</w:t>
            </w:r>
          </w:p>
        </w:tc>
        <w:tc>
          <w:tcPr>
            <w:tcW w:w="2907" w:type="dxa"/>
            <w:vAlign w:val="center"/>
          </w:tcPr>
          <w:p w14:paraId="669D4548">
            <w:pPr>
              <w:jc w:val="right"/>
            </w:pPr>
            <w:r>
              <w:rPr>
                <w:rFonts w:hint="eastAsia"/>
              </w:rPr>
              <w:t>1,485,842,266.76</w:t>
            </w:r>
          </w:p>
        </w:tc>
      </w:tr>
      <w:tr w14:paraId="7D6F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8D066E">
            <w:r>
              <w:rPr>
                <w:rFonts w:hint="eastAsia"/>
              </w:rPr>
              <w:t>本期申购</w:t>
            </w:r>
          </w:p>
        </w:tc>
        <w:tc>
          <w:tcPr>
            <w:tcW w:w="2491" w:type="dxa"/>
            <w:vAlign w:val="center"/>
          </w:tcPr>
          <w:p w14:paraId="0DEB56D3">
            <w:pPr>
              <w:jc w:val="right"/>
            </w:pPr>
            <w:r>
              <w:rPr>
                <w:rFonts w:hint="eastAsia"/>
              </w:rPr>
              <w:t>5,616,736.87</w:t>
            </w:r>
          </w:p>
        </w:tc>
        <w:tc>
          <w:tcPr>
            <w:tcW w:w="2907" w:type="dxa"/>
            <w:vAlign w:val="center"/>
          </w:tcPr>
          <w:p w14:paraId="2FE14C2D">
            <w:pPr>
              <w:jc w:val="right"/>
            </w:pPr>
            <w:r>
              <w:rPr>
                <w:rFonts w:hint="eastAsia"/>
              </w:rPr>
              <w:t>5,616,736.87</w:t>
            </w:r>
          </w:p>
        </w:tc>
      </w:tr>
      <w:tr w14:paraId="100C1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22A137">
            <w:r>
              <w:rPr>
                <w:rFonts w:hint="eastAsia"/>
              </w:rPr>
              <w:t>本期赎回（以“-”号填列）</w:t>
            </w:r>
          </w:p>
        </w:tc>
        <w:tc>
          <w:tcPr>
            <w:tcW w:w="2491" w:type="dxa"/>
            <w:vAlign w:val="center"/>
          </w:tcPr>
          <w:p w14:paraId="0A1FAB4B">
            <w:pPr>
              <w:jc w:val="right"/>
            </w:pPr>
            <w:r>
              <w:rPr>
                <w:rFonts w:hint="eastAsia"/>
              </w:rPr>
              <w:t>-489,497,874.05</w:t>
            </w:r>
          </w:p>
        </w:tc>
        <w:tc>
          <w:tcPr>
            <w:tcW w:w="2907" w:type="dxa"/>
            <w:vAlign w:val="center"/>
          </w:tcPr>
          <w:p w14:paraId="29A6CFC6">
            <w:pPr>
              <w:jc w:val="right"/>
            </w:pPr>
            <w:r>
              <w:rPr>
                <w:rFonts w:hint="eastAsia"/>
              </w:rPr>
              <w:t>-489,497,874.05</w:t>
            </w:r>
          </w:p>
        </w:tc>
      </w:tr>
      <w:tr w14:paraId="2B3D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FB23CA">
            <w:r>
              <w:rPr>
                <w:rFonts w:hint="eastAsia"/>
              </w:rPr>
              <w:t>基金拆分/份额折算前</w:t>
            </w:r>
          </w:p>
        </w:tc>
        <w:tc>
          <w:tcPr>
            <w:tcW w:w="2491" w:type="dxa"/>
            <w:vAlign w:val="center"/>
          </w:tcPr>
          <w:p w14:paraId="4F3ACD03">
            <w:pPr>
              <w:jc w:val="right"/>
            </w:pPr>
            <w:r>
              <w:rPr>
                <w:rFonts w:hint="eastAsia"/>
              </w:rPr>
              <w:t>-</w:t>
            </w:r>
          </w:p>
        </w:tc>
        <w:tc>
          <w:tcPr>
            <w:tcW w:w="2907" w:type="dxa"/>
            <w:vAlign w:val="center"/>
          </w:tcPr>
          <w:p w14:paraId="18E0FD55">
            <w:pPr>
              <w:jc w:val="right"/>
            </w:pPr>
            <w:r>
              <w:rPr>
                <w:rFonts w:hint="eastAsia"/>
              </w:rPr>
              <w:t>-</w:t>
            </w:r>
          </w:p>
        </w:tc>
      </w:tr>
      <w:tr w14:paraId="79E0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39495E">
            <w:r>
              <w:rPr>
                <w:rFonts w:hint="eastAsia"/>
              </w:rPr>
              <w:t>基金拆分/份额折算调整</w:t>
            </w:r>
          </w:p>
        </w:tc>
        <w:tc>
          <w:tcPr>
            <w:tcW w:w="2491" w:type="dxa"/>
            <w:vAlign w:val="center"/>
          </w:tcPr>
          <w:p w14:paraId="2630199E">
            <w:pPr>
              <w:jc w:val="right"/>
            </w:pPr>
            <w:r>
              <w:rPr>
                <w:rFonts w:hint="eastAsia"/>
              </w:rPr>
              <w:t>-</w:t>
            </w:r>
          </w:p>
        </w:tc>
        <w:tc>
          <w:tcPr>
            <w:tcW w:w="2907" w:type="dxa"/>
            <w:vAlign w:val="center"/>
          </w:tcPr>
          <w:p w14:paraId="056602AF">
            <w:pPr>
              <w:jc w:val="right"/>
            </w:pPr>
            <w:r>
              <w:rPr>
                <w:rFonts w:hint="eastAsia"/>
              </w:rPr>
              <w:t>-</w:t>
            </w:r>
          </w:p>
        </w:tc>
      </w:tr>
      <w:tr w14:paraId="2E1A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80713F">
            <w:r>
              <w:rPr>
                <w:rFonts w:hint="eastAsia"/>
              </w:rPr>
              <w:t>本期申购</w:t>
            </w:r>
          </w:p>
        </w:tc>
        <w:tc>
          <w:tcPr>
            <w:tcW w:w="2491" w:type="dxa"/>
            <w:vAlign w:val="center"/>
          </w:tcPr>
          <w:p w14:paraId="15ADB2BD">
            <w:pPr>
              <w:jc w:val="right"/>
            </w:pPr>
            <w:r>
              <w:rPr>
                <w:rFonts w:hint="eastAsia"/>
              </w:rPr>
              <w:t>-</w:t>
            </w:r>
          </w:p>
        </w:tc>
        <w:tc>
          <w:tcPr>
            <w:tcW w:w="2907" w:type="dxa"/>
            <w:vAlign w:val="center"/>
          </w:tcPr>
          <w:p w14:paraId="20BFE446">
            <w:pPr>
              <w:jc w:val="right"/>
            </w:pPr>
            <w:r>
              <w:rPr>
                <w:rFonts w:hint="eastAsia"/>
              </w:rPr>
              <w:t>-</w:t>
            </w:r>
          </w:p>
        </w:tc>
      </w:tr>
      <w:tr w14:paraId="1189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05D489">
            <w:r>
              <w:rPr>
                <w:rFonts w:hint="eastAsia"/>
              </w:rPr>
              <w:t>本期赎回（以“-”号填列）</w:t>
            </w:r>
          </w:p>
        </w:tc>
        <w:tc>
          <w:tcPr>
            <w:tcW w:w="2491" w:type="dxa"/>
            <w:vAlign w:val="center"/>
          </w:tcPr>
          <w:p w14:paraId="788F8376">
            <w:pPr>
              <w:jc w:val="right"/>
            </w:pPr>
            <w:r>
              <w:rPr>
                <w:rFonts w:hint="eastAsia"/>
              </w:rPr>
              <w:t>-</w:t>
            </w:r>
          </w:p>
        </w:tc>
        <w:tc>
          <w:tcPr>
            <w:tcW w:w="2907" w:type="dxa"/>
            <w:vAlign w:val="center"/>
          </w:tcPr>
          <w:p w14:paraId="0480C662">
            <w:pPr>
              <w:jc w:val="right"/>
            </w:pPr>
            <w:r>
              <w:rPr>
                <w:rFonts w:hint="eastAsia"/>
              </w:rPr>
              <w:t>-</w:t>
            </w:r>
          </w:p>
        </w:tc>
      </w:tr>
      <w:tr w14:paraId="63F5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AE08BA">
            <w:r>
              <w:rPr>
                <w:rFonts w:hint="eastAsia"/>
              </w:rPr>
              <w:t>本期末</w:t>
            </w:r>
          </w:p>
        </w:tc>
        <w:tc>
          <w:tcPr>
            <w:tcW w:w="2491" w:type="dxa"/>
            <w:vAlign w:val="center"/>
          </w:tcPr>
          <w:p w14:paraId="668AE7F1">
            <w:pPr>
              <w:jc w:val="right"/>
            </w:pPr>
            <w:r>
              <w:rPr>
                <w:rFonts w:hint="eastAsia"/>
              </w:rPr>
              <w:t>1,001,961,129.58</w:t>
            </w:r>
          </w:p>
        </w:tc>
        <w:tc>
          <w:tcPr>
            <w:tcW w:w="2907" w:type="dxa"/>
            <w:vAlign w:val="center"/>
          </w:tcPr>
          <w:p w14:paraId="1AF4AF4C">
            <w:pPr>
              <w:jc w:val="right"/>
            </w:pPr>
            <w:r>
              <w:rPr>
                <w:rFonts w:hint="eastAsia"/>
              </w:rPr>
              <w:t>1,001,961,129.58</w:t>
            </w:r>
          </w:p>
        </w:tc>
      </w:tr>
    </w:tbl>
    <w:p w14:paraId="3904DE65">
      <w:pPr>
        <w:pStyle w:val="47"/>
        <w:rPr>
          <w:rFonts w:hint="eastAsia"/>
        </w:rPr>
      </w:pPr>
      <w:r>
        <w:rPr>
          <w:rFonts w:hint="eastAsia"/>
        </w:rPr>
        <w:t>注：本基金申购含红利再投份额（如有）、转换入份额（如有）；赎回含转出份额（如有）。</w:t>
      </w:r>
    </w:p>
    <w:p w14:paraId="5ECEC8CA">
      <w:pPr>
        <w:pStyle w:val="35"/>
      </w:pPr>
      <w:bookmarkStart w:id="82" w:name="_Toc82"/>
      <w:r>
        <w:t xml:space="preserve"> 未分配利润 </w:t>
      </w:r>
      <w:bookmarkEnd w:id="82"/>
    </w:p>
    <w:p w14:paraId="1BB2C4F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EDC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6887411">
            <w:pPr>
              <w:jc w:val="center"/>
            </w:pPr>
            <w:r>
              <w:rPr>
                <w:rFonts w:hint="eastAsia"/>
                <w:b/>
              </w:rPr>
              <w:t>项目</w:t>
            </w:r>
          </w:p>
        </w:tc>
        <w:tc>
          <w:tcPr>
            <w:tcW w:w="2076" w:type="dxa"/>
            <w:shd w:val="clear" w:color="auto" w:fill="BFBFBF"/>
            <w:vAlign w:val="center"/>
          </w:tcPr>
          <w:p w14:paraId="73D54F52">
            <w:pPr>
              <w:jc w:val="center"/>
            </w:pPr>
            <w:r>
              <w:rPr>
                <w:rFonts w:hint="eastAsia"/>
                <w:b/>
              </w:rPr>
              <w:t>已实现部分</w:t>
            </w:r>
          </w:p>
        </w:tc>
        <w:tc>
          <w:tcPr>
            <w:tcW w:w="2076" w:type="dxa"/>
            <w:shd w:val="clear" w:color="auto" w:fill="BFBFBF"/>
            <w:vAlign w:val="center"/>
          </w:tcPr>
          <w:p w14:paraId="4DDA5250">
            <w:pPr>
              <w:jc w:val="center"/>
            </w:pPr>
            <w:r>
              <w:rPr>
                <w:rFonts w:hint="eastAsia"/>
                <w:b/>
              </w:rPr>
              <w:t>未实现部分</w:t>
            </w:r>
          </w:p>
        </w:tc>
        <w:tc>
          <w:tcPr>
            <w:tcW w:w="2076" w:type="dxa"/>
            <w:shd w:val="clear" w:color="auto" w:fill="BFBFBF"/>
            <w:vAlign w:val="center"/>
          </w:tcPr>
          <w:p w14:paraId="693DABF1">
            <w:pPr>
              <w:jc w:val="center"/>
            </w:pPr>
            <w:r>
              <w:rPr>
                <w:rFonts w:hint="eastAsia"/>
                <w:b/>
              </w:rPr>
              <w:t>未分配利润合计</w:t>
            </w:r>
          </w:p>
        </w:tc>
      </w:tr>
      <w:tr w14:paraId="05EC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9CAA1A">
            <w:r>
              <w:rPr>
                <w:rFonts w:hint="eastAsia"/>
              </w:rPr>
              <w:t>上年度末</w:t>
            </w:r>
          </w:p>
        </w:tc>
        <w:tc>
          <w:tcPr>
            <w:tcW w:w="2076" w:type="dxa"/>
            <w:vAlign w:val="center"/>
          </w:tcPr>
          <w:p w14:paraId="37562A13">
            <w:pPr>
              <w:jc w:val="right"/>
            </w:pPr>
            <w:r>
              <w:rPr>
                <w:rFonts w:hint="eastAsia"/>
              </w:rPr>
              <w:t>131,616,565.26</w:t>
            </w:r>
          </w:p>
        </w:tc>
        <w:tc>
          <w:tcPr>
            <w:tcW w:w="2076" w:type="dxa"/>
            <w:vAlign w:val="center"/>
          </w:tcPr>
          <w:p w14:paraId="0A6F3C18">
            <w:pPr>
              <w:jc w:val="right"/>
            </w:pPr>
            <w:r>
              <w:rPr>
                <w:rFonts w:hint="eastAsia"/>
              </w:rPr>
              <w:t>28,570,860.01</w:t>
            </w:r>
          </w:p>
        </w:tc>
        <w:tc>
          <w:tcPr>
            <w:tcW w:w="2076" w:type="dxa"/>
            <w:vAlign w:val="center"/>
          </w:tcPr>
          <w:p w14:paraId="362603FE">
            <w:pPr>
              <w:jc w:val="right"/>
            </w:pPr>
            <w:r>
              <w:rPr>
                <w:rFonts w:hint="eastAsia"/>
              </w:rPr>
              <w:t>160,187,425.27</w:t>
            </w:r>
          </w:p>
        </w:tc>
      </w:tr>
      <w:tr w14:paraId="02E2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5341C0">
            <w:r>
              <w:rPr>
                <w:rFonts w:hint="eastAsia"/>
              </w:rPr>
              <w:t>加：会计政策变更</w:t>
            </w:r>
          </w:p>
        </w:tc>
        <w:tc>
          <w:tcPr>
            <w:tcW w:w="2076" w:type="dxa"/>
            <w:vAlign w:val="center"/>
          </w:tcPr>
          <w:p w14:paraId="1A48CC42">
            <w:pPr>
              <w:jc w:val="right"/>
            </w:pPr>
            <w:r>
              <w:rPr>
                <w:rFonts w:hint="eastAsia"/>
              </w:rPr>
              <w:t>-</w:t>
            </w:r>
          </w:p>
        </w:tc>
        <w:tc>
          <w:tcPr>
            <w:tcW w:w="2076" w:type="dxa"/>
            <w:vAlign w:val="center"/>
          </w:tcPr>
          <w:p w14:paraId="3026302A">
            <w:pPr>
              <w:jc w:val="right"/>
            </w:pPr>
            <w:r>
              <w:rPr>
                <w:rFonts w:hint="eastAsia"/>
              </w:rPr>
              <w:t>-</w:t>
            </w:r>
          </w:p>
        </w:tc>
        <w:tc>
          <w:tcPr>
            <w:tcW w:w="2076" w:type="dxa"/>
            <w:vAlign w:val="center"/>
          </w:tcPr>
          <w:p w14:paraId="29220BBB">
            <w:pPr>
              <w:jc w:val="right"/>
            </w:pPr>
            <w:r>
              <w:rPr>
                <w:rFonts w:hint="eastAsia"/>
              </w:rPr>
              <w:t>-</w:t>
            </w:r>
          </w:p>
        </w:tc>
      </w:tr>
      <w:tr w14:paraId="521D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5EC714">
            <w:r>
              <w:rPr>
                <w:rFonts w:hint="eastAsia"/>
              </w:rPr>
              <w:t xml:space="preserve">      前期差错更正</w:t>
            </w:r>
          </w:p>
        </w:tc>
        <w:tc>
          <w:tcPr>
            <w:tcW w:w="2076" w:type="dxa"/>
            <w:vAlign w:val="center"/>
          </w:tcPr>
          <w:p w14:paraId="249C95EF">
            <w:pPr>
              <w:jc w:val="right"/>
            </w:pPr>
            <w:r>
              <w:rPr>
                <w:rFonts w:hint="eastAsia"/>
              </w:rPr>
              <w:t>-</w:t>
            </w:r>
          </w:p>
        </w:tc>
        <w:tc>
          <w:tcPr>
            <w:tcW w:w="2076" w:type="dxa"/>
            <w:vAlign w:val="center"/>
          </w:tcPr>
          <w:p w14:paraId="7B1A0098">
            <w:pPr>
              <w:jc w:val="right"/>
            </w:pPr>
            <w:r>
              <w:rPr>
                <w:rFonts w:hint="eastAsia"/>
              </w:rPr>
              <w:t>-</w:t>
            </w:r>
          </w:p>
        </w:tc>
        <w:tc>
          <w:tcPr>
            <w:tcW w:w="2076" w:type="dxa"/>
            <w:vAlign w:val="center"/>
          </w:tcPr>
          <w:p w14:paraId="0C16ED5C">
            <w:pPr>
              <w:jc w:val="right"/>
            </w:pPr>
            <w:r>
              <w:rPr>
                <w:rFonts w:hint="eastAsia"/>
              </w:rPr>
              <w:t>-</w:t>
            </w:r>
          </w:p>
        </w:tc>
      </w:tr>
      <w:tr w14:paraId="460F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AA012A">
            <w:r>
              <w:rPr>
                <w:rFonts w:hint="eastAsia"/>
              </w:rPr>
              <w:t xml:space="preserve">      其他</w:t>
            </w:r>
          </w:p>
        </w:tc>
        <w:tc>
          <w:tcPr>
            <w:tcW w:w="2076" w:type="dxa"/>
            <w:vAlign w:val="center"/>
          </w:tcPr>
          <w:p w14:paraId="1B04732A">
            <w:pPr>
              <w:jc w:val="right"/>
            </w:pPr>
            <w:r>
              <w:rPr>
                <w:rFonts w:hint="eastAsia"/>
              </w:rPr>
              <w:t>-</w:t>
            </w:r>
          </w:p>
        </w:tc>
        <w:tc>
          <w:tcPr>
            <w:tcW w:w="2076" w:type="dxa"/>
            <w:vAlign w:val="center"/>
          </w:tcPr>
          <w:p w14:paraId="427807EB">
            <w:pPr>
              <w:jc w:val="right"/>
            </w:pPr>
            <w:r>
              <w:rPr>
                <w:rFonts w:hint="eastAsia"/>
              </w:rPr>
              <w:t>-</w:t>
            </w:r>
          </w:p>
        </w:tc>
        <w:tc>
          <w:tcPr>
            <w:tcW w:w="2076" w:type="dxa"/>
            <w:vAlign w:val="center"/>
          </w:tcPr>
          <w:p w14:paraId="64E40016">
            <w:pPr>
              <w:jc w:val="right"/>
            </w:pPr>
            <w:r>
              <w:rPr>
                <w:rFonts w:hint="eastAsia"/>
              </w:rPr>
              <w:t>-</w:t>
            </w:r>
          </w:p>
        </w:tc>
      </w:tr>
      <w:tr w14:paraId="7C71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8F0789">
            <w:r>
              <w:rPr>
                <w:rFonts w:hint="eastAsia"/>
              </w:rPr>
              <w:t>本期期初</w:t>
            </w:r>
          </w:p>
        </w:tc>
        <w:tc>
          <w:tcPr>
            <w:tcW w:w="2076" w:type="dxa"/>
            <w:vAlign w:val="center"/>
          </w:tcPr>
          <w:p w14:paraId="0CA2424F">
            <w:pPr>
              <w:jc w:val="right"/>
            </w:pPr>
            <w:r>
              <w:rPr>
                <w:rFonts w:hint="eastAsia"/>
              </w:rPr>
              <w:t>131,616,565.26</w:t>
            </w:r>
          </w:p>
        </w:tc>
        <w:tc>
          <w:tcPr>
            <w:tcW w:w="2076" w:type="dxa"/>
            <w:vAlign w:val="center"/>
          </w:tcPr>
          <w:p w14:paraId="153BF1B0">
            <w:pPr>
              <w:jc w:val="right"/>
            </w:pPr>
            <w:r>
              <w:rPr>
                <w:rFonts w:hint="eastAsia"/>
              </w:rPr>
              <w:t>28,570,860.01</w:t>
            </w:r>
          </w:p>
        </w:tc>
        <w:tc>
          <w:tcPr>
            <w:tcW w:w="2076" w:type="dxa"/>
            <w:vAlign w:val="center"/>
          </w:tcPr>
          <w:p w14:paraId="0FF42443">
            <w:pPr>
              <w:jc w:val="right"/>
            </w:pPr>
            <w:r>
              <w:rPr>
                <w:rFonts w:hint="eastAsia"/>
              </w:rPr>
              <w:t>160,187,425.27</w:t>
            </w:r>
          </w:p>
        </w:tc>
      </w:tr>
      <w:tr w14:paraId="428B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A8ECD9">
            <w:r>
              <w:rPr>
                <w:rFonts w:hint="eastAsia"/>
              </w:rPr>
              <w:t>本期利润</w:t>
            </w:r>
          </w:p>
        </w:tc>
        <w:tc>
          <w:tcPr>
            <w:tcW w:w="2076" w:type="dxa"/>
            <w:vAlign w:val="center"/>
          </w:tcPr>
          <w:p w14:paraId="150AF73C">
            <w:pPr>
              <w:jc w:val="right"/>
            </w:pPr>
            <w:r>
              <w:rPr>
                <w:rFonts w:hint="eastAsia"/>
              </w:rPr>
              <w:t>39,578,674.63</w:t>
            </w:r>
          </w:p>
        </w:tc>
        <w:tc>
          <w:tcPr>
            <w:tcW w:w="2076" w:type="dxa"/>
            <w:vAlign w:val="center"/>
          </w:tcPr>
          <w:p w14:paraId="6CF0F01B">
            <w:pPr>
              <w:jc w:val="right"/>
            </w:pPr>
            <w:r>
              <w:rPr>
                <w:rFonts w:hint="eastAsia"/>
              </w:rPr>
              <w:t>-24,384,371.47</w:t>
            </w:r>
          </w:p>
        </w:tc>
        <w:tc>
          <w:tcPr>
            <w:tcW w:w="2076" w:type="dxa"/>
            <w:vAlign w:val="center"/>
          </w:tcPr>
          <w:p w14:paraId="6F38E8DC">
            <w:pPr>
              <w:jc w:val="right"/>
            </w:pPr>
            <w:r>
              <w:rPr>
                <w:rFonts w:hint="eastAsia"/>
              </w:rPr>
              <w:t>15,194,303.16</w:t>
            </w:r>
          </w:p>
        </w:tc>
      </w:tr>
      <w:tr w14:paraId="0B1A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AD9918">
            <w:r>
              <w:rPr>
                <w:rFonts w:hint="eastAsia"/>
              </w:rPr>
              <w:t>本期基金份额交易产生的变动数</w:t>
            </w:r>
          </w:p>
        </w:tc>
        <w:tc>
          <w:tcPr>
            <w:tcW w:w="2076" w:type="dxa"/>
            <w:vAlign w:val="center"/>
          </w:tcPr>
          <w:p w14:paraId="24A2B1D1">
            <w:pPr>
              <w:jc w:val="right"/>
            </w:pPr>
            <w:r>
              <w:rPr>
                <w:rFonts w:hint="eastAsia"/>
              </w:rPr>
              <w:t>-29,781,350.43</w:t>
            </w:r>
          </w:p>
        </w:tc>
        <w:tc>
          <w:tcPr>
            <w:tcW w:w="2076" w:type="dxa"/>
            <w:vAlign w:val="center"/>
          </w:tcPr>
          <w:p w14:paraId="613A91A9">
            <w:pPr>
              <w:jc w:val="right"/>
            </w:pPr>
            <w:r>
              <w:rPr>
                <w:rFonts w:hint="eastAsia"/>
              </w:rPr>
              <w:t>-284,068.35</w:t>
            </w:r>
          </w:p>
        </w:tc>
        <w:tc>
          <w:tcPr>
            <w:tcW w:w="2076" w:type="dxa"/>
            <w:vAlign w:val="center"/>
          </w:tcPr>
          <w:p w14:paraId="244A8FC6">
            <w:pPr>
              <w:jc w:val="right"/>
            </w:pPr>
            <w:r>
              <w:rPr>
                <w:rFonts w:hint="eastAsia"/>
              </w:rPr>
              <w:t>-30,065,418.78</w:t>
            </w:r>
          </w:p>
        </w:tc>
      </w:tr>
      <w:tr w14:paraId="536B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CA33BA">
            <w:r>
              <w:rPr>
                <w:rFonts w:hint="eastAsia"/>
              </w:rPr>
              <w:t>其中：基金申购款</w:t>
            </w:r>
          </w:p>
        </w:tc>
        <w:tc>
          <w:tcPr>
            <w:tcW w:w="2076" w:type="dxa"/>
            <w:vAlign w:val="center"/>
          </w:tcPr>
          <w:p w14:paraId="11AC1F6A">
            <w:pPr>
              <w:jc w:val="right"/>
            </w:pPr>
            <w:r>
              <w:rPr>
                <w:rFonts w:hint="eastAsia"/>
              </w:rPr>
              <w:t>407,219.66</w:t>
            </w:r>
          </w:p>
        </w:tc>
        <w:tc>
          <w:tcPr>
            <w:tcW w:w="2076" w:type="dxa"/>
            <w:vAlign w:val="center"/>
          </w:tcPr>
          <w:p w14:paraId="6B6C92CD">
            <w:pPr>
              <w:jc w:val="right"/>
            </w:pPr>
            <w:r>
              <w:rPr>
                <w:rFonts w:hint="eastAsia"/>
              </w:rPr>
              <w:t>72,038.19</w:t>
            </w:r>
          </w:p>
        </w:tc>
        <w:tc>
          <w:tcPr>
            <w:tcW w:w="2076" w:type="dxa"/>
            <w:vAlign w:val="center"/>
          </w:tcPr>
          <w:p w14:paraId="006F4F02">
            <w:pPr>
              <w:jc w:val="right"/>
            </w:pPr>
            <w:r>
              <w:rPr>
                <w:rFonts w:hint="eastAsia"/>
              </w:rPr>
              <w:t>479,257.85</w:t>
            </w:r>
          </w:p>
        </w:tc>
      </w:tr>
      <w:tr w14:paraId="5E320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5C0D56">
            <w:r>
              <w:rPr>
                <w:rFonts w:hint="eastAsia"/>
              </w:rPr>
              <w:t xml:space="preserve">      基金赎回款</w:t>
            </w:r>
          </w:p>
        </w:tc>
        <w:tc>
          <w:tcPr>
            <w:tcW w:w="2076" w:type="dxa"/>
            <w:vAlign w:val="center"/>
          </w:tcPr>
          <w:p w14:paraId="4724DBF3">
            <w:pPr>
              <w:jc w:val="right"/>
            </w:pPr>
            <w:r>
              <w:rPr>
                <w:rFonts w:hint="eastAsia"/>
              </w:rPr>
              <w:t>-30,188,570.09</w:t>
            </w:r>
          </w:p>
        </w:tc>
        <w:tc>
          <w:tcPr>
            <w:tcW w:w="2076" w:type="dxa"/>
            <w:vAlign w:val="center"/>
          </w:tcPr>
          <w:p w14:paraId="0D9C2FB0">
            <w:pPr>
              <w:jc w:val="right"/>
            </w:pPr>
            <w:r>
              <w:rPr>
                <w:rFonts w:hint="eastAsia"/>
              </w:rPr>
              <w:t>-356,106.54</w:t>
            </w:r>
          </w:p>
        </w:tc>
        <w:tc>
          <w:tcPr>
            <w:tcW w:w="2076" w:type="dxa"/>
            <w:vAlign w:val="center"/>
          </w:tcPr>
          <w:p w14:paraId="0104BE0E">
            <w:pPr>
              <w:jc w:val="right"/>
            </w:pPr>
            <w:r>
              <w:rPr>
                <w:rFonts w:hint="eastAsia"/>
              </w:rPr>
              <w:t>-30,544,676.63</w:t>
            </w:r>
          </w:p>
        </w:tc>
      </w:tr>
      <w:tr w14:paraId="53AD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F7B1DB">
            <w:r>
              <w:rPr>
                <w:rFonts w:hint="eastAsia"/>
              </w:rPr>
              <w:t>本期已分配利润</w:t>
            </w:r>
          </w:p>
        </w:tc>
        <w:tc>
          <w:tcPr>
            <w:tcW w:w="2076" w:type="dxa"/>
            <w:vAlign w:val="center"/>
          </w:tcPr>
          <w:p w14:paraId="4F88DEBD">
            <w:pPr>
              <w:jc w:val="right"/>
            </w:pPr>
            <w:r>
              <w:rPr>
                <w:rFonts w:hint="eastAsia"/>
              </w:rPr>
              <w:t>-81,860,301.39</w:t>
            </w:r>
          </w:p>
        </w:tc>
        <w:tc>
          <w:tcPr>
            <w:tcW w:w="2076" w:type="dxa"/>
            <w:vAlign w:val="center"/>
          </w:tcPr>
          <w:p w14:paraId="56376B86">
            <w:pPr>
              <w:jc w:val="right"/>
            </w:pPr>
            <w:r>
              <w:rPr>
                <w:rFonts w:hint="eastAsia"/>
              </w:rPr>
              <w:t>-</w:t>
            </w:r>
          </w:p>
        </w:tc>
        <w:tc>
          <w:tcPr>
            <w:tcW w:w="2076" w:type="dxa"/>
            <w:vAlign w:val="center"/>
          </w:tcPr>
          <w:p w14:paraId="1FBCD09C">
            <w:pPr>
              <w:jc w:val="right"/>
            </w:pPr>
            <w:r>
              <w:rPr>
                <w:rFonts w:hint="eastAsia"/>
              </w:rPr>
              <w:t>-81,860,301.39</w:t>
            </w:r>
          </w:p>
        </w:tc>
      </w:tr>
      <w:tr w14:paraId="15F4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9487AD">
            <w:r>
              <w:rPr>
                <w:rFonts w:hint="eastAsia"/>
              </w:rPr>
              <w:t>本期末</w:t>
            </w:r>
          </w:p>
        </w:tc>
        <w:tc>
          <w:tcPr>
            <w:tcW w:w="2076" w:type="dxa"/>
            <w:vAlign w:val="center"/>
          </w:tcPr>
          <w:p w14:paraId="5142D515">
            <w:pPr>
              <w:jc w:val="right"/>
            </w:pPr>
            <w:r>
              <w:rPr>
                <w:rFonts w:hint="eastAsia"/>
              </w:rPr>
              <w:t>59,553,588.07</w:t>
            </w:r>
          </w:p>
        </w:tc>
        <w:tc>
          <w:tcPr>
            <w:tcW w:w="2076" w:type="dxa"/>
            <w:vAlign w:val="center"/>
          </w:tcPr>
          <w:p w14:paraId="7A996ACE">
            <w:pPr>
              <w:jc w:val="right"/>
            </w:pPr>
            <w:r>
              <w:rPr>
                <w:rFonts w:hint="eastAsia"/>
              </w:rPr>
              <w:t>3,902,420.19</w:t>
            </w:r>
          </w:p>
        </w:tc>
        <w:tc>
          <w:tcPr>
            <w:tcW w:w="2076" w:type="dxa"/>
            <w:vAlign w:val="center"/>
          </w:tcPr>
          <w:p w14:paraId="76D69AF3">
            <w:pPr>
              <w:jc w:val="right"/>
            </w:pPr>
            <w:r>
              <w:rPr>
                <w:rFonts w:hint="eastAsia"/>
              </w:rPr>
              <w:t>63,456,008.26</w:t>
            </w:r>
          </w:p>
        </w:tc>
      </w:tr>
    </w:tbl>
    <w:p w14:paraId="0C47868D">
      <w:pPr>
        <w:pStyle w:val="35"/>
      </w:pPr>
      <w:bookmarkStart w:id="83" w:name="_Toc83"/>
      <w:r>
        <w:t xml:space="preserve"> 存款利息收入</w:t>
      </w:r>
      <w:bookmarkEnd w:id="83"/>
    </w:p>
    <w:p w14:paraId="4CA21D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85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4A8484">
            <w:pPr>
              <w:jc w:val="center"/>
            </w:pPr>
            <w:r>
              <w:rPr>
                <w:rFonts w:hint="eastAsia"/>
                <w:b/>
              </w:rPr>
              <w:t>项目</w:t>
            </w:r>
          </w:p>
        </w:tc>
        <w:tc>
          <w:tcPr>
            <w:tcW w:w="2768" w:type="dxa"/>
            <w:shd w:val="clear" w:color="auto" w:fill="BFBFBF"/>
            <w:vAlign w:val="center"/>
          </w:tcPr>
          <w:p w14:paraId="25FBDFE6">
            <w:pPr>
              <w:jc w:val="center"/>
            </w:pPr>
            <w:r>
              <w:rPr>
                <w:rFonts w:hint="eastAsia"/>
                <w:b/>
              </w:rPr>
              <w:t>本期2025年1月1日至2025年12月31日</w:t>
            </w:r>
          </w:p>
        </w:tc>
        <w:tc>
          <w:tcPr>
            <w:tcW w:w="2768" w:type="dxa"/>
            <w:shd w:val="clear" w:color="auto" w:fill="BFBFBF"/>
            <w:vAlign w:val="center"/>
          </w:tcPr>
          <w:p w14:paraId="36A0E63A">
            <w:pPr>
              <w:jc w:val="center"/>
            </w:pPr>
            <w:r>
              <w:rPr>
                <w:rFonts w:hint="eastAsia"/>
                <w:b/>
              </w:rPr>
              <w:t>上年度可比期间2024年1月1日至2024年12月31日</w:t>
            </w:r>
          </w:p>
        </w:tc>
      </w:tr>
      <w:tr w14:paraId="5C09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35E4B">
            <w:r>
              <w:rPr>
                <w:rFonts w:hint="eastAsia"/>
              </w:rPr>
              <w:t>活期存款利息收入</w:t>
            </w:r>
          </w:p>
        </w:tc>
        <w:tc>
          <w:tcPr>
            <w:tcW w:w="2768" w:type="dxa"/>
            <w:vAlign w:val="center"/>
          </w:tcPr>
          <w:p w14:paraId="1142E04B">
            <w:pPr>
              <w:jc w:val="right"/>
            </w:pPr>
            <w:r>
              <w:rPr>
                <w:rFonts w:hint="eastAsia"/>
              </w:rPr>
              <w:t>16,181.00</w:t>
            </w:r>
          </w:p>
        </w:tc>
        <w:tc>
          <w:tcPr>
            <w:tcW w:w="2768" w:type="dxa"/>
            <w:vAlign w:val="center"/>
          </w:tcPr>
          <w:p w14:paraId="06000A05">
            <w:pPr>
              <w:jc w:val="right"/>
            </w:pPr>
            <w:r>
              <w:rPr>
                <w:rFonts w:hint="eastAsia"/>
              </w:rPr>
              <w:t>18,573.26</w:t>
            </w:r>
          </w:p>
        </w:tc>
      </w:tr>
      <w:tr w14:paraId="0D85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A8BA3">
            <w:r>
              <w:rPr>
                <w:rFonts w:hint="eastAsia"/>
              </w:rPr>
              <w:t>定期存款利息收入</w:t>
            </w:r>
          </w:p>
        </w:tc>
        <w:tc>
          <w:tcPr>
            <w:tcW w:w="2768" w:type="dxa"/>
            <w:vAlign w:val="center"/>
          </w:tcPr>
          <w:p w14:paraId="7C630FED">
            <w:pPr>
              <w:jc w:val="right"/>
            </w:pPr>
            <w:r>
              <w:rPr>
                <w:rFonts w:hint="eastAsia"/>
              </w:rPr>
              <w:t>-</w:t>
            </w:r>
          </w:p>
        </w:tc>
        <w:tc>
          <w:tcPr>
            <w:tcW w:w="2768" w:type="dxa"/>
            <w:vAlign w:val="center"/>
          </w:tcPr>
          <w:p w14:paraId="06748651">
            <w:pPr>
              <w:jc w:val="right"/>
            </w:pPr>
            <w:r>
              <w:rPr>
                <w:rFonts w:hint="eastAsia"/>
              </w:rPr>
              <w:t>-</w:t>
            </w:r>
          </w:p>
        </w:tc>
      </w:tr>
      <w:tr w14:paraId="4D01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3D864">
            <w:r>
              <w:rPr>
                <w:rFonts w:hint="eastAsia"/>
              </w:rPr>
              <w:t>其他存款利息收入</w:t>
            </w:r>
          </w:p>
        </w:tc>
        <w:tc>
          <w:tcPr>
            <w:tcW w:w="2768" w:type="dxa"/>
            <w:vAlign w:val="center"/>
          </w:tcPr>
          <w:p w14:paraId="1ECBF0AD">
            <w:pPr>
              <w:jc w:val="right"/>
            </w:pPr>
            <w:r>
              <w:rPr>
                <w:rFonts w:hint="eastAsia"/>
              </w:rPr>
              <w:t>-</w:t>
            </w:r>
          </w:p>
        </w:tc>
        <w:tc>
          <w:tcPr>
            <w:tcW w:w="2768" w:type="dxa"/>
            <w:vAlign w:val="center"/>
          </w:tcPr>
          <w:p w14:paraId="1CB5CB9F">
            <w:pPr>
              <w:jc w:val="right"/>
            </w:pPr>
            <w:r>
              <w:rPr>
                <w:rFonts w:hint="eastAsia"/>
              </w:rPr>
              <w:t>-</w:t>
            </w:r>
          </w:p>
        </w:tc>
      </w:tr>
      <w:tr w14:paraId="22F8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7FFC9">
            <w:r>
              <w:rPr>
                <w:rFonts w:hint="eastAsia"/>
              </w:rPr>
              <w:t>结算备付金利息收入</w:t>
            </w:r>
          </w:p>
        </w:tc>
        <w:tc>
          <w:tcPr>
            <w:tcW w:w="2768" w:type="dxa"/>
            <w:vAlign w:val="center"/>
          </w:tcPr>
          <w:p w14:paraId="21A1F5DD">
            <w:pPr>
              <w:jc w:val="right"/>
            </w:pPr>
            <w:r>
              <w:rPr>
                <w:rFonts w:hint="eastAsia"/>
              </w:rPr>
              <w:t>39.15</w:t>
            </w:r>
          </w:p>
        </w:tc>
        <w:tc>
          <w:tcPr>
            <w:tcW w:w="2768" w:type="dxa"/>
            <w:vAlign w:val="center"/>
          </w:tcPr>
          <w:p w14:paraId="7B3548D1">
            <w:pPr>
              <w:jc w:val="right"/>
            </w:pPr>
            <w:r>
              <w:rPr>
                <w:rFonts w:hint="eastAsia"/>
              </w:rPr>
              <w:t>133,261.32</w:t>
            </w:r>
          </w:p>
        </w:tc>
      </w:tr>
      <w:tr w14:paraId="0902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AD0BF">
            <w:r>
              <w:rPr>
                <w:rFonts w:hint="eastAsia"/>
              </w:rPr>
              <w:t>其他</w:t>
            </w:r>
          </w:p>
        </w:tc>
        <w:tc>
          <w:tcPr>
            <w:tcW w:w="2768" w:type="dxa"/>
            <w:vAlign w:val="center"/>
          </w:tcPr>
          <w:p w14:paraId="4D31F00F">
            <w:pPr>
              <w:jc w:val="right"/>
            </w:pPr>
            <w:r>
              <w:rPr>
                <w:rFonts w:hint="eastAsia"/>
              </w:rPr>
              <w:t>214.27</w:t>
            </w:r>
          </w:p>
        </w:tc>
        <w:tc>
          <w:tcPr>
            <w:tcW w:w="2768" w:type="dxa"/>
            <w:vAlign w:val="center"/>
          </w:tcPr>
          <w:p w14:paraId="38B96926">
            <w:pPr>
              <w:jc w:val="right"/>
            </w:pPr>
            <w:r>
              <w:rPr>
                <w:rFonts w:hint="eastAsia"/>
              </w:rPr>
              <w:t>592.56</w:t>
            </w:r>
          </w:p>
        </w:tc>
      </w:tr>
      <w:tr w14:paraId="0BAD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F84918">
            <w:r>
              <w:rPr>
                <w:rFonts w:hint="eastAsia"/>
              </w:rPr>
              <w:t>合计</w:t>
            </w:r>
          </w:p>
        </w:tc>
        <w:tc>
          <w:tcPr>
            <w:tcW w:w="2768" w:type="dxa"/>
            <w:vAlign w:val="center"/>
          </w:tcPr>
          <w:p w14:paraId="2AD8EA1E">
            <w:pPr>
              <w:jc w:val="right"/>
            </w:pPr>
            <w:r>
              <w:rPr>
                <w:rFonts w:hint="eastAsia"/>
              </w:rPr>
              <w:t>16,434.42</w:t>
            </w:r>
          </w:p>
        </w:tc>
        <w:tc>
          <w:tcPr>
            <w:tcW w:w="2768" w:type="dxa"/>
            <w:vAlign w:val="center"/>
          </w:tcPr>
          <w:p w14:paraId="5A134EDF">
            <w:pPr>
              <w:jc w:val="right"/>
            </w:pPr>
            <w:r>
              <w:rPr>
                <w:rFonts w:hint="eastAsia"/>
              </w:rPr>
              <w:t>152,427.14</w:t>
            </w:r>
          </w:p>
        </w:tc>
      </w:tr>
    </w:tbl>
    <w:p w14:paraId="1ABDD36D">
      <w:pPr>
        <w:pStyle w:val="35"/>
      </w:pPr>
      <w:bookmarkStart w:id="84" w:name="_Toc84"/>
      <w:r>
        <w:t>股票投资收益</w:t>
      </w:r>
      <w:bookmarkEnd w:id="84"/>
    </w:p>
    <w:p w14:paraId="4C5EE90E">
      <w:pPr>
        <w:pStyle w:val="36"/>
      </w:pPr>
      <w:bookmarkStart w:id="85" w:name="_Toc85"/>
      <w:r>
        <w:t>股票投资收益——买卖股票差价收入</w:t>
      </w:r>
      <w:bookmarkEnd w:id="85"/>
    </w:p>
    <w:p w14:paraId="389C10F9">
      <w:pPr>
        <w:pStyle w:val="18"/>
        <w:rPr>
          <w:rFonts w:hint="eastAsia"/>
        </w:rPr>
      </w:pPr>
      <w:r>
        <w:rPr>
          <w:rFonts w:hint="eastAsia"/>
        </w:rPr>
        <w:t>无。</w:t>
      </w:r>
    </w:p>
    <w:p w14:paraId="03E5E008">
      <w:pPr>
        <w:pStyle w:val="35"/>
      </w:pPr>
      <w:bookmarkStart w:id="86" w:name="_Toc86"/>
      <w:r>
        <w:t>基金投资收益</w:t>
      </w:r>
      <w:bookmarkEnd w:id="86"/>
    </w:p>
    <w:p w14:paraId="5F5D8DA7">
      <w:pPr>
        <w:pStyle w:val="18"/>
        <w:rPr>
          <w:rFonts w:hint="eastAsia"/>
        </w:rPr>
      </w:pPr>
      <w:r>
        <w:rPr>
          <w:rFonts w:hint="eastAsia"/>
        </w:rPr>
        <w:t>无。</w:t>
      </w:r>
    </w:p>
    <w:p w14:paraId="3A0B62B6">
      <w:pPr>
        <w:pStyle w:val="35"/>
      </w:pPr>
      <w:bookmarkStart w:id="87" w:name="_Toc87"/>
      <w:r>
        <w:t>债券投资收益</w:t>
      </w:r>
      <w:bookmarkEnd w:id="87"/>
    </w:p>
    <w:p w14:paraId="37FE29E9">
      <w:pPr>
        <w:pStyle w:val="36"/>
      </w:pPr>
      <w:bookmarkStart w:id="88" w:name="_Toc88"/>
      <w:r>
        <w:t>债券投资收益项目构成</w:t>
      </w:r>
      <w:bookmarkEnd w:id="88"/>
    </w:p>
    <w:p w14:paraId="6E53DA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AE4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223AA58">
            <w:pPr>
              <w:jc w:val="center"/>
            </w:pPr>
            <w:r>
              <w:rPr>
                <w:rFonts w:hint="eastAsia"/>
                <w:b/>
              </w:rPr>
              <w:t>项目</w:t>
            </w:r>
          </w:p>
        </w:tc>
        <w:tc>
          <w:tcPr>
            <w:tcW w:w="2469" w:type="dxa"/>
            <w:shd w:val="clear" w:color="auto" w:fill="BFBFBF"/>
            <w:vAlign w:val="center"/>
          </w:tcPr>
          <w:p w14:paraId="1DF2FEEA">
            <w:pPr>
              <w:jc w:val="center"/>
            </w:pPr>
            <w:r>
              <w:rPr>
                <w:rFonts w:hint="eastAsia"/>
                <w:b/>
              </w:rPr>
              <w:t>本期2025年1月1日至2025年12月31日</w:t>
            </w:r>
          </w:p>
        </w:tc>
        <w:tc>
          <w:tcPr>
            <w:tcW w:w="2801" w:type="dxa"/>
            <w:shd w:val="clear" w:color="auto" w:fill="BFBFBF"/>
            <w:vAlign w:val="center"/>
          </w:tcPr>
          <w:p w14:paraId="2F1E0148">
            <w:pPr>
              <w:jc w:val="center"/>
            </w:pPr>
            <w:r>
              <w:rPr>
                <w:rFonts w:hint="eastAsia"/>
                <w:b/>
              </w:rPr>
              <w:t>上年度可比期间2024年1月1日至2024年12月31日</w:t>
            </w:r>
          </w:p>
        </w:tc>
      </w:tr>
      <w:tr w14:paraId="0EAAD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B4FAF0">
            <w:r>
              <w:rPr>
                <w:rFonts w:hint="eastAsia"/>
              </w:rPr>
              <w:t>债券投资收益——利息收入</w:t>
            </w:r>
          </w:p>
        </w:tc>
        <w:tc>
          <w:tcPr>
            <w:tcW w:w="2469" w:type="dxa"/>
            <w:vAlign w:val="center"/>
          </w:tcPr>
          <w:p w14:paraId="4D7618CA">
            <w:pPr>
              <w:jc w:val="right"/>
            </w:pPr>
            <w:r>
              <w:rPr>
                <w:rFonts w:hint="eastAsia"/>
              </w:rPr>
              <w:t>53,076,856.42</w:t>
            </w:r>
          </w:p>
        </w:tc>
        <w:tc>
          <w:tcPr>
            <w:tcW w:w="2801" w:type="dxa"/>
            <w:vAlign w:val="center"/>
          </w:tcPr>
          <w:p w14:paraId="72695E15">
            <w:pPr>
              <w:jc w:val="right"/>
            </w:pPr>
            <w:r>
              <w:rPr>
                <w:rFonts w:hint="eastAsia"/>
              </w:rPr>
              <w:t>63,160,894.93</w:t>
            </w:r>
          </w:p>
        </w:tc>
      </w:tr>
      <w:tr w14:paraId="2886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E42A3C">
            <w:r>
              <w:rPr>
                <w:rFonts w:hint="eastAsia"/>
              </w:rPr>
              <w:t>债券投资收益——买卖债券（债转股及债券到期兑付）差价收入</w:t>
            </w:r>
          </w:p>
        </w:tc>
        <w:tc>
          <w:tcPr>
            <w:tcW w:w="2469" w:type="dxa"/>
            <w:vAlign w:val="center"/>
          </w:tcPr>
          <w:p w14:paraId="3FFB46A1">
            <w:pPr>
              <w:jc w:val="right"/>
            </w:pPr>
            <w:r>
              <w:rPr>
                <w:rFonts w:hint="eastAsia"/>
              </w:rPr>
              <w:t>-1,317,238.78</w:t>
            </w:r>
          </w:p>
        </w:tc>
        <w:tc>
          <w:tcPr>
            <w:tcW w:w="2801" w:type="dxa"/>
            <w:vAlign w:val="center"/>
          </w:tcPr>
          <w:p w14:paraId="1483E5F0">
            <w:pPr>
              <w:jc w:val="right"/>
            </w:pPr>
            <w:r>
              <w:rPr>
                <w:rFonts w:hint="eastAsia"/>
              </w:rPr>
              <w:t>1,106,988.32</w:t>
            </w:r>
          </w:p>
        </w:tc>
      </w:tr>
      <w:tr w14:paraId="703A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BF3165">
            <w:r>
              <w:rPr>
                <w:rFonts w:hint="eastAsia"/>
              </w:rPr>
              <w:t>债券投资收益——赎回差价收入</w:t>
            </w:r>
          </w:p>
        </w:tc>
        <w:tc>
          <w:tcPr>
            <w:tcW w:w="2469" w:type="dxa"/>
            <w:vAlign w:val="center"/>
          </w:tcPr>
          <w:p w14:paraId="7A7FD0A9">
            <w:pPr>
              <w:jc w:val="right"/>
            </w:pPr>
            <w:r>
              <w:rPr>
                <w:rFonts w:hint="eastAsia"/>
              </w:rPr>
              <w:t>-</w:t>
            </w:r>
          </w:p>
        </w:tc>
        <w:tc>
          <w:tcPr>
            <w:tcW w:w="2801" w:type="dxa"/>
            <w:vAlign w:val="center"/>
          </w:tcPr>
          <w:p w14:paraId="5DC0B265">
            <w:pPr>
              <w:jc w:val="right"/>
            </w:pPr>
            <w:r>
              <w:rPr>
                <w:rFonts w:hint="eastAsia"/>
              </w:rPr>
              <w:t>-</w:t>
            </w:r>
          </w:p>
        </w:tc>
      </w:tr>
      <w:tr w14:paraId="00F7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38D3B7">
            <w:r>
              <w:rPr>
                <w:rFonts w:hint="eastAsia"/>
              </w:rPr>
              <w:t>债券投资收益——申购差价收入</w:t>
            </w:r>
          </w:p>
        </w:tc>
        <w:tc>
          <w:tcPr>
            <w:tcW w:w="2469" w:type="dxa"/>
            <w:vAlign w:val="center"/>
          </w:tcPr>
          <w:p w14:paraId="0152596A">
            <w:pPr>
              <w:jc w:val="right"/>
            </w:pPr>
            <w:r>
              <w:rPr>
                <w:rFonts w:hint="eastAsia"/>
              </w:rPr>
              <w:t>-</w:t>
            </w:r>
          </w:p>
        </w:tc>
        <w:tc>
          <w:tcPr>
            <w:tcW w:w="2801" w:type="dxa"/>
            <w:vAlign w:val="center"/>
          </w:tcPr>
          <w:p w14:paraId="405151EE">
            <w:pPr>
              <w:jc w:val="right"/>
            </w:pPr>
            <w:r>
              <w:rPr>
                <w:rFonts w:hint="eastAsia"/>
              </w:rPr>
              <w:t>-</w:t>
            </w:r>
          </w:p>
        </w:tc>
      </w:tr>
      <w:tr w14:paraId="2117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8BA817">
            <w:r>
              <w:rPr>
                <w:rFonts w:hint="eastAsia"/>
              </w:rPr>
              <w:t>合计</w:t>
            </w:r>
          </w:p>
        </w:tc>
        <w:tc>
          <w:tcPr>
            <w:tcW w:w="2469" w:type="dxa"/>
            <w:vAlign w:val="center"/>
          </w:tcPr>
          <w:p w14:paraId="3A9A54E7">
            <w:pPr>
              <w:jc w:val="right"/>
            </w:pPr>
            <w:r>
              <w:rPr>
                <w:rFonts w:hint="eastAsia"/>
              </w:rPr>
              <w:t>51,759,617.64</w:t>
            </w:r>
          </w:p>
        </w:tc>
        <w:tc>
          <w:tcPr>
            <w:tcW w:w="2801" w:type="dxa"/>
            <w:vAlign w:val="center"/>
          </w:tcPr>
          <w:p w14:paraId="6158CB4D">
            <w:pPr>
              <w:jc w:val="right"/>
            </w:pPr>
            <w:r>
              <w:rPr>
                <w:rFonts w:hint="eastAsia"/>
              </w:rPr>
              <w:t>64,267,883.25</w:t>
            </w:r>
          </w:p>
        </w:tc>
      </w:tr>
    </w:tbl>
    <w:p w14:paraId="0F0CF45A">
      <w:pPr>
        <w:pStyle w:val="36"/>
      </w:pPr>
      <w:bookmarkStart w:id="89" w:name="_Toc89"/>
      <w:r>
        <w:t>债券投资收益——买卖债券差价收入</w:t>
      </w:r>
      <w:bookmarkEnd w:id="89"/>
    </w:p>
    <w:p w14:paraId="0ACE20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A1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13E7D5">
            <w:pPr>
              <w:jc w:val="center"/>
            </w:pPr>
            <w:r>
              <w:rPr>
                <w:rFonts w:hint="eastAsia"/>
                <w:b/>
              </w:rPr>
              <w:t>项目</w:t>
            </w:r>
          </w:p>
        </w:tc>
        <w:tc>
          <w:tcPr>
            <w:tcW w:w="2768" w:type="dxa"/>
            <w:shd w:val="clear" w:color="auto" w:fill="BFBFBF"/>
            <w:vAlign w:val="center"/>
          </w:tcPr>
          <w:p w14:paraId="6431000D">
            <w:pPr>
              <w:jc w:val="center"/>
            </w:pPr>
            <w:r>
              <w:rPr>
                <w:rFonts w:hint="eastAsia"/>
                <w:b/>
              </w:rPr>
              <w:t>本期2025年1月1日至2025年12月31日</w:t>
            </w:r>
          </w:p>
        </w:tc>
        <w:tc>
          <w:tcPr>
            <w:tcW w:w="2768" w:type="dxa"/>
            <w:shd w:val="clear" w:color="auto" w:fill="BFBFBF"/>
            <w:vAlign w:val="center"/>
          </w:tcPr>
          <w:p w14:paraId="26354894">
            <w:pPr>
              <w:jc w:val="center"/>
            </w:pPr>
            <w:r>
              <w:rPr>
                <w:rFonts w:hint="eastAsia"/>
                <w:b/>
              </w:rPr>
              <w:t>上年度可比期间2024年1月1日至2024年12月31日</w:t>
            </w:r>
          </w:p>
        </w:tc>
      </w:tr>
      <w:tr w14:paraId="67F3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BA10E">
            <w:r>
              <w:rPr>
                <w:rFonts w:hint="eastAsia"/>
              </w:rPr>
              <w:t>卖出债券（债转股及债券到期兑付）成交总额</w:t>
            </w:r>
          </w:p>
        </w:tc>
        <w:tc>
          <w:tcPr>
            <w:tcW w:w="2768" w:type="dxa"/>
            <w:vAlign w:val="center"/>
          </w:tcPr>
          <w:p w14:paraId="1B2523AD">
            <w:pPr>
              <w:jc w:val="right"/>
            </w:pPr>
            <w:r>
              <w:rPr>
                <w:rFonts w:hint="eastAsia"/>
              </w:rPr>
              <w:t>3,717,073,895.82</w:t>
            </w:r>
          </w:p>
        </w:tc>
        <w:tc>
          <w:tcPr>
            <w:tcW w:w="2768" w:type="dxa"/>
            <w:vAlign w:val="center"/>
          </w:tcPr>
          <w:p w14:paraId="69C89F43">
            <w:pPr>
              <w:jc w:val="right"/>
            </w:pPr>
            <w:r>
              <w:rPr>
                <w:rFonts w:hint="eastAsia"/>
              </w:rPr>
              <w:t>3,228,468,270.27</w:t>
            </w:r>
          </w:p>
        </w:tc>
      </w:tr>
      <w:tr w14:paraId="0160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3A68D">
            <w:r>
              <w:rPr>
                <w:rFonts w:hint="eastAsia"/>
              </w:rPr>
              <w:t>减：卖出债券（债转股及债券到期兑付）成本总额</w:t>
            </w:r>
          </w:p>
        </w:tc>
        <w:tc>
          <w:tcPr>
            <w:tcW w:w="2768" w:type="dxa"/>
            <w:vAlign w:val="center"/>
          </w:tcPr>
          <w:p w14:paraId="10EC6564">
            <w:pPr>
              <w:jc w:val="right"/>
            </w:pPr>
            <w:r>
              <w:rPr>
                <w:rFonts w:hint="eastAsia"/>
              </w:rPr>
              <w:t>3,671,757,329.38</w:t>
            </w:r>
          </w:p>
        </w:tc>
        <w:tc>
          <w:tcPr>
            <w:tcW w:w="2768" w:type="dxa"/>
            <w:vAlign w:val="center"/>
          </w:tcPr>
          <w:p w14:paraId="3F99E46A">
            <w:pPr>
              <w:jc w:val="right"/>
            </w:pPr>
            <w:r>
              <w:rPr>
                <w:rFonts w:hint="eastAsia"/>
              </w:rPr>
              <w:t>3,173,361,778.63</w:t>
            </w:r>
          </w:p>
        </w:tc>
      </w:tr>
      <w:tr w14:paraId="0CCD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D88622">
            <w:r>
              <w:rPr>
                <w:rFonts w:hint="eastAsia"/>
              </w:rPr>
              <w:t>减：应计利息总额</w:t>
            </w:r>
          </w:p>
        </w:tc>
        <w:tc>
          <w:tcPr>
            <w:tcW w:w="2768" w:type="dxa"/>
            <w:vAlign w:val="center"/>
          </w:tcPr>
          <w:p w14:paraId="548A92D4">
            <w:pPr>
              <w:jc w:val="right"/>
            </w:pPr>
            <w:r>
              <w:rPr>
                <w:rFonts w:hint="eastAsia"/>
              </w:rPr>
              <w:t>46,574,950.22</w:t>
            </w:r>
          </w:p>
        </w:tc>
        <w:tc>
          <w:tcPr>
            <w:tcW w:w="2768" w:type="dxa"/>
            <w:vAlign w:val="center"/>
          </w:tcPr>
          <w:p w14:paraId="74EF6002">
            <w:pPr>
              <w:jc w:val="right"/>
            </w:pPr>
            <w:r>
              <w:rPr>
                <w:rFonts w:hint="eastAsia"/>
              </w:rPr>
              <w:t>53,956,178.32</w:t>
            </w:r>
          </w:p>
        </w:tc>
      </w:tr>
      <w:tr w14:paraId="62CE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7C4C74">
            <w:r>
              <w:rPr>
                <w:rFonts w:hint="eastAsia"/>
              </w:rPr>
              <w:t>减：交易费用</w:t>
            </w:r>
          </w:p>
        </w:tc>
        <w:tc>
          <w:tcPr>
            <w:tcW w:w="2768" w:type="dxa"/>
            <w:vAlign w:val="center"/>
          </w:tcPr>
          <w:p w14:paraId="69C01E2E">
            <w:pPr>
              <w:jc w:val="right"/>
            </w:pPr>
            <w:r>
              <w:rPr>
                <w:rFonts w:hint="eastAsia"/>
              </w:rPr>
              <w:t>58,855.00</w:t>
            </w:r>
          </w:p>
        </w:tc>
        <w:tc>
          <w:tcPr>
            <w:tcW w:w="2768" w:type="dxa"/>
            <w:vAlign w:val="center"/>
          </w:tcPr>
          <w:p w14:paraId="254317DF">
            <w:pPr>
              <w:jc w:val="right"/>
            </w:pPr>
            <w:r>
              <w:rPr>
                <w:rFonts w:hint="eastAsia"/>
              </w:rPr>
              <w:t>43,325.00</w:t>
            </w:r>
          </w:p>
        </w:tc>
      </w:tr>
      <w:tr w14:paraId="3044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175AF">
            <w:r>
              <w:rPr>
                <w:rFonts w:hint="eastAsia"/>
              </w:rPr>
              <w:t>买卖债券差价收入</w:t>
            </w:r>
          </w:p>
        </w:tc>
        <w:tc>
          <w:tcPr>
            <w:tcW w:w="2768" w:type="dxa"/>
            <w:vAlign w:val="center"/>
          </w:tcPr>
          <w:p w14:paraId="0D58747A">
            <w:pPr>
              <w:jc w:val="right"/>
            </w:pPr>
            <w:r>
              <w:rPr>
                <w:rFonts w:hint="eastAsia"/>
              </w:rPr>
              <w:t>-1,317,238.78</w:t>
            </w:r>
          </w:p>
        </w:tc>
        <w:tc>
          <w:tcPr>
            <w:tcW w:w="2768" w:type="dxa"/>
            <w:vAlign w:val="center"/>
          </w:tcPr>
          <w:p w14:paraId="34162890">
            <w:pPr>
              <w:jc w:val="right"/>
            </w:pPr>
            <w:r>
              <w:rPr>
                <w:rFonts w:hint="eastAsia"/>
              </w:rPr>
              <w:t>1,106,988.32</w:t>
            </w:r>
          </w:p>
        </w:tc>
      </w:tr>
    </w:tbl>
    <w:p w14:paraId="678FEF66">
      <w:pPr>
        <w:pStyle w:val="47"/>
        <w:rPr>
          <w:rFonts w:hint="eastAsia"/>
        </w:rPr>
      </w:pPr>
      <w:r>
        <w:rPr>
          <w:rFonts w:hint="eastAsia"/>
        </w:rPr>
        <w:t>注：上述交易费用（如有）包含债券买卖产生的交易费用。</w:t>
      </w:r>
    </w:p>
    <w:p w14:paraId="597CA6FF">
      <w:pPr>
        <w:pStyle w:val="35"/>
      </w:pPr>
      <w:bookmarkStart w:id="90" w:name="_Toc90"/>
      <w:r>
        <w:t>资产支持证券投资收益</w:t>
      </w:r>
      <w:bookmarkEnd w:id="90"/>
    </w:p>
    <w:p w14:paraId="1057AB4D">
      <w:pPr>
        <w:pStyle w:val="36"/>
      </w:pPr>
      <w:bookmarkStart w:id="91" w:name="_Toc91"/>
      <w:r>
        <w:t>资产支持证券投资收益——买卖资产支持证券差价收入</w:t>
      </w:r>
      <w:bookmarkEnd w:id="91"/>
    </w:p>
    <w:p w14:paraId="401EF017">
      <w:pPr>
        <w:pStyle w:val="18"/>
        <w:rPr>
          <w:rFonts w:hint="eastAsia"/>
        </w:rPr>
      </w:pPr>
      <w:r>
        <w:rPr>
          <w:rFonts w:hint="eastAsia"/>
        </w:rPr>
        <w:t>无。</w:t>
      </w:r>
    </w:p>
    <w:p w14:paraId="0EDA41E1">
      <w:pPr>
        <w:pStyle w:val="35"/>
      </w:pPr>
      <w:bookmarkStart w:id="92" w:name="_Toc92"/>
      <w:r>
        <w:t>衍生工具收益</w:t>
      </w:r>
      <w:bookmarkEnd w:id="92"/>
    </w:p>
    <w:p w14:paraId="47096E8A">
      <w:pPr>
        <w:pStyle w:val="36"/>
      </w:pPr>
      <w:bookmarkStart w:id="93" w:name="_Toc93"/>
      <w:r>
        <w:t xml:space="preserve">衍生工具收益——买卖权证差价收入 </w:t>
      </w:r>
      <w:bookmarkEnd w:id="93"/>
    </w:p>
    <w:p w14:paraId="2C0FEF48">
      <w:pPr>
        <w:pStyle w:val="18"/>
        <w:rPr>
          <w:rFonts w:hint="eastAsia"/>
        </w:rPr>
      </w:pPr>
      <w:r>
        <w:rPr>
          <w:rFonts w:hint="eastAsia"/>
        </w:rPr>
        <w:t>无。</w:t>
      </w:r>
    </w:p>
    <w:p w14:paraId="2EE6AF09">
      <w:pPr>
        <w:pStyle w:val="36"/>
      </w:pPr>
      <w:bookmarkStart w:id="94" w:name="_Toc94"/>
      <w:r>
        <w:t>衍生工具收益——其他投资收益</w:t>
      </w:r>
      <w:bookmarkEnd w:id="94"/>
    </w:p>
    <w:p w14:paraId="679C81A3">
      <w:pPr>
        <w:pStyle w:val="18"/>
        <w:rPr>
          <w:rFonts w:hint="eastAsia"/>
        </w:rPr>
      </w:pPr>
      <w:r>
        <w:rPr>
          <w:rFonts w:hint="eastAsia"/>
        </w:rPr>
        <w:t>无。</w:t>
      </w:r>
    </w:p>
    <w:p w14:paraId="1ECE7795">
      <w:pPr>
        <w:pStyle w:val="35"/>
      </w:pPr>
      <w:bookmarkStart w:id="95" w:name="_Toc95"/>
      <w:r>
        <w:t>股利收益</w:t>
      </w:r>
      <w:bookmarkEnd w:id="95"/>
    </w:p>
    <w:p w14:paraId="3DDFB4A9">
      <w:pPr>
        <w:pStyle w:val="18"/>
        <w:rPr>
          <w:rFonts w:hint="eastAsia"/>
        </w:rPr>
      </w:pPr>
      <w:r>
        <w:rPr>
          <w:rFonts w:hint="eastAsia"/>
        </w:rPr>
        <w:t>无。</w:t>
      </w:r>
    </w:p>
    <w:p w14:paraId="1B64BD6E">
      <w:pPr>
        <w:pStyle w:val="35"/>
      </w:pPr>
      <w:bookmarkStart w:id="96" w:name="_Toc96"/>
      <w:r>
        <w:t>公允价值变动收益</w:t>
      </w:r>
      <w:bookmarkEnd w:id="96"/>
    </w:p>
    <w:p w14:paraId="5248C3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44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109A32">
            <w:pPr>
              <w:jc w:val="center"/>
            </w:pPr>
            <w:r>
              <w:rPr>
                <w:rFonts w:hint="eastAsia"/>
                <w:b/>
              </w:rPr>
              <w:t>项目名称</w:t>
            </w:r>
          </w:p>
        </w:tc>
        <w:tc>
          <w:tcPr>
            <w:tcW w:w="2768" w:type="dxa"/>
            <w:shd w:val="clear" w:color="auto" w:fill="BFBFBF"/>
            <w:vAlign w:val="center"/>
          </w:tcPr>
          <w:p w14:paraId="2F791179">
            <w:pPr>
              <w:jc w:val="center"/>
            </w:pPr>
            <w:r>
              <w:rPr>
                <w:rFonts w:hint="eastAsia"/>
                <w:b/>
              </w:rPr>
              <w:t>本期2025年1月1日至2025年12月31日</w:t>
            </w:r>
          </w:p>
        </w:tc>
        <w:tc>
          <w:tcPr>
            <w:tcW w:w="2768" w:type="dxa"/>
            <w:shd w:val="clear" w:color="auto" w:fill="BFBFBF"/>
            <w:vAlign w:val="center"/>
          </w:tcPr>
          <w:p w14:paraId="215EC321">
            <w:pPr>
              <w:jc w:val="center"/>
            </w:pPr>
            <w:r>
              <w:rPr>
                <w:rFonts w:hint="eastAsia"/>
                <w:b/>
              </w:rPr>
              <w:t>上年度可比期间2024年1月1日至2024年12月31日</w:t>
            </w:r>
          </w:p>
        </w:tc>
      </w:tr>
      <w:tr w14:paraId="137A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141B90">
            <w:r>
              <w:rPr>
                <w:rFonts w:hint="eastAsia"/>
              </w:rPr>
              <w:t>1.交易性金融资产</w:t>
            </w:r>
          </w:p>
        </w:tc>
        <w:tc>
          <w:tcPr>
            <w:tcW w:w="2768" w:type="dxa"/>
            <w:vAlign w:val="center"/>
          </w:tcPr>
          <w:p w14:paraId="4809AD50">
            <w:pPr>
              <w:jc w:val="right"/>
            </w:pPr>
            <w:r>
              <w:rPr>
                <w:rFonts w:hint="eastAsia"/>
              </w:rPr>
              <w:t>-24,384,371.47</w:t>
            </w:r>
          </w:p>
        </w:tc>
        <w:tc>
          <w:tcPr>
            <w:tcW w:w="2768" w:type="dxa"/>
            <w:vAlign w:val="center"/>
          </w:tcPr>
          <w:p w14:paraId="5546C56F">
            <w:pPr>
              <w:jc w:val="right"/>
            </w:pPr>
            <w:r>
              <w:rPr>
                <w:rFonts w:hint="eastAsia"/>
              </w:rPr>
              <w:t>12,299,578.09</w:t>
            </w:r>
          </w:p>
        </w:tc>
      </w:tr>
      <w:tr w14:paraId="2C63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4BA5B">
            <w:r>
              <w:rPr>
                <w:rFonts w:hint="eastAsia"/>
              </w:rPr>
              <w:t>——股票投资</w:t>
            </w:r>
          </w:p>
        </w:tc>
        <w:tc>
          <w:tcPr>
            <w:tcW w:w="2768" w:type="dxa"/>
            <w:vAlign w:val="center"/>
          </w:tcPr>
          <w:p w14:paraId="23FC4AF5">
            <w:pPr>
              <w:jc w:val="right"/>
            </w:pPr>
            <w:r>
              <w:rPr>
                <w:rFonts w:hint="eastAsia"/>
              </w:rPr>
              <w:t>-</w:t>
            </w:r>
          </w:p>
        </w:tc>
        <w:tc>
          <w:tcPr>
            <w:tcW w:w="2768" w:type="dxa"/>
            <w:vAlign w:val="center"/>
          </w:tcPr>
          <w:p w14:paraId="48D87F9C">
            <w:pPr>
              <w:jc w:val="right"/>
            </w:pPr>
            <w:r>
              <w:rPr>
                <w:rFonts w:hint="eastAsia"/>
              </w:rPr>
              <w:t>-</w:t>
            </w:r>
          </w:p>
        </w:tc>
      </w:tr>
      <w:tr w14:paraId="3E65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2242D">
            <w:r>
              <w:rPr>
                <w:rFonts w:hint="eastAsia"/>
              </w:rPr>
              <w:t>——债券投资</w:t>
            </w:r>
          </w:p>
        </w:tc>
        <w:tc>
          <w:tcPr>
            <w:tcW w:w="2768" w:type="dxa"/>
            <w:vAlign w:val="center"/>
          </w:tcPr>
          <w:p w14:paraId="5F6E88A2">
            <w:pPr>
              <w:jc w:val="right"/>
            </w:pPr>
            <w:r>
              <w:rPr>
                <w:rFonts w:hint="eastAsia"/>
              </w:rPr>
              <w:t>-24,384,371.47</w:t>
            </w:r>
          </w:p>
        </w:tc>
        <w:tc>
          <w:tcPr>
            <w:tcW w:w="2768" w:type="dxa"/>
            <w:vAlign w:val="center"/>
          </w:tcPr>
          <w:p w14:paraId="3C032882">
            <w:pPr>
              <w:jc w:val="right"/>
            </w:pPr>
            <w:r>
              <w:rPr>
                <w:rFonts w:hint="eastAsia"/>
              </w:rPr>
              <w:t>12,299,578.09</w:t>
            </w:r>
          </w:p>
        </w:tc>
      </w:tr>
      <w:tr w14:paraId="1FF8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E791B">
            <w:r>
              <w:rPr>
                <w:rFonts w:hint="eastAsia"/>
              </w:rPr>
              <w:t>——资产支持证券投资</w:t>
            </w:r>
          </w:p>
        </w:tc>
        <w:tc>
          <w:tcPr>
            <w:tcW w:w="2768" w:type="dxa"/>
            <w:vAlign w:val="center"/>
          </w:tcPr>
          <w:p w14:paraId="71FF2A5E">
            <w:pPr>
              <w:jc w:val="right"/>
            </w:pPr>
            <w:r>
              <w:rPr>
                <w:rFonts w:hint="eastAsia"/>
              </w:rPr>
              <w:t>-</w:t>
            </w:r>
          </w:p>
        </w:tc>
        <w:tc>
          <w:tcPr>
            <w:tcW w:w="2768" w:type="dxa"/>
            <w:vAlign w:val="center"/>
          </w:tcPr>
          <w:p w14:paraId="3619C6A2">
            <w:pPr>
              <w:jc w:val="right"/>
            </w:pPr>
            <w:r>
              <w:rPr>
                <w:rFonts w:hint="eastAsia"/>
              </w:rPr>
              <w:t>-</w:t>
            </w:r>
          </w:p>
        </w:tc>
      </w:tr>
      <w:tr w14:paraId="06FF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81977">
            <w:r>
              <w:rPr>
                <w:rFonts w:hint="eastAsia"/>
              </w:rPr>
              <w:t>——贵金属投资</w:t>
            </w:r>
          </w:p>
        </w:tc>
        <w:tc>
          <w:tcPr>
            <w:tcW w:w="2768" w:type="dxa"/>
            <w:vAlign w:val="center"/>
          </w:tcPr>
          <w:p w14:paraId="7E2B52D2">
            <w:pPr>
              <w:jc w:val="right"/>
            </w:pPr>
            <w:r>
              <w:rPr>
                <w:rFonts w:hint="eastAsia"/>
              </w:rPr>
              <w:t>-</w:t>
            </w:r>
          </w:p>
        </w:tc>
        <w:tc>
          <w:tcPr>
            <w:tcW w:w="2768" w:type="dxa"/>
            <w:vAlign w:val="center"/>
          </w:tcPr>
          <w:p w14:paraId="09EF0FE1">
            <w:pPr>
              <w:jc w:val="right"/>
            </w:pPr>
            <w:r>
              <w:rPr>
                <w:rFonts w:hint="eastAsia"/>
              </w:rPr>
              <w:t>-</w:t>
            </w:r>
          </w:p>
        </w:tc>
      </w:tr>
      <w:tr w14:paraId="03A1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8CCBA">
            <w:r>
              <w:rPr>
                <w:rFonts w:hint="eastAsia"/>
              </w:rPr>
              <w:t>——其他</w:t>
            </w:r>
          </w:p>
        </w:tc>
        <w:tc>
          <w:tcPr>
            <w:tcW w:w="2768" w:type="dxa"/>
            <w:vAlign w:val="center"/>
          </w:tcPr>
          <w:p w14:paraId="1A148903">
            <w:pPr>
              <w:jc w:val="right"/>
            </w:pPr>
            <w:r>
              <w:rPr>
                <w:rFonts w:hint="eastAsia"/>
              </w:rPr>
              <w:t>-</w:t>
            </w:r>
          </w:p>
        </w:tc>
        <w:tc>
          <w:tcPr>
            <w:tcW w:w="2768" w:type="dxa"/>
            <w:vAlign w:val="center"/>
          </w:tcPr>
          <w:p w14:paraId="7937C907">
            <w:pPr>
              <w:jc w:val="right"/>
            </w:pPr>
            <w:r>
              <w:rPr>
                <w:rFonts w:hint="eastAsia"/>
              </w:rPr>
              <w:t>-</w:t>
            </w:r>
          </w:p>
        </w:tc>
      </w:tr>
      <w:tr w14:paraId="3C43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963B6">
            <w:r>
              <w:rPr>
                <w:rFonts w:hint="eastAsia"/>
              </w:rPr>
              <w:t>2.衍生工具</w:t>
            </w:r>
          </w:p>
        </w:tc>
        <w:tc>
          <w:tcPr>
            <w:tcW w:w="2768" w:type="dxa"/>
            <w:vAlign w:val="center"/>
          </w:tcPr>
          <w:p w14:paraId="140E8792">
            <w:pPr>
              <w:jc w:val="right"/>
            </w:pPr>
            <w:r>
              <w:rPr>
                <w:rFonts w:hint="eastAsia"/>
              </w:rPr>
              <w:t>-</w:t>
            </w:r>
          </w:p>
        </w:tc>
        <w:tc>
          <w:tcPr>
            <w:tcW w:w="2768" w:type="dxa"/>
            <w:vAlign w:val="center"/>
          </w:tcPr>
          <w:p w14:paraId="7E2F94DC">
            <w:pPr>
              <w:jc w:val="right"/>
            </w:pPr>
            <w:r>
              <w:rPr>
                <w:rFonts w:hint="eastAsia"/>
              </w:rPr>
              <w:t>-</w:t>
            </w:r>
          </w:p>
        </w:tc>
      </w:tr>
      <w:tr w14:paraId="4BA0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01046">
            <w:r>
              <w:rPr>
                <w:rFonts w:hint="eastAsia"/>
              </w:rPr>
              <w:t>——权证投资</w:t>
            </w:r>
          </w:p>
        </w:tc>
        <w:tc>
          <w:tcPr>
            <w:tcW w:w="2768" w:type="dxa"/>
            <w:vAlign w:val="center"/>
          </w:tcPr>
          <w:p w14:paraId="47B82B01">
            <w:pPr>
              <w:jc w:val="right"/>
            </w:pPr>
            <w:r>
              <w:rPr>
                <w:rFonts w:hint="eastAsia"/>
              </w:rPr>
              <w:t>-</w:t>
            </w:r>
          </w:p>
        </w:tc>
        <w:tc>
          <w:tcPr>
            <w:tcW w:w="2768" w:type="dxa"/>
            <w:vAlign w:val="center"/>
          </w:tcPr>
          <w:p w14:paraId="2C484CF7">
            <w:pPr>
              <w:jc w:val="right"/>
            </w:pPr>
            <w:r>
              <w:rPr>
                <w:rFonts w:hint="eastAsia"/>
              </w:rPr>
              <w:t>-</w:t>
            </w:r>
          </w:p>
        </w:tc>
      </w:tr>
      <w:tr w14:paraId="3031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6BAFC">
            <w:r>
              <w:rPr>
                <w:rFonts w:hint="eastAsia"/>
              </w:rPr>
              <w:t>——期货投资</w:t>
            </w:r>
          </w:p>
        </w:tc>
        <w:tc>
          <w:tcPr>
            <w:tcW w:w="2768" w:type="dxa"/>
            <w:vAlign w:val="center"/>
          </w:tcPr>
          <w:p w14:paraId="2369C4C3">
            <w:pPr>
              <w:jc w:val="right"/>
            </w:pPr>
            <w:r>
              <w:rPr>
                <w:rFonts w:hint="eastAsia"/>
              </w:rPr>
              <w:t>-</w:t>
            </w:r>
          </w:p>
        </w:tc>
        <w:tc>
          <w:tcPr>
            <w:tcW w:w="2768" w:type="dxa"/>
            <w:vAlign w:val="center"/>
          </w:tcPr>
          <w:p w14:paraId="64F587F2">
            <w:pPr>
              <w:jc w:val="right"/>
            </w:pPr>
            <w:r>
              <w:rPr>
                <w:rFonts w:hint="eastAsia"/>
              </w:rPr>
              <w:t>-</w:t>
            </w:r>
          </w:p>
        </w:tc>
      </w:tr>
      <w:tr w14:paraId="1AFD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273C8">
            <w:r>
              <w:rPr>
                <w:rFonts w:hint="eastAsia"/>
              </w:rPr>
              <w:t>3.其他</w:t>
            </w:r>
          </w:p>
        </w:tc>
        <w:tc>
          <w:tcPr>
            <w:tcW w:w="2768" w:type="dxa"/>
            <w:vAlign w:val="center"/>
          </w:tcPr>
          <w:p w14:paraId="426B8C6D">
            <w:pPr>
              <w:jc w:val="right"/>
            </w:pPr>
            <w:r>
              <w:rPr>
                <w:rFonts w:hint="eastAsia"/>
              </w:rPr>
              <w:t>-</w:t>
            </w:r>
          </w:p>
        </w:tc>
        <w:tc>
          <w:tcPr>
            <w:tcW w:w="2768" w:type="dxa"/>
            <w:vAlign w:val="center"/>
          </w:tcPr>
          <w:p w14:paraId="17667693">
            <w:pPr>
              <w:jc w:val="right"/>
            </w:pPr>
            <w:r>
              <w:rPr>
                <w:rFonts w:hint="eastAsia"/>
              </w:rPr>
              <w:t>-</w:t>
            </w:r>
          </w:p>
        </w:tc>
      </w:tr>
      <w:tr w14:paraId="0C37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1CFF2C">
            <w:r>
              <w:rPr>
                <w:rFonts w:hint="eastAsia"/>
              </w:rPr>
              <w:t>减：应税金融商品公允价值变动产生的预估增值税</w:t>
            </w:r>
          </w:p>
        </w:tc>
        <w:tc>
          <w:tcPr>
            <w:tcW w:w="2768" w:type="dxa"/>
            <w:vAlign w:val="center"/>
          </w:tcPr>
          <w:p w14:paraId="288B7A9A">
            <w:pPr>
              <w:jc w:val="right"/>
            </w:pPr>
            <w:r>
              <w:rPr>
                <w:rFonts w:hint="eastAsia"/>
              </w:rPr>
              <w:t>-</w:t>
            </w:r>
          </w:p>
        </w:tc>
        <w:tc>
          <w:tcPr>
            <w:tcW w:w="2768" w:type="dxa"/>
            <w:vAlign w:val="center"/>
          </w:tcPr>
          <w:p w14:paraId="5F2E823D">
            <w:pPr>
              <w:jc w:val="right"/>
            </w:pPr>
            <w:r>
              <w:rPr>
                <w:rFonts w:hint="eastAsia"/>
              </w:rPr>
              <w:t>-</w:t>
            </w:r>
          </w:p>
        </w:tc>
      </w:tr>
      <w:tr w14:paraId="6CE4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EA568">
            <w:r>
              <w:rPr>
                <w:rFonts w:hint="eastAsia"/>
              </w:rPr>
              <w:t>合计</w:t>
            </w:r>
          </w:p>
        </w:tc>
        <w:tc>
          <w:tcPr>
            <w:tcW w:w="2768" w:type="dxa"/>
            <w:vAlign w:val="center"/>
          </w:tcPr>
          <w:p w14:paraId="394B1423">
            <w:pPr>
              <w:jc w:val="right"/>
            </w:pPr>
            <w:r>
              <w:rPr>
                <w:rFonts w:hint="eastAsia"/>
              </w:rPr>
              <w:t>-24,384,371.47</w:t>
            </w:r>
          </w:p>
        </w:tc>
        <w:tc>
          <w:tcPr>
            <w:tcW w:w="2768" w:type="dxa"/>
            <w:vAlign w:val="center"/>
          </w:tcPr>
          <w:p w14:paraId="165CEBC7">
            <w:pPr>
              <w:jc w:val="right"/>
            </w:pPr>
            <w:r>
              <w:rPr>
                <w:rFonts w:hint="eastAsia"/>
              </w:rPr>
              <w:t>12,299,578.09</w:t>
            </w:r>
          </w:p>
        </w:tc>
      </w:tr>
    </w:tbl>
    <w:p w14:paraId="3C1BA86F">
      <w:pPr>
        <w:pStyle w:val="35"/>
      </w:pPr>
      <w:bookmarkStart w:id="97" w:name="_Toc97"/>
      <w:r>
        <w:t>其他收入</w:t>
      </w:r>
      <w:bookmarkEnd w:id="97"/>
    </w:p>
    <w:p w14:paraId="4EA104E2">
      <w:pPr>
        <w:pStyle w:val="18"/>
        <w:rPr>
          <w:rFonts w:hint="eastAsia"/>
        </w:rPr>
      </w:pPr>
      <w:r>
        <w:rPr>
          <w:rFonts w:hint="eastAsia"/>
        </w:rPr>
        <w:t>无。</w:t>
      </w:r>
    </w:p>
    <w:p w14:paraId="1A312EC5">
      <w:pPr>
        <w:pStyle w:val="35"/>
      </w:pPr>
      <w:bookmarkStart w:id="98" w:name="_Toc98"/>
      <w:r>
        <w:t>其他费用</w:t>
      </w:r>
      <w:bookmarkEnd w:id="98"/>
    </w:p>
    <w:p w14:paraId="562F35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A5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D59FC8">
            <w:pPr>
              <w:jc w:val="center"/>
            </w:pPr>
            <w:r>
              <w:rPr>
                <w:rFonts w:hint="eastAsia"/>
                <w:b/>
              </w:rPr>
              <w:t>项目</w:t>
            </w:r>
          </w:p>
        </w:tc>
        <w:tc>
          <w:tcPr>
            <w:tcW w:w="2768" w:type="dxa"/>
            <w:shd w:val="clear" w:color="auto" w:fill="BFBFBF"/>
            <w:vAlign w:val="center"/>
          </w:tcPr>
          <w:p w14:paraId="61C50EA5">
            <w:pPr>
              <w:jc w:val="center"/>
            </w:pPr>
            <w:r>
              <w:rPr>
                <w:rFonts w:hint="eastAsia"/>
                <w:b/>
              </w:rPr>
              <w:t>本期2025年1月1日至2025年12月31日</w:t>
            </w:r>
          </w:p>
        </w:tc>
        <w:tc>
          <w:tcPr>
            <w:tcW w:w="2768" w:type="dxa"/>
            <w:shd w:val="clear" w:color="auto" w:fill="BFBFBF"/>
            <w:vAlign w:val="center"/>
          </w:tcPr>
          <w:p w14:paraId="3C264690">
            <w:pPr>
              <w:jc w:val="center"/>
            </w:pPr>
            <w:r>
              <w:rPr>
                <w:rFonts w:hint="eastAsia"/>
                <w:b/>
              </w:rPr>
              <w:t>上年度可比期间2024年1月1日至2024年12月31日</w:t>
            </w:r>
          </w:p>
        </w:tc>
      </w:tr>
      <w:tr w14:paraId="329A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D70B7">
            <w:r>
              <w:rPr>
                <w:rFonts w:hint="eastAsia"/>
              </w:rPr>
              <w:t>审计费用</w:t>
            </w:r>
          </w:p>
        </w:tc>
        <w:tc>
          <w:tcPr>
            <w:tcW w:w="2768" w:type="dxa"/>
            <w:vAlign w:val="center"/>
          </w:tcPr>
          <w:p w14:paraId="14B59395">
            <w:pPr>
              <w:jc w:val="right"/>
            </w:pPr>
            <w:r>
              <w:rPr>
                <w:rFonts w:hint="eastAsia"/>
              </w:rPr>
              <w:t>60,000.00</w:t>
            </w:r>
          </w:p>
        </w:tc>
        <w:tc>
          <w:tcPr>
            <w:tcW w:w="2768" w:type="dxa"/>
            <w:vAlign w:val="center"/>
          </w:tcPr>
          <w:p w14:paraId="0B0F68DF">
            <w:pPr>
              <w:jc w:val="right"/>
            </w:pPr>
            <w:r>
              <w:rPr>
                <w:rFonts w:hint="eastAsia"/>
              </w:rPr>
              <w:t>60,000.00</w:t>
            </w:r>
          </w:p>
        </w:tc>
      </w:tr>
      <w:tr w14:paraId="7645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DEF38">
            <w:r>
              <w:rPr>
                <w:rFonts w:hint="eastAsia"/>
              </w:rPr>
              <w:t>信息披露费</w:t>
            </w:r>
          </w:p>
        </w:tc>
        <w:tc>
          <w:tcPr>
            <w:tcW w:w="2768" w:type="dxa"/>
            <w:vAlign w:val="center"/>
          </w:tcPr>
          <w:p w14:paraId="0F9260BE">
            <w:pPr>
              <w:jc w:val="right"/>
            </w:pPr>
            <w:r>
              <w:rPr>
                <w:rFonts w:hint="eastAsia"/>
              </w:rPr>
              <w:t>120,000.00</w:t>
            </w:r>
          </w:p>
        </w:tc>
        <w:tc>
          <w:tcPr>
            <w:tcW w:w="2768" w:type="dxa"/>
            <w:vAlign w:val="center"/>
          </w:tcPr>
          <w:p w14:paraId="0B50E3AC">
            <w:pPr>
              <w:jc w:val="right"/>
            </w:pPr>
            <w:r>
              <w:rPr>
                <w:rFonts w:hint="eastAsia"/>
              </w:rPr>
              <w:t>120,000.00</w:t>
            </w:r>
          </w:p>
        </w:tc>
      </w:tr>
      <w:tr w14:paraId="7888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63AE6">
            <w:r>
              <w:rPr>
                <w:rFonts w:hint="eastAsia"/>
              </w:rPr>
              <w:t>证券出借违约金</w:t>
            </w:r>
          </w:p>
        </w:tc>
        <w:tc>
          <w:tcPr>
            <w:tcW w:w="2768" w:type="dxa"/>
            <w:vAlign w:val="center"/>
          </w:tcPr>
          <w:p w14:paraId="38769677">
            <w:pPr>
              <w:jc w:val="right"/>
            </w:pPr>
            <w:r>
              <w:rPr>
                <w:rFonts w:hint="eastAsia"/>
              </w:rPr>
              <w:t>-</w:t>
            </w:r>
          </w:p>
        </w:tc>
        <w:tc>
          <w:tcPr>
            <w:tcW w:w="2768" w:type="dxa"/>
            <w:vAlign w:val="center"/>
          </w:tcPr>
          <w:p w14:paraId="16BAFEB5">
            <w:pPr>
              <w:jc w:val="right"/>
            </w:pPr>
            <w:r>
              <w:rPr>
                <w:rFonts w:hint="eastAsia"/>
              </w:rPr>
              <w:t>-</w:t>
            </w:r>
          </w:p>
        </w:tc>
      </w:tr>
      <w:tr w14:paraId="45CC9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95DF3B">
            <w:r>
              <w:rPr>
                <w:rFonts w:hint="eastAsia"/>
              </w:rPr>
              <w:t>账户维护费</w:t>
            </w:r>
          </w:p>
        </w:tc>
        <w:tc>
          <w:tcPr>
            <w:tcW w:w="2768" w:type="dxa"/>
            <w:vAlign w:val="center"/>
          </w:tcPr>
          <w:p w14:paraId="706CA3CF">
            <w:pPr>
              <w:jc w:val="right"/>
            </w:pPr>
            <w:r>
              <w:rPr>
                <w:rFonts w:hint="eastAsia"/>
              </w:rPr>
              <w:t>46,500.00</w:t>
            </w:r>
          </w:p>
        </w:tc>
        <w:tc>
          <w:tcPr>
            <w:tcW w:w="2768" w:type="dxa"/>
            <w:vAlign w:val="center"/>
          </w:tcPr>
          <w:p w14:paraId="5B539D8F">
            <w:pPr>
              <w:jc w:val="right"/>
            </w:pPr>
            <w:r>
              <w:rPr>
                <w:rFonts w:hint="eastAsia"/>
              </w:rPr>
              <w:t>37,200.00</w:t>
            </w:r>
          </w:p>
        </w:tc>
      </w:tr>
      <w:tr w14:paraId="1DC5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CBCCF">
            <w:r>
              <w:rPr>
                <w:rFonts w:hint="eastAsia"/>
              </w:rPr>
              <w:t>合计</w:t>
            </w:r>
          </w:p>
        </w:tc>
        <w:tc>
          <w:tcPr>
            <w:tcW w:w="2768" w:type="dxa"/>
            <w:vAlign w:val="center"/>
          </w:tcPr>
          <w:p w14:paraId="5FDA55AB">
            <w:pPr>
              <w:jc w:val="right"/>
            </w:pPr>
            <w:r>
              <w:rPr>
                <w:rFonts w:hint="eastAsia"/>
              </w:rPr>
              <w:t>226,500.00</w:t>
            </w:r>
          </w:p>
        </w:tc>
        <w:tc>
          <w:tcPr>
            <w:tcW w:w="2768" w:type="dxa"/>
            <w:vAlign w:val="center"/>
          </w:tcPr>
          <w:p w14:paraId="4008A21F">
            <w:pPr>
              <w:jc w:val="right"/>
            </w:pPr>
            <w:r>
              <w:rPr>
                <w:rFonts w:hint="eastAsia"/>
              </w:rPr>
              <w:t>217,200.00</w:t>
            </w:r>
          </w:p>
        </w:tc>
      </w:tr>
    </w:tbl>
    <w:p w14:paraId="261C10FD">
      <w:pPr>
        <w:pStyle w:val="28"/>
      </w:pPr>
      <w:bookmarkStart w:id="99" w:name="_Toc99"/>
      <w:r>
        <w:t>或有事项、资产负债表日后事项的说明</w:t>
      </w:r>
      <w:bookmarkEnd w:id="99"/>
    </w:p>
    <w:p w14:paraId="21D926CC">
      <w:pPr>
        <w:pStyle w:val="35"/>
      </w:pPr>
      <w:bookmarkStart w:id="100" w:name="_Toc100"/>
      <w:r>
        <w:t>或有事项</w:t>
      </w:r>
      <w:bookmarkEnd w:id="100"/>
    </w:p>
    <w:p w14:paraId="67A8098D">
      <w:pPr>
        <w:pStyle w:val="18"/>
        <w:rPr>
          <w:rFonts w:hint="eastAsia"/>
        </w:rPr>
      </w:pPr>
      <w:r>
        <w:rPr>
          <w:rFonts w:hint="eastAsia"/>
        </w:rPr>
        <w:t>无。</w:t>
      </w:r>
    </w:p>
    <w:p w14:paraId="4EF54EAD">
      <w:pPr>
        <w:pStyle w:val="35"/>
      </w:pPr>
      <w:bookmarkStart w:id="101" w:name="_Toc101"/>
      <w:r>
        <w:t>资产负债表日后事项</w:t>
      </w:r>
      <w:bookmarkEnd w:id="101"/>
    </w:p>
    <w:p w14:paraId="14486292">
      <w:pPr>
        <w:pStyle w:val="18"/>
        <w:rPr>
          <w:rFonts w:hint="eastAsia"/>
        </w:rPr>
      </w:pPr>
      <w:r>
        <w:rPr>
          <w:rFonts w:hint="eastAsia"/>
        </w:rPr>
        <w:t>截至财务报告批准报出日，本基金无需要披露的资产负债表日后事项。</w:t>
      </w:r>
    </w:p>
    <w:p w14:paraId="5DDE3B1D">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49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CCD66C4">
            <w:pPr>
              <w:jc w:val="center"/>
            </w:pPr>
            <w:r>
              <w:rPr>
                <w:rFonts w:hint="eastAsia"/>
                <w:b/>
              </w:rPr>
              <w:t>关联方名称</w:t>
            </w:r>
          </w:p>
        </w:tc>
        <w:tc>
          <w:tcPr>
            <w:tcW w:w="3322" w:type="dxa"/>
            <w:shd w:val="clear" w:color="auto" w:fill="BFBFBF"/>
            <w:vAlign w:val="center"/>
          </w:tcPr>
          <w:p w14:paraId="65BB271A">
            <w:pPr>
              <w:jc w:val="center"/>
            </w:pPr>
            <w:r>
              <w:rPr>
                <w:rFonts w:hint="eastAsia"/>
                <w:b/>
              </w:rPr>
              <w:t>与本基金的关系</w:t>
            </w:r>
          </w:p>
        </w:tc>
      </w:tr>
      <w:tr w14:paraId="47D5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790705">
            <w:r>
              <w:rPr>
                <w:rFonts w:hint="eastAsia"/>
              </w:rPr>
              <w:t>南方基金管理股份有限公司（“南方基金”）</w:t>
            </w:r>
          </w:p>
        </w:tc>
        <w:tc>
          <w:tcPr>
            <w:tcW w:w="3322" w:type="dxa"/>
            <w:vAlign w:val="center"/>
          </w:tcPr>
          <w:p w14:paraId="4BD03998">
            <w:r>
              <w:rPr>
                <w:rFonts w:hint="eastAsia"/>
              </w:rPr>
              <w:t>基金管理人、登记机构、基金销售机构</w:t>
            </w:r>
          </w:p>
        </w:tc>
      </w:tr>
      <w:tr w14:paraId="7BB9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9CEF26">
            <w:r>
              <w:rPr>
                <w:rFonts w:hint="eastAsia"/>
              </w:rPr>
              <w:t>宁波银行股份有限公司（“宁波银行”）</w:t>
            </w:r>
          </w:p>
        </w:tc>
        <w:tc>
          <w:tcPr>
            <w:tcW w:w="3322" w:type="dxa"/>
            <w:vAlign w:val="center"/>
          </w:tcPr>
          <w:p w14:paraId="7FBC0993">
            <w:r>
              <w:rPr>
                <w:rFonts w:hint="eastAsia"/>
              </w:rPr>
              <w:t>基金托管人、基金销售机构</w:t>
            </w:r>
          </w:p>
        </w:tc>
      </w:tr>
      <w:tr w14:paraId="4AA7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DF93B9">
            <w:r>
              <w:rPr>
                <w:rFonts w:hint="eastAsia"/>
              </w:rPr>
              <w:t>华泰证券股份有限公司（“华泰证券”）</w:t>
            </w:r>
          </w:p>
        </w:tc>
        <w:tc>
          <w:tcPr>
            <w:tcW w:w="3322" w:type="dxa"/>
            <w:vAlign w:val="center"/>
          </w:tcPr>
          <w:p w14:paraId="16ED9065">
            <w:r>
              <w:rPr>
                <w:rFonts w:hint="eastAsia"/>
              </w:rPr>
              <w:t>基金管理人的股东</w:t>
            </w:r>
          </w:p>
        </w:tc>
      </w:tr>
      <w:tr w14:paraId="0ECB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611945">
            <w:r>
              <w:rPr>
                <w:rFonts w:hint="eastAsia"/>
              </w:rPr>
              <w:t>兴业证券股份有限公司（“兴业证券”）</w:t>
            </w:r>
          </w:p>
        </w:tc>
        <w:tc>
          <w:tcPr>
            <w:tcW w:w="3322" w:type="dxa"/>
            <w:vAlign w:val="center"/>
          </w:tcPr>
          <w:p w14:paraId="140211EB">
            <w:r>
              <w:rPr>
                <w:rFonts w:hint="eastAsia"/>
              </w:rPr>
              <w:t>基金管理人的股东</w:t>
            </w:r>
          </w:p>
        </w:tc>
      </w:tr>
      <w:tr w14:paraId="7332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42DE6F">
            <w:r>
              <w:rPr>
                <w:rFonts w:hint="eastAsia"/>
              </w:rPr>
              <w:t>南方资本管理有限公司（“南方资本”）</w:t>
            </w:r>
          </w:p>
        </w:tc>
        <w:tc>
          <w:tcPr>
            <w:tcW w:w="3322" w:type="dxa"/>
            <w:vAlign w:val="center"/>
          </w:tcPr>
          <w:p w14:paraId="3AB63347">
            <w:r>
              <w:rPr>
                <w:rFonts w:hint="eastAsia"/>
              </w:rPr>
              <w:t>基金管理人的子公司</w:t>
            </w:r>
          </w:p>
        </w:tc>
      </w:tr>
      <w:tr w14:paraId="5D33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EC8743">
            <w:r>
              <w:rPr>
                <w:rFonts w:hint="eastAsia"/>
              </w:rPr>
              <w:t>南方东英资产管理有限公司（“南方东英”）</w:t>
            </w:r>
          </w:p>
        </w:tc>
        <w:tc>
          <w:tcPr>
            <w:tcW w:w="3322" w:type="dxa"/>
            <w:vAlign w:val="center"/>
          </w:tcPr>
          <w:p w14:paraId="2D3765E4">
            <w:r>
              <w:rPr>
                <w:rFonts w:hint="eastAsia"/>
              </w:rPr>
              <w:t>基金管理人的子公司</w:t>
            </w:r>
          </w:p>
        </w:tc>
      </w:tr>
      <w:tr w14:paraId="3E057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9667F6">
            <w:r>
              <w:rPr>
                <w:rFonts w:hint="eastAsia"/>
              </w:rPr>
              <w:t>厦门国际信托有限公司（“厦门国际信托”）</w:t>
            </w:r>
          </w:p>
        </w:tc>
        <w:tc>
          <w:tcPr>
            <w:tcW w:w="3322" w:type="dxa"/>
            <w:vAlign w:val="center"/>
          </w:tcPr>
          <w:p w14:paraId="5AA39C6A">
            <w:r>
              <w:rPr>
                <w:rFonts w:hint="eastAsia"/>
              </w:rPr>
              <w:t>基金管理人的股东</w:t>
            </w:r>
          </w:p>
        </w:tc>
      </w:tr>
      <w:tr w14:paraId="02E1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A8F2D1">
            <w:r>
              <w:rPr>
                <w:rFonts w:hint="eastAsia"/>
              </w:rPr>
              <w:t>深圳市投资控股有限公司（“深圳投资控股”）</w:t>
            </w:r>
          </w:p>
        </w:tc>
        <w:tc>
          <w:tcPr>
            <w:tcW w:w="3322" w:type="dxa"/>
            <w:vAlign w:val="center"/>
          </w:tcPr>
          <w:p w14:paraId="2DB615E1">
            <w:r>
              <w:rPr>
                <w:rFonts w:hint="eastAsia"/>
              </w:rPr>
              <w:t>基金管理人的股东</w:t>
            </w:r>
          </w:p>
        </w:tc>
      </w:tr>
      <w:tr w14:paraId="3503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2012A0">
            <w:r>
              <w:rPr>
                <w:rFonts w:hint="eastAsia"/>
              </w:rPr>
              <w:t>厦门合泽吉企业管理合伙企业（有限合伙）</w:t>
            </w:r>
          </w:p>
        </w:tc>
        <w:tc>
          <w:tcPr>
            <w:tcW w:w="3322" w:type="dxa"/>
            <w:vAlign w:val="center"/>
          </w:tcPr>
          <w:p w14:paraId="375FAE87">
            <w:r>
              <w:rPr>
                <w:rFonts w:hint="eastAsia"/>
              </w:rPr>
              <w:t>基金管理人的股东</w:t>
            </w:r>
          </w:p>
        </w:tc>
      </w:tr>
      <w:tr w14:paraId="137C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E81250">
            <w:r>
              <w:rPr>
                <w:rFonts w:hint="eastAsia"/>
              </w:rPr>
              <w:t>厦门合泽祥企业管理合伙企业（有限合伙）</w:t>
            </w:r>
          </w:p>
        </w:tc>
        <w:tc>
          <w:tcPr>
            <w:tcW w:w="3322" w:type="dxa"/>
            <w:vAlign w:val="center"/>
          </w:tcPr>
          <w:p w14:paraId="6A47104C">
            <w:r>
              <w:rPr>
                <w:rFonts w:hint="eastAsia"/>
              </w:rPr>
              <w:t>基金管理人的股东</w:t>
            </w:r>
          </w:p>
        </w:tc>
      </w:tr>
      <w:tr w14:paraId="6D22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56C046">
            <w:r>
              <w:rPr>
                <w:rFonts w:hint="eastAsia"/>
              </w:rPr>
              <w:t>厦门合泽益企业管理合伙企业（有限合伙）</w:t>
            </w:r>
          </w:p>
        </w:tc>
        <w:tc>
          <w:tcPr>
            <w:tcW w:w="3322" w:type="dxa"/>
            <w:vAlign w:val="center"/>
          </w:tcPr>
          <w:p w14:paraId="7990C332">
            <w:r>
              <w:rPr>
                <w:rFonts w:hint="eastAsia"/>
              </w:rPr>
              <w:t>基金管理人的股东</w:t>
            </w:r>
          </w:p>
        </w:tc>
      </w:tr>
      <w:tr w14:paraId="7C8B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1D3DD8">
            <w:r>
              <w:rPr>
                <w:rFonts w:hint="eastAsia"/>
              </w:rPr>
              <w:t>厦门合泽盈企业管理合伙企业（有限合伙）</w:t>
            </w:r>
          </w:p>
        </w:tc>
        <w:tc>
          <w:tcPr>
            <w:tcW w:w="3322" w:type="dxa"/>
            <w:vAlign w:val="center"/>
          </w:tcPr>
          <w:p w14:paraId="2F11B7FD">
            <w:r>
              <w:rPr>
                <w:rFonts w:hint="eastAsia"/>
              </w:rPr>
              <w:t>基金管理人的股东</w:t>
            </w:r>
          </w:p>
        </w:tc>
      </w:tr>
    </w:tbl>
    <w:p w14:paraId="05EBF5FC">
      <w:pPr>
        <w:pStyle w:val="47"/>
        <w:rPr>
          <w:rFonts w:hint="eastAsia"/>
        </w:rPr>
      </w:pPr>
      <w:r>
        <w:rPr>
          <w:rFonts w:hint="eastAsia"/>
        </w:rPr>
        <w:t>注：下述关联交易均在正常业务范围内按一般商业条款订立。</w:t>
      </w:r>
    </w:p>
    <w:p w14:paraId="27C69BA2">
      <w:pPr>
        <w:pStyle w:val="28"/>
      </w:pPr>
      <w:bookmarkStart w:id="103" w:name="_Toc103"/>
      <w:r>
        <w:t>本报告期及上年度可比期间的关联方交易</w:t>
      </w:r>
      <w:bookmarkEnd w:id="103"/>
    </w:p>
    <w:p w14:paraId="3D4ABEBF">
      <w:pPr>
        <w:pStyle w:val="35"/>
      </w:pPr>
      <w:bookmarkStart w:id="104" w:name="_Toc104"/>
      <w:r>
        <w:t>通过关联方交易单元进行的交易</w:t>
      </w:r>
      <w:bookmarkEnd w:id="104"/>
    </w:p>
    <w:p w14:paraId="6A1CAC4B">
      <w:pPr>
        <w:pStyle w:val="36"/>
      </w:pPr>
      <w:bookmarkStart w:id="105" w:name="_Toc105"/>
      <w:r>
        <w:t>股票交易</w:t>
      </w:r>
      <w:bookmarkEnd w:id="105"/>
    </w:p>
    <w:p w14:paraId="789A1501">
      <w:pPr>
        <w:pStyle w:val="18"/>
        <w:rPr>
          <w:rFonts w:hint="eastAsia"/>
        </w:rPr>
      </w:pPr>
      <w:r>
        <w:rPr>
          <w:rFonts w:hint="eastAsia"/>
        </w:rPr>
        <w:t>无。</w:t>
      </w:r>
    </w:p>
    <w:p w14:paraId="0EEE6FEE">
      <w:pPr>
        <w:pStyle w:val="36"/>
      </w:pPr>
      <w:bookmarkStart w:id="106" w:name="_Toc106"/>
      <w:r>
        <w:t>债券交易</w:t>
      </w:r>
      <w:bookmarkEnd w:id="106"/>
    </w:p>
    <w:p w14:paraId="7C00CCC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6E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814D50">
            <w:pPr>
              <w:jc w:val="center"/>
            </w:pPr>
            <w:r>
              <w:rPr>
                <w:rFonts w:hint="eastAsia"/>
                <w:b/>
              </w:rPr>
              <w:t>关联方名称</w:t>
            </w:r>
          </w:p>
        </w:tc>
        <w:tc>
          <w:tcPr>
            <w:tcW w:w="1661" w:type="dxa"/>
            <w:gridSpan w:val="2"/>
            <w:shd w:val="clear" w:color="auto" w:fill="BFBFBF"/>
            <w:vAlign w:val="center"/>
          </w:tcPr>
          <w:p w14:paraId="7C45FCA2">
            <w:pPr>
              <w:jc w:val="center"/>
            </w:pPr>
            <w:r>
              <w:rPr>
                <w:rFonts w:hint="eastAsia"/>
                <w:b/>
              </w:rPr>
              <w:t>本期2025年1月1日至2025年12月31日</w:t>
            </w:r>
          </w:p>
        </w:tc>
        <w:tc>
          <w:tcPr>
            <w:tcW w:w="1661" w:type="dxa"/>
            <w:gridSpan w:val="2"/>
            <w:shd w:val="clear" w:color="auto" w:fill="BFBFBF"/>
            <w:vAlign w:val="center"/>
          </w:tcPr>
          <w:p w14:paraId="1BFB56C4">
            <w:pPr>
              <w:jc w:val="center"/>
            </w:pPr>
            <w:r>
              <w:rPr>
                <w:rFonts w:hint="eastAsia"/>
                <w:b/>
              </w:rPr>
              <w:t>上年度可比期间2024年1月1日至2024年12月31日</w:t>
            </w:r>
          </w:p>
        </w:tc>
      </w:tr>
      <w:tr w14:paraId="787C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23FA52"/>
        </w:tc>
        <w:tc>
          <w:tcPr>
            <w:tcW w:w="1661" w:type="dxa"/>
            <w:shd w:val="clear" w:color="auto" w:fill="BFBFBF"/>
            <w:vAlign w:val="center"/>
          </w:tcPr>
          <w:p w14:paraId="672D04FA">
            <w:pPr>
              <w:jc w:val="center"/>
            </w:pPr>
            <w:r>
              <w:rPr>
                <w:rFonts w:hint="eastAsia"/>
                <w:b/>
              </w:rPr>
              <w:t>成交金额</w:t>
            </w:r>
          </w:p>
        </w:tc>
        <w:tc>
          <w:tcPr>
            <w:tcW w:w="1661" w:type="dxa"/>
            <w:shd w:val="clear" w:color="auto" w:fill="BFBFBF"/>
            <w:vAlign w:val="center"/>
          </w:tcPr>
          <w:p w14:paraId="39DB8BEC">
            <w:pPr>
              <w:jc w:val="center"/>
            </w:pPr>
            <w:r>
              <w:rPr>
                <w:rFonts w:hint="eastAsia"/>
                <w:b/>
              </w:rPr>
              <w:t>占当期债券成交总额的比例</w:t>
            </w:r>
          </w:p>
        </w:tc>
        <w:tc>
          <w:tcPr>
            <w:tcW w:w="1661" w:type="dxa"/>
            <w:shd w:val="clear" w:color="auto" w:fill="BFBFBF"/>
            <w:vAlign w:val="center"/>
          </w:tcPr>
          <w:p w14:paraId="3F4780C7">
            <w:pPr>
              <w:jc w:val="center"/>
            </w:pPr>
            <w:r>
              <w:rPr>
                <w:rFonts w:hint="eastAsia"/>
                <w:b/>
              </w:rPr>
              <w:t>成交金额</w:t>
            </w:r>
          </w:p>
        </w:tc>
        <w:tc>
          <w:tcPr>
            <w:tcW w:w="1661" w:type="dxa"/>
            <w:shd w:val="clear" w:color="auto" w:fill="BFBFBF"/>
            <w:vAlign w:val="center"/>
          </w:tcPr>
          <w:p w14:paraId="54C1F4DF">
            <w:pPr>
              <w:jc w:val="center"/>
            </w:pPr>
            <w:r>
              <w:rPr>
                <w:rFonts w:hint="eastAsia"/>
                <w:b/>
              </w:rPr>
              <w:t>占当期债券成交总额的比例</w:t>
            </w:r>
          </w:p>
        </w:tc>
      </w:tr>
      <w:tr w14:paraId="20553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5B1AB6">
            <w:r>
              <w:rPr>
                <w:rFonts w:hint="eastAsia"/>
              </w:rPr>
              <w:t>华泰证券</w:t>
            </w:r>
          </w:p>
        </w:tc>
        <w:tc>
          <w:tcPr>
            <w:tcW w:w="1661" w:type="dxa"/>
            <w:vAlign w:val="center"/>
          </w:tcPr>
          <w:p w14:paraId="0F66B4BF">
            <w:pPr>
              <w:jc w:val="right"/>
            </w:pPr>
            <w:r>
              <w:rPr>
                <w:rFonts w:hint="eastAsia"/>
              </w:rPr>
              <w:t>314,727,260.00</w:t>
            </w:r>
          </w:p>
        </w:tc>
        <w:tc>
          <w:tcPr>
            <w:tcW w:w="1661" w:type="dxa"/>
            <w:vAlign w:val="center"/>
          </w:tcPr>
          <w:p w14:paraId="77F20CB8">
            <w:pPr>
              <w:jc w:val="right"/>
            </w:pPr>
            <w:r>
              <w:rPr>
                <w:rFonts w:hint="eastAsia"/>
              </w:rPr>
              <w:t>91.04%</w:t>
            </w:r>
          </w:p>
        </w:tc>
        <w:tc>
          <w:tcPr>
            <w:tcW w:w="1661" w:type="dxa"/>
            <w:vAlign w:val="center"/>
          </w:tcPr>
          <w:p w14:paraId="2018214D">
            <w:pPr>
              <w:jc w:val="right"/>
            </w:pPr>
            <w:r>
              <w:rPr>
                <w:rFonts w:hint="eastAsia"/>
              </w:rPr>
              <w:t>183,189,900.00</w:t>
            </w:r>
          </w:p>
        </w:tc>
        <w:tc>
          <w:tcPr>
            <w:tcW w:w="1661" w:type="dxa"/>
            <w:vAlign w:val="center"/>
          </w:tcPr>
          <w:p w14:paraId="3DBD971A">
            <w:pPr>
              <w:jc w:val="right"/>
            </w:pPr>
            <w:r>
              <w:rPr>
                <w:rFonts w:hint="eastAsia"/>
              </w:rPr>
              <w:t>27.31%</w:t>
            </w:r>
          </w:p>
        </w:tc>
      </w:tr>
    </w:tbl>
    <w:p w14:paraId="74F5FA97">
      <w:pPr>
        <w:pStyle w:val="36"/>
      </w:pPr>
      <w:bookmarkStart w:id="107" w:name="_Toc107"/>
      <w:r>
        <w:t>债券回购交易</w:t>
      </w:r>
      <w:bookmarkEnd w:id="107"/>
    </w:p>
    <w:p w14:paraId="2EE42C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6F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5880FC0">
            <w:pPr>
              <w:jc w:val="center"/>
            </w:pPr>
            <w:r>
              <w:rPr>
                <w:rFonts w:hint="eastAsia"/>
                <w:b/>
              </w:rPr>
              <w:t>关联方名称</w:t>
            </w:r>
          </w:p>
        </w:tc>
        <w:tc>
          <w:tcPr>
            <w:tcW w:w="1661" w:type="dxa"/>
            <w:gridSpan w:val="2"/>
            <w:shd w:val="clear" w:color="auto" w:fill="BFBFBF"/>
            <w:vAlign w:val="center"/>
          </w:tcPr>
          <w:p w14:paraId="541FCE9A">
            <w:pPr>
              <w:jc w:val="center"/>
            </w:pPr>
            <w:r>
              <w:rPr>
                <w:rFonts w:hint="eastAsia"/>
                <w:b/>
              </w:rPr>
              <w:t>本期2025年1月1日至2025年12月31日</w:t>
            </w:r>
          </w:p>
        </w:tc>
        <w:tc>
          <w:tcPr>
            <w:tcW w:w="1661" w:type="dxa"/>
            <w:gridSpan w:val="2"/>
            <w:shd w:val="clear" w:color="auto" w:fill="BFBFBF"/>
            <w:vAlign w:val="center"/>
          </w:tcPr>
          <w:p w14:paraId="38C9B992">
            <w:pPr>
              <w:jc w:val="center"/>
            </w:pPr>
            <w:r>
              <w:rPr>
                <w:rFonts w:hint="eastAsia"/>
                <w:b/>
              </w:rPr>
              <w:t>上年度可比期间2024年1月1日至2024年12月31日</w:t>
            </w:r>
          </w:p>
        </w:tc>
      </w:tr>
      <w:tr w14:paraId="414D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5985C0"/>
        </w:tc>
        <w:tc>
          <w:tcPr>
            <w:tcW w:w="1661" w:type="dxa"/>
            <w:shd w:val="clear" w:color="auto" w:fill="BFBFBF"/>
            <w:vAlign w:val="center"/>
          </w:tcPr>
          <w:p w14:paraId="5F0EC43B">
            <w:pPr>
              <w:jc w:val="center"/>
            </w:pPr>
            <w:r>
              <w:rPr>
                <w:rFonts w:hint="eastAsia"/>
                <w:b/>
              </w:rPr>
              <w:t>成交金额</w:t>
            </w:r>
          </w:p>
        </w:tc>
        <w:tc>
          <w:tcPr>
            <w:tcW w:w="1661" w:type="dxa"/>
            <w:shd w:val="clear" w:color="auto" w:fill="BFBFBF"/>
            <w:vAlign w:val="center"/>
          </w:tcPr>
          <w:p w14:paraId="3F0F10F0">
            <w:pPr>
              <w:jc w:val="center"/>
            </w:pPr>
            <w:r>
              <w:rPr>
                <w:rFonts w:hint="eastAsia"/>
                <w:b/>
              </w:rPr>
              <w:t>占当期债券回购成交总额的比例</w:t>
            </w:r>
          </w:p>
        </w:tc>
        <w:tc>
          <w:tcPr>
            <w:tcW w:w="1661" w:type="dxa"/>
            <w:shd w:val="clear" w:color="auto" w:fill="BFBFBF"/>
            <w:vAlign w:val="center"/>
          </w:tcPr>
          <w:p w14:paraId="2112AC5B">
            <w:pPr>
              <w:jc w:val="center"/>
            </w:pPr>
            <w:r>
              <w:rPr>
                <w:rFonts w:hint="eastAsia"/>
                <w:b/>
              </w:rPr>
              <w:t>成交金额</w:t>
            </w:r>
          </w:p>
        </w:tc>
        <w:tc>
          <w:tcPr>
            <w:tcW w:w="1661" w:type="dxa"/>
            <w:shd w:val="clear" w:color="auto" w:fill="BFBFBF"/>
            <w:vAlign w:val="center"/>
          </w:tcPr>
          <w:p w14:paraId="3FF6C705">
            <w:pPr>
              <w:jc w:val="center"/>
            </w:pPr>
            <w:r>
              <w:rPr>
                <w:rFonts w:hint="eastAsia"/>
                <w:b/>
              </w:rPr>
              <w:t>占当期债券回购成交总额的比例</w:t>
            </w:r>
          </w:p>
        </w:tc>
      </w:tr>
      <w:tr w14:paraId="25543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5CEB4">
            <w:r>
              <w:rPr>
                <w:rFonts w:hint="eastAsia"/>
              </w:rPr>
              <w:t>华泰证券</w:t>
            </w:r>
          </w:p>
        </w:tc>
        <w:tc>
          <w:tcPr>
            <w:tcW w:w="1661" w:type="dxa"/>
            <w:vAlign w:val="center"/>
          </w:tcPr>
          <w:p w14:paraId="5B47A628">
            <w:pPr>
              <w:jc w:val="right"/>
            </w:pPr>
            <w:r>
              <w:rPr>
                <w:rFonts w:hint="eastAsia"/>
              </w:rPr>
              <w:t>-</w:t>
            </w:r>
          </w:p>
        </w:tc>
        <w:tc>
          <w:tcPr>
            <w:tcW w:w="1661" w:type="dxa"/>
            <w:vAlign w:val="center"/>
          </w:tcPr>
          <w:p w14:paraId="410CD864">
            <w:pPr>
              <w:jc w:val="right"/>
            </w:pPr>
            <w:r>
              <w:rPr>
                <w:rFonts w:hint="eastAsia"/>
              </w:rPr>
              <w:t>-</w:t>
            </w:r>
          </w:p>
        </w:tc>
        <w:tc>
          <w:tcPr>
            <w:tcW w:w="1661" w:type="dxa"/>
            <w:vAlign w:val="center"/>
          </w:tcPr>
          <w:p w14:paraId="692D016E">
            <w:pPr>
              <w:jc w:val="right"/>
            </w:pPr>
            <w:r>
              <w:rPr>
                <w:rFonts w:hint="eastAsia"/>
              </w:rPr>
              <w:t>20,000,000.00</w:t>
            </w:r>
          </w:p>
        </w:tc>
        <w:tc>
          <w:tcPr>
            <w:tcW w:w="1661" w:type="dxa"/>
            <w:vAlign w:val="center"/>
          </w:tcPr>
          <w:p w14:paraId="26022288">
            <w:pPr>
              <w:jc w:val="right"/>
            </w:pPr>
            <w:r>
              <w:rPr>
                <w:rFonts w:hint="eastAsia"/>
              </w:rPr>
              <w:t>0.13%</w:t>
            </w:r>
          </w:p>
        </w:tc>
      </w:tr>
    </w:tbl>
    <w:p w14:paraId="637BBC95">
      <w:pPr>
        <w:pStyle w:val="36"/>
      </w:pPr>
      <w:bookmarkStart w:id="108" w:name="_Toc108"/>
      <w:r>
        <w:t>基金交易</w:t>
      </w:r>
      <w:bookmarkEnd w:id="108"/>
    </w:p>
    <w:p w14:paraId="543911BF">
      <w:pPr>
        <w:pStyle w:val="18"/>
        <w:rPr>
          <w:rFonts w:hint="eastAsia"/>
        </w:rPr>
      </w:pPr>
      <w:r>
        <w:rPr>
          <w:rFonts w:hint="eastAsia"/>
        </w:rPr>
        <w:t>无。</w:t>
      </w:r>
    </w:p>
    <w:p w14:paraId="09B5B479">
      <w:pPr>
        <w:pStyle w:val="36"/>
      </w:pPr>
      <w:bookmarkStart w:id="109" w:name="_Toc109"/>
      <w:r>
        <w:t>权证交易</w:t>
      </w:r>
      <w:bookmarkEnd w:id="109"/>
    </w:p>
    <w:p w14:paraId="72F9A200">
      <w:pPr>
        <w:pStyle w:val="18"/>
        <w:rPr>
          <w:rFonts w:hint="eastAsia"/>
        </w:rPr>
      </w:pPr>
      <w:r>
        <w:rPr>
          <w:rFonts w:hint="eastAsia"/>
        </w:rPr>
        <w:t>无。</w:t>
      </w:r>
    </w:p>
    <w:p w14:paraId="42D1EE83">
      <w:pPr>
        <w:pStyle w:val="36"/>
      </w:pPr>
      <w:bookmarkStart w:id="110" w:name="_Toc110"/>
      <w:r>
        <w:t>应支付关联方的佣金</w:t>
      </w:r>
      <w:bookmarkEnd w:id="110"/>
    </w:p>
    <w:p w14:paraId="22D5EA62">
      <w:pPr>
        <w:pStyle w:val="18"/>
        <w:rPr>
          <w:rFonts w:hint="eastAsia"/>
        </w:rPr>
      </w:pPr>
      <w:r>
        <w:rPr>
          <w:rFonts w:hint="eastAsia"/>
        </w:rPr>
        <w:t>无。</w:t>
      </w:r>
    </w:p>
    <w:p w14:paraId="07225541">
      <w:pPr>
        <w:pStyle w:val="35"/>
      </w:pPr>
      <w:bookmarkStart w:id="111" w:name="_Toc111"/>
      <w:r>
        <w:t>关联方报酬</w:t>
      </w:r>
      <w:bookmarkEnd w:id="111"/>
    </w:p>
    <w:p w14:paraId="61E478F0">
      <w:pPr>
        <w:pStyle w:val="36"/>
      </w:pPr>
      <w:bookmarkStart w:id="112" w:name="_Toc112"/>
      <w:r>
        <w:t>基金管理费</w:t>
      </w:r>
      <w:bookmarkEnd w:id="112"/>
    </w:p>
    <w:p w14:paraId="21707B7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F6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ED72D1">
            <w:pPr>
              <w:jc w:val="center"/>
            </w:pPr>
            <w:r>
              <w:rPr>
                <w:rFonts w:hint="eastAsia"/>
                <w:b/>
              </w:rPr>
              <w:t>项目</w:t>
            </w:r>
          </w:p>
        </w:tc>
        <w:tc>
          <w:tcPr>
            <w:tcW w:w="2768" w:type="dxa"/>
            <w:shd w:val="clear" w:color="auto" w:fill="BFBFBF"/>
            <w:vAlign w:val="center"/>
          </w:tcPr>
          <w:p w14:paraId="74D386F1">
            <w:pPr>
              <w:jc w:val="center"/>
            </w:pPr>
            <w:r>
              <w:rPr>
                <w:rFonts w:hint="eastAsia"/>
                <w:b/>
              </w:rPr>
              <w:t>本期2025年1月1日至2025年12月31日</w:t>
            </w:r>
          </w:p>
        </w:tc>
        <w:tc>
          <w:tcPr>
            <w:tcW w:w="2768" w:type="dxa"/>
            <w:shd w:val="clear" w:color="auto" w:fill="BFBFBF"/>
            <w:vAlign w:val="center"/>
          </w:tcPr>
          <w:p w14:paraId="0E939CC1">
            <w:pPr>
              <w:jc w:val="center"/>
            </w:pPr>
            <w:r>
              <w:rPr>
                <w:rFonts w:hint="eastAsia"/>
                <w:b/>
              </w:rPr>
              <w:t>上年度可比期间2024年1月1日至2024年12月31日</w:t>
            </w:r>
          </w:p>
        </w:tc>
      </w:tr>
      <w:tr w14:paraId="1ECF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AF8234">
            <w:r>
              <w:rPr>
                <w:rFonts w:hint="eastAsia"/>
              </w:rPr>
              <w:t>当期发生的基金应支付的管理费</w:t>
            </w:r>
          </w:p>
        </w:tc>
        <w:tc>
          <w:tcPr>
            <w:tcW w:w="2768" w:type="dxa"/>
            <w:vAlign w:val="center"/>
          </w:tcPr>
          <w:p w14:paraId="5E2CCEC8">
            <w:pPr>
              <w:jc w:val="right"/>
            </w:pPr>
            <w:r>
              <w:rPr>
                <w:rFonts w:hint="eastAsia"/>
              </w:rPr>
              <w:t>4,810,380.25</w:t>
            </w:r>
          </w:p>
        </w:tc>
        <w:tc>
          <w:tcPr>
            <w:tcW w:w="2768" w:type="dxa"/>
            <w:vAlign w:val="center"/>
          </w:tcPr>
          <w:p w14:paraId="52C7FCFB">
            <w:pPr>
              <w:jc w:val="right"/>
            </w:pPr>
            <w:r>
              <w:rPr>
                <w:rFonts w:hint="eastAsia"/>
              </w:rPr>
              <w:t>4,828,649.22</w:t>
            </w:r>
          </w:p>
        </w:tc>
      </w:tr>
      <w:tr w14:paraId="15C6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5FBF8">
            <w:r>
              <w:rPr>
                <w:rFonts w:hint="eastAsia"/>
              </w:rPr>
              <w:t>其中：应支付销售机构的客户维护费</w:t>
            </w:r>
          </w:p>
        </w:tc>
        <w:tc>
          <w:tcPr>
            <w:tcW w:w="2768" w:type="dxa"/>
            <w:vAlign w:val="center"/>
          </w:tcPr>
          <w:p w14:paraId="7BED4781">
            <w:pPr>
              <w:jc w:val="right"/>
            </w:pPr>
            <w:r>
              <w:rPr>
                <w:rFonts w:hint="eastAsia"/>
              </w:rPr>
              <w:t>10.95</w:t>
            </w:r>
          </w:p>
        </w:tc>
        <w:tc>
          <w:tcPr>
            <w:tcW w:w="2768" w:type="dxa"/>
            <w:vAlign w:val="center"/>
          </w:tcPr>
          <w:p w14:paraId="4C7E1D16">
            <w:pPr>
              <w:jc w:val="right"/>
            </w:pPr>
            <w:r>
              <w:rPr>
                <w:rFonts w:hint="eastAsia"/>
              </w:rPr>
              <w:t>10.98</w:t>
            </w:r>
          </w:p>
        </w:tc>
      </w:tr>
      <w:tr w14:paraId="3D38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BF66D">
            <w:r>
              <w:rPr>
                <w:rFonts w:hint="eastAsia"/>
              </w:rPr>
              <w:t xml:space="preserve">      应支付基金管理人的净管理费</w:t>
            </w:r>
          </w:p>
        </w:tc>
        <w:tc>
          <w:tcPr>
            <w:tcW w:w="2768" w:type="dxa"/>
            <w:vAlign w:val="center"/>
          </w:tcPr>
          <w:p w14:paraId="05EC2038">
            <w:pPr>
              <w:jc w:val="right"/>
            </w:pPr>
            <w:r>
              <w:rPr>
                <w:rFonts w:hint="eastAsia"/>
              </w:rPr>
              <w:t>4,810,369.30</w:t>
            </w:r>
          </w:p>
        </w:tc>
        <w:tc>
          <w:tcPr>
            <w:tcW w:w="2768" w:type="dxa"/>
            <w:vAlign w:val="center"/>
          </w:tcPr>
          <w:p w14:paraId="166E26B2">
            <w:pPr>
              <w:jc w:val="right"/>
            </w:pPr>
            <w:r>
              <w:rPr>
                <w:rFonts w:hint="eastAsia"/>
              </w:rPr>
              <w:t>4,828,638.24</w:t>
            </w:r>
          </w:p>
        </w:tc>
      </w:tr>
    </w:tbl>
    <w:p w14:paraId="6F84D08C">
      <w:pPr>
        <w:pStyle w:val="47"/>
        <w:rPr>
          <w:rFonts w:hint="eastAsia"/>
        </w:rPr>
      </w:pPr>
      <w:r>
        <w:rPr>
          <w:rFonts w:hint="eastAsia"/>
        </w:rPr>
        <w:t>注：支付基金管理人南方基金的管理人报酬按前一日基金资产净值0.30%的年费率计提，逐日累计至每月月底，按月支付。其计算公式为：</w:t>
      </w:r>
    </w:p>
    <w:p w14:paraId="4B118FDA">
      <w:pPr>
        <w:pStyle w:val="47"/>
        <w:rPr>
          <w:rFonts w:hint="eastAsia"/>
        </w:rPr>
      </w:pPr>
      <w:r>
        <w:tab/>
      </w:r>
      <w:r>
        <w:rPr>
          <w:rFonts w:hint="eastAsia"/>
        </w:rPr>
        <w:t>日管理人报酬＝前一日基金资产净值×0.30%÷当年天数。</w:t>
      </w:r>
    </w:p>
    <w:p w14:paraId="600A1F3F">
      <w:pPr>
        <w:pStyle w:val="36"/>
      </w:pPr>
      <w:bookmarkStart w:id="113" w:name="_Toc113"/>
      <w:r>
        <w:t>基金托管费</w:t>
      </w:r>
      <w:bookmarkEnd w:id="113"/>
    </w:p>
    <w:p w14:paraId="403A66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59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AB8C2B">
            <w:pPr>
              <w:jc w:val="center"/>
            </w:pPr>
            <w:r>
              <w:rPr>
                <w:rFonts w:hint="eastAsia"/>
                <w:b/>
              </w:rPr>
              <w:t>项目</w:t>
            </w:r>
          </w:p>
        </w:tc>
        <w:tc>
          <w:tcPr>
            <w:tcW w:w="2768" w:type="dxa"/>
            <w:shd w:val="clear" w:color="auto" w:fill="BFBFBF"/>
            <w:vAlign w:val="center"/>
          </w:tcPr>
          <w:p w14:paraId="5B56AC2A">
            <w:pPr>
              <w:jc w:val="center"/>
            </w:pPr>
            <w:r>
              <w:rPr>
                <w:rFonts w:hint="eastAsia"/>
                <w:b/>
              </w:rPr>
              <w:t>本期2025年1月1日至2025年12月31日</w:t>
            </w:r>
          </w:p>
        </w:tc>
        <w:tc>
          <w:tcPr>
            <w:tcW w:w="2768" w:type="dxa"/>
            <w:shd w:val="clear" w:color="auto" w:fill="BFBFBF"/>
            <w:vAlign w:val="center"/>
          </w:tcPr>
          <w:p w14:paraId="14F4C260">
            <w:pPr>
              <w:jc w:val="center"/>
            </w:pPr>
            <w:r>
              <w:rPr>
                <w:rFonts w:hint="eastAsia"/>
                <w:b/>
              </w:rPr>
              <w:t>上年度可比期间2024年1月1日至2024年12月31日</w:t>
            </w:r>
          </w:p>
        </w:tc>
      </w:tr>
      <w:tr w14:paraId="204B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9CF6C">
            <w:r>
              <w:rPr>
                <w:rFonts w:hint="eastAsia"/>
              </w:rPr>
              <w:t>当期发生的基金应支付的托管费</w:t>
            </w:r>
          </w:p>
        </w:tc>
        <w:tc>
          <w:tcPr>
            <w:tcW w:w="2768" w:type="dxa"/>
            <w:vAlign w:val="center"/>
          </w:tcPr>
          <w:p w14:paraId="454EB02D">
            <w:pPr>
              <w:jc w:val="right"/>
            </w:pPr>
            <w:r>
              <w:rPr>
                <w:rFonts w:hint="eastAsia"/>
              </w:rPr>
              <w:t>1,603,460.18</w:t>
            </w:r>
          </w:p>
        </w:tc>
        <w:tc>
          <w:tcPr>
            <w:tcW w:w="2768" w:type="dxa"/>
            <w:vAlign w:val="center"/>
          </w:tcPr>
          <w:p w14:paraId="6210BDD7">
            <w:pPr>
              <w:jc w:val="right"/>
            </w:pPr>
            <w:r>
              <w:rPr>
                <w:rFonts w:hint="eastAsia"/>
              </w:rPr>
              <w:t>1,609,549.74</w:t>
            </w:r>
          </w:p>
        </w:tc>
      </w:tr>
    </w:tbl>
    <w:p w14:paraId="539110D4">
      <w:pPr>
        <w:pStyle w:val="47"/>
        <w:rPr>
          <w:rFonts w:hint="eastAsia"/>
        </w:rPr>
      </w:pPr>
      <w:r>
        <w:rPr>
          <w:rFonts w:hint="eastAsia"/>
        </w:rPr>
        <w:t>注：支付基金托管人的托管费按前一日基金资产净值0.10%的年费率计提，逐日累计至每月月底，按月支付。其计算公式为：</w:t>
      </w:r>
    </w:p>
    <w:p w14:paraId="14934026">
      <w:pPr>
        <w:pStyle w:val="47"/>
        <w:rPr>
          <w:rFonts w:hint="eastAsia"/>
        </w:rPr>
      </w:pPr>
      <w:r>
        <w:tab/>
      </w:r>
      <w:r>
        <w:rPr>
          <w:rFonts w:hint="eastAsia"/>
        </w:rPr>
        <w:t>日托管费＝前一日基金资产净值×0.10%÷当年天数。</w:t>
      </w:r>
    </w:p>
    <w:p w14:paraId="3CACAADF">
      <w:pPr>
        <w:pStyle w:val="36"/>
      </w:pPr>
      <w:bookmarkStart w:id="114" w:name="_Toc114"/>
      <w:r>
        <w:t>销售服务费</w:t>
      </w:r>
      <w:bookmarkEnd w:id="114"/>
    </w:p>
    <w:p w14:paraId="1D4AD30C">
      <w:pPr>
        <w:pStyle w:val="18"/>
        <w:rPr>
          <w:rFonts w:hint="eastAsia"/>
        </w:rPr>
      </w:pPr>
      <w:r>
        <w:rPr>
          <w:rFonts w:hint="eastAsia"/>
        </w:rPr>
        <w:t>无。</w:t>
      </w:r>
    </w:p>
    <w:p w14:paraId="66113565">
      <w:pPr>
        <w:pStyle w:val="35"/>
      </w:pPr>
      <w:bookmarkStart w:id="115" w:name="_Toc115"/>
      <w:r>
        <w:t>与关联方进行银行间同业市场的债券（含回购）交易</w:t>
      </w:r>
      <w:bookmarkEnd w:id="115"/>
    </w:p>
    <w:p w14:paraId="11E9FE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A8B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B6DCE22">
            <w:pPr>
              <w:jc w:val="center"/>
            </w:pPr>
            <w:r>
              <w:rPr>
                <w:rFonts w:hint="eastAsia"/>
                <w:b/>
              </w:rPr>
              <w:t>本期2025年1月1日至2025年12月31日</w:t>
            </w:r>
          </w:p>
        </w:tc>
      </w:tr>
      <w:tr w14:paraId="02A2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1EA36E5F">
            <w:pPr>
              <w:jc w:val="center"/>
            </w:pPr>
            <w:r>
              <w:rPr>
                <w:rFonts w:hint="eastAsia"/>
                <w:b/>
              </w:rPr>
              <w:t>银行间市场交易的各关联方名称</w:t>
            </w:r>
          </w:p>
        </w:tc>
        <w:tc>
          <w:tcPr>
            <w:tcW w:w="1502" w:type="dxa"/>
            <w:gridSpan w:val="2"/>
            <w:shd w:val="clear" w:color="auto" w:fill="BFBFBF"/>
            <w:vAlign w:val="center"/>
          </w:tcPr>
          <w:p w14:paraId="7F996528">
            <w:pPr>
              <w:jc w:val="center"/>
            </w:pPr>
            <w:r>
              <w:rPr>
                <w:rFonts w:hint="eastAsia"/>
                <w:b/>
              </w:rPr>
              <w:t>债券交易金额</w:t>
            </w:r>
          </w:p>
        </w:tc>
        <w:tc>
          <w:tcPr>
            <w:tcW w:w="1502" w:type="dxa"/>
            <w:gridSpan w:val="2"/>
            <w:shd w:val="clear" w:color="auto" w:fill="BFBFBF"/>
            <w:vAlign w:val="center"/>
          </w:tcPr>
          <w:p w14:paraId="4F21CCA9">
            <w:pPr>
              <w:jc w:val="center"/>
            </w:pPr>
            <w:r>
              <w:rPr>
                <w:rFonts w:hint="eastAsia"/>
                <w:b/>
              </w:rPr>
              <w:t>基金逆回购</w:t>
            </w:r>
          </w:p>
        </w:tc>
        <w:tc>
          <w:tcPr>
            <w:tcW w:w="883" w:type="dxa"/>
            <w:gridSpan w:val="2"/>
            <w:shd w:val="clear" w:color="auto" w:fill="BFBFBF"/>
            <w:vAlign w:val="center"/>
          </w:tcPr>
          <w:p w14:paraId="126074ED">
            <w:pPr>
              <w:jc w:val="center"/>
            </w:pPr>
            <w:r>
              <w:rPr>
                <w:rFonts w:hint="eastAsia"/>
                <w:b/>
              </w:rPr>
              <w:t>基金正回购</w:t>
            </w:r>
          </w:p>
        </w:tc>
      </w:tr>
      <w:tr w14:paraId="51A4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AC8C323"/>
        </w:tc>
        <w:tc>
          <w:tcPr>
            <w:tcW w:w="1502" w:type="dxa"/>
            <w:shd w:val="clear" w:color="auto" w:fill="BFBFBF"/>
            <w:vAlign w:val="center"/>
          </w:tcPr>
          <w:p w14:paraId="54A5452E">
            <w:pPr>
              <w:jc w:val="center"/>
            </w:pPr>
            <w:r>
              <w:rPr>
                <w:rFonts w:hint="eastAsia"/>
                <w:b/>
              </w:rPr>
              <w:t>基金买入</w:t>
            </w:r>
          </w:p>
        </w:tc>
        <w:tc>
          <w:tcPr>
            <w:tcW w:w="1502" w:type="dxa"/>
            <w:shd w:val="clear" w:color="auto" w:fill="BFBFBF"/>
            <w:vAlign w:val="center"/>
          </w:tcPr>
          <w:p w14:paraId="113C18DF">
            <w:pPr>
              <w:jc w:val="center"/>
            </w:pPr>
            <w:r>
              <w:rPr>
                <w:rFonts w:hint="eastAsia"/>
                <w:b/>
              </w:rPr>
              <w:t>基金卖出</w:t>
            </w:r>
          </w:p>
        </w:tc>
        <w:tc>
          <w:tcPr>
            <w:tcW w:w="1502" w:type="dxa"/>
            <w:shd w:val="clear" w:color="auto" w:fill="BFBFBF"/>
            <w:vAlign w:val="center"/>
          </w:tcPr>
          <w:p w14:paraId="15F8B858">
            <w:pPr>
              <w:jc w:val="center"/>
            </w:pPr>
            <w:r>
              <w:rPr>
                <w:rFonts w:hint="eastAsia"/>
                <w:b/>
              </w:rPr>
              <w:t>交易金额</w:t>
            </w:r>
          </w:p>
        </w:tc>
        <w:tc>
          <w:tcPr>
            <w:tcW w:w="1502" w:type="dxa"/>
            <w:shd w:val="clear" w:color="auto" w:fill="BFBFBF"/>
            <w:vAlign w:val="center"/>
          </w:tcPr>
          <w:p w14:paraId="79A38327">
            <w:pPr>
              <w:jc w:val="center"/>
            </w:pPr>
            <w:r>
              <w:rPr>
                <w:rFonts w:hint="eastAsia"/>
                <w:b/>
              </w:rPr>
              <w:t>利息收入</w:t>
            </w:r>
          </w:p>
        </w:tc>
        <w:tc>
          <w:tcPr>
            <w:tcW w:w="883" w:type="dxa"/>
            <w:shd w:val="clear" w:color="auto" w:fill="BFBFBF"/>
            <w:vAlign w:val="center"/>
          </w:tcPr>
          <w:p w14:paraId="6E70D672">
            <w:pPr>
              <w:jc w:val="center"/>
            </w:pPr>
            <w:r>
              <w:rPr>
                <w:rFonts w:hint="eastAsia"/>
                <w:b/>
              </w:rPr>
              <w:t>交易金额</w:t>
            </w:r>
          </w:p>
        </w:tc>
        <w:tc>
          <w:tcPr>
            <w:tcW w:w="883" w:type="dxa"/>
            <w:shd w:val="clear" w:color="auto" w:fill="BFBFBF"/>
            <w:vAlign w:val="center"/>
          </w:tcPr>
          <w:p w14:paraId="453EB353">
            <w:pPr>
              <w:jc w:val="center"/>
            </w:pPr>
            <w:r>
              <w:rPr>
                <w:rFonts w:hint="eastAsia"/>
                <w:b/>
              </w:rPr>
              <w:t>利息支出</w:t>
            </w:r>
          </w:p>
        </w:tc>
      </w:tr>
      <w:tr w14:paraId="1F22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A53C1CF">
            <w:r>
              <w:rPr>
                <w:rFonts w:hint="eastAsia"/>
              </w:rPr>
              <w:t>宁波银行</w:t>
            </w:r>
          </w:p>
        </w:tc>
        <w:tc>
          <w:tcPr>
            <w:tcW w:w="1502" w:type="dxa"/>
            <w:vAlign w:val="center"/>
          </w:tcPr>
          <w:p w14:paraId="5F00FCF7">
            <w:pPr>
              <w:jc w:val="right"/>
            </w:pPr>
            <w:r>
              <w:rPr>
                <w:rFonts w:hint="eastAsia"/>
              </w:rPr>
              <w:t>30,088,149.04</w:t>
            </w:r>
          </w:p>
        </w:tc>
        <w:tc>
          <w:tcPr>
            <w:tcW w:w="1502" w:type="dxa"/>
            <w:vAlign w:val="center"/>
          </w:tcPr>
          <w:p w14:paraId="6C0A60E4">
            <w:pPr>
              <w:jc w:val="right"/>
            </w:pPr>
            <w:r>
              <w:rPr>
                <w:rFonts w:hint="eastAsia"/>
              </w:rPr>
              <w:t>-</w:t>
            </w:r>
          </w:p>
        </w:tc>
        <w:tc>
          <w:tcPr>
            <w:tcW w:w="1502" w:type="dxa"/>
            <w:vAlign w:val="center"/>
          </w:tcPr>
          <w:p w14:paraId="07C6046A">
            <w:pPr>
              <w:jc w:val="right"/>
            </w:pPr>
            <w:r>
              <w:rPr>
                <w:rFonts w:hint="eastAsia"/>
              </w:rPr>
              <w:t>-</w:t>
            </w:r>
          </w:p>
        </w:tc>
        <w:tc>
          <w:tcPr>
            <w:tcW w:w="1502" w:type="dxa"/>
            <w:vAlign w:val="center"/>
          </w:tcPr>
          <w:p w14:paraId="49D67EC8">
            <w:pPr>
              <w:jc w:val="right"/>
            </w:pPr>
            <w:r>
              <w:rPr>
                <w:rFonts w:hint="eastAsia"/>
              </w:rPr>
              <w:t>-</w:t>
            </w:r>
          </w:p>
        </w:tc>
        <w:tc>
          <w:tcPr>
            <w:tcW w:w="883" w:type="dxa"/>
            <w:vAlign w:val="center"/>
          </w:tcPr>
          <w:p w14:paraId="1C46EC0C">
            <w:pPr>
              <w:jc w:val="right"/>
            </w:pPr>
            <w:r>
              <w:rPr>
                <w:rFonts w:hint="eastAsia"/>
              </w:rPr>
              <w:t>150,000,000.00</w:t>
            </w:r>
          </w:p>
        </w:tc>
        <w:tc>
          <w:tcPr>
            <w:tcW w:w="883" w:type="dxa"/>
            <w:vAlign w:val="center"/>
          </w:tcPr>
          <w:p w14:paraId="398E86A8">
            <w:pPr>
              <w:jc w:val="right"/>
            </w:pPr>
            <w:r>
              <w:rPr>
                <w:rFonts w:hint="eastAsia"/>
              </w:rPr>
              <w:t>22,349.11</w:t>
            </w:r>
          </w:p>
        </w:tc>
      </w:tr>
    </w:tbl>
    <w:p w14:paraId="5FA6E9D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D4D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DD4EA82">
            <w:pPr>
              <w:jc w:val="center"/>
            </w:pPr>
            <w:r>
              <w:rPr>
                <w:rFonts w:hint="eastAsia"/>
                <w:b/>
              </w:rPr>
              <w:t>上年度可比期间2024年1月1日至2024年12月31日</w:t>
            </w:r>
          </w:p>
        </w:tc>
      </w:tr>
      <w:tr w14:paraId="38D4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6582EF2">
            <w:pPr>
              <w:jc w:val="center"/>
            </w:pPr>
            <w:r>
              <w:rPr>
                <w:rFonts w:hint="eastAsia"/>
                <w:b/>
              </w:rPr>
              <w:t>银行间市场交易的各关联方名称</w:t>
            </w:r>
          </w:p>
        </w:tc>
        <w:tc>
          <w:tcPr>
            <w:tcW w:w="1502" w:type="dxa"/>
            <w:gridSpan w:val="2"/>
            <w:shd w:val="clear" w:color="auto" w:fill="BFBFBF"/>
            <w:vAlign w:val="center"/>
          </w:tcPr>
          <w:p w14:paraId="30905E8A">
            <w:pPr>
              <w:jc w:val="center"/>
            </w:pPr>
            <w:r>
              <w:rPr>
                <w:rFonts w:hint="eastAsia"/>
                <w:b/>
              </w:rPr>
              <w:t>债券交易金额</w:t>
            </w:r>
          </w:p>
        </w:tc>
        <w:tc>
          <w:tcPr>
            <w:tcW w:w="1502" w:type="dxa"/>
            <w:gridSpan w:val="2"/>
            <w:shd w:val="clear" w:color="auto" w:fill="BFBFBF"/>
            <w:vAlign w:val="center"/>
          </w:tcPr>
          <w:p w14:paraId="4D99D1F9">
            <w:pPr>
              <w:jc w:val="center"/>
            </w:pPr>
            <w:r>
              <w:rPr>
                <w:rFonts w:hint="eastAsia"/>
                <w:b/>
              </w:rPr>
              <w:t>基金逆回购</w:t>
            </w:r>
          </w:p>
        </w:tc>
        <w:tc>
          <w:tcPr>
            <w:tcW w:w="883" w:type="dxa"/>
            <w:gridSpan w:val="2"/>
            <w:shd w:val="clear" w:color="auto" w:fill="BFBFBF"/>
            <w:vAlign w:val="center"/>
          </w:tcPr>
          <w:p w14:paraId="4F344A64">
            <w:pPr>
              <w:jc w:val="center"/>
            </w:pPr>
            <w:r>
              <w:rPr>
                <w:rFonts w:hint="eastAsia"/>
                <w:b/>
              </w:rPr>
              <w:t>基金正回购</w:t>
            </w:r>
          </w:p>
        </w:tc>
      </w:tr>
      <w:tr w14:paraId="2E8CE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48755A9"/>
        </w:tc>
        <w:tc>
          <w:tcPr>
            <w:tcW w:w="1502" w:type="dxa"/>
            <w:shd w:val="clear" w:color="auto" w:fill="BFBFBF"/>
            <w:vAlign w:val="center"/>
          </w:tcPr>
          <w:p w14:paraId="288847EE">
            <w:pPr>
              <w:jc w:val="center"/>
            </w:pPr>
            <w:r>
              <w:rPr>
                <w:rFonts w:hint="eastAsia"/>
                <w:b/>
              </w:rPr>
              <w:t>基金买入</w:t>
            </w:r>
          </w:p>
        </w:tc>
        <w:tc>
          <w:tcPr>
            <w:tcW w:w="1502" w:type="dxa"/>
            <w:shd w:val="clear" w:color="auto" w:fill="BFBFBF"/>
            <w:vAlign w:val="center"/>
          </w:tcPr>
          <w:p w14:paraId="538E89C7">
            <w:pPr>
              <w:jc w:val="center"/>
            </w:pPr>
            <w:r>
              <w:rPr>
                <w:rFonts w:hint="eastAsia"/>
                <w:b/>
              </w:rPr>
              <w:t>基金卖出</w:t>
            </w:r>
          </w:p>
        </w:tc>
        <w:tc>
          <w:tcPr>
            <w:tcW w:w="1502" w:type="dxa"/>
            <w:shd w:val="clear" w:color="auto" w:fill="BFBFBF"/>
            <w:vAlign w:val="center"/>
          </w:tcPr>
          <w:p w14:paraId="0E811FF7">
            <w:pPr>
              <w:jc w:val="center"/>
            </w:pPr>
            <w:r>
              <w:rPr>
                <w:rFonts w:hint="eastAsia"/>
                <w:b/>
              </w:rPr>
              <w:t>交易金额</w:t>
            </w:r>
          </w:p>
        </w:tc>
        <w:tc>
          <w:tcPr>
            <w:tcW w:w="1502" w:type="dxa"/>
            <w:shd w:val="clear" w:color="auto" w:fill="BFBFBF"/>
            <w:vAlign w:val="center"/>
          </w:tcPr>
          <w:p w14:paraId="1C68043C">
            <w:pPr>
              <w:jc w:val="center"/>
            </w:pPr>
            <w:r>
              <w:rPr>
                <w:rFonts w:hint="eastAsia"/>
                <w:b/>
              </w:rPr>
              <w:t>利息收入</w:t>
            </w:r>
          </w:p>
        </w:tc>
        <w:tc>
          <w:tcPr>
            <w:tcW w:w="883" w:type="dxa"/>
            <w:shd w:val="clear" w:color="auto" w:fill="BFBFBF"/>
            <w:vAlign w:val="center"/>
          </w:tcPr>
          <w:p w14:paraId="5F713D8F">
            <w:pPr>
              <w:jc w:val="center"/>
            </w:pPr>
            <w:r>
              <w:rPr>
                <w:rFonts w:hint="eastAsia"/>
                <w:b/>
              </w:rPr>
              <w:t>交易金额</w:t>
            </w:r>
          </w:p>
        </w:tc>
        <w:tc>
          <w:tcPr>
            <w:tcW w:w="883" w:type="dxa"/>
            <w:shd w:val="clear" w:color="auto" w:fill="BFBFBF"/>
            <w:vAlign w:val="center"/>
          </w:tcPr>
          <w:p w14:paraId="75B1D194">
            <w:pPr>
              <w:jc w:val="center"/>
            </w:pPr>
            <w:r>
              <w:rPr>
                <w:rFonts w:hint="eastAsia"/>
                <w:b/>
              </w:rPr>
              <w:t>利息支出</w:t>
            </w:r>
          </w:p>
        </w:tc>
      </w:tr>
      <w:tr w14:paraId="533E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4149C91">
            <w:r>
              <w:rPr>
                <w:rFonts w:hint="eastAsia"/>
              </w:rPr>
              <w:t>宁波银行</w:t>
            </w:r>
          </w:p>
        </w:tc>
        <w:tc>
          <w:tcPr>
            <w:tcW w:w="1502" w:type="dxa"/>
            <w:vAlign w:val="center"/>
          </w:tcPr>
          <w:p w14:paraId="463BEBD2">
            <w:pPr>
              <w:jc w:val="right"/>
            </w:pPr>
            <w:r>
              <w:rPr>
                <w:rFonts w:hint="eastAsia"/>
              </w:rPr>
              <w:t>-</w:t>
            </w:r>
          </w:p>
        </w:tc>
        <w:tc>
          <w:tcPr>
            <w:tcW w:w="1502" w:type="dxa"/>
            <w:vAlign w:val="center"/>
          </w:tcPr>
          <w:p w14:paraId="4B2A84CE">
            <w:pPr>
              <w:jc w:val="right"/>
            </w:pPr>
            <w:r>
              <w:rPr>
                <w:rFonts w:hint="eastAsia"/>
              </w:rPr>
              <w:t>-</w:t>
            </w:r>
          </w:p>
        </w:tc>
        <w:tc>
          <w:tcPr>
            <w:tcW w:w="1502" w:type="dxa"/>
            <w:vAlign w:val="center"/>
          </w:tcPr>
          <w:p w14:paraId="3C2FB17F">
            <w:pPr>
              <w:jc w:val="right"/>
            </w:pPr>
            <w:r>
              <w:rPr>
                <w:rFonts w:hint="eastAsia"/>
              </w:rPr>
              <w:t>-</w:t>
            </w:r>
          </w:p>
        </w:tc>
        <w:tc>
          <w:tcPr>
            <w:tcW w:w="1502" w:type="dxa"/>
            <w:vAlign w:val="center"/>
          </w:tcPr>
          <w:p w14:paraId="217F294C">
            <w:pPr>
              <w:jc w:val="right"/>
            </w:pPr>
            <w:r>
              <w:rPr>
                <w:rFonts w:hint="eastAsia"/>
              </w:rPr>
              <w:t>-</w:t>
            </w:r>
          </w:p>
        </w:tc>
        <w:tc>
          <w:tcPr>
            <w:tcW w:w="883" w:type="dxa"/>
            <w:vAlign w:val="center"/>
          </w:tcPr>
          <w:p w14:paraId="0CF39036">
            <w:pPr>
              <w:jc w:val="right"/>
            </w:pPr>
            <w:r>
              <w:rPr>
                <w:rFonts w:hint="eastAsia"/>
              </w:rPr>
              <w:t>-</w:t>
            </w:r>
          </w:p>
        </w:tc>
        <w:tc>
          <w:tcPr>
            <w:tcW w:w="883" w:type="dxa"/>
            <w:vAlign w:val="center"/>
          </w:tcPr>
          <w:p w14:paraId="23D6645A">
            <w:pPr>
              <w:jc w:val="right"/>
            </w:pPr>
            <w:r>
              <w:rPr>
                <w:rFonts w:hint="eastAsia"/>
              </w:rPr>
              <w:t>-</w:t>
            </w:r>
          </w:p>
        </w:tc>
      </w:tr>
    </w:tbl>
    <w:p w14:paraId="2521F55C">
      <w:pPr>
        <w:pStyle w:val="35"/>
      </w:pPr>
      <w:bookmarkStart w:id="116" w:name="_Toc116"/>
      <w:r>
        <w:t>报告期内转融通证券出借业务发生重大关联交易事项的说明</w:t>
      </w:r>
      <w:bookmarkEnd w:id="116"/>
    </w:p>
    <w:p w14:paraId="2DE6745C">
      <w:pPr>
        <w:pStyle w:val="36"/>
      </w:pPr>
      <w:bookmarkStart w:id="117" w:name="_Toc117"/>
      <w:r>
        <w:t>与关联方通过约定申报方式进行的适用固定期限费率的证券出借业务的情况</w:t>
      </w:r>
      <w:bookmarkEnd w:id="117"/>
    </w:p>
    <w:p w14:paraId="4A105DA7">
      <w:pPr>
        <w:pStyle w:val="18"/>
        <w:rPr>
          <w:rFonts w:hint="eastAsia"/>
        </w:rPr>
      </w:pPr>
      <w:r>
        <w:rPr>
          <w:rFonts w:hint="eastAsia"/>
        </w:rPr>
        <w:t>无。</w:t>
      </w:r>
    </w:p>
    <w:p w14:paraId="1A0DBBF8">
      <w:pPr>
        <w:pStyle w:val="36"/>
      </w:pPr>
      <w:bookmarkStart w:id="118" w:name="_Toc118"/>
      <w:r>
        <w:t>与关联方通过约定申报方式进行的适用市场化期限费率的证券出借业务的情况</w:t>
      </w:r>
      <w:bookmarkEnd w:id="118"/>
    </w:p>
    <w:p w14:paraId="7F303D65">
      <w:pPr>
        <w:pStyle w:val="18"/>
        <w:rPr>
          <w:rFonts w:hint="eastAsia"/>
        </w:rPr>
      </w:pPr>
      <w:r>
        <w:rPr>
          <w:rFonts w:hint="eastAsia"/>
        </w:rPr>
        <w:t>无。</w:t>
      </w:r>
    </w:p>
    <w:p w14:paraId="2CD073FC">
      <w:pPr>
        <w:pStyle w:val="35"/>
      </w:pPr>
      <w:bookmarkStart w:id="119" w:name="_Toc119"/>
      <w:r>
        <w:t>各关联方投资本基金的情况</w:t>
      </w:r>
      <w:bookmarkEnd w:id="119"/>
    </w:p>
    <w:p w14:paraId="430D4B4F">
      <w:pPr>
        <w:pStyle w:val="36"/>
      </w:pPr>
      <w:bookmarkStart w:id="120" w:name="_Toc120"/>
      <w:r>
        <w:t>报告期内基金管理人运用固有资金投资本基金的情况</w:t>
      </w:r>
      <w:bookmarkEnd w:id="120"/>
    </w:p>
    <w:p w14:paraId="46B492F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78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EBA239">
            <w:pPr>
              <w:jc w:val="center"/>
            </w:pPr>
            <w:r>
              <w:rPr>
                <w:rFonts w:hint="eastAsia"/>
                <w:b/>
              </w:rPr>
              <w:t>项目</w:t>
            </w:r>
          </w:p>
        </w:tc>
        <w:tc>
          <w:tcPr>
            <w:tcW w:w="2768" w:type="dxa"/>
            <w:shd w:val="clear" w:color="auto" w:fill="BFBFBF"/>
            <w:vAlign w:val="center"/>
          </w:tcPr>
          <w:p w14:paraId="731F2024">
            <w:pPr>
              <w:jc w:val="center"/>
            </w:pPr>
            <w:r>
              <w:rPr>
                <w:rFonts w:hint="eastAsia"/>
                <w:b/>
              </w:rPr>
              <w:t>本期2025年1月1日至2025年12月31日</w:t>
            </w:r>
          </w:p>
        </w:tc>
        <w:tc>
          <w:tcPr>
            <w:tcW w:w="2768" w:type="dxa"/>
            <w:shd w:val="clear" w:color="auto" w:fill="BFBFBF"/>
            <w:vAlign w:val="center"/>
          </w:tcPr>
          <w:p w14:paraId="2E9ECB0A">
            <w:pPr>
              <w:jc w:val="center"/>
            </w:pPr>
            <w:r>
              <w:rPr>
                <w:rFonts w:hint="eastAsia"/>
                <w:b/>
              </w:rPr>
              <w:t>上年度可比期间2024年1月1日至2024年12月31日</w:t>
            </w:r>
          </w:p>
        </w:tc>
      </w:tr>
      <w:tr w14:paraId="38CE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4DF31">
            <w:r>
              <w:rPr>
                <w:rFonts w:hint="eastAsia"/>
              </w:rPr>
              <w:t>报告期初持有的基金份额</w:t>
            </w:r>
          </w:p>
        </w:tc>
        <w:tc>
          <w:tcPr>
            <w:tcW w:w="2768" w:type="dxa"/>
            <w:vAlign w:val="center"/>
          </w:tcPr>
          <w:p w14:paraId="329CD02B">
            <w:pPr>
              <w:jc w:val="right"/>
            </w:pPr>
            <w:r>
              <w:rPr>
                <w:rFonts w:hint="eastAsia"/>
              </w:rPr>
              <w:t>10,014,695.91</w:t>
            </w:r>
          </w:p>
        </w:tc>
        <w:tc>
          <w:tcPr>
            <w:tcW w:w="2768" w:type="dxa"/>
            <w:vAlign w:val="center"/>
          </w:tcPr>
          <w:p w14:paraId="7F3B8DAA">
            <w:pPr>
              <w:jc w:val="right"/>
            </w:pPr>
            <w:r>
              <w:rPr>
                <w:rFonts w:hint="eastAsia"/>
              </w:rPr>
              <w:t>10,014,695.91</w:t>
            </w:r>
          </w:p>
        </w:tc>
      </w:tr>
      <w:tr w14:paraId="163D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30C1A">
            <w:r>
              <w:rPr>
                <w:rFonts w:hint="eastAsia"/>
              </w:rPr>
              <w:t>报告期间申购/买入总份额</w:t>
            </w:r>
          </w:p>
        </w:tc>
        <w:tc>
          <w:tcPr>
            <w:tcW w:w="2768" w:type="dxa"/>
            <w:vAlign w:val="center"/>
          </w:tcPr>
          <w:p w14:paraId="4527027D">
            <w:pPr>
              <w:jc w:val="right"/>
            </w:pPr>
            <w:r>
              <w:rPr>
                <w:rFonts w:hint="eastAsia"/>
              </w:rPr>
              <w:t>-</w:t>
            </w:r>
          </w:p>
        </w:tc>
        <w:tc>
          <w:tcPr>
            <w:tcW w:w="2768" w:type="dxa"/>
            <w:vAlign w:val="center"/>
          </w:tcPr>
          <w:p w14:paraId="5A34A049">
            <w:pPr>
              <w:jc w:val="right"/>
            </w:pPr>
            <w:r>
              <w:rPr>
                <w:rFonts w:hint="eastAsia"/>
              </w:rPr>
              <w:t>-</w:t>
            </w:r>
          </w:p>
        </w:tc>
      </w:tr>
      <w:tr w14:paraId="4214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0C5494">
            <w:r>
              <w:rPr>
                <w:rFonts w:hint="eastAsia"/>
              </w:rPr>
              <w:t>报告期间因拆分变动份额</w:t>
            </w:r>
          </w:p>
        </w:tc>
        <w:tc>
          <w:tcPr>
            <w:tcW w:w="2768" w:type="dxa"/>
            <w:vAlign w:val="center"/>
          </w:tcPr>
          <w:p w14:paraId="3F0F7DA8">
            <w:pPr>
              <w:jc w:val="right"/>
            </w:pPr>
            <w:r>
              <w:rPr>
                <w:rFonts w:hint="eastAsia"/>
              </w:rPr>
              <w:t>-</w:t>
            </w:r>
          </w:p>
        </w:tc>
        <w:tc>
          <w:tcPr>
            <w:tcW w:w="2768" w:type="dxa"/>
            <w:vAlign w:val="center"/>
          </w:tcPr>
          <w:p w14:paraId="1F9CDA29">
            <w:pPr>
              <w:jc w:val="right"/>
            </w:pPr>
            <w:r>
              <w:rPr>
                <w:rFonts w:hint="eastAsia"/>
              </w:rPr>
              <w:t>-</w:t>
            </w:r>
          </w:p>
        </w:tc>
      </w:tr>
      <w:tr w14:paraId="6D303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7CC7C">
            <w:r>
              <w:rPr>
                <w:rFonts w:hint="eastAsia"/>
              </w:rPr>
              <w:t>减：报告期间赎回/卖出总份额</w:t>
            </w:r>
          </w:p>
        </w:tc>
        <w:tc>
          <w:tcPr>
            <w:tcW w:w="2768" w:type="dxa"/>
            <w:vAlign w:val="center"/>
          </w:tcPr>
          <w:p w14:paraId="1AD2429D">
            <w:pPr>
              <w:jc w:val="right"/>
            </w:pPr>
            <w:r>
              <w:rPr>
                <w:rFonts w:hint="eastAsia"/>
              </w:rPr>
              <w:t>-</w:t>
            </w:r>
          </w:p>
        </w:tc>
        <w:tc>
          <w:tcPr>
            <w:tcW w:w="2768" w:type="dxa"/>
            <w:vAlign w:val="center"/>
          </w:tcPr>
          <w:p w14:paraId="0040F98A">
            <w:pPr>
              <w:jc w:val="right"/>
            </w:pPr>
            <w:r>
              <w:rPr>
                <w:rFonts w:hint="eastAsia"/>
              </w:rPr>
              <w:t>-</w:t>
            </w:r>
          </w:p>
        </w:tc>
      </w:tr>
      <w:tr w14:paraId="37ED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7F278">
            <w:r>
              <w:rPr>
                <w:rFonts w:hint="eastAsia"/>
              </w:rPr>
              <w:t>报告期末持有的基金份额</w:t>
            </w:r>
          </w:p>
        </w:tc>
        <w:tc>
          <w:tcPr>
            <w:tcW w:w="2768" w:type="dxa"/>
            <w:vAlign w:val="center"/>
          </w:tcPr>
          <w:p w14:paraId="4B9BB0BC">
            <w:pPr>
              <w:jc w:val="right"/>
            </w:pPr>
            <w:r>
              <w:rPr>
                <w:rFonts w:hint="eastAsia"/>
              </w:rPr>
              <w:t>10,014,695.91</w:t>
            </w:r>
          </w:p>
        </w:tc>
        <w:tc>
          <w:tcPr>
            <w:tcW w:w="2768" w:type="dxa"/>
            <w:vAlign w:val="center"/>
          </w:tcPr>
          <w:p w14:paraId="4410E840">
            <w:pPr>
              <w:jc w:val="right"/>
            </w:pPr>
            <w:r>
              <w:rPr>
                <w:rFonts w:hint="eastAsia"/>
              </w:rPr>
              <w:t>10,014,695.91</w:t>
            </w:r>
          </w:p>
        </w:tc>
      </w:tr>
      <w:tr w14:paraId="066C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40CA4C">
            <w:r>
              <w:rPr>
                <w:rFonts w:hint="eastAsia"/>
              </w:rPr>
              <w:t>报告期末持有的基金份额占基金总份额比例</w:t>
            </w:r>
          </w:p>
        </w:tc>
        <w:tc>
          <w:tcPr>
            <w:tcW w:w="2768" w:type="dxa"/>
            <w:vAlign w:val="center"/>
          </w:tcPr>
          <w:p w14:paraId="41709A86">
            <w:pPr>
              <w:jc w:val="right"/>
            </w:pPr>
            <w:r>
              <w:rPr>
                <w:rFonts w:hint="eastAsia"/>
              </w:rPr>
              <w:t>1.00%</w:t>
            </w:r>
          </w:p>
        </w:tc>
        <w:tc>
          <w:tcPr>
            <w:tcW w:w="2768" w:type="dxa"/>
            <w:vAlign w:val="center"/>
          </w:tcPr>
          <w:p w14:paraId="425411EE">
            <w:pPr>
              <w:jc w:val="right"/>
            </w:pPr>
            <w:r>
              <w:rPr>
                <w:rFonts w:hint="eastAsia"/>
              </w:rPr>
              <w:t>0.67%</w:t>
            </w:r>
          </w:p>
        </w:tc>
      </w:tr>
    </w:tbl>
    <w:p w14:paraId="30498CDC">
      <w:pPr>
        <w:pStyle w:val="47"/>
        <w:rPr>
          <w:rFonts w:hint="eastAsia"/>
        </w:rPr>
      </w:pPr>
      <w:r>
        <w:rPr>
          <w:rFonts w:hint="eastAsia"/>
        </w:rPr>
        <w:t>注：基金管理人南方基金投资本基金适用的认(申)购/赎回费率按照本基金招募说明书的规定执行。</w:t>
      </w:r>
    </w:p>
    <w:p w14:paraId="193C29F7">
      <w:pPr>
        <w:pStyle w:val="36"/>
      </w:pPr>
      <w:bookmarkStart w:id="121" w:name="_Toc121"/>
      <w:r>
        <w:t>报告期末除基金管理人之外的其他关联方投资本基金的情况</w:t>
      </w:r>
      <w:bookmarkEnd w:id="121"/>
    </w:p>
    <w:p w14:paraId="02F5860D">
      <w:pPr>
        <w:pStyle w:val="18"/>
        <w:rPr>
          <w:rFonts w:hint="eastAsia"/>
        </w:rPr>
      </w:pPr>
      <w:r>
        <w:rPr>
          <w:rFonts w:hint="eastAsia"/>
        </w:rPr>
        <w:t>无。</w:t>
      </w:r>
    </w:p>
    <w:p w14:paraId="5B85B262">
      <w:pPr>
        <w:pStyle w:val="35"/>
      </w:pPr>
      <w:bookmarkStart w:id="122" w:name="_Toc122"/>
      <w:r>
        <w:t>由关联方保管的银行存款余额及当期产生的利息收入</w:t>
      </w:r>
      <w:bookmarkEnd w:id="122"/>
    </w:p>
    <w:p w14:paraId="7D29C4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DF8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F6B1AC">
            <w:pPr>
              <w:jc w:val="center"/>
            </w:pPr>
            <w:r>
              <w:rPr>
                <w:rFonts w:hint="eastAsia"/>
                <w:b/>
              </w:rPr>
              <w:t>关联方名称</w:t>
            </w:r>
          </w:p>
        </w:tc>
        <w:tc>
          <w:tcPr>
            <w:tcW w:w="1661" w:type="dxa"/>
            <w:gridSpan w:val="2"/>
            <w:shd w:val="clear" w:color="auto" w:fill="BFBFBF"/>
            <w:vAlign w:val="center"/>
          </w:tcPr>
          <w:p w14:paraId="7567EB0F">
            <w:pPr>
              <w:jc w:val="center"/>
            </w:pPr>
            <w:r>
              <w:rPr>
                <w:rFonts w:hint="eastAsia"/>
                <w:b/>
              </w:rPr>
              <w:t>本期2025年1月1日至2025年12月31日</w:t>
            </w:r>
          </w:p>
        </w:tc>
        <w:tc>
          <w:tcPr>
            <w:tcW w:w="1661" w:type="dxa"/>
            <w:gridSpan w:val="2"/>
            <w:shd w:val="clear" w:color="auto" w:fill="BFBFBF"/>
            <w:vAlign w:val="center"/>
          </w:tcPr>
          <w:p w14:paraId="1FA7A0C9">
            <w:pPr>
              <w:jc w:val="center"/>
            </w:pPr>
            <w:r>
              <w:rPr>
                <w:rFonts w:hint="eastAsia"/>
                <w:b/>
              </w:rPr>
              <w:t>上年度可比期间2024年1月1日至2024年12月31日</w:t>
            </w:r>
          </w:p>
        </w:tc>
      </w:tr>
      <w:tr w14:paraId="0ECD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80FCC3"/>
        </w:tc>
        <w:tc>
          <w:tcPr>
            <w:tcW w:w="1661" w:type="dxa"/>
            <w:shd w:val="clear" w:color="auto" w:fill="BFBFBF"/>
            <w:vAlign w:val="center"/>
          </w:tcPr>
          <w:p w14:paraId="78CE52CE">
            <w:pPr>
              <w:jc w:val="center"/>
            </w:pPr>
            <w:r>
              <w:rPr>
                <w:rFonts w:hint="eastAsia"/>
                <w:b/>
              </w:rPr>
              <w:t>期末余额</w:t>
            </w:r>
          </w:p>
        </w:tc>
        <w:tc>
          <w:tcPr>
            <w:tcW w:w="1661" w:type="dxa"/>
            <w:shd w:val="clear" w:color="auto" w:fill="BFBFBF"/>
            <w:vAlign w:val="center"/>
          </w:tcPr>
          <w:p w14:paraId="7B1416C8">
            <w:pPr>
              <w:jc w:val="center"/>
            </w:pPr>
            <w:r>
              <w:rPr>
                <w:rFonts w:hint="eastAsia"/>
                <w:b/>
              </w:rPr>
              <w:t>当期利息收入</w:t>
            </w:r>
          </w:p>
        </w:tc>
        <w:tc>
          <w:tcPr>
            <w:tcW w:w="1661" w:type="dxa"/>
            <w:shd w:val="clear" w:color="auto" w:fill="BFBFBF"/>
            <w:vAlign w:val="center"/>
          </w:tcPr>
          <w:p w14:paraId="442DB586">
            <w:pPr>
              <w:jc w:val="center"/>
            </w:pPr>
            <w:r>
              <w:rPr>
                <w:rFonts w:hint="eastAsia"/>
                <w:b/>
              </w:rPr>
              <w:t>期末余额</w:t>
            </w:r>
          </w:p>
        </w:tc>
        <w:tc>
          <w:tcPr>
            <w:tcW w:w="1661" w:type="dxa"/>
            <w:shd w:val="clear" w:color="auto" w:fill="BFBFBF"/>
            <w:vAlign w:val="center"/>
          </w:tcPr>
          <w:p w14:paraId="3A73E109">
            <w:pPr>
              <w:jc w:val="center"/>
            </w:pPr>
            <w:r>
              <w:rPr>
                <w:rFonts w:hint="eastAsia"/>
                <w:b/>
              </w:rPr>
              <w:t>当期利息收入</w:t>
            </w:r>
          </w:p>
        </w:tc>
      </w:tr>
      <w:tr w14:paraId="5872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CF951">
            <w:r>
              <w:rPr>
                <w:rFonts w:hint="eastAsia"/>
              </w:rPr>
              <w:t>宁波银行</w:t>
            </w:r>
          </w:p>
        </w:tc>
        <w:tc>
          <w:tcPr>
            <w:tcW w:w="1661" w:type="dxa"/>
            <w:vAlign w:val="center"/>
          </w:tcPr>
          <w:p w14:paraId="57F4D9FC">
            <w:pPr>
              <w:jc w:val="right"/>
            </w:pPr>
            <w:r>
              <w:rPr>
                <w:rFonts w:hint="eastAsia"/>
              </w:rPr>
              <w:t>1,467,515.15</w:t>
            </w:r>
          </w:p>
        </w:tc>
        <w:tc>
          <w:tcPr>
            <w:tcW w:w="1661" w:type="dxa"/>
            <w:vAlign w:val="center"/>
          </w:tcPr>
          <w:p w14:paraId="654F0567">
            <w:pPr>
              <w:jc w:val="right"/>
            </w:pPr>
            <w:r>
              <w:rPr>
                <w:rFonts w:hint="eastAsia"/>
              </w:rPr>
              <w:t>16,181.00</w:t>
            </w:r>
          </w:p>
        </w:tc>
        <w:tc>
          <w:tcPr>
            <w:tcW w:w="1661" w:type="dxa"/>
            <w:vAlign w:val="center"/>
          </w:tcPr>
          <w:p w14:paraId="1E1EFF28">
            <w:pPr>
              <w:jc w:val="right"/>
            </w:pPr>
            <w:r>
              <w:rPr>
                <w:rFonts w:hint="eastAsia"/>
              </w:rPr>
              <w:t>1,217,321.83</w:t>
            </w:r>
          </w:p>
        </w:tc>
        <w:tc>
          <w:tcPr>
            <w:tcW w:w="1661" w:type="dxa"/>
            <w:vAlign w:val="center"/>
          </w:tcPr>
          <w:p w14:paraId="71F8F331">
            <w:pPr>
              <w:jc w:val="right"/>
            </w:pPr>
            <w:r>
              <w:rPr>
                <w:rFonts w:hint="eastAsia"/>
              </w:rPr>
              <w:t>18,573.26</w:t>
            </w:r>
          </w:p>
        </w:tc>
      </w:tr>
    </w:tbl>
    <w:p w14:paraId="07976792">
      <w:pPr>
        <w:pStyle w:val="47"/>
        <w:rPr>
          <w:rFonts w:hint="eastAsia"/>
        </w:rPr>
      </w:pPr>
      <w:r>
        <w:rPr>
          <w:rFonts w:hint="eastAsia"/>
        </w:rPr>
        <w:t>注：本基金的银行存款由基金托管人保管，按银行约定利率计息。</w:t>
      </w:r>
    </w:p>
    <w:p w14:paraId="016F1EAE">
      <w:pPr>
        <w:pStyle w:val="35"/>
      </w:pPr>
      <w:bookmarkStart w:id="123" w:name="_Toc123"/>
      <w:r>
        <w:t>本基金在承销期内参与关联方承销证券的情况</w:t>
      </w:r>
      <w:bookmarkEnd w:id="123"/>
    </w:p>
    <w:p w14:paraId="1EA6932B">
      <w:pPr>
        <w:pStyle w:val="18"/>
        <w:rPr>
          <w:rFonts w:hint="eastAsia"/>
        </w:rPr>
      </w:pPr>
      <w:r>
        <w:rPr>
          <w:rFonts w:hint="eastAsia"/>
        </w:rPr>
        <w:t>无。</w:t>
      </w:r>
    </w:p>
    <w:p w14:paraId="4C2F32FC">
      <w:pPr>
        <w:pStyle w:val="35"/>
      </w:pPr>
      <w:bookmarkStart w:id="124" w:name="_Toc124"/>
      <w:r>
        <w:t>其他关联交易事项的说明</w:t>
      </w:r>
      <w:bookmarkEnd w:id="124"/>
    </w:p>
    <w:p w14:paraId="00ADCF54">
      <w:pPr>
        <w:pStyle w:val="18"/>
        <w:rPr>
          <w:rFonts w:hint="eastAsia"/>
        </w:rPr>
      </w:pPr>
      <w:r>
        <w:rPr>
          <w:rFonts w:hint="eastAsia"/>
        </w:rPr>
        <w:t>无。</w:t>
      </w:r>
    </w:p>
    <w:p w14:paraId="0BE72CF2">
      <w:pPr>
        <w:pStyle w:val="28"/>
      </w:pPr>
      <w:bookmarkStart w:id="125" w:name="_Toc125"/>
      <w:r>
        <w:t>利润分配情况——固定净值型货币市场基金之外的基金</w:t>
      </w:r>
      <w:bookmarkEnd w:id="125"/>
    </w:p>
    <w:p w14:paraId="06378B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180C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7D2774C">
            <w:pPr>
              <w:jc w:val="center"/>
            </w:pPr>
            <w:r>
              <w:rPr>
                <w:rFonts w:hint="eastAsia"/>
                <w:b/>
              </w:rPr>
              <w:t>序号</w:t>
            </w:r>
          </w:p>
        </w:tc>
        <w:tc>
          <w:tcPr>
            <w:tcW w:w="922" w:type="dxa"/>
            <w:shd w:val="clear" w:color="auto" w:fill="BFBFBF"/>
            <w:vAlign w:val="center"/>
          </w:tcPr>
          <w:p w14:paraId="1616CCBF">
            <w:pPr>
              <w:jc w:val="center"/>
            </w:pPr>
            <w:r>
              <w:rPr>
                <w:rFonts w:hint="eastAsia"/>
                <w:b/>
              </w:rPr>
              <w:t>权益登记日</w:t>
            </w:r>
          </w:p>
        </w:tc>
        <w:tc>
          <w:tcPr>
            <w:tcW w:w="922" w:type="dxa"/>
            <w:shd w:val="clear" w:color="auto" w:fill="BFBFBF"/>
            <w:vAlign w:val="center"/>
          </w:tcPr>
          <w:p w14:paraId="5F09F606">
            <w:pPr>
              <w:jc w:val="center"/>
            </w:pPr>
            <w:r>
              <w:rPr>
                <w:rFonts w:hint="eastAsia"/>
                <w:b/>
              </w:rPr>
              <w:t>场内除息日</w:t>
            </w:r>
          </w:p>
        </w:tc>
        <w:tc>
          <w:tcPr>
            <w:tcW w:w="922" w:type="dxa"/>
            <w:shd w:val="clear" w:color="auto" w:fill="BFBFBF"/>
            <w:vAlign w:val="center"/>
          </w:tcPr>
          <w:p w14:paraId="065F2E3A">
            <w:pPr>
              <w:jc w:val="center"/>
            </w:pPr>
            <w:r>
              <w:rPr>
                <w:rFonts w:hint="eastAsia"/>
                <w:b/>
              </w:rPr>
              <w:t>场外除息日</w:t>
            </w:r>
          </w:p>
        </w:tc>
        <w:tc>
          <w:tcPr>
            <w:tcW w:w="922" w:type="dxa"/>
            <w:shd w:val="clear" w:color="auto" w:fill="BFBFBF"/>
            <w:vAlign w:val="center"/>
          </w:tcPr>
          <w:p w14:paraId="01AB55DD">
            <w:pPr>
              <w:jc w:val="center"/>
            </w:pPr>
            <w:r>
              <w:rPr>
                <w:rFonts w:hint="eastAsia"/>
                <w:b/>
              </w:rPr>
              <w:t>每10份基金份额分红数</w:t>
            </w:r>
          </w:p>
        </w:tc>
        <w:tc>
          <w:tcPr>
            <w:tcW w:w="922" w:type="dxa"/>
            <w:shd w:val="clear" w:color="auto" w:fill="BFBFBF"/>
            <w:vAlign w:val="center"/>
          </w:tcPr>
          <w:p w14:paraId="10E29864">
            <w:pPr>
              <w:jc w:val="center"/>
            </w:pPr>
            <w:r>
              <w:rPr>
                <w:rFonts w:hint="eastAsia"/>
                <w:b/>
              </w:rPr>
              <w:t>现金形式发放总额</w:t>
            </w:r>
          </w:p>
        </w:tc>
        <w:tc>
          <w:tcPr>
            <w:tcW w:w="922" w:type="dxa"/>
            <w:shd w:val="clear" w:color="auto" w:fill="BFBFBF"/>
            <w:vAlign w:val="center"/>
          </w:tcPr>
          <w:p w14:paraId="026BFDD6">
            <w:pPr>
              <w:jc w:val="center"/>
            </w:pPr>
            <w:r>
              <w:rPr>
                <w:rFonts w:hint="eastAsia"/>
                <w:b/>
              </w:rPr>
              <w:t>再投资形式发放总额</w:t>
            </w:r>
          </w:p>
        </w:tc>
        <w:tc>
          <w:tcPr>
            <w:tcW w:w="922" w:type="dxa"/>
            <w:shd w:val="clear" w:color="auto" w:fill="BFBFBF"/>
            <w:vAlign w:val="center"/>
          </w:tcPr>
          <w:p w14:paraId="57741490">
            <w:pPr>
              <w:jc w:val="center"/>
            </w:pPr>
            <w:r>
              <w:rPr>
                <w:rFonts w:hint="eastAsia"/>
                <w:b/>
              </w:rPr>
              <w:t>本期利润分配合计</w:t>
            </w:r>
          </w:p>
        </w:tc>
        <w:tc>
          <w:tcPr>
            <w:tcW w:w="922" w:type="dxa"/>
            <w:shd w:val="clear" w:color="auto" w:fill="BFBFBF"/>
            <w:vAlign w:val="center"/>
          </w:tcPr>
          <w:p w14:paraId="3AD6C246">
            <w:pPr>
              <w:jc w:val="center"/>
            </w:pPr>
            <w:r>
              <w:rPr>
                <w:rFonts w:hint="eastAsia"/>
                <w:b/>
              </w:rPr>
              <w:t>备注</w:t>
            </w:r>
          </w:p>
        </w:tc>
      </w:tr>
      <w:tr w14:paraId="7DD9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56A479E">
            <w:pPr>
              <w:jc w:val="center"/>
            </w:pPr>
            <w:r>
              <w:rPr>
                <w:rFonts w:hint="eastAsia"/>
              </w:rPr>
              <w:t>1</w:t>
            </w:r>
          </w:p>
        </w:tc>
        <w:tc>
          <w:tcPr>
            <w:tcW w:w="922" w:type="dxa"/>
            <w:vAlign w:val="center"/>
          </w:tcPr>
          <w:p w14:paraId="141CC9D1">
            <w:r>
              <w:rPr>
                <w:rFonts w:hint="eastAsia"/>
              </w:rPr>
              <w:t>2025年4月18日</w:t>
            </w:r>
          </w:p>
        </w:tc>
        <w:tc>
          <w:tcPr>
            <w:tcW w:w="922" w:type="dxa"/>
            <w:vAlign w:val="center"/>
          </w:tcPr>
          <w:p w14:paraId="1AFBDF60">
            <w:pPr>
              <w:jc w:val="right"/>
            </w:pPr>
            <w:r>
              <w:rPr>
                <w:rFonts w:hint="eastAsia"/>
              </w:rPr>
              <w:t>-</w:t>
            </w:r>
          </w:p>
        </w:tc>
        <w:tc>
          <w:tcPr>
            <w:tcW w:w="922" w:type="dxa"/>
            <w:vAlign w:val="center"/>
          </w:tcPr>
          <w:p w14:paraId="0C954470">
            <w:r>
              <w:rPr>
                <w:rFonts w:hint="eastAsia"/>
              </w:rPr>
              <w:t>2025年4月18日</w:t>
            </w:r>
          </w:p>
        </w:tc>
        <w:tc>
          <w:tcPr>
            <w:tcW w:w="922" w:type="dxa"/>
            <w:vAlign w:val="center"/>
          </w:tcPr>
          <w:p w14:paraId="4B49FFC7">
            <w:pPr>
              <w:jc w:val="right"/>
            </w:pPr>
            <w:r>
              <w:rPr>
                <w:rFonts w:hint="eastAsia"/>
              </w:rPr>
              <w:t>0.3500</w:t>
            </w:r>
          </w:p>
        </w:tc>
        <w:tc>
          <w:tcPr>
            <w:tcW w:w="922" w:type="dxa"/>
            <w:vAlign w:val="center"/>
          </w:tcPr>
          <w:p w14:paraId="6EF6CB91">
            <w:pPr>
              <w:jc w:val="right"/>
            </w:pPr>
            <w:r>
              <w:rPr>
                <w:rFonts w:hint="eastAsia"/>
              </w:rPr>
              <w:t>52,032,904.45</w:t>
            </w:r>
          </w:p>
        </w:tc>
        <w:tc>
          <w:tcPr>
            <w:tcW w:w="922" w:type="dxa"/>
            <w:vAlign w:val="center"/>
          </w:tcPr>
          <w:p w14:paraId="0A306CA3">
            <w:pPr>
              <w:jc w:val="right"/>
            </w:pPr>
            <w:r>
              <w:rPr>
                <w:rFonts w:hint="eastAsia"/>
              </w:rPr>
              <w:t>0.15</w:t>
            </w:r>
          </w:p>
        </w:tc>
        <w:tc>
          <w:tcPr>
            <w:tcW w:w="922" w:type="dxa"/>
            <w:vAlign w:val="center"/>
          </w:tcPr>
          <w:p w14:paraId="3961C6C0">
            <w:pPr>
              <w:jc w:val="right"/>
            </w:pPr>
            <w:r>
              <w:rPr>
                <w:rFonts w:hint="eastAsia"/>
              </w:rPr>
              <w:t>52,032,904.60</w:t>
            </w:r>
          </w:p>
        </w:tc>
        <w:tc>
          <w:tcPr>
            <w:tcW w:w="922" w:type="dxa"/>
            <w:vAlign w:val="center"/>
          </w:tcPr>
          <w:p w14:paraId="62C95C0D">
            <w:pPr>
              <w:jc w:val="right"/>
            </w:pPr>
            <w:r>
              <w:rPr>
                <w:rFonts w:hint="eastAsia"/>
              </w:rPr>
              <w:t>-</w:t>
            </w:r>
          </w:p>
        </w:tc>
      </w:tr>
      <w:tr w14:paraId="1481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43A680">
            <w:pPr>
              <w:jc w:val="center"/>
            </w:pPr>
            <w:r>
              <w:rPr>
                <w:rFonts w:hint="eastAsia"/>
              </w:rPr>
              <w:t>2</w:t>
            </w:r>
          </w:p>
        </w:tc>
        <w:tc>
          <w:tcPr>
            <w:tcW w:w="922" w:type="dxa"/>
            <w:vAlign w:val="center"/>
          </w:tcPr>
          <w:p w14:paraId="0AD8F363">
            <w:r>
              <w:rPr>
                <w:rFonts w:hint="eastAsia"/>
              </w:rPr>
              <w:t>2025年12月5日</w:t>
            </w:r>
          </w:p>
        </w:tc>
        <w:tc>
          <w:tcPr>
            <w:tcW w:w="922" w:type="dxa"/>
            <w:vAlign w:val="center"/>
          </w:tcPr>
          <w:p w14:paraId="641DAD56">
            <w:pPr>
              <w:jc w:val="right"/>
            </w:pPr>
            <w:r>
              <w:rPr>
                <w:rFonts w:hint="eastAsia"/>
              </w:rPr>
              <w:t>-</w:t>
            </w:r>
          </w:p>
        </w:tc>
        <w:tc>
          <w:tcPr>
            <w:tcW w:w="922" w:type="dxa"/>
            <w:vAlign w:val="center"/>
          </w:tcPr>
          <w:p w14:paraId="19757268">
            <w:r>
              <w:rPr>
                <w:rFonts w:hint="eastAsia"/>
              </w:rPr>
              <w:t>2025年12月5日</w:t>
            </w:r>
          </w:p>
        </w:tc>
        <w:tc>
          <w:tcPr>
            <w:tcW w:w="922" w:type="dxa"/>
            <w:vAlign w:val="center"/>
          </w:tcPr>
          <w:p w14:paraId="3691849B">
            <w:pPr>
              <w:jc w:val="right"/>
            </w:pPr>
            <w:r>
              <w:rPr>
                <w:rFonts w:hint="eastAsia"/>
              </w:rPr>
              <w:t>0.2000</w:t>
            </w:r>
          </w:p>
        </w:tc>
        <w:tc>
          <w:tcPr>
            <w:tcW w:w="922" w:type="dxa"/>
            <w:vAlign w:val="center"/>
          </w:tcPr>
          <w:p w14:paraId="673C279D">
            <w:pPr>
              <w:jc w:val="right"/>
            </w:pPr>
            <w:r>
              <w:rPr>
                <w:rFonts w:hint="eastAsia"/>
              </w:rPr>
              <w:t>29,733,102.27</w:t>
            </w:r>
          </w:p>
        </w:tc>
        <w:tc>
          <w:tcPr>
            <w:tcW w:w="922" w:type="dxa"/>
            <w:vAlign w:val="center"/>
          </w:tcPr>
          <w:p w14:paraId="71837FF5">
            <w:pPr>
              <w:jc w:val="right"/>
            </w:pPr>
            <w:r>
              <w:rPr>
                <w:rFonts w:hint="eastAsia"/>
              </w:rPr>
              <w:t>94,294.52</w:t>
            </w:r>
          </w:p>
        </w:tc>
        <w:tc>
          <w:tcPr>
            <w:tcW w:w="922" w:type="dxa"/>
            <w:vAlign w:val="center"/>
          </w:tcPr>
          <w:p w14:paraId="7BE30610">
            <w:pPr>
              <w:jc w:val="right"/>
            </w:pPr>
            <w:r>
              <w:rPr>
                <w:rFonts w:hint="eastAsia"/>
              </w:rPr>
              <w:t>29,827,396.79</w:t>
            </w:r>
          </w:p>
        </w:tc>
        <w:tc>
          <w:tcPr>
            <w:tcW w:w="922" w:type="dxa"/>
            <w:vAlign w:val="center"/>
          </w:tcPr>
          <w:p w14:paraId="2A2A5618">
            <w:pPr>
              <w:jc w:val="right"/>
            </w:pPr>
            <w:r>
              <w:rPr>
                <w:rFonts w:hint="eastAsia"/>
              </w:rPr>
              <w:t>-</w:t>
            </w:r>
          </w:p>
        </w:tc>
      </w:tr>
      <w:tr w14:paraId="5E20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9C04AD">
            <w:pPr>
              <w:jc w:val="center"/>
            </w:pPr>
            <w:r>
              <w:rPr>
                <w:rFonts w:hint="eastAsia"/>
              </w:rPr>
              <w:t>合计</w:t>
            </w:r>
          </w:p>
        </w:tc>
        <w:tc>
          <w:tcPr>
            <w:tcW w:w="922" w:type="dxa"/>
            <w:vAlign w:val="center"/>
          </w:tcPr>
          <w:p w14:paraId="126386B1">
            <w:pPr>
              <w:jc w:val="right"/>
            </w:pPr>
            <w:r>
              <w:rPr>
                <w:rFonts w:hint="eastAsia"/>
              </w:rPr>
              <w:t>-</w:t>
            </w:r>
          </w:p>
        </w:tc>
        <w:tc>
          <w:tcPr>
            <w:tcW w:w="922" w:type="dxa"/>
            <w:vAlign w:val="center"/>
          </w:tcPr>
          <w:p w14:paraId="47834152">
            <w:pPr>
              <w:jc w:val="right"/>
            </w:pPr>
            <w:r>
              <w:rPr>
                <w:rFonts w:hint="eastAsia"/>
              </w:rPr>
              <w:t>-</w:t>
            </w:r>
          </w:p>
        </w:tc>
        <w:tc>
          <w:tcPr>
            <w:tcW w:w="922" w:type="dxa"/>
            <w:vAlign w:val="center"/>
          </w:tcPr>
          <w:p w14:paraId="19919574">
            <w:pPr>
              <w:jc w:val="right"/>
            </w:pPr>
            <w:r>
              <w:rPr>
                <w:rFonts w:hint="eastAsia"/>
              </w:rPr>
              <w:t>-</w:t>
            </w:r>
          </w:p>
        </w:tc>
        <w:tc>
          <w:tcPr>
            <w:tcW w:w="922" w:type="dxa"/>
            <w:vAlign w:val="center"/>
          </w:tcPr>
          <w:p w14:paraId="18998437">
            <w:pPr>
              <w:jc w:val="right"/>
            </w:pPr>
            <w:r>
              <w:rPr>
                <w:rFonts w:hint="eastAsia"/>
              </w:rPr>
              <w:t>0.5500</w:t>
            </w:r>
          </w:p>
        </w:tc>
        <w:tc>
          <w:tcPr>
            <w:tcW w:w="922" w:type="dxa"/>
            <w:vAlign w:val="center"/>
          </w:tcPr>
          <w:p w14:paraId="38E3FE01">
            <w:pPr>
              <w:jc w:val="right"/>
            </w:pPr>
            <w:r>
              <w:rPr>
                <w:rFonts w:hint="eastAsia"/>
              </w:rPr>
              <w:t>81,766,006.72</w:t>
            </w:r>
          </w:p>
        </w:tc>
        <w:tc>
          <w:tcPr>
            <w:tcW w:w="922" w:type="dxa"/>
            <w:vAlign w:val="center"/>
          </w:tcPr>
          <w:p w14:paraId="36CF709E">
            <w:pPr>
              <w:jc w:val="right"/>
            </w:pPr>
            <w:r>
              <w:rPr>
                <w:rFonts w:hint="eastAsia"/>
              </w:rPr>
              <w:t>94,294.67</w:t>
            </w:r>
          </w:p>
        </w:tc>
        <w:tc>
          <w:tcPr>
            <w:tcW w:w="922" w:type="dxa"/>
            <w:vAlign w:val="center"/>
          </w:tcPr>
          <w:p w14:paraId="751136F1">
            <w:pPr>
              <w:jc w:val="right"/>
            </w:pPr>
            <w:r>
              <w:rPr>
                <w:rFonts w:hint="eastAsia"/>
              </w:rPr>
              <w:t>81,860,301.39</w:t>
            </w:r>
          </w:p>
        </w:tc>
        <w:tc>
          <w:tcPr>
            <w:tcW w:w="922" w:type="dxa"/>
            <w:vAlign w:val="center"/>
          </w:tcPr>
          <w:p w14:paraId="2379FBCD">
            <w:pPr>
              <w:jc w:val="right"/>
            </w:pPr>
            <w:r>
              <w:rPr>
                <w:rFonts w:hint="eastAsia"/>
              </w:rPr>
              <w:t>-</w:t>
            </w:r>
          </w:p>
        </w:tc>
      </w:tr>
    </w:tbl>
    <w:p w14:paraId="01BF5CA8">
      <w:pPr>
        <w:pStyle w:val="47"/>
        <w:rPr>
          <w:rFonts w:hint="eastAsia"/>
        </w:rPr>
      </w:pPr>
      <w:r>
        <w:rPr>
          <w:rFonts w:hint="eastAsia"/>
        </w:rPr>
        <w:t>注：本基金报告期后分红情况（如有）详见本报告“资产负债表日后事项”部分内容。</w:t>
      </w:r>
    </w:p>
    <w:p w14:paraId="64A5BB5B">
      <w:pPr>
        <w:pStyle w:val="28"/>
      </w:pPr>
      <w:bookmarkStart w:id="126" w:name="_Toc126"/>
      <w:r>
        <w:t>期末（2025年12月31日）本基金持有的流通受限证券</w:t>
      </w:r>
      <w:bookmarkEnd w:id="126"/>
    </w:p>
    <w:p w14:paraId="467FA98B">
      <w:pPr>
        <w:pStyle w:val="35"/>
      </w:pPr>
      <w:bookmarkStart w:id="127" w:name="_Toc127"/>
      <w:r>
        <w:t>因认购新发/增发证券而于期末持有的流通受限证券</w:t>
      </w:r>
      <w:bookmarkEnd w:id="127"/>
    </w:p>
    <w:p w14:paraId="58C6CC46">
      <w:pPr>
        <w:pStyle w:val="18"/>
        <w:rPr>
          <w:rFonts w:hint="eastAsia"/>
        </w:rPr>
      </w:pPr>
      <w:r>
        <w:rPr>
          <w:rFonts w:hint="eastAsia"/>
        </w:rPr>
        <w:t>无。</w:t>
      </w:r>
    </w:p>
    <w:p w14:paraId="31B0E504">
      <w:pPr>
        <w:pStyle w:val="35"/>
      </w:pPr>
      <w:bookmarkStart w:id="128" w:name="_Toc128"/>
      <w:r>
        <w:t>期末持有的暂时停牌等流通受限股票</w:t>
      </w:r>
      <w:bookmarkEnd w:id="128"/>
    </w:p>
    <w:p w14:paraId="1F07FF3A">
      <w:pPr>
        <w:pStyle w:val="18"/>
        <w:rPr>
          <w:rFonts w:hint="eastAsia"/>
        </w:rPr>
      </w:pPr>
      <w:r>
        <w:rPr>
          <w:rFonts w:hint="eastAsia"/>
        </w:rPr>
        <w:t>无。</w:t>
      </w:r>
    </w:p>
    <w:p w14:paraId="047B840C">
      <w:pPr>
        <w:pStyle w:val="35"/>
      </w:pPr>
      <w:bookmarkStart w:id="129" w:name="_Toc129"/>
      <w:r>
        <w:t>期末债券正回购交易中作为抵押的债券</w:t>
      </w:r>
      <w:bookmarkEnd w:id="129"/>
    </w:p>
    <w:p w14:paraId="642140AF">
      <w:pPr>
        <w:pStyle w:val="36"/>
      </w:pPr>
      <w:bookmarkStart w:id="130" w:name="_Toc130"/>
      <w:r>
        <w:t>银行间市场债券正回购</w:t>
      </w:r>
      <w:bookmarkEnd w:id="130"/>
    </w:p>
    <w:p w14:paraId="2A61E436">
      <w:pPr>
        <w:pStyle w:val="18"/>
        <w:rPr>
          <w:rFonts w:hint="eastAsia"/>
        </w:rPr>
      </w:pPr>
      <w:r>
        <w:rPr>
          <w:rFonts w:hint="eastAsia"/>
        </w:rPr>
        <w:t>截至本报告期末2025年12月31日止，本基金从事银行间市场债券正回购交易形成的卖出回购证券款余额84,511,357.39元，是以如下债券作为质押：</w:t>
      </w:r>
    </w:p>
    <w:p w14:paraId="6C0D25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73B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5FE9106C">
            <w:pPr>
              <w:jc w:val="center"/>
            </w:pPr>
            <w:r>
              <w:rPr>
                <w:rFonts w:hint="eastAsia"/>
                <w:b/>
              </w:rPr>
              <w:t>债券代码</w:t>
            </w:r>
          </w:p>
        </w:tc>
        <w:tc>
          <w:tcPr>
            <w:tcW w:w="1218" w:type="dxa"/>
            <w:shd w:val="clear" w:color="auto" w:fill="BFBFBF"/>
            <w:vAlign w:val="center"/>
          </w:tcPr>
          <w:p w14:paraId="2DF88022">
            <w:pPr>
              <w:jc w:val="center"/>
            </w:pPr>
            <w:r>
              <w:rPr>
                <w:rFonts w:hint="eastAsia"/>
                <w:b/>
              </w:rPr>
              <w:t>债券名称</w:t>
            </w:r>
          </w:p>
        </w:tc>
        <w:tc>
          <w:tcPr>
            <w:tcW w:w="1328" w:type="dxa"/>
            <w:shd w:val="clear" w:color="auto" w:fill="BFBFBF"/>
            <w:vAlign w:val="center"/>
          </w:tcPr>
          <w:p w14:paraId="114D9673">
            <w:pPr>
              <w:jc w:val="center"/>
            </w:pPr>
            <w:r>
              <w:rPr>
                <w:rFonts w:hint="eastAsia"/>
                <w:b/>
              </w:rPr>
              <w:t>回购到期日</w:t>
            </w:r>
          </w:p>
        </w:tc>
        <w:tc>
          <w:tcPr>
            <w:tcW w:w="1328" w:type="dxa"/>
            <w:shd w:val="clear" w:color="auto" w:fill="BFBFBF"/>
            <w:vAlign w:val="center"/>
          </w:tcPr>
          <w:p w14:paraId="19E349D1">
            <w:pPr>
              <w:jc w:val="center"/>
            </w:pPr>
            <w:r>
              <w:rPr>
                <w:rFonts w:hint="eastAsia"/>
                <w:b/>
              </w:rPr>
              <w:t>期末估值单价</w:t>
            </w:r>
          </w:p>
        </w:tc>
        <w:tc>
          <w:tcPr>
            <w:tcW w:w="1495" w:type="dxa"/>
            <w:shd w:val="clear" w:color="auto" w:fill="BFBFBF"/>
            <w:vAlign w:val="center"/>
          </w:tcPr>
          <w:p w14:paraId="3C5560B2">
            <w:pPr>
              <w:jc w:val="center"/>
            </w:pPr>
            <w:r>
              <w:rPr>
                <w:rFonts w:hint="eastAsia"/>
                <w:b/>
              </w:rPr>
              <w:t>数量（张）</w:t>
            </w:r>
          </w:p>
        </w:tc>
        <w:tc>
          <w:tcPr>
            <w:tcW w:w="1827" w:type="dxa"/>
            <w:shd w:val="clear" w:color="auto" w:fill="BFBFBF"/>
            <w:vAlign w:val="center"/>
          </w:tcPr>
          <w:p w14:paraId="49F2A6F5">
            <w:pPr>
              <w:jc w:val="center"/>
            </w:pPr>
            <w:r>
              <w:rPr>
                <w:rFonts w:hint="eastAsia"/>
                <w:b/>
              </w:rPr>
              <w:t>期末估值总额</w:t>
            </w:r>
          </w:p>
        </w:tc>
      </w:tr>
      <w:tr w14:paraId="1294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095B85C">
            <w:r>
              <w:rPr>
                <w:rFonts w:hint="eastAsia"/>
              </w:rPr>
              <w:t>200210</w:t>
            </w:r>
          </w:p>
        </w:tc>
        <w:tc>
          <w:tcPr>
            <w:tcW w:w="1218" w:type="dxa"/>
            <w:vAlign w:val="center"/>
          </w:tcPr>
          <w:p w14:paraId="3615F714">
            <w:r>
              <w:rPr>
                <w:rFonts w:hint="eastAsia"/>
              </w:rPr>
              <w:t>20国开10</w:t>
            </w:r>
          </w:p>
        </w:tc>
        <w:tc>
          <w:tcPr>
            <w:tcW w:w="1328" w:type="dxa"/>
            <w:vAlign w:val="center"/>
          </w:tcPr>
          <w:p w14:paraId="629B162F">
            <w:r>
              <w:rPr>
                <w:rFonts w:hint="eastAsia"/>
              </w:rPr>
              <w:t>2026年1月5日</w:t>
            </w:r>
          </w:p>
        </w:tc>
        <w:tc>
          <w:tcPr>
            <w:tcW w:w="1328" w:type="dxa"/>
            <w:vAlign w:val="center"/>
          </w:tcPr>
          <w:p w14:paraId="243F30B0">
            <w:pPr>
              <w:jc w:val="right"/>
            </w:pPr>
            <w:r>
              <w:rPr>
                <w:rFonts w:hint="eastAsia"/>
              </w:rPr>
              <w:t>107.24</w:t>
            </w:r>
          </w:p>
        </w:tc>
        <w:tc>
          <w:tcPr>
            <w:tcW w:w="1495" w:type="dxa"/>
            <w:vAlign w:val="center"/>
          </w:tcPr>
          <w:p w14:paraId="24E8D6B2">
            <w:pPr>
              <w:jc w:val="right"/>
            </w:pPr>
            <w:r>
              <w:rPr>
                <w:rFonts w:hint="eastAsia"/>
              </w:rPr>
              <w:t>527,000</w:t>
            </w:r>
          </w:p>
        </w:tc>
        <w:tc>
          <w:tcPr>
            <w:tcW w:w="1827" w:type="dxa"/>
            <w:vAlign w:val="center"/>
          </w:tcPr>
          <w:p w14:paraId="0A3CA348">
            <w:pPr>
              <w:jc w:val="right"/>
            </w:pPr>
            <w:r>
              <w:rPr>
                <w:rFonts w:hint="eastAsia"/>
              </w:rPr>
              <w:t>56,514,296.05</w:t>
            </w:r>
          </w:p>
        </w:tc>
      </w:tr>
      <w:tr w14:paraId="371C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9C4D8F">
            <w:r>
              <w:rPr>
                <w:rFonts w:hint="eastAsia"/>
              </w:rPr>
              <w:t>240011</w:t>
            </w:r>
          </w:p>
        </w:tc>
        <w:tc>
          <w:tcPr>
            <w:tcW w:w="1218" w:type="dxa"/>
            <w:vAlign w:val="center"/>
          </w:tcPr>
          <w:p w14:paraId="535B2577">
            <w:r>
              <w:rPr>
                <w:rFonts w:hint="eastAsia"/>
              </w:rPr>
              <w:t>24附息国债11</w:t>
            </w:r>
          </w:p>
        </w:tc>
        <w:tc>
          <w:tcPr>
            <w:tcW w:w="1328" w:type="dxa"/>
            <w:vAlign w:val="center"/>
          </w:tcPr>
          <w:p w14:paraId="388AC6F6">
            <w:r>
              <w:rPr>
                <w:rFonts w:hint="eastAsia"/>
              </w:rPr>
              <w:t>2026年1月6日</w:t>
            </w:r>
          </w:p>
        </w:tc>
        <w:tc>
          <w:tcPr>
            <w:tcW w:w="1328" w:type="dxa"/>
            <w:vAlign w:val="center"/>
          </w:tcPr>
          <w:p w14:paraId="2871D8E1">
            <w:pPr>
              <w:jc w:val="right"/>
            </w:pPr>
            <w:r>
              <w:rPr>
                <w:rFonts w:hint="eastAsia"/>
              </w:rPr>
              <w:t>103.72</w:t>
            </w:r>
          </w:p>
        </w:tc>
        <w:tc>
          <w:tcPr>
            <w:tcW w:w="1495" w:type="dxa"/>
            <w:vAlign w:val="center"/>
          </w:tcPr>
          <w:p w14:paraId="49DD8B77">
            <w:pPr>
              <w:jc w:val="right"/>
            </w:pPr>
            <w:r>
              <w:rPr>
                <w:rFonts w:hint="eastAsia"/>
              </w:rPr>
              <w:t>364,000</w:t>
            </w:r>
          </w:p>
        </w:tc>
        <w:tc>
          <w:tcPr>
            <w:tcW w:w="1827" w:type="dxa"/>
            <w:vAlign w:val="center"/>
          </w:tcPr>
          <w:p w14:paraId="2DB93C80">
            <w:pPr>
              <w:jc w:val="right"/>
            </w:pPr>
            <w:r>
              <w:rPr>
                <w:rFonts w:hint="eastAsia"/>
              </w:rPr>
              <w:t>37,754,814.03</w:t>
            </w:r>
          </w:p>
        </w:tc>
      </w:tr>
      <w:tr w14:paraId="73C8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8EC8426">
            <w:r>
              <w:rPr>
                <w:rFonts w:hint="eastAsia"/>
              </w:rPr>
              <w:t>合计</w:t>
            </w:r>
          </w:p>
        </w:tc>
        <w:tc>
          <w:tcPr>
            <w:tcW w:w="1218" w:type="dxa"/>
            <w:vAlign w:val="center"/>
          </w:tcPr>
          <w:p w14:paraId="602DE480">
            <w:pPr>
              <w:jc w:val="right"/>
            </w:pPr>
            <w:r>
              <w:rPr>
                <w:rFonts w:hint="eastAsia"/>
              </w:rPr>
              <w:t>-</w:t>
            </w:r>
          </w:p>
        </w:tc>
        <w:tc>
          <w:tcPr>
            <w:tcW w:w="1328" w:type="dxa"/>
            <w:vAlign w:val="center"/>
          </w:tcPr>
          <w:p w14:paraId="09E26CD7">
            <w:pPr>
              <w:jc w:val="right"/>
            </w:pPr>
            <w:r>
              <w:rPr>
                <w:rFonts w:hint="eastAsia"/>
              </w:rPr>
              <w:t>-</w:t>
            </w:r>
          </w:p>
        </w:tc>
        <w:tc>
          <w:tcPr>
            <w:tcW w:w="1328" w:type="dxa"/>
            <w:vAlign w:val="center"/>
          </w:tcPr>
          <w:p w14:paraId="35AD5E9C">
            <w:pPr>
              <w:jc w:val="right"/>
            </w:pPr>
            <w:r>
              <w:rPr>
                <w:rFonts w:hint="eastAsia"/>
              </w:rPr>
              <w:t>-</w:t>
            </w:r>
          </w:p>
        </w:tc>
        <w:tc>
          <w:tcPr>
            <w:tcW w:w="1495" w:type="dxa"/>
            <w:vAlign w:val="center"/>
          </w:tcPr>
          <w:p w14:paraId="2DC8416E">
            <w:pPr>
              <w:jc w:val="right"/>
            </w:pPr>
            <w:r>
              <w:rPr>
                <w:rFonts w:hint="eastAsia"/>
              </w:rPr>
              <w:t>891,000</w:t>
            </w:r>
          </w:p>
        </w:tc>
        <w:tc>
          <w:tcPr>
            <w:tcW w:w="1827" w:type="dxa"/>
            <w:vAlign w:val="center"/>
          </w:tcPr>
          <w:p w14:paraId="6AB8DFCC">
            <w:pPr>
              <w:jc w:val="right"/>
            </w:pPr>
            <w:r>
              <w:rPr>
                <w:rFonts w:hint="eastAsia"/>
              </w:rPr>
              <w:t>94,269,110.08</w:t>
            </w:r>
          </w:p>
        </w:tc>
      </w:tr>
    </w:tbl>
    <w:p w14:paraId="64F7DBFD">
      <w:pPr>
        <w:pStyle w:val="36"/>
      </w:pPr>
      <w:bookmarkStart w:id="131" w:name="_Toc131"/>
      <w:r>
        <w:t>交易所市场债券正回购</w:t>
      </w:r>
      <w:bookmarkEnd w:id="131"/>
    </w:p>
    <w:p w14:paraId="14EFF519">
      <w:pPr>
        <w:pStyle w:val="18"/>
        <w:rPr>
          <w:rFonts w:hint="eastAsia"/>
        </w:rPr>
      </w:pPr>
      <w:r>
        <w:rPr>
          <w:rFonts w:hint="eastAsia"/>
        </w:rPr>
        <w:t>无。</w:t>
      </w:r>
    </w:p>
    <w:p w14:paraId="159D8480">
      <w:pPr>
        <w:pStyle w:val="35"/>
      </w:pPr>
      <w:bookmarkStart w:id="132" w:name="_Toc132"/>
      <w:r>
        <w:t>期末参与转融通证券出借业务的证券</w:t>
      </w:r>
      <w:bookmarkEnd w:id="132"/>
    </w:p>
    <w:p w14:paraId="67BEB940">
      <w:pPr>
        <w:pStyle w:val="18"/>
        <w:rPr>
          <w:rFonts w:hint="eastAsia"/>
        </w:rPr>
      </w:pPr>
      <w:r>
        <w:rPr>
          <w:rFonts w:hint="eastAsia"/>
        </w:rPr>
        <w:t>无。</w:t>
      </w:r>
    </w:p>
    <w:p w14:paraId="4B37075A">
      <w:pPr>
        <w:pStyle w:val="28"/>
      </w:pPr>
      <w:bookmarkStart w:id="133" w:name="_Toc133"/>
      <w:r>
        <w:t>金融工具风险及管理</w:t>
      </w:r>
      <w:bookmarkEnd w:id="133"/>
    </w:p>
    <w:p w14:paraId="3A4A230E">
      <w:pPr>
        <w:pStyle w:val="35"/>
      </w:pPr>
      <w:bookmarkStart w:id="134" w:name="_Toc134"/>
      <w:r>
        <w:t>风险管理政策和组织架构</w:t>
      </w:r>
      <w:bookmarkEnd w:id="134"/>
    </w:p>
    <w:p w14:paraId="43CC8EED">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E1FBB0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EFB0A5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9B61007">
      <w:pPr>
        <w:pStyle w:val="35"/>
      </w:pPr>
      <w:bookmarkStart w:id="135" w:name="_Toc135"/>
      <w:r>
        <w:t>信用风险</w:t>
      </w:r>
      <w:bookmarkEnd w:id="135"/>
    </w:p>
    <w:p w14:paraId="013FB1E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988E3D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115D89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498B7E5">
      <w:pPr>
        <w:pStyle w:val="18"/>
        <w:rPr>
          <w:rFonts w:hint="eastAsia"/>
        </w:rPr>
      </w:pPr>
      <w:r>
        <w:rPr>
          <w:rFonts w:hint="eastAsia"/>
        </w:rPr>
        <w:t>于本期末，本基金持有的除国债、央行票据和政策性金融债以外的债券占基金净资产的比例为83.47%(上期末：121.16%)。</w:t>
      </w:r>
    </w:p>
    <w:p w14:paraId="0AB12E96">
      <w:pPr>
        <w:pStyle w:val="35"/>
      </w:pPr>
      <w:bookmarkStart w:id="136" w:name="_Toc136"/>
      <w:r>
        <w:t>流动性风险</w:t>
      </w:r>
      <w:bookmarkEnd w:id="136"/>
    </w:p>
    <w:p w14:paraId="0C9B944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402C6D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A9ACD3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AD22B94">
      <w:pPr>
        <w:pStyle w:val="36"/>
      </w:pPr>
      <w:bookmarkStart w:id="137" w:name="_Toc137"/>
      <w:r>
        <w:t>报告期内本基金组合资产的流动性风险分析</w:t>
      </w:r>
      <w:bookmarkEnd w:id="137"/>
    </w:p>
    <w:p w14:paraId="3E8E738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800E14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8E79070">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7710436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FBB4FA6">
      <w:pPr>
        <w:pStyle w:val="35"/>
      </w:pPr>
      <w:bookmarkStart w:id="138" w:name="_Toc138"/>
      <w:r>
        <w:t>市场风险</w:t>
      </w:r>
      <w:bookmarkEnd w:id="138"/>
    </w:p>
    <w:p w14:paraId="73AD4AD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D44828B">
      <w:pPr>
        <w:pStyle w:val="36"/>
      </w:pPr>
      <w:bookmarkStart w:id="139" w:name="_Toc139"/>
      <w:r>
        <w:t>利率风险</w:t>
      </w:r>
      <w:bookmarkEnd w:id="139"/>
    </w:p>
    <w:p w14:paraId="2A71435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A461CD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74173D9">
      <w:pPr>
        <w:pStyle w:val="37"/>
      </w:pPr>
      <w:bookmarkStart w:id="140" w:name="_Toc140"/>
      <w:r>
        <w:t>利率风险敞口</w:t>
      </w:r>
      <w:bookmarkEnd w:id="140"/>
    </w:p>
    <w:p w14:paraId="3891058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B8F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DD811">
            <w:r>
              <w:rPr>
                <w:rFonts w:hint="eastAsia"/>
              </w:rPr>
              <w:t>本期末2025年12月31日</w:t>
            </w:r>
          </w:p>
        </w:tc>
        <w:tc>
          <w:tcPr>
            <w:tcW w:w="1384" w:type="dxa"/>
            <w:vAlign w:val="center"/>
          </w:tcPr>
          <w:p w14:paraId="417CF996">
            <w:r>
              <w:rPr>
                <w:rFonts w:hint="eastAsia"/>
              </w:rPr>
              <w:t>1年以内</w:t>
            </w:r>
          </w:p>
        </w:tc>
        <w:tc>
          <w:tcPr>
            <w:tcW w:w="1384" w:type="dxa"/>
            <w:vAlign w:val="center"/>
          </w:tcPr>
          <w:p w14:paraId="7DD76B86">
            <w:r>
              <w:rPr>
                <w:rFonts w:hint="eastAsia"/>
              </w:rPr>
              <w:t>1-5年</w:t>
            </w:r>
          </w:p>
        </w:tc>
        <w:tc>
          <w:tcPr>
            <w:tcW w:w="1384" w:type="dxa"/>
            <w:vAlign w:val="center"/>
          </w:tcPr>
          <w:p w14:paraId="38CA2D33">
            <w:r>
              <w:rPr>
                <w:rFonts w:hint="eastAsia"/>
              </w:rPr>
              <w:t>5年以上</w:t>
            </w:r>
          </w:p>
        </w:tc>
        <w:tc>
          <w:tcPr>
            <w:tcW w:w="1384" w:type="dxa"/>
            <w:vAlign w:val="center"/>
          </w:tcPr>
          <w:p w14:paraId="7DAC2A5C">
            <w:r>
              <w:rPr>
                <w:rFonts w:hint="eastAsia"/>
              </w:rPr>
              <w:t>不计息</w:t>
            </w:r>
          </w:p>
        </w:tc>
        <w:tc>
          <w:tcPr>
            <w:tcW w:w="1384" w:type="dxa"/>
            <w:vAlign w:val="center"/>
          </w:tcPr>
          <w:p w14:paraId="4D683FF1">
            <w:r>
              <w:rPr>
                <w:rFonts w:hint="eastAsia"/>
              </w:rPr>
              <w:t>合计</w:t>
            </w:r>
          </w:p>
        </w:tc>
      </w:tr>
      <w:tr w14:paraId="6016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9A7106">
            <w:r>
              <w:rPr>
                <w:rFonts w:hint="eastAsia"/>
              </w:rPr>
              <w:t>资产</w:t>
            </w:r>
          </w:p>
        </w:tc>
        <w:tc>
          <w:tcPr>
            <w:tcW w:w="1384" w:type="dxa"/>
            <w:vAlign w:val="center"/>
          </w:tcPr>
          <w:p w14:paraId="7AE474BD"/>
        </w:tc>
        <w:tc>
          <w:tcPr>
            <w:tcW w:w="1384" w:type="dxa"/>
            <w:vAlign w:val="center"/>
          </w:tcPr>
          <w:p w14:paraId="3B555C6C"/>
        </w:tc>
        <w:tc>
          <w:tcPr>
            <w:tcW w:w="1384" w:type="dxa"/>
            <w:vAlign w:val="center"/>
          </w:tcPr>
          <w:p w14:paraId="65A9EF6F"/>
        </w:tc>
        <w:tc>
          <w:tcPr>
            <w:tcW w:w="1384" w:type="dxa"/>
            <w:vAlign w:val="center"/>
          </w:tcPr>
          <w:p w14:paraId="4264A406"/>
        </w:tc>
        <w:tc>
          <w:tcPr>
            <w:tcW w:w="1384" w:type="dxa"/>
            <w:vAlign w:val="center"/>
          </w:tcPr>
          <w:p w14:paraId="69D371BA"/>
        </w:tc>
      </w:tr>
      <w:tr w14:paraId="5B79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85256">
            <w:r>
              <w:rPr>
                <w:rFonts w:hint="eastAsia"/>
              </w:rPr>
              <w:t>货币资金</w:t>
            </w:r>
          </w:p>
        </w:tc>
        <w:tc>
          <w:tcPr>
            <w:tcW w:w="1384" w:type="dxa"/>
            <w:vAlign w:val="center"/>
          </w:tcPr>
          <w:p w14:paraId="36C7AF64">
            <w:pPr>
              <w:jc w:val="right"/>
            </w:pPr>
            <w:r>
              <w:rPr>
                <w:rFonts w:hint="eastAsia"/>
              </w:rPr>
              <w:t>1,467,515.15</w:t>
            </w:r>
          </w:p>
        </w:tc>
        <w:tc>
          <w:tcPr>
            <w:tcW w:w="1384" w:type="dxa"/>
            <w:vAlign w:val="center"/>
          </w:tcPr>
          <w:p w14:paraId="7CA53A35">
            <w:pPr>
              <w:jc w:val="right"/>
            </w:pPr>
            <w:r>
              <w:rPr>
                <w:rFonts w:hint="eastAsia"/>
              </w:rPr>
              <w:t>-</w:t>
            </w:r>
          </w:p>
        </w:tc>
        <w:tc>
          <w:tcPr>
            <w:tcW w:w="1384" w:type="dxa"/>
            <w:vAlign w:val="center"/>
          </w:tcPr>
          <w:p w14:paraId="43ACE451">
            <w:pPr>
              <w:jc w:val="right"/>
            </w:pPr>
            <w:r>
              <w:rPr>
                <w:rFonts w:hint="eastAsia"/>
              </w:rPr>
              <w:t>-</w:t>
            </w:r>
          </w:p>
        </w:tc>
        <w:tc>
          <w:tcPr>
            <w:tcW w:w="1384" w:type="dxa"/>
            <w:vAlign w:val="center"/>
          </w:tcPr>
          <w:p w14:paraId="5F100576">
            <w:pPr>
              <w:jc w:val="right"/>
            </w:pPr>
            <w:r>
              <w:rPr>
                <w:rFonts w:hint="eastAsia"/>
              </w:rPr>
              <w:t>-</w:t>
            </w:r>
          </w:p>
        </w:tc>
        <w:tc>
          <w:tcPr>
            <w:tcW w:w="1384" w:type="dxa"/>
            <w:vAlign w:val="center"/>
          </w:tcPr>
          <w:p w14:paraId="39F9D54B">
            <w:pPr>
              <w:jc w:val="right"/>
            </w:pPr>
            <w:r>
              <w:rPr>
                <w:rFonts w:hint="eastAsia"/>
              </w:rPr>
              <w:t>1,467,515.15</w:t>
            </w:r>
          </w:p>
        </w:tc>
      </w:tr>
      <w:tr w14:paraId="4A24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06171">
            <w:r>
              <w:rPr>
                <w:rFonts w:hint="eastAsia"/>
              </w:rPr>
              <w:t>结算备付金</w:t>
            </w:r>
          </w:p>
        </w:tc>
        <w:tc>
          <w:tcPr>
            <w:tcW w:w="1384" w:type="dxa"/>
            <w:vAlign w:val="center"/>
          </w:tcPr>
          <w:p w14:paraId="5C0C9981">
            <w:pPr>
              <w:jc w:val="right"/>
            </w:pPr>
            <w:r>
              <w:rPr>
                <w:rFonts w:hint="eastAsia"/>
              </w:rPr>
              <w:t>106,612.61</w:t>
            </w:r>
          </w:p>
        </w:tc>
        <w:tc>
          <w:tcPr>
            <w:tcW w:w="1384" w:type="dxa"/>
            <w:vAlign w:val="center"/>
          </w:tcPr>
          <w:p w14:paraId="1CF34DDA">
            <w:pPr>
              <w:jc w:val="right"/>
            </w:pPr>
            <w:r>
              <w:rPr>
                <w:rFonts w:hint="eastAsia"/>
              </w:rPr>
              <w:t>-</w:t>
            </w:r>
          </w:p>
        </w:tc>
        <w:tc>
          <w:tcPr>
            <w:tcW w:w="1384" w:type="dxa"/>
            <w:vAlign w:val="center"/>
          </w:tcPr>
          <w:p w14:paraId="68DA574F">
            <w:pPr>
              <w:jc w:val="right"/>
            </w:pPr>
            <w:r>
              <w:rPr>
                <w:rFonts w:hint="eastAsia"/>
              </w:rPr>
              <w:t>-</w:t>
            </w:r>
          </w:p>
        </w:tc>
        <w:tc>
          <w:tcPr>
            <w:tcW w:w="1384" w:type="dxa"/>
            <w:vAlign w:val="center"/>
          </w:tcPr>
          <w:p w14:paraId="26EC5490">
            <w:pPr>
              <w:jc w:val="right"/>
            </w:pPr>
            <w:r>
              <w:rPr>
                <w:rFonts w:hint="eastAsia"/>
              </w:rPr>
              <w:t>-</w:t>
            </w:r>
          </w:p>
        </w:tc>
        <w:tc>
          <w:tcPr>
            <w:tcW w:w="1384" w:type="dxa"/>
            <w:vAlign w:val="center"/>
          </w:tcPr>
          <w:p w14:paraId="33F80AE3">
            <w:pPr>
              <w:jc w:val="right"/>
            </w:pPr>
            <w:r>
              <w:rPr>
                <w:rFonts w:hint="eastAsia"/>
              </w:rPr>
              <w:t>106,612.61</w:t>
            </w:r>
          </w:p>
        </w:tc>
      </w:tr>
      <w:tr w14:paraId="733A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02D124">
            <w:r>
              <w:rPr>
                <w:rFonts w:hint="eastAsia"/>
              </w:rPr>
              <w:t>存出保证金</w:t>
            </w:r>
          </w:p>
        </w:tc>
        <w:tc>
          <w:tcPr>
            <w:tcW w:w="1384" w:type="dxa"/>
            <w:vAlign w:val="center"/>
          </w:tcPr>
          <w:p w14:paraId="6560FEB9">
            <w:pPr>
              <w:jc w:val="right"/>
            </w:pPr>
            <w:r>
              <w:rPr>
                <w:rFonts w:hint="eastAsia"/>
              </w:rPr>
              <w:t>14,382.93</w:t>
            </w:r>
          </w:p>
        </w:tc>
        <w:tc>
          <w:tcPr>
            <w:tcW w:w="1384" w:type="dxa"/>
            <w:vAlign w:val="center"/>
          </w:tcPr>
          <w:p w14:paraId="09BE6129">
            <w:pPr>
              <w:jc w:val="right"/>
            </w:pPr>
            <w:r>
              <w:rPr>
                <w:rFonts w:hint="eastAsia"/>
              </w:rPr>
              <w:t>-</w:t>
            </w:r>
          </w:p>
        </w:tc>
        <w:tc>
          <w:tcPr>
            <w:tcW w:w="1384" w:type="dxa"/>
            <w:vAlign w:val="center"/>
          </w:tcPr>
          <w:p w14:paraId="79CEC784">
            <w:pPr>
              <w:jc w:val="right"/>
            </w:pPr>
            <w:r>
              <w:rPr>
                <w:rFonts w:hint="eastAsia"/>
              </w:rPr>
              <w:t>-</w:t>
            </w:r>
          </w:p>
        </w:tc>
        <w:tc>
          <w:tcPr>
            <w:tcW w:w="1384" w:type="dxa"/>
            <w:vAlign w:val="center"/>
          </w:tcPr>
          <w:p w14:paraId="3E756183">
            <w:pPr>
              <w:jc w:val="right"/>
            </w:pPr>
            <w:r>
              <w:rPr>
                <w:rFonts w:hint="eastAsia"/>
              </w:rPr>
              <w:t>-</w:t>
            </w:r>
          </w:p>
        </w:tc>
        <w:tc>
          <w:tcPr>
            <w:tcW w:w="1384" w:type="dxa"/>
            <w:vAlign w:val="center"/>
          </w:tcPr>
          <w:p w14:paraId="407ECAF8">
            <w:pPr>
              <w:jc w:val="right"/>
            </w:pPr>
            <w:r>
              <w:rPr>
                <w:rFonts w:hint="eastAsia"/>
              </w:rPr>
              <w:t>14,382.93</w:t>
            </w:r>
          </w:p>
        </w:tc>
      </w:tr>
      <w:tr w14:paraId="7C2A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045FDB">
            <w:r>
              <w:rPr>
                <w:rFonts w:hint="eastAsia"/>
              </w:rPr>
              <w:t>交易性金融资产</w:t>
            </w:r>
          </w:p>
        </w:tc>
        <w:tc>
          <w:tcPr>
            <w:tcW w:w="1384" w:type="dxa"/>
            <w:vAlign w:val="center"/>
          </w:tcPr>
          <w:p w14:paraId="675015F3">
            <w:pPr>
              <w:jc w:val="right"/>
            </w:pPr>
            <w:r>
              <w:rPr>
                <w:rFonts w:hint="eastAsia"/>
              </w:rPr>
              <w:t>100,375,270.36</w:t>
            </w:r>
          </w:p>
        </w:tc>
        <w:tc>
          <w:tcPr>
            <w:tcW w:w="1384" w:type="dxa"/>
            <w:vAlign w:val="center"/>
          </w:tcPr>
          <w:p w14:paraId="0E117FF1">
            <w:pPr>
              <w:jc w:val="right"/>
            </w:pPr>
            <w:r>
              <w:rPr>
                <w:rFonts w:hint="eastAsia"/>
              </w:rPr>
              <w:t>698,319,178.86</w:t>
            </w:r>
          </w:p>
        </w:tc>
        <w:tc>
          <w:tcPr>
            <w:tcW w:w="1384" w:type="dxa"/>
            <w:vAlign w:val="center"/>
          </w:tcPr>
          <w:p w14:paraId="1E3FB7D7">
            <w:pPr>
              <w:jc w:val="right"/>
            </w:pPr>
            <w:r>
              <w:rPr>
                <w:rFonts w:hint="eastAsia"/>
              </w:rPr>
              <w:t>350,423,922.16</w:t>
            </w:r>
          </w:p>
        </w:tc>
        <w:tc>
          <w:tcPr>
            <w:tcW w:w="1384" w:type="dxa"/>
            <w:vAlign w:val="center"/>
          </w:tcPr>
          <w:p w14:paraId="3E655FB6">
            <w:pPr>
              <w:jc w:val="right"/>
            </w:pPr>
            <w:r>
              <w:rPr>
                <w:rFonts w:hint="eastAsia"/>
              </w:rPr>
              <w:t>-</w:t>
            </w:r>
          </w:p>
        </w:tc>
        <w:tc>
          <w:tcPr>
            <w:tcW w:w="1384" w:type="dxa"/>
            <w:vAlign w:val="center"/>
          </w:tcPr>
          <w:p w14:paraId="5C544835">
            <w:pPr>
              <w:jc w:val="right"/>
            </w:pPr>
            <w:r>
              <w:rPr>
                <w:rFonts w:hint="eastAsia"/>
              </w:rPr>
              <w:t>1,149,118,371.38</w:t>
            </w:r>
          </w:p>
        </w:tc>
      </w:tr>
      <w:tr w14:paraId="7672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3ABB26">
            <w:r>
              <w:rPr>
                <w:rFonts w:hint="eastAsia"/>
              </w:rPr>
              <w:t>衍生金融资产</w:t>
            </w:r>
          </w:p>
        </w:tc>
        <w:tc>
          <w:tcPr>
            <w:tcW w:w="1384" w:type="dxa"/>
            <w:vAlign w:val="center"/>
          </w:tcPr>
          <w:p w14:paraId="347C699E">
            <w:pPr>
              <w:jc w:val="right"/>
            </w:pPr>
            <w:r>
              <w:rPr>
                <w:rFonts w:hint="eastAsia"/>
              </w:rPr>
              <w:t>-</w:t>
            </w:r>
          </w:p>
        </w:tc>
        <w:tc>
          <w:tcPr>
            <w:tcW w:w="1384" w:type="dxa"/>
            <w:vAlign w:val="center"/>
          </w:tcPr>
          <w:p w14:paraId="7CB69EBB">
            <w:pPr>
              <w:jc w:val="right"/>
            </w:pPr>
            <w:r>
              <w:rPr>
                <w:rFonts w:hint="eastAsia"/>
              </w:rPr>
              <w:t>-</w:t>
            </w:r>
          </w:p>
        </w:tc>
        <w:tc>
          <w:tcPr>
            <w:tcW w:w="1384" w:type="dxa"/>
            <w:vAlign w:val="center"/>
          </w:tcPr>
          <w:p w14:paraId="1403F53D">
            <w:pPr>
              <w:jc w:val="right"/>
            </w:pPr>
            <w:r>
              <w:rPr>
                <w:rFonts w:hint="eastAsia"/>
              </w:rPr>
              <w:t>-</w:t>
            </w:r>
          </w:p>
        </w:tc>
        <w:tc>
          <w:tcPr>
            <w:tcW w:w="1384" w:type="dxa"/>
            <w:vAlign w:val="center"/>
          </w:tcPr>
          <w:p w14:paraId="15773AC2">
            <w:pPr>
              <w:jc w:val="right"/>
            </w:pPr>
            <w:r>
              <w:rPr>
                <w:rFonts w:hint="eastAsia"/>
              </w:rPr>
              <w:t>-</w:t>
            </w:r>
          </w:p>
        </w:tc>
        <w:tc>
          <w:tcPr>
            <w:tcW w:w="1384" w:type="dxa"/>
            <w:vAlign w:val="center"/>
          </w:tcPr>
          <w:p w14:paraId="507B6428">
            <w:pPr>
              <w:jc w:val="right"/>
            </w:pPr>
            <w:r>
              <w:rPr>
                <w:rFonts w:hint="eastAsia"/>
              </w:rPr>
              <w:t>-</w:t>
            </w:r>
          </w:p>
        </w:tc>
      </w:tr>
      <w:tr w14:paraId="652A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EE7847">
            <w:r>
              <w:rPr>
                <w:rFonts w:hint="eastAsia"/>
              </w:rPr>
              <w:t>买入返售金融资产</w:t>
            </w:r>
          </w:p>
        </w:tc>
        <w:tc>
          <w:tcPr>
            <w:tcW w:w="1384" w:type="dxa"/>
            <w:vAlign w:val="center"/>
          </w:tcPr>
          <w:p w14:paraId="7863F185">
            <w:pPr>
              <w:jc w:val="right"/>
            </w:pPr>
            <w:r>
              <w:rPr>
                <w:rFonts w:hint="eastAsia"/>
              </w:rPr>
              <w:t>-</w:t>
            </w:r>
          </w:p>
        </w:tc>
        <w:tc>
          <w:tcPr>
            <w:tcW w:w="1384" w:type="dxa"/>
            <w:vAlign w:val="center"/>
          </w:tcPr>
          <w:p w14:paraId="356BE3F9">
            <w:pPr>
              <w:jc w:val="right"/>
            </w:pPr>
            <w:r>
              <w:rPr>
                <w:rFonts w:hint="eastAsia"/>
              </w:rPr>
              <w:t>-</w:t>
            </w:r>
          </w:p>
        </w:tc>
        <w:tc>
          <w:tcPr>
            <w:tcW w:w="1384" w:type="dxa"/>
            <w:vAlign w:val="center"/>
          </w:tcPr>
          <w:p w14:paraId="6888501B">
            <w:pPr>
              <w:jc w:val="right"/>
            </w:pPr>
            <w:r>
              <w:rPr>
                <w:rFonts w:hint="eastAsia"/>
              </w:rPr>
              <w:t>-</w:t>
            </w:r>
          </w:p>
        </w:tc>
        <w:tc>
          <w:tcPr>
            <w:tcW w:w="1384" w:type="dxa"/>
            <w:vAlign w:val="center"/>
          </w:tcPr>
          <w:p w14:paraId="3DF092F2">
            <w:pPr>
              <w:jc w:val="right"/>
            </w:pPr>
            <w:r>
              <w:rPr>
                <w:rFonts w:hint="eastAsia"/>
              </w:rPr>
              <w:t>-</w:t>
            </w:r>
          </w:p>
        </w:tc>
        <w:tc>
          <w:tcPr>
            <w:tcW w:w="1384" w:type="dxa"/>
            <w:vAlign w:val="center"/>
          </w:tcPr>
          <w:p w14:paraId="051158D6">
            <w:pPr>
              <w:jc w:val="right"/>
            </w:pPr>
            <w:r>
              <w:rPr>
                <w:rFonts w:hint="eastAsia"/>
              </w:rPr>
              <w:t>-</w:t>
            </w:r>
          </w:p>
        </w:tc>
      </w:tr>
      <w:tr w14:paraId="43B1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230E3">
            <w:r>
              <w:rPr>
                <w:rFonts w:hint="eastAsia"/>
              </w:rPr>
              <w:t>债权投资</w:t>
            </w:r>
          </w:p>
        </w:tc>
        <w:tc>
          <w:tcPr>
            <w:tcW w:w="1384" w:type="dxa"/>
            <w:vAlign w:val="center"/>
          </w:tcPr>
          <w:p w14:paraId="13656300">
            <w:pPr>
              <w:jc w:val="right"/>
            </w:pPr>
            <w:r>
              <w:rPr>
                <w:rFonts w:hint="eastAsia"/>
              </w:rPr>
              <w:t>-</w:t>
            </w:r>
          </w:p>
        </w:tc>
        <w:tc>
          <w:tcPr>
            <w:tcW w:w="1384" w:type="dxa"/>
            <w:vAlign w:val="center"/>
          </w:tcPr>
          <w:p w14:paraId="5D857A7F">
            <w:pPr>
              <w:jc w:val="right"/>
            </w:pPr>
            <w:r>
              <w:rPr>
                <w:rFonts w:hint="eastAsia"/>
              </w:rPr>
              <w:t>-</w:t>
            </w:r>
          </w:p>
        </w:tc>
        <w:tc>
          <w:tcPr>
            <w:tcW w:w="1384" w:type="dxa"/>
            <w:vAlign w:val="center"/>
          </w:tcPr>
          <w:p w14:paraId="51D06699">
            <w:pPr>
              <w:jc w:val="right"/>
            </w:pPr>
            <w:r>
              <w:rPr>
                <w:rFonts w:hint="eastAsia"/>
              </w:rPr>
              <w:t>-</w:t>
            </w:r>
          </w:p>
        </w:tc>
        <w:tc>
          <w:tcPr>
            <w:tcW w:w="1384" w:type="dxa"/>
            <w:vAlign w:val="center"/>
          </w:tcPr>
          <w:p w14:paraId="47CA192C">
            <w:pPr>
              <w:jc w:val="right"/>
            </w:pPr>
            <w:r>
              <w:rPr>
                <w:rFonts w:hint="eastAsia"/>
              </w:rPr>
              <w:t>-</w:t>
            </w:r>
          </w:p>
        </w:tc>
        <w:tc>
          <w:tcPr>
            <w:tcW w:w="1384" w:type="dxa"/>
            <w:vAlign w:val="center"/>
          </w:tcPr>
          <w:p w14:paraId="7DAA4E00">
            <w:pPr>
              <w:jc w:val="right"/>
            </w:pPr>
            <w:r>
              <w:rPr>
                <w:rFonts w:hint="eastAsia"/>
              </w:rPr>
              <w:t>-</w:t>
            </w:r>
          </w:p>
        </w:tc>
      </w:tr>
      <w:tr w14:paraId="644F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2DAB3">
            <w:r>
              <w:rPr>
                <w:rFonts w:hint="eastAsia"/>
              </w:rPr>
              <w:t>其他债权投资</w:t>
            </w:r>
          </w:p>
        </w:tc>
        <w:tc>
          <w:tcPr>
            <w:tcW w:w="1384" w:type="dxa"/>
            <w:vAlign w:val="center"/>
          </w:tcPr>
          <w:p w14:paraId="5922C960">
            <w:pPr>
              <w:jc w:val="right"/>
            </w:pPr>
            <w:r>
              <w:rPr>
                <w:rFonts w:hint="eastAsia"/>
              </w:rPr>
              <w:t>-</w:t>
            </w:r>
          </w:p>
        </w:tc>
        <w:tc>
          <w:tcPr>
            <w:tcW w:w="1384" w:type="dxa"/>
            <w:vAlign w:val="center"/>
          </w:tcPr>
          <w:p w14:paraId="38092A01">
            <w:pPr>
              <w:jc w:val="right"/>
            </w:pPr>
            <w:r>
              <w:rPr>
                <w:rFonts w:hint="eastAsia"/>
              </w:rPr>
              <w:t>-</w:t>
            </w:r>
          </w:p>
        </w:tc>
        <w:tc>
          <w:tcPr>
            <w:tcW w:w="1384" w:type="dxa"/>
            <w:vAlign w:val="center"/>
          </w:tcPr>
          <w:p w14:paraId="26DA22DE">
            <w:pPr>
              <w:jc w:val="right"/>
            </w:pPr>
            <w:r>
              <w:rPr>
                <w:rFonts w:hint="eastAsia"/>
              </w:rPr>
              <w:t>-</w:t>
            </w:r>
          </w:p>
        </w:tc>
        <w:tc>
          <w:tcPr>
            <w:tcW w:w="1384" w:type="dxa"/>
            <w:vAlign w:val="center"/>
          </w:tcPr>
          <w:p w14:paraId="13A8E11E">
            <w:pPr>
              <w:jc w:val="right"/>
            </w:pPr>
            <w:r>
              <w:rPr>
                <w:rFonts w:hint="eastAsia"/>
              </w:rPr>
              <w:t>-</w:t>
            </w:r>
          </w:p>
        </w:tc>
        <w:tc>
          <w:tcPr>
            <w:tcW w:w="1384" w:type="dxa"/>
            <w:vAlign w:val="center"/>
          </w:tcPr>
          <w:p w14:paraId="19F7C8E1">
            <w:pPr>
              <w:jc w:val="right"/>
            </w:pPr>
            <w:r>
              <w:rPr>
                <w:rFonts w:hint="eastAsia"/>
              </w:rPr>
              <w:t>-</w:t>
            </w:r>
          </w:p>
        </w:tc>
      </w:tr>
      <w:tr w14:paraId="6B27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F6404">
            <w:r>
              <w:rPr>
                <w:rFonts w:hint="eastAsia"/>
              </w:rPr>
              <w:t>其他权益工具投资</w:t>
            </w:r>
          </w:p>
        </w:tc>
        <w:tc>
          <w:tcPr>
            <w:tcW w:w="1384" w:type="dxa"/>
            <w:vAlign w:val="center"/>
          </w:tcPr>
          <w:p w14:paraId="5C7435A3">
            <w:pPr>
              <w:jc w:val="right"/>
            </w:pPr>
            <w:r>
              <w:rPr>
                <w:rFonts w:hint="eastAsia"/>
              </w:rPr>
              <w:t>-</w:t>
            </w:r>
          </w:p>
        </w:tc>
        <w:tc>
          <w:tcPr>
            <w:tcW w:w="1384" w:type="dxa"/>
            <w:vAlign w:val="center"/>
          </w:tcPr>
          <w:p w14:paraId="7675A2DA">
            <w:pPr>
              <w:jc w:val="right"/>
            </w:pPr>
            <w:r>
              <w:rPr>
                <w:rFonts w:hint="eastAsia"/>
              </w:rPr>
              <w:t>-</w:t>
            </w:r>
          </w:p>
        </w:tc>
        <w:tc>
          <w:tcPr>
            <w:tcW w:w="1384" w:type="dxa"/>
            <w:vAlign w:val="center"/>
          </w:tcPr>
          <w:p w14:paraId="7BF6F9ED">
            <w:pPr>
              <w:jc w:val="right"/>
            </w:pPr>
            <w:r>
              <w:rPr>
                <w:rFonts w:hint="eastAsia"/>
              </w:rPr>
              <w:t>-</w:t>
            </w:r>
          </w:p>
        </w:tc>
        <w:tc>
          <w:tcPr>
            <w:tcW w:w="1384" w:type="dxa"/>
            <w:vAlign w:val="center"/>
          </w:tcPr>
          <w:p w14:paraId="1D66C2ED">
            <w:pPr>
              <w:jc w:val="right"/>
            </w:pPr>
            <w:r>
              <w:rPr>
                <w:rFonts w:hint="eastAsia"/>
              </w:rPr>
              <w:t>-</w:t>
            </w:r>
          </w:p>
        </w:tc>
        <w:tc>
          <w:tcPr>
            <w:tcW w:w="1384" w:type="dxa"/>
            <w:vAlign w:val="center"/>
          </w:tcPr>
          <w:p w14:paraId="40561785">
            <w:pPr>
              <w:jc w:val="right"/>
            </w:pPr>
            <w:r>
              <w:rPr>
                <w:rFonts w:hint="eastAsia"/>
              </w:rPr>
              <w:t>-</w:t>
            </w:r>
          </w:p>
        </w:tc>
      </w:tr>
      <w:tr w14:paraId="317C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DD53C">
            <w:r>
              <w:rPr>
                <w:rFonts w:hint="eastAsia"/>
              </w:rPr>
              <w:t>应收清算款</w:t>
            </w:r>
          </w:p>
        </w:tc>
        <w:tc>
          <w:tcPr>
            <w:tcW w:w="1384" w:type="dxa"/>
            <w:vAlign w:val="center"/>
          </w:tcPr>
          <w:p w14:paraId="77EA6761">
            <w:pPr>
              <w:jc w:val="right"/>
            </w:pPr>
            <w:r>
              <w:rPr>
                <w:rFonts w:hint="eastAsia"/>
              </w:rPr>
              <w:t>-</w:t>
            </w:r>
          </w:p>
        </w:tc>
        <w:tc>
          <w:tcPr>
            <w:tcW w:w="1384" w:type="dxa"/>
            <w:vAlign w:val="center"/>
          </w:tcPr>
          <w:p w14:paraId="2B7E8F09">
            <w:pPr>
              <w:jc w:val="right"/>
            </w:pPr>
            <w:r>
              <w:rPr>
                <w:rFonts w:hint="eastAsia"/>
              </w:rPr>
              <w:t>-</w:t>
            </w:r>
          </w:p>
        </w:tc>
        <w:tc>
          <w:tcPr>
            <w:tcW w:w="1384" w:type="dxa"/>
            <w:vAlign w:val="center"/>
          </w:tcPr>
          <w:p w14:paraId="7FE0CFF5">
            <w:pPr>
              <w:jc w:val="right"/>
            </w:pPr>
            <w:r>
              <w:rPr>
                <w:rFonts w:hint="eastAsia"/>
              </w:rPr>
              <w:t>-</w:t>
            </w:r>
          </w:p>
        </w:tc>
        <w:tc>
          <w:tcPr>
            <w:tcW w:w="1384" w:type="dxa"/>
            <w:vAlign w:val="center"/>
          </w:tcPr>
          <w:p w14:paraId="3D4692BA">
            <w:pPr>
              <w:jc w:val="right"/>
            </w:pPr>
            <w:r>
              <w:rPr>
                <w:rFonts w:hint="eastAsia"/>
              </w:rPr>
              <w:t>-</w:t>
            </w:r>
          </w:p>
        </w:tc>
        <w:tc>
          <w:tcPr>
            <w:tcW w:w="1384" w:type="dxa"/>
            <w:vAlign w:val="center"/>
          </w:tcPr>
          <w:p w14:paraId="4494C5EA">
            <w:pPr>
              <w:jc w:val="right"/>
            </w:pPr>
            <w:r>
              <w:rPr>
                <w:rFonts w:hint="eastAsia"/>
              </w:rPr>
              <w:t>-</w:t>
            </w:r>
          </w:p>
        </w:tc>
      </w:tr>
      <w:tr w14:paraId="3160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E58DF">
            <w:r>
              <w:rPr>
                <w:rFonts w:hint="eastAsia"/>
              </w:rPr>
              <w:t>应收股利</w:t>
            </w:r>
          </w:p>
        </w:tc>
        <w:tc>
          <w:tcPr>
            <w:tcW w:w="1384" w:type="dxa"/>
            <w:vAlign w:val="center"/>
          </w:tcPr>
          <w:p w14:paraId="05736F21">
            <w:pPr>
              <w:jc w:val="right"/>
            </w:pPr>
            <w:r>
              <w:rPr>
                <w:rFonts w:hint="eastAsia"/>
              </w:rPr>
              <w:t>-</w:t>
            </w:r>
          </w:p>
        </w:tc>
        <w:tc>
          <w:tcPr>
            <w:tcW w:w="1384" w:type="dxa"/>
            <w:vAlign w:val="center"/>
          </w:tcPr>
          <w:p w14:paraId="5071C6A0">
            <w:pPr>
              <w:jc w:val="right"/>
            </w:pPr>
            <w:r>
              <w:rPr>
                <w:rFonts w:hint="eastAsia"/>
              </w:rPr>
              <w:t>-</w:t>
            </w:r>
          </w:p>
        </w:tc>
        <w:tc>
          <w:tcPr>
            <w:tcW w:w="1384" w:type="dxa"/>
            <w:vAlign w:val="center"/>
          </w:tcPr>
          <w:p w14:paraId="5FCB550B">
            <w:pPr>
              <w:jc w:val="right"/>
            </w:pPr>
            <w:r>
              <w:rPr>
                <w:rFonts w:hint="eastAsia"/>
              </w:rPr>
              <w:t>-</w:t>
            </w:r>
          </w:p>
        </w:tc>
        <w:tc>
          <w:tcPr>
            <w:tcW w:w="1384" w:type="dxa"/>
            <w:vAlign w:val="center"/>
          </w:tcPr>
          <w:p w14:paraId="4DC9CEB2">
            <w:pPr>
              <w:jc w:val="right"/>
            </w:pPr>
            <w:r>
              <w:rPr>
                <w:rFonts w:hint="eastAsia"/>
              </w:rPr>
              <w:t>-</w:t>
            </w:r>
          </w:p>
        </w:tc>
        <w:tc>
          <w:tcPr>
            <w:tcW w:w="1384" w:type="dxa"/>
            <w:vAlign w:val="center"/>
          </w:tcPr>
          <w:p w14:paraId="0D6705D7">
            <w:pPr>
              <w:jc w:val="right"/>
            </w:pPr>
            <w:r>
              <w:rPr>
                <w:rFonts w:hint="eastAsia"/>
              </w:rPr>
              <w:t>-</w:t>
            </w:r>
          </w:p>
        </w:tc>
      </w:tr>
      <w:tr w14:paraId="6BD04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84FB6">
            <w:r>
              <w:rPr>
                <w:rFonts w:hint="eastAsia"/>
              </w:rPr>
              <w:t>应收申购款</w:t>
            </w:r>
          </w:p>
        </w:tc>
        <w:tc>
          <w:tcPr>
            <w:tcW w:w="1384" w:type="dxa"/>
            <w:vAlign w:val="center"/>
          </w:tcPr>
          <w:p w14:paraId="0F4A0E5A">
            <w:pPr>
              <w:jc w:val="right"/>
            </w:pPr>
            <w:r>
              <w:rPr>
                <w:rFonts w:hint="eastAsia"/>
              </w:rPr>
              <w:t>-</w:t>
            </w:r>
          </w:p>
        </w:tc>
        <w:tc>
          <w:tcPr>
            <w:tcW w:w="1384" w:type="dxa"/>
            <w:vAlign w:val="center"/>
          </w:tcPr>
          <w:p w14:paraId="71C6C230">
            <w:pPr>
              <w:jc w:val="right"/>
            </w:pPr>
            <w:r>
              <w:rPr>
                <w:rFonts w:hint="eastAsia"/>
              </w:rPr>
              <w:t>-</w:t>
            </w:r>
          </w:p>
        </w:tc>
        <w:tc>
          <w:tcPr>
            <w:tcW w:w="1384" w:type="dxa"/>
            <w:vAlign w:val="center"/>
          </w:tcPr>
          <w:p w14:paraId="51149C20">
            <w:pPr>
              <w:jc w:val="right"/>
            </w:pPr>
            <w:r>
              <w:rPr>
                <w:rFonts w:hint="eastAsia"/>
              </w:rPr>
              <w:t>-</w:t>
            </w:r>
          </w:p>
        </w:tc>
        <w:tc>
          <w:tcPr>
            <w:tcW w:w="1384" w:type="dxa"/>
            <w:vAlign w:val="center"/>
          </w:tcPr>
          <w:p w14:paraId="28E87F4C">
            <w:pPr>
              <w:jc w:val="right"/>
            </w:pPr>
            <w:r>
              <w:rPr>
                <w:rFonts w:hint="eastAsia"/>
              </w:rPr>
              <w:t>-</w:t>
            </w:r>
          </w:p>
        </w:tc>
        <w:tc>
          <w:tcPr>
            <w:tcW w:w="1384" w:type="dxa"/>
            <w:vAlign w:val="center"/>
          </w:tcPr>
          <w:p w14:paraId="42E44F58">
            <w:pPr>
              <w:jc w:val="right"/>
            </w:pPr>
            <w:r>
              <w:rPr>
                <w:rFonts w:hint="eastAsia"/>
              </w:rPr>
              <w:t>-</w:t>
            </w:r>
          </w:p>
        </w:tc>
      </w:tr>
      <w:tr w14:paraId="69D8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FE527">
            <w:r>
              <w:rPr>
                <w:rFonts w:hint="eastAsia"/>
              </w:rPr>
              <w:t>递延所得税资产</w:t>
            </w:r>
          </w:p>
        </w:tc>
        <w:tc>
          <w:tcPr>
            <w:tcW w:w="1384" w:type="dxa"/>
            <w:vAlign w:val="center"/>
          </w:tcPr>
          <w:p w14:paraId="2096C996">
            <w:pPr>
              <w:jc w:val="right"/>
            </w:pPr>
            <w:r>
              <w:rPr>
                <w:rFonts w:hint="eastAsia"/>
              </w:rPr>
              <w:t>-</w:t>
            </w:r>
          </w:p>
        </w:tc>
        <w:tc>
          <w:tcPr>
            <w:tcW w:w="1384" w:type="dxa"/>
            <w:vAlign w:val="center"/>
          </w:tcPr>
          <w:p w14:paraId="38B314CD">
            <w:pPr>
              <w:jc w:val="right"/>
            </w:pPr>
            <w:r>
              <w:rPr>
                <w:rFonts w:hint="eastAsia"/>
              </w:rPr>
              <w:t>-</w:t>
            </w:r>
          </w:p>
        </w:tc>
        <w:tc>
          <w:tcPr>
            <w:tcW w:w="1384" w:type="dxa"/>
            <w:vAlign w:val="center"/>
          </w:tcPr>
          <w:p w14:paraId="327F00AD">
            <w:pPr>
              <w:jc w:val="right"/>
            </w:pPr>
            <w:r>
              <w:rPr>
                <w:rFonts w:hint="eastAsia"/>
              </w:rPr>
              <w:t>-</w:t>
            </w:r>
          </w:p>
        </w:tc>
        <w:tc>
          <w:tcPr>
            <w:tcW w:w="1384" w:type="dxa"/>
            <w:vAlign w:val="center"/>
          </w:tcPr>
          <w:p w14:paraId="1FBF7A5A">
            <w:pPr>
              <w:jc w:val="right"/>
            </w:pPr>
            <w:r>
              <w:rPr>
                <w:rFonts w:hint="eastAsia"/>
              </w:rPr>
              <w:t>-</w:t>
            </w:r>
          </w:p>
        </w:tc>
        <w:tc>
          <w:tcPr>
            <w:tcW w:w="1384" w:type="dxa"/>
            <w:vAlign w:val="center"/>
          </w:tcPr>
          <w:p w14:paraId="692DD48C">
            <w:pPr>
              <w:jc w:val="right"/>
            </w:pPr>
            <w:r>
              <w:rPr>
                <w:rFonts w:hint="eastAsia"/>
              </w:rPr>
              <w:t>-</w:t>
            </w:r>
          </w:p>
        </w:tc>
      </w:tr>
      <w:tr w14:paraId="1CF9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4BDC5">
            <w:r>
              <w:rPr>
                <w:rFonts w:hint="eastAsia"/>
              </w:rPr>
              <w:t>其他资产</w:t>
            </w:r>
          </w:p>
        </w:tc>
        <w:tc>
          <w:tcPr>
            <w:tcW w:w="1384" w:type="dxa"/>
            <w:vAlign w:val="center"/>
          </w:tcPr>
          <w:p w14:paraId="71FFD5D3">
            <w:pPr>
              <w:jc w:val="right"/>
            </w:pPr>
            <w:r>
              <w:rPr>
                <w:rFonts w:hint="eastAsia"/>
              </w:rPr>
              <w:t>-</w:t>
            </w:r>
          </w:p>
        </w:tc>
        <w:tc>
          <w:tcPr>
            <w:tcW w:w="1384" w:type="dxa"/>
            <w:vAlign w:val="center"/>
          </w:tcPr>
          <w:p w14:paraId="062C1D93">
            <w:pPr>
              <w:jc w:val="right"/>
            </w:pPr>
            <w:r>
              <w:rPr>
                <w:rFonts w:hint="eastAsia"/>
              </w:rPr>
              <w:t>-</w:t>
            </w:r>
          </w:p>
        </w:tc>
        <w:tc>
          <w:tcPr>
            <w:tcW w:w="1384" w:type="dxa"/>
            <w:vAlign w:val="center"/>
          </w:tcPr>
          <w:p w14:paraId="5E1327D8">
            <w:pPr>
              <w:jc w:val="right"/>
            </w:pPr>
            <w:r>
              <w:rPr>
                <w:rFonts w:hint="eastAsia"/>
              </w:rPr>
              <w:t>-</w:t>
            </w:r>
          </w:p>
        </w:tc>
        <w:tc>
          <w:tcPr>
            <w:tcW w:w="1384" w:type="dxa"/>
            <w:vAlign w:val="center"/>
          </w:tcPr>
          <w:p w14:paraId="47DBDBBD">
            <w:pPr>
              <w:jc w:val="right"/>
            </w:pPr>
            <w:r>
              <w:rPr>
                <w:rFonts w:hint="eastAsia"/>
              </w:rPr>
              <w:t>-</w:t>
            </w:r>
          </w:p>
        </w:tc>
        <w:tc>
          <w:tcPr>
            <w:tcW w:w="1384" w:type="dxa"/>
            <w:vAlign w:val="center"/>
          </w:tcPr>
          <w:p w14:paraId="1605E7C1">
            <w:pPr>
              <w:jc w:val="right"/>
            </w:pPr>
            <w:r>
              <w:rPr>
                <w:rFonts w:hint="eastAsia"/>
              </w:rPr>
              <w:t>-</w:t>
            </w:r>
          </w:p>
        </w:tc>
      </w:tr>
      <w:tr w14:paraId="4A5E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30492">
            <w:r>
              <w:rPr>
                <w:rFonts w:hint="eastAsia"/>
              </w:rPr>
              <w:t>资产总计</w:t>
            </w:r>
          </w:p>
        </w:tc>
        <w:tc>
          <w:tcPr>
            <w:tcW w:w="1384" w:type="dxa"/>
            <w:vAlign w:val="center"/>
          </w:tcPr>
          <w:p w14:paraId="170705EE">
            <w:pPr>
              <w:jc w:val="right"/>
            </w:pPr>
            <w:r>
              <w:rPr>
                <w:rFonts w:hint="eastAsia"/>
              </w:rPr>
              <w:t>101,963,781.05</w:t>
            </w:r>
          </w:p>
        </w:tc>
        <w:tc>
          <w:tcPr>
            <w:tcW w:w="1384" w:type="dxa"/>
            <w:vAlign w:val="center"/>
          </w:tcPr>
          <w:p w14:paraId="71387485">
            <w:pPr>
              <w:jc w:val="right"/>
            </w:pPr>
            <w:r>
              <w:rPr>
                <w:rFonts w:hint="eastAsia"/>
              </w:rPr>
              <w:t>698,319,178.86</w:t>
            </w:r>
          </w:p>
        </w:tc>
        <w:tc>
          <w:tcPr>
            <w:tcW w:w="1384" w:type="dxa"/>
            <w:vAlign w:val="center"/>
          </w:tcPr>
          <w:p w14:paraId="267A46E7">
            <w:pPr>
              <w:jc w:val="right"/>
            </w:pPr>
            <w:r>
              <w:rPr>
                <w:rFonts w:hint="eastAsia"/>
              </w:rPr>
              <w:t>350,423,922.16</w:t>
            </w:r>
          </w:p>
        </w:tc>
        <w:tc>
          <w:tcPr>
            <w:tcW w:w="1384" w:type="dxa"/>
            <w:vAlign w:val="center"/>
          </w:tcPr>
          <w:p w14:paraId="68F73E97">
            <w:pPr>
              <w:jc w:val="right"/>
            </w:pPr>
            <w:r>
              <w:rPr>
                <w:rFonts w:hint="eastAsia"/>
              </w:rPr>
              <w:t>-</w:t>
            </w:r>
          </w:p>
        </w:tc>
        <w:tc>
          <w:tcPr>
            <w:tcW w:w="1384" w:type="dxa"/>
            <w:vAlign w:val="center"/>
          </w:tcPr>
          <w:p w14:paraId="51D2BDDD">
            <w:pPr>
              <w:jc w:val="right"/>
            </w:pPr>
            <w:r>
              <w:rPr>
                <w:rFonts w:hint="eastAsia"/>
              </w:rPr>
              <w:t>1,150,706,882.07</w:t>
            </w:r>
          </w:p>
        </w:tc>
      </w:tr>
      <w:tr w14:paraId="2315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DBCAD">
            <w:r>
              <w:rPr>
                <w:rFonts w:hint="eastAsia"/>
              </w:rPr>
              <w:t>负债</w:t>
            </w:r>
          </w:p>
        </w:tc>
        <w:tc>
          <w:tcPr>
            <w:tcW w:w="1384" w:type="dxa"/>
            <w:vAlign w:val="center"/>
          </w:tcPr>
          <w:p w14:paraId="5344DADC"/>
        </w:tc>
        <w:tc>
          <w:tcPr>
            <w:tcW w:w="1384" w:type="dxa"/>
            <w:vAlign w:val="center"/>
          </w:tcPr>
          <w:p w14:paraId="470F4EBE"/>
        </w:tc>
        <w:tc>
          <w:tcPr>
            <w:tcW w:w="1384" w:type="dxa"/>
            <w:vAlign w:val="center"/>
          </w:tcPr>
          <w:p w14:paraId="2D6D68F5"/>
        </w:tc>
        <w:tc>
          <w:tcPr>
            <w:tcW w:w="1384" w:type="dxa"/>
            <w:vAlign w:val="center"/>
          </w:tcPr>
          <w:p w14:paraId="765F4845"/>
        </w:tc>
        <w:tc>
          <w:tcPr>
            <w:tcW w:w="1384" w:type="dxa"/>
            <w:vAlign w:val="center"/>
          </w:tcPr>
          <w:p w14:paraId="4BC280B5"/>
        </w:tc>
      </w:tr>
      <w:tr w14:paraId="502A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99F33">
            <w:r>
              <w:rPr>
                <w:rFonts w:hint="eastAsia"/>
              </w:rPr>
              <w:t>短期借款</w:t>
            </w:r>
          </w:p>
        </w:tc>
        <w:tc>
          <w:tcPr>
            <w:tcW w:w="1384" w:type="dxa"/>
            <w:vAlign w:val="center"/>
          </w:tcPr>
          <w:p w14:paraId="539735D1">
            <w:pPr>
              <w:jc w:val="right"/>
            </w:pPr>
            <w:r>
              <w:rPr>
                <w:rFonts w:hint="eastAsia"/>
              </w:rPr>
              <w:t>-</w:t>
            </w:r>
          </w:p>
        </w:tc>
        <w:tc>
          <w:tcPr>
            <w:tcW w:w="1384" w:type="dxa"/>
            <w:vAlign w:val="center"/>
          </w:tcPr>
          <w:p w14:paraId="1592BE2B">
            <w:pPr>
              <w:jc w:val="right"/>
            </w:pPr>
            <w:r>
              <w:rPr>
                <w:rFonts w:hint="eastAsia"/>
              </w:rPr>
              <w:t>-</w:t>
            </w:r>
          </w:p>
        </w:tc>
        <w:tc>
          <w:tcPr>
            <w:tcW w:w="1384" w:type="dxa"/>
            <w:vAlign w:val="center"/>
          </w:tcPr>
          <w:p w14:paraId="47A4215A">
            <w:pPr>
              <w:jc w:val="right"/>
            </w:pPr>
            <w:r>
              <w:rPr>
                <w:rFonts w:hint="eastAsia"/>
              </w:rPr>
              <w:t>-</w:t>
            </w:r>
          </w:p>
        </w:tc>
        <w:tc>
          <w:tcPr>
            <w:tcW w:w="1384" w:type="dxa"/>
            <w:vAlign w:val="center"/>
          </w:tcPr>
          <w:p w14:paraId="5923DEF0">
            <w:pPr>
              <w:jc w:val="right"/>
            </w:pPr>
            <w:r>
              <w:rPr>
                <w:rFonts w:hint="eastAsia"/>
              </w:rPr>
              <w:t>-</w:t>
            </w:r>
          </w:p>
        </w:tc>
        <w:tc>
          <w:tcPr>
            <w:tcW w:w="1384" w:type="dxa"/>
            <w:vAlign w:val="center"/>
          </w:tcPr>
          <w:p w14:paraId="3C077B4E">
            <w:pPr>
              <w:jc w:val="right"/>
            </w:pPr>
            <w:r>
              <w:rPr>
                <w:rFonts w:hint="eastAsia"/>
              </w:rPr>
              <w:t>-</w:t>
            </w:r>
          </w:p>
        </w:tc>
      </w:tr>
      <w:tr w14:paraId="5105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DC490">
            <w:r>
              <w:rPr>
                <w:rFonts w:hint="eastAsia"/>
              </w:rPr>
              <w:t>交易性金融负债</w:t>
            </w:r>
          </w:p>
        </w:tc>
        <w:tc>
          <w:tcPr>
            <w:tcW w:w="1384" w:type="dxa"/>
            <w:vAlign w:val="center"/>
          </w:tcPr>
          <w:p w14:paraId="4770F298">
            <w:pPr>
              <w:jc w:val="right"/>
            </w:pPr>
            <w:r>
              <w:rPr>
                <w:rFonts w:hint="eastAsia"/>
              </w:rPr>
              <w:t>-</w:t>
            </w:r>
          </w:p>
        </w:tc>
        <w:tc>
          <w:tcPr>
            <w:tcW w:w="1384" w:type="dxa"/>
            <w:vAlign w:val="center"/>
          </w:tcPr>
          <w:p w14:paraId="0DC1063D">
            <w:pPr>
              <w:jc w:val="right"/>
            </w:pPr>
            <w:r>
              <w:rPr>
                <w:rFonts w:hint="eastAsia"/>
              </w:rPr>
              <w:t>-</w:t>
            </w:r>
          </w:p>
        </w:tc>
        <w:tc>
          <w:tcPr>
            <w:tcW w:w="1384" w:type="dxa"/>
            <w:vAlign w:val="center"/>
          </w:tcPr>
          <w:p w14:paraId="60FDB640">
            <w:pPr>
              <w:jc w:val="right"/>
            </w:pPr>
            <w:r>
              <w:rPr>
                <w:rFonts w:hint="eastAsia"/>
              </w:rPr>
              <w:t>-</w:t>
            </w:r>
          </w:p>
        </w:tc>
        <w:tc>
          <w:tcPr>
            <w:tcW w:w="1384" w:type="dxa"/>
            <w:vAlign w:val="center"/>
          </w:tcPr>
          <w:p w14:paraId="2E2E80A4">
            <w:pPr>
              <w:jc w:val="right"/>
            </w:pPr>
            <w:r>
              <w:rPr>
                <w:rFonts w:hint="eastAsia"/>
              </w:rPr>
              <w:t>-</w:t>
            </w:r>
          </w:p>
        </w:tc>
        <w:tc>
          <w:tcPr>
            <w:tcW w:w="1384" w:type="dxa"/>
            <w:vAlign w:val="center"/>
          </w:tcPr>
          <w:p w14:paraId="2897FD31">
            <w:pPr>
              <w:jc w:val="right"/>
            </w:pPr>
            <w:r>
              <w:rPr>
                <w:rFonts w:hint="eastAsia"/>
              </w:rPr>
              <w:t>-</w:t>
            </w:r>
          </w:p>
        </w:tc>
      </w:tr>
      <w:tr w14:paraId="0120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22FB5A">
            <w:r>
              <w:rPr>
                <w:rFonts w:hint="eastAsia"/>
              </w:rPr>
              <w:t>衍生金融负债</w:t>
            </w:r>
          </w:p>
        </w:tc>
        <w:tc>
          <w:tcPr>
            <w:tcW w:w="1384" w:type="dxa"/>
            <w:vAlign w:val="center"/>
          </w:tcPr>
          <w:p w14:paraId="32041193">
            <w:pPr>
              <w:jc w:val="right"/>
            </w:pPr>
            <w:r>
              <w:rPr>
                <w:rFonts w:hint="eastAsia"/>
              </w:rPr>
              <w:t>-</w:t>
            </w:r>
          </w:p>
        </w:tc>
        <w:tc>
          <w:tcPr>
            <w:tcW w:w="1384" w:type="dxa"/>
            <w:vAlign w:val="center"/>
          </w:tcPr>
          <w:p w14:paraId="5910071F">
            <w:pPr>
              <w:jc w:val="right"/>
            </w:pPr>
            <w:r>
              <w:rPr>
                <w:rFonts w:hint="eastAsia"/>
              </w:rPr>
              <w:t>-</w:t>
            </w:r>
          </w:p>
        </w:tc>
        <w:tc>
          <w:tcPr>
            <w:tcW w:w="1384" w:type="dxa"/>
            <w:vAlign w:val="center"/>
          </w:tcPr>
          <w:p w14:paraId="3F9225E4">
            <w:pPr>
              <w:jc w:val="right"/>
            </w:pPr>
            <w:r>
              <w:rPr>
                <w:rFonts w:hint="eastAsia"/>
              </w:rPr>
              <w:t>-</w:t>
            </w:r>
          </w:p>
        </w:tc>
        <w:tc>
          <w:tcPr>
            <w:tcW w:w="1384" w:type="dxa"/>
            <w:vAlign w:val="center"/>
          </w:tcPr>
          <w:p w14:paraId="71FFB5C7">
            <w:pPr>
              <w:jc w:val="right"/>
            </w:pPr>
            <w:r>
              <w:rPr>
                <w:rFonts w:hint="eastAsia"/>
              </w:rPr>
              <w:t>-</w:t>
            </w:r>
          </w:p>
        </w:tc>
        <w:tc>
          <w:tcPr>
            <w:tcW w:w="1384" w:type="dxa"/>
            <w:vAlign w:val="center"/>
          </w:tcPr>
          <w:p w14:paraId="22B5EA35">
            <w:pPr>
              <w:jc w:val="right"/>
            </w:pPr>
            <w:r>
              <w:rPr>
                <w:rFonts w:hint="eastAsia"/>
              </w:rPr>
              <w:t>-</w:t>
            </w:r>
          </w:p>
        </w:tc>
      </w:tr>
      <w:tr w14:paraId="49CF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BC4F2">
            <w:r>
              <w:rPr>
                <w:rFonts w:hint="eastAsia"/>
              </w:rPr>
              <w:t>卖出回购金融资产款</w:t>
            </w:r>
          </w:p>
        </w:tc>
        <w:tc>
          <w:tcPr>
            <w:tcW w:w="1384" w:type="dxa"/>
            <w:vAlign w:val="center"/>
          </w:tcPr>
          <w:p w14:paraId="7D5E1A26">
            <w:pPr>
              <w:jc w:val="right"/>
            </w:pPr>
            <w:r>
              <w:rPr>
                <w:rFonts w:hint="eastAsia"/>
              </w:rPr>
              <w:t>84,511,357.39</w:t>
            </w:r>
          </w:p>
        </w:tc>
        <w:tc>
          <w:tcPr>
            <w:tcW w:w="1384" w:type="dxa"/>
            <w:vAlign w:val="center"/>
          </w:tcPr>
          <w:p w14:paraId="597A83C1">
            <w:pPr>
              <w:jc w:val="right"/>
            </w:pPr>
            <w:r>
              <w:rPr>
                <w:rFonts w:hint="eastAsia"/>
              </w:rPr>
              <w:t>-</w:t>
            </w:r>
          </w:p>
        </w:tc>
        <w:tc>
          <w:tcPr>
            <w:tcW w:w="1384" w:type="dxa"/>
            <w:vAlign w:val="center"/>
          </w:tcPr>
          <w:p w14:paraId="5006DA08">
            <w:pPr>
              <w:jc w:val="right"/>
            </w:pPr>
            <w:r>
              <w:rPr>
                <w:rFonts w:hint="eastAsia"/>
              </w:rPr>
              <w:t>-</w:t>
            </w:r>
          </w:p>
        </w:tc>
        <w:tc>
          <w:tcPr>
            <w:tcW w:w="1384" w:type="dxa"/>
            <w:vAlign w:val="center"/>
          </w:tcPr>
          <w:p w14:paraId="19A39DCE">
            <w:pPr>
              <w:jc w:val="right"/>
            </w:pPr>
            <w:r>
              <w:rPr>
                <w:rFonts w:hint="eastAsia"/>
              </w:rPr>
              <w:t>-</w:t>
            </w:r>
          </w:p>
        </w:tc>
        <w:tc>
          <w:tcPr>
            <w:tcW w:w="1384" w:type="dxa"/>
            <w:vAlign w:val="center"/>
          </w:tcPr>
          <w:p w14:paraId="22F55C77">
            <w:pPr>
              <w:jc w:val="right"/>
            </w:pPr>
            <w:r>
              <w:rPr>
                <w:rFonts w:hint="eastAsia"/>
              </w:rPr>
              <w:t>84,511,357.39</w:t>
            </w:r>
          </w:p>
        </w:tc>
      </w:tr>
      <w:tr w14:paraId="591B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F2208">
            <w:r>
              <w:rPr>
                <w:rFonts w:hint="eastAsia"/>
              </w:rPr>
              <w:t>应付清算款</w:t>
            </w:r>
          </w:p>
        </w:tc>
        <w:tc>
          <w:tcPr>
            <w:tcW w:w="1384" w:type="dxa"/>
            <w:vAlign w:val="center"/>
          </w:tcPr>
          <w:p w14:paraId="6C8E4A21">
            <w:pPr>
              <w:jc w:val="right"/>
            </w:pPr>
            <w:r>
              <w:rPr>
                <w:rFonts w:hint="eastAsia"/>
              </w:rPr>
              <w:t>-</w:t>
            </w:r>
          </w:p>
        </w:tc>
        <w:tc>
          <w:tcPr>
            <w:tcW w:w="1384" w:type="dxa"/>
            <w:vAlign w:val="center"/>
          </w:tcPr>
          <w:p w14:paraId="6FC38200">
            <w:pPr>
              <w:jc w:val="right"/>
            </w:pPr>
            <w:r>
              <w:rPr>
                <w:rFonts w:hint="eastAsia"/>
              </w:rPr>
              <w:t>-</w:t>
            </w:r>
          </w:p>
        </w:tc>
        <w:tc>
          <w:tcPr>
            <w:tcW w:w="1384" w:type="dxa"/>
            <w:vAlign w:val="center"/>
          </w:tcPr>
          <w:p w14:paraId="3D04AEA7">
            <w:pPr>
              <w:jc w:val="right"/>
            </w:pPr>
            <w:r>
              <w:rPr>
                <w:rFonts w:hint="eastAsia"/>
              </w:rPr>
              <w:t>-</w:t>
            </w:r>
          </w:p>
        </w:tc>
        <w:tc>
          <w:tcPr>
            <w:tcW w:w="1384" w:type="dxa"/>
            <w:vAlign w:val="center"/>
          </w:tcPr>
          <w:p w14:paraId="6E0D5419">
            <w:pPr>
              <w:jc w:val="right"/>
            </w:pPr>
            <w:r>
              <w:rPr>
                <w:rFonts w:hint="eastAsia"/>
              </w:rPr>
              <w:t>-</w:t>
            </w:r>
          </w:p>
        </w:tc>
        <w:tc>
          <w:tcPr>
            <w:tcW w:w="1384" w:type="dxa"/>
            <w:vAlign w:val="center"/>
          </w:tcPr>
          <w:p w14:paraId="720EF6D1">
            <w:pPr>
              <w:jc w:val="right"/>
            </w:pPr>
            <w:r>
              <w:rPr>
                <w:rFonts w:hint="eastAsia"/>
              </w:rPr>
              <w:t>-</w:t>
            </w:r>
          </w:p>
        </w:tc>
      </w:tr>
      <w:tr w14:paraId="2EEF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50EC8">
            <w:r>
              <w:rPr>
                <w:rFonts w:hint="eastAsia"/>
              </w:rPr>
              <w:t>应付赎回款</w:t>
            </w:r>
          </w:p>
        </w:tc>
        <w:tc>
          <w:tcPr>
            <w:tcW w:w="1384" w:type="dxa"/>
            <w:vAlign w:val="center"/>
          </w:tcPr>
          <w:p w14:paraId="55BE3F66">
            <w:pPr>
              <w:jc w:val="right"/>
            </w:pPr>
            <w:r>
              <w:rPr>
                <w:rFonts w:hint="eastAsia"/>
              </w:rPr>
              <w:t>-</w:t>
            </w:r>
          </w:p>
        </w:tc>
        <w:tc>
          <w:tcPr>
            <w:tcW w:w="1384" w:type="dxa"/>
            <w:vAlign w:val="center"/>
          </w:tcPr>
          <w:p w14:paraId="5F93388C">
            <w:pPr>
              <w:jc w:val="right"/>
            </w:pPr>
            <w:r>
              <w:rPr>
                <w:rFonts w:hint="eastAsia"/>
              </w:rPr>
              <w:t>-</w:t>
            </w:r>
          </w:p>
        </w:tc>
        <w:tc>
          <w:tcPr>
            <w:tcW w:w="1384" w:type="dxa"/>
            <w:vAlign w:val="center"/>
          </w:tcPr>
          <w:p w14:paraId="25085F9C">
            <w:pPr>
              <w:jc w:val="right"/>
            </w:pPr>
            <w:r>
              <w:rPr>
                <w:rFonts w:hint="eastAsia"/>
              </w:rPr>
              <w:t>-</w:t>
            </w:r>
          </w:p>
        </w:tc>
        <w:tc>
          <w:tcPr>
            <w:tcW w:w="1384" w:type="dxa"/>
            <w:vAlign w:val="center"/>
          </w:tcPr>
          <w:p w14:paraId="0B8402C7">
            <w:pPr>
              <w:jc w:val="right"/>
            </w:pPr>
            <w:r>
              <w:rPr>
                <w:rFonts w:hint="eastAsia"/>
              </w:rPr>
              <w:t>-</w:t>
            </w:r>
          </w:p>
        </w:tc>
        <w:tc>
          <w:tcPr>
            <w:tcW w:w="1384" w:type="dxa"/>
            <w:vAlign w:val="center"/>
          </w:tcPr>
          <w:p w14:paraId="5DA43915">
            <w:pPr>
              <w:jc w:val="right"/>
            </w:pPr>
            <w:r>
              <w:rPr>
                <w:rFonts w:hint="eastAsia"/>
              </w:rPr>
              <w:t>-</w:t>
            </w:r>
          </w:p>
        </w:tc>
      </w:tr>
      <w:tr w14:paraId="2B6E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F4A108">
            <w:r>
              <w:rPr>
                <w:rFonts w:hint="eastAsia"/>
              </w:rPr>
              <w:t>应付管理人报酬</w:t>
            </w:r>
          </w:p>
        </w:tc>
        <w:tc>
          <w:tcPr>
            <w:tcW w:w="1384" w:type="dxa"/>
            <w:vAlign w:val="center"/>
          </w:tcPr>
          <w:p w14:paraId="2C044BCC">
            <w:pPr>
              <w:jc w:val="right"/>
            </w:pPr>
            <w:r>
              <w:rPr>
                <w:rFonts w:hint="eastAsia"/>
              </w:rPr>
              <w:t>-</w:t>
            </w:r>
          </w:p>
        </w:tc>
        <w:tc>
          <w:tcPr>
            <w:tcW w:w="1384" w:type="dxa"/>
            <w:vAlign w:val="center"/>
          </w:tcPr>
          <w:p w14:paraId="19AA383C">
            <w:pPr>
              <w:jc w:val="right"/>
            </w:pPr>
            <w:r>
              <w:rPr>
                <w:rFonts w:hint="eastAsia"/>
              </w:rPr>
              <w:t>-</w:t>
            </w:r>
          </w:p>
        </w:tc>
        <w:tc>
          <w:tcPr>
            <w:tcW w:w="1384" w:type="dxa"/>
            <w:vAlign w:val="center"/>
          </w:tcPr>
          <w:p w14:paraId="6BADC849">
            <w:pPr>
              <w:jc w:val="right"/>
            </w:pPr>
            <w:r>
              <w:rPr>
                <w:rFonts w:hint="eastAsia"/>
              </w:rPr>
              <w:t>-</w:t>
            </w:r>
          </w:p>
        </w:tc>
        <w:tc>
          <w:tcPr>
            <w:tcW w:w="1384" w:type="dxa"/>
            <w:vAlign w:val="center"/>
          </w:tcPr>
          <w:p w14:paraId="16B37A0C">
            <w:pPr>
              <w:jc w:val="right"/>
            </w:pPr>
            <w:r>
              <w:rPr>
                <w:rFonts w:hint="eastAsia"/>
              </w:rPr>
              <w:t>353,627.32</w:t>
            </w:r>
          </w:p>
        </w:tc>
        <w:tc>
          <w:tcPr>
            <w:tcW w:w="1384" w:type="dxa"/>
            <w:vAlign w:val="center"/>
          </w:tcPr>
          <w:p w14:paraId="0569CDE3">
            <w:pPr>
              <w:jc w:val="right"/>
            </w:pPr>
            <w:r>
              <w:rPr>
                <w:rFonts w:hint="eastAsia"/>
              </w:rPr>
              <w:t>353,627.32</w:t>
            </w:r>
          </w:p>
        </w:tc>
      </w:tr>
      <w:tr w14:paraId="3B59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D3239">
            <w:r>
              <w:rPr>
                <w:rFonts w:hint="eastAsia"/>
              </w:rPr>
              <w:t>应付托管费</w:t>
            </w:r>
          </w:p>
        </w:tc>
        <w:tc>
          <w:tcPr>
            <w:tcW w:w="1384" w:type="dxa"/>
            <w:vAlign w:val="center"/>
          </w:tcPr>
          <w:p w14:paraId="5EB3BB0D">
            <w:pPr>
              <w:jc w:val="right"/>
            </w:pPr>
            <w:r>
              <w:rPr>
                <w:rFonts w:hint="eastAsia"/>
              </w:rPr>
              <w:t>-</w:t>
            </w:r>
          </w:p>
        </w:tc>
        <w:tc>
          <w:tcPr>
            <w:tcW w:w="1384" w:type="dxa"/>
            <w:vAlign w:val="center"/>
          </w:tcPr>
          <w:p w14:paraId="37DA954C">
            <w:pPr>
              <w:jc w:val="right"/>
            </w:pPr>
            <w:r>
              <w:rPr>
                <w:rFonts w:hint="eastAsia"/>
              </w:rPr>
              <w:t>-</w:t>
            </w:r>
          </w:p>
        </w:tc>
        <w:tc>
          <w:tcPr>
            <w:tcW w:w="1384" w:type="dxa"/>
            <w:vAlign w:val="center"/>
          </w:tcPr>
          <w:p w14:paraId="5C7491B4">
            <w:pPr>
              <w:jc w:val="right"/>
            </w:pPr>
            <w:r>
              <w:rPr>
                <w:rFonts w:hint="eastAsia"/>
              </w:rPr>
              <w:t>-</w:t>
            </w:r>
          </w:p>
        </w:tc>
        <w:tc>
          <w:tcPr>
            <w:tcW w:w="1384" w:type="dxa"/>
            <w:vAlign w:val="center"/>
          </w:tcPr>
          <w:p w14:paraId="5D547DF8">
            <w:pPr>
              <w:jc w:val="right"/>
            </w:pPr>
            <w:r>
              <w:rPr>
                <w:rFonts w:hint="eastAsia"/>
              </w:rPr>
              <w:t>117,875.77</w:t>
            </w:r>
          </w:p>
        </w:tc>
        <w:tc>
          <w:tcPr>
            <w:tcW w:w="1384" w:type="dxa"/>
            <w:vAlign w:val="center"/>
          </w:tcPr>
          <w:p w14:paraId="474FCF6C">
            <w:pPr>
              <w:jc w:val="right"/>
            </w:pPr>
            <w:r>
              <w:rPr>
                <w:rFonts w:hint="eastAsia"/>
              </w:rPr>
              <w:t>117,875.77</w:t>
            </w:r>
          </w:p>
        </w:tc>
      </w:tr>
      <w:tr w14:paraId="4DF2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2EAEC">
            <w:r>
              <w:rPr>
                <w:rFonts w:hint="eastAsia"/>
              </w:rPr>
              <w:t>应付销售服务费</w:t>
            </w:r>
          </w:p>
        </w:tc>
        <w:tc>
          <w:tcPr>
            <w:tcW w:w="1384" w:type="dxa"/>
            <w:vAlign w:val="center"/>
          </w:tcPr>
          <w:p w14:paraId="5D8B7FCE">
            <w:pPr>
              <w:jc w:val="right"/>
            </w:pPr>
            <w:r>
              <w:rPr>
                <w:rFonts w:hint="eastAsia"/>
              </w:rPr>
              <w:t>-</w:t>
            </w:r>
          </w:p>
        </w:tc>
        <w:tc>
          <w:tcPr>
            <w:tcW w:w="1384" w:type="dxa"/>
            <w:vAlign w:val="center"/>
          </w:tcPr>
          <w:p w14:paraId="39A66D6B">
            <w:pPr>
              <w:jc w:val="right"/>
            </w:pPr>
            <w:r>
              <w:rPr>
                <w:rFonts w:hint="eastAsia"/>
              </w:rPr>
              <w:t>-</w:t>
            </w:r>
          </w:p>
        </w:tc>
        <w:tc>
          <w:tcPr>
            <w:tcW w:w="1384" w:type="dxa"/>
            <w:vAlign w:val="center"/>
          </w:tcPr>
          <w:p w14:paraId="33BBDE45">
            <w:pPr>
              <w:jc w:val="right"/>
            </w:pPr>
            <w:r>
              <w:rPr>
                <w:rFonts w:hint="eastAsia"/>
              </w:rPr>
              <w:t>-</w:t>
            </w:r>
          </w:p>
        </w:tc>
        <w:tc>
          <w:tcPr>
            <w:tcW w:w="1384" w:type="dxa"/>
            <w:vAlign w:val="center"/>
          </w:tcPr>
          <w:p w14:paraId="5BFF4675">
            <w:pPr>
              <w:jc w:val="right"/>
            </w:pPr>
            <w:r>
              <w:rPr>
                <w:rFonts w:hint="eastAsia"/>
              </w:rPr>
              <w:t>-</w:t>
            </w:r>
          </w:p>
        </w:tc>
        <w:tc>
          <w:tcPr>
            <w:tcW w:w="1384" w:type="dxa"/>
            <w:vAlign w:val="center"/>
          </w:tcPr>
          <w:p w14:paraId="1F87A341">
            <w:pPr>
              <w:jc w:val="right"/>
            </w:pPr>
            <w:r>
              <w:rPr>
                <w:rFonts w:hint="eastAsia"/>
              </w:rPr>
              <w:t>-</w:t>
            </w:r>
          </w:p>
        </w:tc>
      </w:tr>
      <w:tr w14:paraId="7DB0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0117F">
            <w:r>
              <w:rPr>
                <w:rFonts w:hint="eastAsia"/>
              </w:rPr>
              <w:t>应付投资顾问费</w:t>
            </w:r>
          </w:p>
        </w:tc>
        <w:tc>
          <w:tcPr>
            <w:tcW w:w="1384" w:type="dxa"/>
            <w:vAlign w:val="center"/>
          </w:tcPr>
          <w:p w14:paraId="21A57214">
            <w:pPr>
              <w:jc w:val="right"/>
            </w:pPr>
            <w:r>
              <w:rPr>
                <w:rFonts w:hint="eastAsia"/>
              </w:rPr>
              <w:t>-</w:t>
            </w:r>
          </w:p>
        </w:tc>
        <w:tc>
          <w:tcPr>
            <w:tcW w:w="1384" w:type="dxa"/>
            <w:vAlign w:val="center"/>
          </w:tcPr>
          <w:p w14:paraId="0491A3A2">
            <w:pPr>
              <w:jc w:val="right"/>
            </w:pPr>
            <w:r>
              <w:rPr>
                <w:rFonts w:hint="eastAsia"/>
              </w:rPr>
              <w:t>-</w:t>
            </w:r>
          </w:p>
        </w:tc>
        <w:tc>
          <w:tcPr>
            <w:tcW w:w="1384" w:type="dxa"/>
            <w:vAlign w:val="center"/>
          </w:tcPr>
          <w:p w14:paraId="5E6B59AE">
            <w:pPr>
              <w:jc w:val="right"/>
            </w:pPr>
            <w:r>
              <w:rPr>
                <w:rFonts w:hint="eastAsia"/>
              </w:rPr>
              <w:t>-</w:t>
            </w:r>
          </w:p>
        </w:tc>
        <w:tc>
          <w:tcPr>
            <w:tcW w:w="1384" w:type="dxa"/>
            <w:vAlign w:val="center"/>
          </w:tcPr>
          <w:p w14:paraId="11DE5733">
            <w:pPr>
              <w:jc w:val="right"/>
            </w:pPr>
            <w:r>
              <w:rPr>
                <w:rFonts w:hint="eastAsia"/>
              </w:rPr>
              <w:t>-</w:t>
            </w:r>
          </w:p>
        </w:tc>
        <w:tc>
          <w:tcPr>
            <w:tcW w:w="1384" w:type="dxa"/>
            <w:vAlign w:val="center"/>
          </w:tcPr>
          <w:p w14:paraId="1C805A69">
            <w:pPr>
              <w:jc w:val="right"/>
            </w:pPr>
            <w:r>
              <w:rPr>
                <w:rFonts w:hint="eastAsia"/>
              </w:rPr>
              <w:t>-</w:t>
            </w:r>
          </w:p>
        </w:tc>
      </w:tr>
      <w:tr w14:paraId="1A5F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15ED1">
            <w:r>
              <w:rPr>
                <w:rFonts w:hint="eastAsia"/>
              </w:rPr>
              <w:t>应交税费</w:t>
            </w:r>
          </w:p>
        </w:tc>
        <w:tc>
          <w:tcPr>
            <w:tcW w:w="1384" w:type="dxa"/>
            <w:vAlign w:val="center"/>
          </w:tcPr>
          <w:p w14:paraId="1085B7DF">
            <w:pPr>
              <w:jc w:val="right"/>
            </w:pPr>
            <w:r>
              <w:rPr>
                <w:rFonts w:hint="eastAsia"/>
              </w:rPr>
              <w:t>-</w:t>
            </w:r>
          </w:p>
        </w:tc>
        <w:tc>
          <w:tcPr>
            <w:tcW w:w="1384" w:type="dxa"/>
            <w:vAlign w:val="center"/>
          </w:tcPr>
          <w:p w14:paraId="088EC952">
            <w:pPr>
              <w:jc w:val="right"/>
            </w:pPr>
            <w:r>
              <w:rPr>
                <w:rFonts w:hint="eastAsia"/>
              </w:rPr>
              <w:t>-</w:t>
            </w:r>
          </w:p>
        </w:tc>
        <w:tc>
          <w:tcPr>
            <w:tcW w:w="1384" w:type="dxa"/>
            <w:vAlign w:val="center"/>
          </w:tcPr>
          <w:p w14:paraId="4CE4C059">
            <w:pPr>
              <w:jc w:val="right"/>
            </w:pPr>
            <w:r>
              <w:rPr>
                <w:rFonts w:hint="eastAsia"/>
              </w:rPr>
              <w:t>-</w:t>
            </w:r>
          </w:p>
        </w:tc>
        <w:tc>
          <w:tcPr>
            <w:tcW w:w="1384" w:type="dxa"/>
            <w:vAlign w:val="center"/>
          </w:tcPr>
          <w:p w14:paraId="4E4EA459">
            <w:pPr>
              <w:jc w:val="right"/>
            </w:pPr>
            <w:r>
              <w:rPr>
                <w:rFonts w:hint="eastAsia"/>
              </w:rPr>
              <w:t>63,108.49</w:t>
            </w:r>
          </w:p>
        </w:tc>
        <w:tc>
          <w:tcPr>
            <w:tcW w:w="1384" w:type="dxa"/>
            <w:vAlign w:val="center"/>
          </w:tcPr>
          <w:p w14:paraId="2E0D5531">
            <w:pPr>
              <w:jc w:val="right"/>
            </w:pPr>
            <w:r>
              <w:rPr>
                <w:rFonts w:hint="eastAsia"/>
              </w:rPr>
              <w:t>63,108.49</w:t>
            </w:r>
          </w:p>
        </w:tc>
      </w:tr>
      <w:tr w14:paraId="316F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554FF">
            <w:r>
              <w:rPr>
                <w:rFonts w:hint="eastAsia"/>
              </w:rPr>
              <w:t>应付利润</w:t>
            </w:r>
          </w:p>
        </w:tc>
        <w:tc>
          <w:tcPr>
            <w:tcW w:w="1384" w:type="dxa"/>
            <w:vAlign w:val="center"/>
          </w:tcPr>
          <w:p w14:paraId="633F7822">
            <w:pPr>
              <w:jc w:val="right"/>
            </w:pPr>
            <w:r>
              <w:rPr>
                <w:rFonts w:hint="eastAsia"/>
              </w:rPr>
              <w:t>-</w:t>
            </w:r>
          </w:p>
        </w:tc>
        <w:tc>
          <w:tcPr>
            <w:tcW w:w="1384" w:type="dxa"/>
            <w:vAlign w:val="center"/>
          </w:tcPr>
          <w:p w14:paraId="1DC3609B">
            <w:pPr>
              <w:jc w:val="right"/>
            </w:pPr>
            <w:r>
              <w:rPr>
                <w:rFonts w:hint="eastAsia"/>
              </w:rPr>
              <w:t>-</w:t>
            </w:r>
          </w:p>
        </w:tc>
        <w:tc>
          <w:tcPr>
            <w:tcW w:w="1384" w:type="dxa"/>
            <w:vAlign w:val="center"/>
          </w:tcPr>
          <w:p w14:paraId="762D6197">
            <w:pPr>
              <w:jc w:val="right"/>
            </w:pPr>
            <w:r>
              <w:rPr>
                <w:rFonts w:hint="eastAsia"/>
              </w:rPr>
              <w:t>-</w:t>
            </w:r>
          </w:p>
        </w:tc>
        <w:tc>
          <w:tcPr>
            <w:tcW w:w="1384" w:type="dxa"/>
            <w:vAlign w:val="center"/>
          </w:tcPr>
          <w:p w14:paraId="2109AE72">
            <w:pPr>
              <w:jc w:val="right"/>
            </w:pPr>
            <w:r>
              <w:rPr>
                <w:rFonts w:hint="eastAsia"/>
              </w:rPr>
              <w:t>-</w:t>
            </w:r>
          </w:p>
        </w:tc>
        <w:tc>
          <w:tcPr>
            <w:tcW w:w="1384" w:type="dxa"/>
            <w:vAlign w:val="center"/>
          </w:tcPr>
          <w:p w14:paraId="676BDBAF">
            <w:pPr>
              <w:jc w:val="right"/>
            </w:pPr>
            <w:r>
              <w:rPr>
                <w:rFonts w:hint="eastAsia"/>
              </w:rPr>
              <w:t>-</w:t>
            </w:r>
          </w:p>
        </w:tc>
      </w:tr>
      <w:tr w14:paraId="200B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D05C71">
            <w:r>
              <w:rPr>
                <w:rFonts w:hint="eastAsia"/>
              </w:rPr>
              <w:t>递延所得税负债</w:t>
            </w:r>
          </w:p>
        </w:tc>
        <w:tc>
          <w:tcPr>
            <w:tcW w:w="1384" w:type="dxa"/>
            <w:vAlign w:val="center"/>
          </w:tcPr>
          <w:p w14:paraId="66E1A7ED">
            <w:pPr>
              <w:jc w:val="right"/>
            </w:pPr>
            <w:r>
              <w:rPr>
                <w:rFonts w:hint="eastAsia"/>
              </w:rPr>
              <w:t>-</w:t>
            </w:r>
          </w:p>
        </w:tc>
        <w:tc>
          <w:tcPr>
            <w:tcW w:w="1384" w:type="dxa"/>
            <w:vAlign w:val="center"/>
          </w:tcPr>
          <w:p w14:paraId="1F06B0DD">
            <w:pPr>
              <w:jc w:val="right"/>
            </w:pPr>
            <w:r>
              <w:rPr>
                <w:rFonts w:hint="eastAsia"/>
              </w:rPr>
              <w:t>-</w:t>
            </w:r>
          </w:p>
        </w:tc>
        <w:tc>
          <w:tcPr>
            <w:tcW w:w="1384" w:type="dxa"/>
            <w:vAlign w:val="center"/>
          </w:tcPr>
          <w:p w14:paraId="146E70E7">
            <w:pPr>
              <w:jc w:val="right"/>
            </w:pPr>
            <w:r>
              <w:rPr>
                <w:rFonts w:hint="eastAsia"/>
              </w:rPr>
              <w:t>-</w:t>
            </w:r>
          </w:p>
        </w:tc>
        <w:tc>
          <w:tcPr>
            <w:tcW w:w="1384" w:type="dxa"/>
            <w:vAlign w:val="center"/>
          </w:tcPr>
          <w:p w14:paraId="53D692B8">
            <w:pPr>
              <w:jc w:val="right"/>
            </w:pPr>
            <w:r>
              <w:rPr>
                <w:rFonts w:hint="eastAsia"/>
              </w:rPr>
              <w:t>-</w:t>
            </w:r>
          </w:p>
        </w:tc>
        <w:tc>
          <w:tcPr>
            <w:tcW w:w="1384" w:type="dxa"/>
            <w:vAlign w:val="center"/>
          </w:tcPr>
          <w:p w14:paraId="4EA0258B">
            <w:pPr>
              <w:jc w:val="right"/>
            </w:pPr>
            <w:r>
              <w:rPr>
                <w:rFonts w:hint="eastAsia"/>
              </w:rPr>
              <w:t>-</w:t>
            </w:r>
          </w:p>
        </w:tc>
      </w:tr>
      <w:tr w14:paraId="0414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AD4BA">
            <w:r>
              <w:rPr>
                <w:rFonts w:hint="eastAsia"/>
              </w:rPr>
              <w:t>其他负债</w:t>
            </w:r>
          </w:p>
        </w:tc>
        <w:tc>
          <w:tcPr>
            <w:tcW w:w="1384" w:type="dxa"/>
            <w:vAlign w:val="center"/>
          </w:tcPr>
          <w:p w14:paraId="1ADC5213">
            <w:pPr>
              <w:jc w:val="right"/>
            </w:pPr>
            <w:r>
              <w:rPr>
                <w:rFonts w:hint="eastAsia"/>
              </w:rPr>
              <w:t>-</w:t>
            </w:r>
          </w:p>
        </w:tc>
        <w:tc>
          <w:tcPr>
            <w:tcW w:w="1384" w:type="dxa"/>
            <w:vAlign w:val="center"/>
          </w:tcPr>
          <w:p w14:paraId="752C3D93">
            <w:pPr>
              <w:jc w:val="right"/>
            </w:pPr>
            <w:r>
              <w:rPr>
                <w:rFonts w:hint="eastAsia"/>
              </w:rPr>
              <w:t>-</w:t>
            </w:r>
          </w:p>
        </w:tc>
        <w:tc>
          <w:tcPr>
            <w:tcW w:w="1384" w:type="dxa"/>
            <w:vAlign w:val="center"/>
          </w:tcPr>
          <w:p w14:paraId="0553586B">
            <w:pPr>
              <w:jc w:val="right"/>
            </w:pPr>
            <w:r>
              <w:rPr>
                <w:rFonts w:hint="eastAsia"/>
              </w:rPr>
              <w:t>-</w:t>
            </w:r>
          </w:p>
        </w:tc>
        <w:tc>
          <w:tcPr>
            <w:tcW w:w="1384" w:type="dxa"/>
            <w:vAlign w:val="center"/>
          </w:tcPr>
          <w:p w14:paraId="7EAB48BA">
            <w:pPr>
              <w:jc w:val="right"/>
            </w:pPr>
            <w:r>
              <w:rPr>
                <w:rFonts w:hint="eastAsia"/>
              </w:rPr>
              <w:t>243,775.26</w:t>
            </w:r>
          </w:p>
        </w:tc>
        <w:tc>
          <w:tcPr>
            <w:tcW w:w="1384" w:type="dxa"/>
            <w:vAlign w:val="center"/>
          </w:tcPr>
          <w:p w14:paraId="6976D686">
            <w:pPr>
              <w:jc w:val="right"/>
            </w:pPr>
            <w:r>
              <w:rPr>
                <w:rFonts w:hint="eastAsia"/>
              </w:rPr>
              <w:t>243,775.26</w:t>
            </w:r>
          </w:p>
        </w:tc>
      </w:tr>
      <w:tr w14:paraId="547A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C919F">
            <w:r>
              <w:rPr>
                <w:rFonts w:hint="eastAsia"/>
              </w:rPr>
              <w:t>负债总计</w:t>
            </w:r>
          </w:p>
        </w:tc>
        <w:tc>
          <w:tcPr>
            <w:tcW w:w="1384" w:type="dxa"/>
            <w:vAlign w:val="center"/>
          </w:tcPr>
          <w:p w14:paraId="2EEEE4A4">
            <w:pPr>
              <w:jc w:val="right"/>
            </w:pPr>
            <w:r>
              <w:rPr>
                <w:rFonts w:hint="eastAsia"/>
              </w:rPr>
              <w:t>84,511,357.39</w:t>
            </w:r>
          </w:p>
        </w:tc>
        <w:tc>
          <w:tcPr>
            <w:tcW w:w="1384" w:type="dxa"/>
            <w:vAlign w:val="center"/>
          </w:tcPr>
          <w:p w14:paraId="6079443F">
            <w:pPr>
              <w:jc w:val="right"/>
            </w:pPr>
            <w:r>
              <w:rPr>
                <w:rFonts w:hint="eastAsia"/>
              </w:rPr>
              <w:t>-</w:t>
            </w:r>
          </w:p>
        </w:tc>
        <w:tc>
          <w:tcPr>
            <w:tcW w:w="1384" w:type="dxa"/>
            <w:vAlign w:val="center"/>
          </w:tcPr>
          <w:p w14:paraId="38A9C4AC">
            <w:pPr>
              <w:jc w:val="right"/>
            </w:pPr>
            <w:r>
              <w:rPr>
                <w:rFonts w:hint="eastAsia"/>
              </w:rPr>
              <w:t>-</w:t>
            </w:r>
          </w:p>
        </w:tc>
        <w:tc>
          <w:tcPr>
            <w:tcW w:w="1384" w:type="dxa"/>
            <w:vAlign w:val="center"/>
          </w:tcPr>
          <w:p w14:paraId="2FE00AAA">
            <w:pPr>
              <w:jc w:val="right"/>
            </w:pPr>
            <w:r>
              <w:rPr>
                <w:rFonts w:hint="eastAsia"/>
              </w:rPr>
              <w:t>778,386.84</w:t>
            </w:r>
          </w:p>
        </w:tc>
        <w:tc>
          <w:tcPr>
            <w:tcW w:w="1384" w:type="dxa"/>
            <w:vAlign w:val="center"/>
          </w:tcPr>
          <w:p w14:paraId="698AC8D9">
            <w:pPr>
              <w:jc w:val="right"/>
            </w:pPr>
            <w:r>
              <w:rPr>
                <w:rFonts w:hint="eastAsia"/>
              </w:rPr>
              <w:t>85,289,744.23</w:t>
            </w:r>
          </w:p>
        </w:tc>
      </w:tr>
      <w:tr w14:paraId="3378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D989A">
            <w:r>
              <w:rPr>
                <w:rFonts w:hint="eastAsia"/>
              </w:rPr>
              <w:t>利率敏感度缺口</w:t>
            </w:r>
          </w:p>
        </w:tc>
        <w:tc>
          <w:tcPr>
            <w:tcW w:w="1384" w:type="dxa"/>
            <w:vAlign w:val="center"/>
          </w:tcPr>
          <w:p w14:paraId="33D97AE3">
            <w:pPr>
              <w:jc w:val="right"/>
            </w:pPr>
            <w:r>
              <w:rPr>
                <w:rFonts w:hint="eastAsia"/>
              </w:rPr>
              <w:t>17,452,423.66</w:t>
            </w:r>
          </w:p>
        </w:tc>
        <w:tc>
          <w:tcPr>
            <w:tcW w:w="1384" w:type="dxa"/>
            <w:vAlign w:val="center"/>
          </w:tcPr>
          <w:p w14:paraId="2F07BBB6">
            <w:pPr>
              <w:jc w:val="right"/>
            </w:pPr>
            <w:r>
              <w:rPr>
                <w:rFonts w:hint="eastAsia"/>
              </w:rPr>
              <w:t>698,319,178.86</w:t>
            </w:r>
          </w:p>
        </w:tc>
        <w:tc>
          <w:tcPr>
            <w:tcW w:w="1384" w:type="dxa"/>
            <w:vAlign w:val="center"/>
          </w:tcPr>
          <w:p w14:paraId="7D192C56">
            <w:pPr>
              <w:jc w:val="right"/>
            </w:pPr>
            <w:r>
              <w:rPr>
                <w:rFonts w:hint="eastAsia"/>
              </w:rPr>
              <w:t>350,423,922.16</w:t>
            </w:r>
          </w:p>
        </w:tc>
        <w:tc>
          <w:tcPr>
            <w:tcW w:w="1384" w:type="dxa"/>
            <w:vAlign w:val="center"/>
          </w:tcPr>
          <w:p w14:paraId="5E87F5ED">
            <w:pPr>
              <w:jc w:val="right"/>
            </w:pPr>
            <w:r>
              <w:rPr>
                <w:rFonts w:hint="eastAsia"/>
              </w:rPr>
              <w:t>-778,386.84</w:t>
            </w:r>
          </w:p>
        </w:tc>
        <w:tc>
          <w:tcPr>
            <w:tcW w:w="1384" w:type="dxa"/>
            <w:vAlign w:val="center"/>
          </w:tcPr>
          <w:p w14:paraId="5E88CF46">
            <w:pPr>
              <w:jc w:val="right"/>
            </w:pPr>
            <w:r>
              <w:rPr>
                <w:rFonts w:hint="eastAsia"/>
              </w:rPr>
              <w:t>1,065,417,137.84</w:t>
            </w:r>
          </w:p>
        </w:tc>
      </w:tr>
      <w:tr w14:paraId="1082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1F29F">
            <w:r>
              <w:rPr>
                <w:rFonts w:hint="eastAsia"/>
              </w:rPr>
              <w:t>上年度末2024年12月31日</w:t>
            </w:r>
          </w:p>
        </w:tc>
        <w:tc>
          <w:tcPr>
            <w:tcW w:w="1384" w:type="dxa"/>
            <w:vAlign w:val="center"/>
          </w:tcPr>
          <w:p w14:paraId="13D4177E">
            <w:r>
              <w:rPr>
                <w:rFonts w:hint="eastAsia"/>
              </w:rPr>
              <w:t>1年以内</w:t>
            </w:r>
          </w:p>
        </w:tc>
        <w:tc>
          <w:tcPr>
            <w:tcW w:w="1384" w:type="dxa"/>
            <w:vAlign w:val="center"/>
          </w:tcPr>
          <w:p w14:paraId="10198EF5">
            <w:r>
              <w:rPr>
                <w:rFonts w:hint="eastAsia"/>
              </w:rPr>
              <w:t>1-5年</w:t>
            </w:r>
          </w:p>
        </w:tc>
        <w:tc>
          <w:tcPr>
            <w:tcW w:w="1384" w:type="dxa"/>
            <w:vAlign w:val="center"/>
          </w:tcPr>
          <w:p w14:paraId="1330BE46">
            <w:r>
              <w:rPr>
                <w:rFonts w:hint="eastAsia"/>
              </w:rPr>
              <w:t>5年以上</w:t>
            </w:r>
          </w:p>
        </w:tc>
        <w:tc>
          <w:tcPr>
            <w:tcW w:w="1384" w:type="dxa"/>
            <w:vAlign w:val="center"/>
          </w:tcPr>
          <w:p w14:paraId="72684145">
            <w:r>
              <w:rPr>
                <w:rFonts w:hint="eastAsia"/>
              </w:rPr>
              <w:t>不计息</w:t>
            </w:r>
          </w:p>
        </w:tc>
        <w:tc>
          <w:tcPr>
            <w:tcW w:w="1384" w:type="dxa"/>
            <w:vAlign w:val="center"/>
          </w:tcPr>
          <w:p w14:paraId="76FFF67D">
            <w:r>
              <w:rPr>
                <w:rFonts w:hint="eastAsia"/>
              </w:rPr>
              <w:t>合计</w:t>
            </w:r>
          </w:p>
        </w:tc>
      </w:tr>
      <w:tr w14:paraId="3D92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56A94">
            <w:r>
              <w:rPr>
                <w:rFonts w:hint="eastAsia"/>
              </w:rPr>
              <w:t>资产</w:t>
            </w:r>
          </w:p>
        </w:tc>
        <w:tc>
          <w:tcPr>
            <w:tcW w:w="1384" w:type="dxa"/>
            <w:vAlign w:val="center"/>
          </w:tcPr>
          <w:p w14:paraId="5B2B2A66"/>
        </w:tc>
        <w:tc>
          <w:tcPr>
            <w:tcW w:w="1384" w:type="dxa"/>
            <w:vAlign w:val="center"/>
          </w:tcPr>
          <w:p w14:paraId="194F04D6"/>
        </w:tc>
        <w:tc>
          <w:tcPr>
            <w:tcW w:w="1384" w:type="dxa"/>
            <w:vAlign w:val="center"/>
          </w:tcPr>
          <w:p w14:paraId="015715FE"/>
        </w:tc>
        <w:tc>
          <w:tcPr>
            <w:tcW w:w="1384" w:type="dxa"/>
            <w:vAlign w:val="center"/>
          </w:tcPr>
          <w:p w14:paraId="126D013D"/>
        </w:tc>
        <w:tc>
          <w:tcPr>
            <w:tcW w:w="1384" w:type="dxa"/>
            <w:vAlign w:val="center"/>
          </w:tcPr>
          <w:p w14:paraId="431477D9"/>
        </w:tc>
      </w:tr>
      <w:tr w14:paraId="35AED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B2DD7">
            <w:r>
              <w:rPr>
                <w:rFonts w:hint="eastAsia"/>
              </w:rPr>
              <w:t>货币资金</w:t>
            </w:r>
          </w:p>
        </w:tc>
        <w:tc>
          <w:tcPr>
            <w:tcW w:w="1384" w:type="dxa"/>
            <w:vAlign w:val="center"/>
          </w:tcPr>
          <w:p w14:paraId="28768854">
            <w:pPr>
              <w:jc w:val="right"/>
            </w:pPr>
            <w:r>
              <w:rPr>
                <w:rFonts w:hint="eastAsia"/>
              </w:rPr>
              <w:t>1,217,321.83</w:t>
            </w:r>
          </w:p>
        </w:tc>
        <w:tc>
          <w:tcPr>
            <w:tcW w:w="1384" w:type="dxa"/>
            <w:vAlign w:val="center"/>
          </w:tcPr>
          <w:p w14:paraId="03AD1EB7">
            <w:pPr>
              <w:jc w:val="right"/>
            </w:pPr>
            <w:r>
              <w:rPr>
                <w:rFonts w:hint="eastAsia"/>
              </w:rPr>
              <w:t>-</w:t>
            </w:r>
          </w:p>
        </w:tc>
        <w:tc>
          <w:tcPr>
            <w:tcW w:w="1384" w:type="dxa"/>
            <w:vAlign w:val="center"/>
          </w:tcPr>
          <w:p w14:paraId="3C579B05">
            <w:pPr>
              <w:jc w:val="right"/>
            </w:pPr>
            <w:r>
              <w:rPr>
                <w:rFonts w:hint="eastAsia"/>
              </w:rPr>
              <w:t>-</w:t>
            </w:r>
          </w:p>
        </w:tc>
        <w:tc>
          <w:tcPr>
            <w:tcW w:w="1384" w:type="dxa"/>
            <w:vAlign w:val="center"/>
          </w:tcPr>
          <w:p w14:paraId="4D203756">
            <w:pPr>
              <w:jc w:val="right"/>
            </w:pPr>
            <w:r>
              <w:rPr>
                <w:rFonts w:hint="eastAsia"/>
              </w:rPr>
              <w:t>-</w:t>
            </w:r>
          </w:p>
        </w:tc>
        <w:tc>
          <w:tcPr>
            <w:tcW w:w="1384" w:type="dxa"/>
            <w:vAlign w:val="center"/>
          </w:tcPr>
          <w:p w14:paraId="4B4099A9">
            <w:pPr>
              <w:jc w:val="right"/>
            </w:pPr>
            <w:r>
              <w:rPr>
                <w:rFonts w:hint="eastAsia"/>
              </w:rPr>
              <w:t>1,217,321.83</w:t>
            </w:r>
          </w:p>
        </w:tc>
      </w:tr>
      <w:tr w14:paraId="70D12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E75AC">
            <w:r>
              <w:rPr>
                <w:rFonts w:hint="eastAsia"/>
              </w:rPr>
              <w:t>结算备付金</w:t>
            </w:r>
          </w:p>
        </w:tc>
        <w:tc>
          <w:tcPr>
            <w:tcW w:w="1384" w:type="dxa"/>
            <w:vAlign w:val="center"/>
          </w:tcPr>
          <w:p w14:paraId="0FB991DA">
            <w:pPr>
              <w:jc w:val="right"/>
            </w:pPr>
            <w:r>
              <w:rPr>
                <w:rFonts w:hint="eastAsia"/>
              </w:rPr>
              <w:t>-</w:t>
            </w:r>
          </w:p>
        </w:tc>
        <w:tc>
          <w:tcPr>
            <w:tcW w:w="1384" w:type="dxa"/>
            <w:vAlign w:val="center"/>
          </w:tcPr>
          <w:p w14:paraId="7F21E1DC">
            <w:pPr>
              <w:jc w:val="right"/>
            </w:pPr>
            <w:r>
              <w:rPr>
                <w:rFonts w:hint="eastAsia"/>
              </w:rPr>
              <w:t>-</w:t>
            </w:r>
          </w:p>
        </w:tc>
        <w:tc>
          <w:tcPr>
            <w:tcW w:w="1384" w:type="dxa"/>
            <w:vAlign w:val="center"/>
          </w:tcPr>
          <w:p w14:paraId="45ABB0C0">
            <w:pPr>
              <w:jc w:val="right"/>
            </w:pPr>
            <w:r>
              <w:rPr>
                <w:rFonts w:hint="eastAsia"/>
              </w:rPr>
              <w:t>-</w:t>
            </w:r>
          </w:p>
        </w:tc>
        <w:tc>
          <w:tcPr>
            <w:tcW w:w="1384" w:type="dxa"/>
            <w:vAlign w:val="center"/>
          </w:tcPr>
          <w:p w14:paraId="63A4E922">
            <w:pPr>
              <w:jc w:val="right"/>
            </w:pPr>
            <w:r>
              <w:rPr>
                <w:rFonts w:hint="eastAsia"/>
              </w:rPr>
              <w:t>-</w:t>
            </w:r>
          </w:p>
        </w:tc>
        <w:tc>
          <w:tcPr>
            <w:tcW w:w="1384" w:type="dxa"/>
            <w:vAlign w:val="center"/>
          </w:tcPr>
          <w:p w14:paraId="127F689F">
            <w:pPr>
              <w:jc w:val="right"/>
            </w:pPr>
            <w:r>
              <w:rPr>
                <w:rFonts w:hint="eastAsia"/>
              </w:rPr>
              <w:t>-</w:t>
            </w:r>
          </w:p>
        </w:tc>
      </w:tr>
      <w:tr w14:paraId="07F5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9F70C">
            <w:r>
              <w:rPr>
                <w:rFonts w:hint="eastAsia"/>
              </w:rPr>
              <w:t>存出保证金</w:t>
            </w:r>
          </w:p>
        </w:tc>
        <w:tc>
          <w:tcPr>
            <w:tcW w:w="1384" w:type="dxa"/>
            <w:vAlign w:val="center"/>
          </w:tcPr>
          <w:p w14:paraId="2D8F98F2">
            <w:pPr>
              <w:jc w:val="right"/>
            </w:pPr>
            <w:r>
              <w:rPr>
                <w:rFonts w:hint="eastAsia"/>
              </w:rPr>
              <w:t>18,707.84</w:t>
            </w:r>
          </w:p>
        </w:tc>
        <w:tc>
          <w:tcPr>
            <w:tcW w:w="1384" w:type="dxa"/>
            <w:vAlign w:val="center"/>
          </w:tcPr>
          <w:p w14:paraId="20B2D229">
            <w:pPr>
              <w:jc w:val="right"/>
            </w:pPr>
            <w:r>
              <w:rPr>
                <w:rFonts w:hint="eastAsia"/>
              </w:rPr>
              <w:t>-</w:t>
            </w:r>
          </w:p>
        </w:tc>
        <w:tc>
          <w:tcPr>
            <w:tcW w:w="1384" w:type="dxa"/>
            <w:vAlign w:val="center"/>
          </w:tcPr>
          <w:p w14:paraId="6F069EF6">
            <w:pPr>
              <w:jc w:val="right"/>
            </w:pPr>
            <w:r>
              <w:rPr>
                <w:rFonts w:hint="eastAsia"/>
              </w:rPr>
              <w:t>-</w:t>
            </w:r>
          </w:p>
        </w:tc>
        <w:tc>
          <w:tcPr>
            <w:tcW w:w="1384" w:type="dxa"/>
            <w:vAlign w:val="center"/>
          </w:tcPr>
          <w:p w14:paraId="7114E7CB">
            <w:pPr>
              <w:jc w:val="right"/>
            </w:pPr>
            <w:r>
              <w:rPr>
                <w:rFonts w:hint="eastAsia"/>
              </w:rPr>
              <w:t>-</w:t>
            </w:r>
          </w:p>
        </w:tc>
        <w:tc>
          <w:tcPr>
            <w:tcW w:w="1384" w:type="dxa"/>
            <w:vAlign w:val="center"/>
          </w:tcPr>
          <w:p w14:paraId="7BDB749A">
            <w:pPr>
              <w:jc w:val="right"/>
            </w:pPr>
            <w:r>
              <w:rPr>
                <w:rFonts w:hint="eastAsia"/>
              </w:rPr>
              <w:t>18,707.84</w:t>
            </w:r>
          </w:p>
        </w:tc>
      </w:tr>
      <w:tr w14:paraId="7850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63601">
            <w:r>
              <w:rPr>
                <w:rFonts w:hint="eastAsia"/>
              </w:rPr>
              <w:t>交易性金融资产</w:t>
            </w:r>
          </w:p>
        </w:tc>
        <w:tc>
          <w:tcPr>
            <w:tcW w:w="1384" w:type="dxa"/>
            <w:vAlign w:val="center"/>
          </w:tcPr>
          <w:p w14:paraId="5E765867">
            <w:pPr>
              <w:jc w:val="right"/>
            </w:pPr>
            <w:r>
              <w:rPr>
                <w:rFonts w:hint="eastAsia"/>
              </w:rPr>
              <w:t>498,463,560.43</w:t>
            </w:r>
          </w:p>
        </w:tc>
        <w:tc>
          <w:tcPr>
            <w:tcW w:w="1384" w:type="dxa"/>
            <w:vAlign w:val="center"/>
          </w:tcPr>
          <w:p w14:paraId="6482C42D">
            <w:pPr>
              <w:jc w:val="right"/>
            </w:pPr>
            <w:r>
              <w:rPr>
                <w:rFonts w:hint="eastAsia"/>
              </w:rPr>
              <w:t>1,391,032,173.69</w:t>
            </w:r>
          </w:p>
        </w:tc>
        <w:tc>
          <w:tcPr>
            <w:tcW w:w="1384" w:type="dxa"/>
            <w:vAlign w:val="center"/>
          </w:tcPr>
          <w:p w14:paraId="5D538AB1">
            <w:pPr>
              <w:jc w:val="right"/>
            </w:pPr>
            <w:r>
              <w:rPr>
                <w:rFonts w:hint="eastAsia"/>
              </w:rPr>
              <w:t>104,901,514.25</w:t>
            </w:r>
          </w:p>
        </w:tc>
        <w:tc>
          <w:tcPr>
            <w:tcW w:w="1384" w:type="dxa"/>
            <w:vAlign w:val="center"/>
          </w:tcPr>
          <w:p w14:paraId="02F28881">
            <w:pPr>
              <w:jc w:val="right"/>
            </w:pPr>
            <w:r>
              <w:rPr>
                <w:rFonts w:hint="eastAsia"/>
              </w:rPr>
              <w:t>-</w:t>
            </w:r>
          </w:p>
        </w:tc>
        <w:tc>
          <w:tcPr>
            <w:tcW w:w="1384" w:type="dxa"/>
            <w:vAlign w:val="center"/>
          </w:tcPr>
          <w:p w14:paraId="2E597BCE">
            <w:pPr>
              <w:jc w:val="right"/>
            </w:pPr>
            <w:r>
              <w:rPr>
                <w:rFonts w:hint="eastAsia"/>
              </w:rPr>
              <w:t>1,994,397,248.37</w:t>
            </w:r>
          </w:p>
        </w:tc>
      </w:tr>
      <w:tr w14:paraId="35E5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23153">
            <w:r>
              <w:rPr>
                <w:rFonts w:hint="eastAsia"/>
              </w:rPr>
              <w:t>衍生金融资产</w:t>
            </w:r>
          </w:p>
        </w:tc>
        <w:tc>
          <w:tcPr>
            <w:tcW w:w="1384" w:type="dxa"/>
            <w:vAlign w:val="center"/>
          </w:tcPr>
          <w:p w14:paraId="1456DB0B">
            <w:pPr>
              <w:jc w:val="right"/>
            </w:pPr>
            <w:r>
              <w:rPr>
                <w:rFonts w:hint="eastAsia"/>
              </w:rPr>
              <w:t>-</w:t>
            </w:r>
          </w:p>
        </w:tc>
        <w:tc>
          <w:tcPr>
            <w:tcW w:w="1384" w:type="dxa"/>
            <w:vAlign w:val="center"/>
          </w:tcPr>
          <w:p w14:paraId="5B97E5D9">
            <w:pPr>
              <w:jc w:val="right"/>
            </w:pPr>
            <w:r>
              <w:rPr>
                <w:rFonts w:hint="eastAsia"/>
              </w:rPr>
              <w:t>-</w:t>
            </w:r>
          </w:p>
        </w:tc>
        <w:tc>
          <w:tcPr>
            <w:tcW w:w="1384" w:type="dxa"/>
            <w:vAlign w:val="center"/>
          </w:tcPr>
          <w:p w14:paraId="15B465EA">
            <w:pPr>
              <w:jc w:val="right"/>
            </w:pPr>
            <w:r>
              <w:rPr>
                <w:rFonts w:hint="eastAsia"/>
              </w:rPr>
              <w:t>-</w:t>
            </w:r>
          </w:p>
        </w:tc>
        <w:tc>
          <w:tcPr>
            <w:tcW w:w="1384" w:type="dxa"/>
            <w:vAlign w:val="center"/>
          </w:tcPr>
          <w:p w14:paraId="308356EA">
            <w:pPr>
              <w:jc w:val="right"/>
            </w:pPr>
            <w:r>
              <w:rPr>
                <w:rFonts w:hint="eastAsia"/>
              </w:rPr>
              <w:t>-</w:t>
            </w:r>
          </w:p>
        </w:tc>
        <w:tc>
          <w:tcPr>
            <w:tcW w:w="1384" w:type="dxa"/>
            <w:vAlign w:val="center"/>
          </w:tcPr>
          <w:p w14:paraId="18BD97AF">
            <w:pPr>
              <w:jc w:val="right"/>
            </w:pPr>
            <w:r>
              <w:rPr>
                <w:rFonts w:hint="eastAsia"/>
              </w:rPr>
              <w:t>-</w:t>
            </w:r>
          </w:p>
        </w:tc>
      </w:tr>
      <w:tr w14:paraId="0025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CDEF6">
            <w:r>
              <w:rPr>
                <w:rFonts w:hint="eastAsia"/>
              </w:rPr>
              <w:t>买入返售金融资产</w:t>
            </w:r>
          </w:p>
        </w:tc>
        <w:tc>
          <w:tcPr>
            <w:tcW w:w="1384" w:type="dxa"/>
            <w:vAlign w:val="center"/>
          </w:tcPr>
          <w:p w14:paraId="533D7682">
            <w:pPr>
              <w:jc w:val="right"/>
            </w:pPr>
            <w:r>
              <w:rPr>
                <w:rFonts w:hint="eastAsia"/>
              </w:rPr>
              <w:t>10,000,691.06</w:t>
            </w:r>
          </w:p>
        </w:tc>
        <w:tc>
          <w:tcPr>
            <w:tcW w:w="1384" w:type="dxa"/>
            <w:vAlign w:val="center"/>
          </w:tcPr>
          <w:p w14:paraId="589082FD">
            <w:pPr>
              <w:jc w:val="right"/>
            </w:pPr>
            <w:r>
              <w:rPr>
                <w:rFonts w:hint="eastAsia"/>
              </w:rPr>
              <w:t>-</w:t>
            </w:r>
          </w:p>
        </w:tc>
        <w:tc>
          <w:tcPr>
            <w:tcW w:w="1384" w:type="dxa"/>
            <w:vAlign w:val="center"/>
          </w:tcPr>
          <w:p w14:paraId="4D9EC8CD">
            <w:pPr>
              <w:jc w:val="right"/>
            </w:pPr>
            <w:r>
              <w:rPr>
                <w:rFonts w:hint="eastAsia"/>
              </w:rPr>
              <w:t>-</w:t>
            </w:r>
          </w:p>
        </w:tc>
        <w:tc>
          <w:tcPr>
            <w:tcW w:w="1384" w:type="dxa"/>
            <w:vAlign w:val="center"/>
          </w:tcPr>
          <w:p w14:paraId="7D7989EA">
            <w:pPr>
              <w:jc w:val="right"/>
            </w:pPr>
            <w:r>
              <w:rPr>
                <w:rFonts w:hint="eastAsia"/>
              </w:rPr>
              <w:t>-</w:t>
            </w:r>
          </w:p>
        </w:tc>
        <w:tc>
          <w:tcPr>
            <w:tcW w:w="1384" w:type="dxa"/>
            <w:vAlign w:val="center"/>
          </w:tcPr>
          <w:p w14:paraId="20759C35">
            <w:pPr>
              <w:jc w:val="right"/>
            </w:pPr>
            <w:r>
              <w:rPr>
                <w:rFonts w:hint="eastAsia"/>
              </w:rPr>
              <w:t>10,000,691.06</w:t>
            </w:r>
          </w:p>
        </w:tc>
      </w:tr>
      <w:tr w14:paraId="6875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365244">
            <w:r>
              <w:rPr>
                <w:rFonts w:hint="eastAsia"/>
              </w:rPr>
              <w:t>债权投资</w:t>
            </w:r>
          </w:p>
        </w:tc>
        <w:tc>
          <w:tcPr>
            <w:tcW w:w="1384" w:type="dxa"/>
            <w:vAlign w:val="center"/>
          </w:tcPr>
          <w:p w14:paraId="7C3425F8">
            <w:pPr>
              <w:jc w:val="right"/>
            </w:pPr>
            <w:r>
              <w:rPr>
                <w:rFonts w:hint="eastAsia"/>
              </w:rPr>
              <w:t>-</w:t>
            </w:r>
          </w:p>
        </w:tc>
        <w:tc>
          <w:tcPr>
            <w:tcW w:w="1384" w:type="dxa"/>
            <w:vAlign w:val="center"/>
          </w:tcPr>
          <w:p w14:paraId="1827DD49">
            <w:pPr>
              <w:jc w:val="right"/>
            </w:pPr>
            <w:r>
              <w:rPr>
                <w:rFonts w:hint="eastAsia"/>
              </w:rPr>
              <w:t>-</w:t>
            </w:r>
          </w:p>
        </w:tc>
        <w:tc>
          <w:tcPr>
            <w:tcW w:w="1384" w:type="dxa"/>
            <w:vAlign w:val="center"/>
          </w:tcPr>
          <w:p w14:paraId="73A3DE31">
            <w:pPr>
              <w:jc w:val="right"/>
            </w:pPr>
            <w:r>
              <w:rPr>
                <w:rFonts w:hint="eastAsia"/>
              </w:rPr>
              <w:t>-</w:t>
            </w:r>
          </w:p>
        </w:tc>
        <w:tc>
          <w:tcPr>
            <w:tcW w:w="1384" w:type="dxa"/>
            <w:vAlign w:val="center"/>
          </w:tcPr>
          <w:p w14:paraId="78BE69FA">
            <w:pPr>
              <w:jc w:val="right"/>
            </w:pPr>
            <w:r>
              <w:rPr>
                <w:rFonts w:hint="eastAsia"/>
              </w:rPr>
              <w:t>-</w:t>
            </w:r>
          </w:p>
        </w:tc>
        <w:tc>
          <w:tcPr>
            <w:tcW w:w="1384" w:type="dxa"/>
            <w:vAlign w:val="center"/>
          </w:tcPr>
          <w:p w14:paraId="0794E844">
            <w:pPr>
              <w:jc w:val="right"/>
            </w:pPr>
            <w:r>
              <w:rPr>
                <w:rFonts w:hint="eastAsia"/>
              </w:rPr>
              <w:t>-</w:t>
            </w:r>
          </w:p>
        </w:tc>
      </w:tr>
      <w:tr w14:paraId="70E4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0D295">
            <w:r>
              <w:rPr>
                <w:rFonts w:hint="eastAsia"/>
              </w:rPr>
              <w:t>其他债权投资</w:t>
            </w:r>
          </w:p>
        </w:tc>
        <w:tc>
          <w:tcPr>
            <w:tcW w:w="1384" w:type="dxa"/>
            <w:vAlign w:val="center"/>
          </w:tcPr>
          <w:p w14:paraId="4429CA78">
            <w:pPr>
              <w:jc w:val="right"/>
            </w:pPr>
            <w:r>
              <w:rPr>
                <w:rFonts w:hint="eastAsia"/>
              </w:rPr>
              <w:t>-</w:t>
            </w:r>
          </w:p>
        </w:tc>
        <w:tc>
          <w:tcPr>
            <w:tcW w:w="1384" w:type="dxa"/>
            <w:vAlign w:val="center"/>
          </w:tcPr>
          <w:p w14:paraId="6C93449C">
            <w:pPr>
              <w:jc w:val="right"/>
            </w:pPr>
            <w:r>
              <w:rPr>
                <w:rFonts w:hint="eastAsia"/>
              </w:rPr>
              <w:t>-</w:t>
            </w:r>
          </w:p>
        </w:tc>
        <w:tc>
          <w:tcPr>
            <w:tcW w:w="1384" w:type="dxa"/>
            <w:vAlign w:val="center"/>
          </w:tcPr>
          <w:p w14:paraId="4FDC467A">
            <w:pPr>
              <w:jc w:val="right"/>
            </w:pPr>
            <w:r>
              <w:rPr>
                <w:rFonts w:hint="eastAsia"/>
              </w:rPr>
              <w:t>-</w:t>
            </w:r>
          </w:p>
        </w:tc>
        <w:tc>
          <w:tcPr>
            <w:tcW w:w="1384" w:type="dxa"/>
            <w:vAlign w:val="center"/>
          </w:tcPr>
          <w:p w14:paraId="0F3ABA91">
            <w:pPr>
              <w:jc w:val="right"/>
            </w:pPr>
            <w:r>
              <w:rPr>
                <w:rFonts w:hint="eastAsia"/>
              </w:rPr>
              <w:t>-</w:t>
            </w:r>
          </w:p>
        </w:tc>
        <w:tc>
          <w:tcPr>
            <w:tcW w:w="1384" w:type="dxa"/>
            <w:vAlign w:val="center"/>
          </w:tcPr>
          <w:p w14:paraId="0448CED9">
            <w:pPr>
              <w:jc w:val="right"/>
            </w:pPr>
            <w:r>
              <w:rPr>
                <w:rFonts w:hint="eastAsia"/>
              </w:rPr>
              <w:t>-</w:t>
            </w:r>
          </w:p>
        </w:tc>
      </w:tr>
      <w:tr w14:paraId="2E01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1E0B4">
            <w:r>
              <w:rPr>
                <w:rFonts w:hint="eastAsia"/>
              </w:rPr>
              <w:t>其他权益工具投资</w:t>
            </w:r>
          </w:p>
        </w:tc>
        <w:tc>
          <w:tcPr>
            <w:tcW w:w="1384" w:type="dxa"/>
            <w:vAlign w:val="center"/>
          </w:tcPr>
          <w:p w14:paraId="7AD76803">
            <w:pPr>
              <w:jc w:val="right"/>
            </w:pPr>
            <w:r>
              <w:rPr>
                <w:rFonts w:hint="eastAsia"/>
              </w:rPr>
              <w:t>-</w:t>
            </w:r>
          </w:p>
        </w:tc>
        <w:tc>
          <w:tcPr>
            <w:tcW w:w="1384" w:type="dxa"/>
            <w:vAlign w:val="center"/>
          </w:tcPr>
          <w:p w14:paraId="53C56135">
            <w:pPr>
              <w:jc w:val="right"/>
            </w:pPr>
            <w:r>
              <w:rPr>
                <w:rFonts w:hint="eastAsia"/>
              </w:rPr>
              <w:t>-</w:t>
            </w:r>
          </w:p>
        </w:tc>
        <w:tc>
          <w:tcPr>
            <w:tcW w:w="1384" w:type="dxa"/>
            <w:vAlign w:val="center"/>
          </w:tcPr>
          <w:p w14:paraId="696C7779">
            <w:pPr>
              <w:jc w:val="right"/>
            </w:pPr>
            <w:r>
              <w:rPr>
                <w:rFonts w:hint="eastAsia"/>
              </w:rPr>
              <w:t>-</w:t>
            </w:r>
          </w:p>
        </w:tc>
        <w:tc>
          <w:tcPr>
            <w:tcW w:w="1384" w:type="dxa"/>
            <w:vAlign w:val="center"/>
          </w:tcPr>
          <w:p w14:paraId="7D2F5855">
            <w:pPr>
              <w:jc w:val="right"/>
            </w:pPr>
            <w:r>
              <w:rPr>
                <w:rFonts w:hint="eastAsia"/>
              </w:rPr>
              <w:t>-</w:t>
            </w:r>
          </w:p>
        </w:tc>
        <w:tc>
          <w:tcPr>
            <w:tcW w:w="1384" w:type="dxa"/>
            <w:vAlign w:val="center"/>
          </w:tcPr>
          <w:p w14:paraId="02A48A16">
            <w:pPr>
              <w:jc w:val="right"/>
            </w:pPr>
            <w:r>
              <w:rPr>
                <w:rFonts w:hint="eastAsia"/>
              </w:rPr>
              <w:t>-</w:t>
            </w:r>
          </w:p>
        </w:tc>
      </w:tr>
      <w:tr w14:paraId="5C6E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8A30F">
            <w:r>
              <w:rPr>
                <w:rFonts w:hint="eastAsia"/>
              </w:rPr>
              <w:t>应收清算款</w:t>
            </w:r>
          </w:p>
        </w:tc>
        <w:tc>
          <w:tcPr>
            <w:tcW w:w="1384" w:type="dxa"/>
            <w:vAlign w:val="center"/>
          </w:tcPr>
          <w:p w14:paraId="4D3C1C4E">
            <w:pPr>
              <w:jc w:val="right"/>
            </w:pPr>
            <w:r>
              <w:rPr>
                <w:rFonts w:hint="eastAsia"/>
              </w:rPr>
              <w:t>-</w:t>
            </w:r>
          </w:p>
        </w:tc>
        <w:tc>
          <w:tcPr>
            <w:tcW w:w="1384" w:type="dxa"/>
            <w:vAlign w:val="center"/>
          </w:tcPr>
          <w:p w14:paraId="0997BFE9">
            <w:pPr>
              <w:jc w:val="right"/>
            </w:pPr>
            <w:r>
              <w:rPr>
                <w:rFonts w:hint="eastAsia"/>
              </w:rPr>
              <w:t>-</w:t>
            </w:r>
          </w:p>
        </w:tc>
        <w:tc>
          <w:tcPr>
            <w:tcW w:w="1384" w:type="dxa"/>
            <w:vAlign w:val="center"/>
          </w:tcPr>
          <w:p w14:paraId="1BDD8018">
            <w:pPr>
              <w:jc w:val="right"/>
            </w:pPr>
            <w:r>
              <w:rPr>
                <w:rFonts w:hint="eastAsia"/>
              </w:rPr>
              <w:t>-</w:t>
            </w:r>
          </w:p>
        </w:tc>
        <w:tc>
          <w:tcPr>
            <w:tcW w:w="1384" w:type="dxa"/>
            <w:vAlign w:val="center"/>
          </w:tcPr>
          <w:p w14:paraId="40840112">
            <w:pPr>
              <w:jc w:val="right"/>
            </w:pPr>
            <w:r>
              <w:rPr>
                <w:rFonts w:hint="eastAsia"/>
              </w:rPr>
              <w:t>21,215,687.67</w:t>
            </w:r>
          </w:p>
        </w:tc>
        <w:tc>
          <w:tcPr>
            <w:tcW w:w="1384" w:type="dxa"/>
            <w:vAlign w:val="center"/>
          </w:tcPr>
          <w:p w14:paraId="52F1C1A9">
            <w:pPr>
              <w:jc w:val="right"/>
            </w:pPr>
            <w:r>
              <w:rPr>
                <w:rFonts w:hint="eastAsia"/>
              </w:rPr>
              <w:t>21,215,687.67</w:t>
            </w:r>
          </w:p>
        </w:tc>
      </w:tr>
      <w:tr w14:paraId="1682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0E305">
            <w:r>
              <w:rPr>
                <w:rFonts w:hint="eastAsia"/>
              </w:rPr>
              <w:t>应收股利</w:t>
            </w:r>
          </w:p>
        </w:tc>
        <w:tc>
          <w:tcPr>
            <w:tcW w:w="1384" w:type="dxa"/>
            <w:vAlign w:val="center"/>
          </w:tcPr>
          <w:p w14:paraId="54382ED1">
            <w:pPr>
              <w:jc w:val="right"/>
            </w:pPr>
            <w:r>
              <w:rPr>
                <w:rFonts w:hint="eastAsia"/>
              </w:rPr>
              <w:t>-</w:t>
            </w:r>
          </w:p>
        </w:tc>
        <w:tc>
          <w:tcPr>
            <w:tcW w:w="1384" w:type="dxa"/>
            <w:vAlign w:val="center"/>
          </w:tcPr>
          <w:p w14:paraId="5E7F14E4">
            <w:pPr>
              <w:jc w:val="right"/>
            </w:pPr>
            <w:r>
              <w:rPr>
                <w:rFonts w:hint="eastAsia"/>
              </w:rPr>
              <w:t>-</w:t>
            </w:r>
          </w:p>
        </w:tc>
        <w:tc>
          <w:tcPr>
            <w:tcW w:w="1384" w:type="dxa"/>
            <w:vAlign w:val="center"/>
          </w:tcPr>
          <w:p w14:paraId="3BF1288F">
            <w:pPr>
              <w:jc w:val="right"/>
            </w:pPr>
            <w:r>
              <w:rPr>
                <w:rFonts w:hint="eastAsia"/>
              </w:rPr>
              <w:t>-</w:t>
            </w:r>
          </w:p>
        </w:tc>
        <w:tc>
          <w:tcPr>
            <w:tcW w:w="1384" w:type="dxa"/>
            <w:vAlign w:val="center"/>
          </w:tcPr>
          <w:p w14:paraId="74942C5E">
            <w:pPr>
              <w:jc w:val="right"/>
            </w:pPr>
            <w:r>
              <w:rPr>
                <w:rFonts w:hint="eastAsia"/>
              </w:rPr>
              <w:t>-</w:t>
            </w:r>
          </w:p>
        </w:tc>
        <w:tc>
          <w:tcPr>
            <w:tcW w:w="1384" w:type="dxa"/>
            <w:vAlign w:val="center"/>
          </w:tcPr>
          <w:p w14:paraId="2504A5EF">
            <w:pPr>
              <w:jc w:val="right"/>
            </w:pPr>
            <w:r>
              <w:rPr>
                <w:rFonts w:hint="eastAsia"/>
              </w:rPr>
              <w:t>-</w:t>
            </w:r>
          </w:p>
        </w:tc>
      </w:tr>
      <w:tr w14:paraId="74CF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EA6C30">
            <w:r>
              <w:rPr>
                <w:rFonts w:hint="eastAsia"/>
              </w:rPr>
              <w:t>应收申购款</w:t>
            </w:r>
          </w:p>
        </w:tc>
        <w:tc>
          <w:tcPr>
            <w:tcW w:w="1384" w:type="dxa"/>
            <w:vAlign w:val="center"/>
          </w:tcPr>
          <w:p w14:paraId="0EC2551E">
            <w:pPr>
              <w:jc w:val="right"/>
            </w:pPr>
            <w:r>
              <w:rPr>
                <w:rFonts w:hint="eastAsia"/>
              </w:rPr>
              <w:t>-</w:t>
            </w:r>
          </w:p>
        </w:tc>
        <w:tc>
          <w:tcPr>
            <w:tcW w:w="1384" w:type="dxa"/>
            <w:vAlign w:val="center"/>
          </w:tcPr>
          <w:p w14:paraId="660A86E6">
            <w:pPr>
              <w:jc w:val="right"/>
            </w:pPr>
            <w:r>
              <w:rPr>
                <w:rFonts w:hint="eastAsia"/>
              </w:rPr>
              <w:t>-</w:t>
            </w:r>
          </w:p>
        </w:tc>
        <w:tc>
          <w:tcPr>
            <w:tcW w:w="1384" w:type="dxa"/>
            <w:vAlign w:val="center"/>
          </w:tcPr>
          <w:p w14:paraId="6D6982CE">
            <w:pPr>
              <w:jc w:val="right"/>
            </w:pPr>
            <w:r>
              <w:rPr>
                <w:rFonts w:hint="eastAsia"/>
              </w:rPr>
              <w:t>-</w:t>
            </w:r>
          </w:p>
        </w:tc>
        <w:tc>
          <w:tcPr>
            <w:tcW w:w="1384" w:type="dxa"/>
            <w:vAlign w:val="center"/>
          </w:tcPr>
          <w:p w14:paraId="2467CFE5">
            <w:pPr>
              <w:jc w:val="right"/>
            </w:pPr>
            <w:r>
              <w:rPr>
                <w:rFonts w:hint="eastAsia"/>
              </w:rPr>
              <w:t>-</w:t>
            </w:r>
          </w:p>
        </w:tc>
        <w:tc>
          <w:tcPr>
            <w:tcW w:w="1384" w:type="dxa"/>
            <w:vAlign w:val="center"/>
          </w:tcPr>
          <w:p w14:paraId="6DF1EF91">
            <w:pPr>
              <w:jc w:val="right"/>
            </w:pPr>
            <w:r>
              <w:rPr>
                <w:rFonts w:hint="eastAsia"/>
              </w:rPr>
              <w:t>-</w:t>
            </w:r>
          </w:p>
        </w:tc>
      </w:tr>
      <w:tr w14:paraId="0755C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9ABD1">
            <w:r>
              <w:rPr>
                <w:rFonts w:hint="eastAsia"/>
              </w:rPr>
              <w:t>递延所得税资产</w:t>
            </w:r>
          </w:p>
        </w:tc>
        <w:tc>
          <w:tcPr>
            <w:tcW w:w="1384" w:type="dxa"/>
            <w:vAlign w:val="center"/>
          </w:tcPr>
          <w:p w14:paraId="34BD09C5">
            <w:pPr>
              <w:jc w:val="right"/>
            </w:pPr>
            <w:r>
              <w:rPr>
                <w:rFonts w:hint="eastAsia"/>
              </w:rPr>
              <w:t>-</w:t>
            </w:r>
          </w:p>
        </w:tc>
        <w:tc>
          <w:tcPr>
            <w:tcW w:w="1384" w:type="dxa"/>
            <w:vAlign w:val="center"/>
          </w:tcPr>
          <w:p w14:paraId="0E4F93D3">
            <w:pPr>
              <w:jc w:val="right"/>
            </w:pPr>
            <w:r>
              <w:rPr>
                <w:rFonts w:hint="eastAsia"/>
              </w:rPr>
              <w:t>-</w:t>
            </w:r>
          </w:p>
        </w:tc>
        <w:tc>
          <w:tcPr>
            <w:tcW w:w="1384" w:type="dxa"/>
            <w:vAlign w:val="center"/>
          </w:tcPr>
          <w:p w14:paraId="3D8F3A4D">
            <w:pPr>
              <w:jc w:val="right"/>
            </w:pPr>
            <w:r>
              <w:rPr>
                <w:rFonts w:hint="eastAsia"/>
              </w:rPr>
              <w:t>-</w:t>
            </w:r>
          </w:p>
        </w:tc>
        <w:tc>
          <w:tcPr>
            <w:tcW w:w="1384" w:type="dxa"/>
            <w:vAlign w:val="center"/>
          </w:tcPr>
          <w:p w14:paraId="19E1BD8A">
            <w:pPr>
              <w:jc w:val="right"/>
            </w:pPr>
            <w:r>
              <w:rPr>
                <w:rFonts w:hint="eastAsia"/>
              </w:rPr>
              <w:t>-</w:t>
            </w:r>
          </w:p>
        </w:tc>
        <w:tc>
          <w:tcPr>
            <w:tcW w:w="1384" w:type="dxa"/>
            <w:vAlign w:val="center"/>
          </w:tcPr>
          <w:p w14:paraId="67A90889">
            <w:pPr>
              <w:jc w:val="right"/>
            </w:pPr>
            <w:r>
              <w:rPr>
                <w:rFonts w:hint="eastAsia"/>
              </w:rPr>
              <w:t>-</w:t>
            </w:r>
          </w:p>
        </w:tc>
      </w:tr>
      <w:tr w14:paraId="5244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08E31">
            <w:r>
              <w:rPr>
                <w:rFonts w:hint="eastAsia"/>
              </w:rPr>
              <w:t>其他资产</w:t>
            </w:r>
          </w:p>
        </w:tc>
        <w:tc>
          <w:tcPr>
            <w:tcW w:w="1384" w:type="dxa"/>
            <w:vAlign w:val="center"/>
          </w:tcPr>
          <w:p w14:paraId="1FE355DD">
            <w:pPr>
              <w:jc w:val="right"/>
            </w:pPr>
            <w:r>
              <w:rPr>
                <w:rFonts w:hint="eastAsia"/>
              </w:rPr>
              <w:t>-</w:t>
            </w:r>
          </w:p>
        </w:tc>
        <w:tc>
          <w:tcPr>
            <w:tcW w:w="1384" w:type="dxa"/>
            <w:vAlign w:val="center"/>
          </w:tcPr>
          <w:p w14:paraId="0F542CEE">
            <w:pPr>
              <w:jc w:val="right"/>
            </w:pPr>
            <w:r>
              <w:rPr>
                <w:rFonts w:hint="eastAsia"/>
              </w:rPr>
              <w:t>-</w:t>
            </w:r>
          </w:p>
        </w:tc>
        <w:tc>
          <w:tcPr>
            <w:tcW w:w="1384" w:type="dxa"/>
            <w:vAlign w:val="center"/>
          </w:tcPr>
          <w:p w14:paraId="0C8A9990">
            <w:pPr>
              <w:jc w:val="right"/>
            </w:pPr>
            <w:r>
              <w:rPr>
                <w:rFonts w:hint="eastAsia"/>
              </w:rPr>
              <w:t>-</w:t>
            </w:r>
          </w:p>
        </w:tc>
        <w:tc>
          <w:tcPr>
            <w:tcW w:w="1384" w:type="dxa"/>
            <w:vAlign w:val="center"/>
          </w:tcPr>
          <w:p w14:paraId="4B1DF585">
            <w:pPr>
              <w:jc w:val="right"/>
            </w:pPr>
            <w:r>
              <w:rPr>
                <w:rFonts w:hint="eastAsia"/>
              </w:rPr>
              <w:t>-</w:t>
            </w:r>
          </w:p>
        </w:tc>
        <w:tc>
          <w:tcPr>
            <w:tcW w:w="1384" w:type="dxa"/>
            <w:vAlign w:val="center"/>
          </w:tcPr>
          <w:p w14:paraId="5438C26E">
            <w:pPr>
              <w:jc w:val="right"/>
            </w:pPr>
            <w:r>
              <w:rPr>
                <w:rFonts w:hint="eastAsia"/>
              </w:rPr>
              <w:t>-</w:t>
            </w:r>
          </w:p>
        </w:tc>
      </w:tr>
      <w:tr w14:paraId="188B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46EF6">
            <w:r>
              <w:rPr>
                <w:rFonts w:hint="eastAsia"/>
              </w:rPr>
              <w:t>资产总计</w:t>
            </w:r>
          </w:p>
        </w:tc>
        <w:tc>
          <w:tcPr>
            <w:tcW w:w="1384" w:type="dxa"/>
            <w:vAlign w:val="center"/>
          </w:tcPr>
          <w:p w14:paraId="73CBEC57">
            <w:pPr>
              <w:jc w:val="right"/>
            </w:pPr>
            <w:r>
              <w:rPr>
                <w:rFonts w:hint="eastAsia"/>
              </w:rPr>
              <w:t>509,700,281.16</w:t>
            </w:r>
          </w:p>
        </w:tc>
        <w:tc>
          <w:tcPr>
            <w:tcW w:w="1384" w:type="dxa"/>
            <w:vAlign w:val="center"/>
          </w:tcPr>
          <w:p w14:paraId="38E3CA95">
            <w:pPr>
              <w:jc w:val="right"/>
            </w:pPr>
            <w:r>
              <w:rPr>
                <w:rFonts w:hint="eastAsia"/>
              </w:rPr>
              <w:t>1,391,032,173.69</w:t>
            </w:r>
          </w:p>
        </w:tc>
        <w:tc>
          <w:tcPr>
            <w:tcW w:w="1384" w:type="dxa"/>
            <w:vAlign w:val="center"/>
          </w:tcPr>
          <w:p w14:paraId="0914B04C">
            <w:pPr>
              <w:jc w:val="right"/>
            </w:pPr>
            <w:r>
              <w:rPr>
                <w:rFonts w:hint="eastAsia"/>
              </w:rPr>
              <w:t>104,901,514.25</w:t>
            </w:r>
          </w:p>
        </w:tc>
        <w:tc>
          <w:tcPr>
            <w:tcW w:w="1384" w:type="dxa"/>
            <w:vAlign w:val="center"/>
          </w:tcPr>
          <w:p w14:paraId="04B9D068">
            <w:pPr>
              <w:jc w:val="right"/>
            </w:pPr>
            <w:r>
              <w:rPr>
                <w:rFonts w:hint="eastAsia"/>
              </w:rPr>
              <w:t>21,215,687.67</w:t>
            </w:r>
          </w:p>
        </w:tc>
        <w:tc>
          <w:tcPr>
            <w:tcW w:w="1384" w:type="dxa"/>
            <w:vAlign w:val="center"/>
          </w:tcPr>
          <w:p w14:paraId="7982993A">
            <w:pPr>
              <w:jc w:val="right"/>
            </w:pPr>
            <w:r>
              <w:rPr>
                <w:rFonts w:hint="eastAsia"/>
              </w:rPr>
              <w:t>2,026,849,656.77</w:t>
            </w:r>
          </w:p>
        </w:tc>
      </w:tr>
      <w:tr w14:paraId="75F4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5C0BB">
            <w:r>
              <w:rPr>
                <w:rFonts w:hint="eastAsia"/>
              </w:rPr>
              <w:t>负债</w:t>
            </w:r>
          </w:p>
        </w:tc>
        <w:tc>
          <w:tcPr>
            <w:tcW w:w="1384" w:type="dxa"/>
            <w:vAlign w:val="center"/>
          </w:tcPr>
          <w:p w14:paraId="6DE5C56A"/>
        </w:tc>
        <w:tc>
          <w:tcPr>
            <w:tcW w:w="1384" w:type="dxa"/>
            <w:vAlign w:val="center"/>
          </w:tcPr>
          <w:p w14:paraId="2111F614"/>
        </w:tc>
        <w:tc>
          <w:tcPr>
            <w:tcW w:w="1384" w:type="dxa"/>
            <w:vAlign w:val="center"/>
          </w:tcPr>
          <w:p w14:paraId="03B36958"/>
        </w:tc>
        <w:tc>
          <w:tcPr>
            <w:tcW w:w="1384" w:type="dxa"/>
            <w:vAlign w:val="center"/>
          </w:tcPr>
          <w:p w14:paraId="512A1298"/>
        </w:tc>
        <w:tc>
          <w:tcPr>
            <w:tcW w:w="1384" w:type="dxa"/>
            <w:vAlign w:val="center"/>
          </w:tcPr>
          <w:p w14:paraId="20FBD78E"/>
        </w:tc>
      </w:tr>
      <w:tr w14:paraId="1DD3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1BC9B">
            <w:r>
              <w:rPr>
                <w:rFonts w:hint="eastAsia"/>
              </w:rPr>
              <w:t>短期借款</w:t>
            </w:r>
          </w:p>
        </w:tc>
        <w:tc>
          <w:tcPr>
            <w:tcW w:w="1384" w:type="dxa"/>
            <w:vAlign w:val="center"/>
          </w:tcPr>
          <w:p w14:paraId="4C8C1059">
            <w:pPr>
              <w:jc w:val="right"/>
            </w:pPr>
            <w:r>
              <w:rPr>
                <w:rFonts w:hint="eastAsia"/>
              </w:rPr>
              <w:t>-</w:t>
            </w:r>
          </w:p>
        </w:tc>
        <w:tc>
          <w:tcPr>
            <w:tcW w:w="1384" w:type="dxa"/>
            <w:vAlign w:val="center"/>
          </w:tcPr>
          <w:p w14:paraId="4B173E77">
            <w:pPr>
              <w:jc w:val="right"/>
            </w:pPr>
            <w:r>
              <w:rPr>
                <w:rFonts w:hint="eastAsia"/>
              </w:rPr>
              <w:t>-</w:t>
            </w:r>
          </w:p>
        </w:tc>
        <w:tc>
          <w:tcPr>
            <w:tcW w:w="1384" w:type="dxa"/>
            <w:vAlign w:val="center"/>
          </w:tcPr>
          <w:p w14:paraId="03236204">
            <w:pPr>
              <w:jc w:val="right"/>
            </w:pPr>
            <w:r>
              <w:rPr>
                <w:rFonts w:hint="eastAsia"/>
              </w:rPr>
              <w:t>-</w:t>
            </w:r>
          </w:p>
        </w:tc>
        <w:tc>
          <w:tcPr>
            <w:tcW w:w="1384" w:type="dxa"/>
            <w:vAlign w:val="center"/>
          </w:tcPr>
          <w:p w14:paraId="1F42A3D7">
            <w:pPr>
              <w:jc w:val="right"/>
            </w:pPr>
            <w:r>
              <w:rPr>
                <w:rFonts w:hint="eastAsia"/>
              </w:rPr>
              <w:t>-</w:t>
            </w:r>
          </w:p>
        </w:tc>
        <w:tc>
          <w:tcPr>
            <w:tcW w:w="1384" w:type="dxa"/>
            <w:vAlign w:val="center"/>
          </w:tcPr>
          <w:p w14:paraId="5F9CA3EA">
            <w:pPr>
              <w:jc w:val="right"/>
            </w:pPr>
            <w:r>
              <w:rPr>
                <w:rFonts w:hint="eastAsia"/>
              </w:rPr>
              <w:t>-</w:t>
            </w:r>
          </w:p>
        </w:tc>
      </w:tr>
      <w:tr w14:paraId="50DC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B7F81">
            <w:r>
              <w:rPr>
                <w:rFonts w:hint="eastAsia"/>
              </w:rPr>
              <w:t>交易性金融负债</w:t>
            </w:r>
          </w:p>
        </w:tc>
        <w:tc>
          <w:tcPr>
            <w:tcW w:w="1384" w:type="dxa"/>
            <w:vAlign w:val="center"/>
          </w:tcPr>
          <w:p w14:paraId="607E0E0E">
            <w:pPr>
              <w:jc w:val="right"/>
            </w:pPr>
            <w:r>
              <w:rPr>
                <w:rFonts w:hint="eastAsia"/>
              </w:rPr>
              <w:t>-</w:t>
            </w:r>
          </w:p>
        </w:tc>
        <w:tc>
          <w:tcPr>
            <w:tcW w:w="1384" w:type="dxa"/>
            <w:vAlign w:val="center"/>
          </w:tcPr>
          <w:p w14:paraId="75E0537F">
            <w:pPr>
              <w:jc w:val="right"/>
            </w:pPr>
            <w:r>
              <w:rPr>
                <w:rFonts w:hint="eastAsia"/>
              </w:rPr>
              <w:t>-</w:t>
            </w:r>
          </w:p>
        </w:tc>
        <w:tc>
          <w:tcPr>
            <w:tcW w:w="1384" w:type="dxa"/>
            <w:vAlign w:val="center"/>
          </w:tcPr>
          <w:p w14:paraId="706F931B">
            <w:pPr>
              <w:jc w:val="right"/>
            </w:pPr>
            <w:r>
              <w:rPr>
                <w:rFonts w:hint="eastAsia"/>
              </w:rPr>
              <w:t>-</w:t>
            </w:r>
          </w:p>
        </w:tc>
        <w:tc>
          <w:tcPr>
            <w:tcW w:w="1384" w:type="dxa"/>
            <w:vAlign w:val="center"/>
          </w:tcPr>
          <w:p w14:paraId="428DC91D">
            <w:pPr>
              <w:jc w:val="right"/>
            </w:pPr>
            <w:r>
              <w:rPr>
                <w:rFonts w:hint="eastAsia"/>
              </w:rPr>
              <w:t>-</w:t>
            </w:r>
          </w:p>
        </w:tc>
        <w:tc>
          <w:tcPr>
            <w:tcW w:w="1384" w:type="dxa"/>
            <w:vAlign w:val="center"/>
          </w:tcPr>
          <w:p w14:paraId="1ED2493F">
            <w:pPr>
              <w:jc w:val="right"/>
            </w:pPr>
            <w:r>
              <w:rPr>
                <w:rFonts w:hint="eastAsia"/>
              </w:rPr>
              <w:t>-</w:t>
            </w:r>
          </w:p>
        </w:tc>
      </w:tr>
      <w:tr w14:paraId="4E53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64686">
            <w:r>
              <w:rPr>
                <w:rFonts w:hint="eastAsia"/>
              </w:rPr>
              <w:t>衍生金融负债</w:t>
            </w:r>
          </w:p>
        </w:tc>
        <w:tc>
          <w:tcPr>
            <w:tcW w:w="1384" w:type="dxa"/>
            <w:vAlign w:val="center"/>
          </w:tcPr>
          <w:p w14:paraId="366FD0D9">
            <w:pPr>
              <w:jc w:val="right"/>
            </w:pPr>
            <w:r>
              <w:rPr>
                <w:rFonts w:hint="eastAsia"/>
              </w:rPr>
              <w:t>-</w:t>
            </w:r>
          </w:p>
        </w:tc>
        <w:tc>
          <w:tcPr>
            <w:tcW w:w="1384" w:type="dxa"/>
            <w:vAlign w:val="center"/>
          </w:tcPr>
          <w:p w14:paraId="72B37F04">
            <w:pPr>
              <w:jc w:val="right"/>
            </w:pPr>
            <w:r>
              <w:rPr>
                <w:rFonts w:hint="eastAsia"/>
              </w:rPr>
              <w:t>-</w:t>
            </w:r>
          </w:p>
        </w:tc>
        <w:tc>
          <w:tcPr>
            <w:tcW w:w="1384" w:type="dxa"/>
            <w:vAlign w:val="center"/>
          </w:tcPr>
          <w:p w14:paraId="637AEAD2">
            <w:pPr>
              <w:jc w:val="right"/>
            </w:pPr>
            <w:r>
              <w:rPr>
                <w:rFonts w:hint="eastAsia"/>
              </w:rPr>
              <w:t>-</w:t>
            </w:r>
          </w:p>
        </w:tc>
        <w:tc>
          <w:tcPr>
            <w:tcW w:w="1384" w:type="dxa"/>
            <w:vAlign w:val="center"/>
          </w:tcPr>
          <w:p w14:paraId="547E634F">
            <w:pPr>
              <w:jc w:val="right"/>
            </w:pPr>
            <w:r>
              <w:rPr>
                <w:rFonts w:hint="eastAsia"/>
              </w:rPr>
              <w:t>-</w:t>
            </w:r>
          </w:p>
        </w:tc>
        <w:tc>
          <w:tcPr>
            <w:tcW w:w="1384" w:type="dxa"/>
            <w:vAlign w:val="center"/>
          </w:tcPr>
          <w:p w14:paraId="4CF25273">
            <w:pPr>
              <w:jc w:val="right"/>
            </w:pPr>
            <w:r>
              <w:rPr>
                <w:rFonts w:hint="eastAsia"/>
              </w:rPr>
              <w:t>-</w:t>
            </w:r>
          </w:p>
        </w:tc>
      </w:tr>
      <w:tr w14:paraId="71D9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970EB">
            <w:r>
              <w:rPr>
                <w:rFonts w:hint="eastAsia"/>
              </w:rPr>
              <w:t>卖出回购金融资产款</w:t>
            </w:r>
          </w:p>
        </w:tc>
        <w:tc>
          <w:tcPr>
            <w:tcW w:w="1384" w:type="dxa"/>
            <w:vAlign w:val="center"/>
          </w:tcPr>
          <w:p w14:paraId="30170C51">
            <w:pPr>
              <w:jc w:val="right"/>
            </w:pPr>
            <w:r>
              <w:rPr>
                <w:rFonts w:hint="eastAsia"/>
              </w:rPr>
              <w:t>369,623,702.59</w:t>
            </w:r>
          </w:p>
        </w:tc>
        <w:tc>
          <w:tcPr>
            <w:tcW w:w="1384" w:type="dxa"/>
            <w:vAlign w:val="center"/>
          </w:tcPr>
          <w:p w14:paraId="1E022E52">
            <w:pPr>
              <w:jc w:val="right"/>
            </w:pPr>
            <w:r>
              <w:rPr>
                <w:rFonts w:hint="eastAsia"/>
              </w:rPr>
              <w:t>-</w:t>
            </w:r>
          </w:p>
        </w:tc>
        <w:tc>
          <w:tcPr>
            <w:tcW w:w="1384" w:type="dxa"/>
            <w:vAlign w:val="center"/>
          </w:tcPr>
          <w:p w14:paraId="372D5042">
            <w:pPr>
              <w:jc w:val="right"/>
            </w:pPr>
            <w:r>
              <w:rPr>
                <w:rFonts w:hint="eastAsia"/>
              </w:rPr>
              <w:t>-</w:t>
            </w:r>
          </w:p>
        </w:tc>
        <w:tc>
          <w:tcPr>
            <w:tcW w:w="1384" w:type="dxa"/>
            <w:vAlign w:val="center"/>
          </w:tcPr>
          <w:p w14:paraId="31792877">
            <w:pPr>
              <w:jc w:val="right"/>
            </w:pPr>
            <w:r>
              <w:rPr>
                <w:rFonts w:hint="eastAsia"/>
              </w:rPr>
              <w:t>-</w:t>
            </w:r>
          </w:p>
        </w:tc>
        <w:tc>
          <w:tcPr>
            <w:tcW w:w="1384" w:type="dxa"/>
            <w:vAlign w:val="center"/>
          </w:tcPr>
          <w:p w14:paraId="05B2B6F2">
            <w:pPr>
              <w:jc w:val="right"/>
            </w:pPr>
            <w:r>
              <w:rPr>
                <w:rFonts w:hint="eastAsia"/>
              </w:rPr>
              <w:t>369,623,702.59</w:t>
            </w:r>
          </w:p>
        </w:tc>
      </w:tr>
      <w:tr w14:paraId="31F9B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61646">
            <w:r>
              <w:rPr>
                <w:rFonts w:hint="eastAsia"/>
              </w:rPr>
              <w:t>应付清算款</w:t>
            </w:r>
          </w:p>
        </w:tc>
        <w:tc>
          <w:tcPr>
            <w:tcW w:w="1384" w:type="dxa"/>
            <w:vAlign w:val="center"/>
          </w:tcPr>
          <w:p w14:paraId="7D4B1DFD">
            <w:pPr>
              <w:jc w:val="right"/>
            </w:pPr>
            <w:r>
              <w:rPr>
                <w:rFonts w:hint="eastAsia"/>
              </w:rPr>
              <w:t>-</w:t>
            </w:r>
          </w:p>
        </w:tc>
        <w:tc>
          <w:tcPr>
            <w:tcW w:w="1384" w:type="dxa"/>
            <w:vAlign w:val="center"/>
          </w:tcPr>
          <w:p w14:paraId="25A9B922">
            <w:pPr>
              <w:jc w:val="right"/>
            </w:pPr>
            <w:r>
              <w:rPr>
                <w:rFonts w:hint="eastAsia"/>
              </w:rPr>
              <w:t>-</w:t>
            </w:r>
          </w:p>
        </w:tc>
        <w:tc>
          <w:tcPr>
            <w:tcW w:w="1384" w:type="dxa"/>
            <w:vAlign w:val="center"/>
          </w:tcPr>
          <w:p w14:paraId="12122033">
            <w:pPr>
              <w:jc w:val="right"/>
            </w:pPr>
            <w:r>
              <w:rPr>
                <w:rFonts w:hint="eastAsia"/>
              </w:rPr>
              <w:t>-</w:t>
            </w:r>
          </w:p>
        </w:tc>
        <w:tc>
          <w:tcPr>
            <w:tcW w:w="1384" w:type="dxa"/>
            <w:vAlign w:val="center"/>
          </w:tcPr>
          <w:p w14:paraId="096EC946">
            <w:pPr>
              <w:jc w:val="right"/>
            </w:pPr>
            <w:r>
              <w:rPr>
                <w:rFonts w:hint="eastAsia"/>
              </w:rPr>
              <w:t>10,296,354.54</w:t>
            </w:r>
          </w:p>
        </w:tc>
        <w:tc>
          <w:tcPr>
            <w:tcW w:w="1384" w:type="dxa"/>
            <w:vAlign w:val="center"/>
          </w:tcPr>
          <w:p w14:paraId="1BEAC3EA">
            <w:pPr>
              <w:jc w:val="right"/>
            </w:pPr>
            <w:r>
              <w:rPr>
                <w:rFonts w:hint="eastAsia"/>
              </w:rPr>
              <w:t>10,296,354.54</w:t>
            </w:r>
          </w:p>
        </w:tc>
      </w:tr>
      <w:tr w14:paraId="11C8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B1314">
            <w:r>
              <w:rPr>
                <w:rFonts w:hint="eastAsia"/>
              </w:rPr>
              <w:t>应付赎回款</w:t>
            </w:r>
          </w:p>
        </w:tc>
        <w:tc>
          <w:tcPr>
            <w:tcW w:w="1384" w:type="dxa"/>
            <w:vAlign w:val="center"/>
          </w:tcPr>
          <w:p w14:paraId="3258C22F">
            <w:pPr>
              <w:jc w:val="right"/>
            </w:pPr>
            <w:r>
              <w:rPr>
                <w:rFonts w:hint="eastAsia"/>
              </w:rPr>
              <w:t>-</w:t>
            </w:r>
          </w:p>
        </w:tc>
        <w:tc>
          <w:tcPr>
            <w:tcW w:w="1384" w:type="dxa"/>
            <w:vAlign w:val="center"/>
          </w:tcPr>
          <w:p w14:paraId="19DCEC32">
            <w:pPr>
              <w:jc w:val="right"/>
            </w:pPr>
            <w:r>
              <w:rPr>
                <w:rFonts w:hint="eastAsia"/>
              </w:rPr>
              <w:t>-</w:t>
            </w:r>
          </w:p>
        </w:tc>
        <w:tc>
          <w:tcPr>
            <w:tcW w:w="1384" w:type="dxa"/>
            <w:vAlign w:val="center"/>
          </w:tcPr>
          <w:p w14:paraId="159DF2F7">
            <w:pPr>
              <w:jc w:val="right"/>
            </w:pPr>
            <w:r>
              <w:rPr>
                <w:rFonts w:hint="eastAsia"/>
              </w:rPr>
              <w:t>-</w:t>
            </w:r>
          </w:p>
        </w:tc>
        <w:tc>
          <w:tcPr>
            <w:tcW w:w="1384" w:type="dxa"/>
            <w:vAlign w:val="center"/>
          </w:tcPr>
          <w:p w14:paraId="58D296C2">
            <w:pPr>
              <w:jc w:val="right"/>
            </w:pPr>
            <w:r>
              <w:rPr>
                <w:rFonts w:hint="eastAsia"/>
              </w:rPr>
              <w:t>-</w:t>
            </w:r>
          </w:p>
        </w:tc>
        <w:tc>
          <w:tcPr>
            <w:tcW w:w="1384" w:type="dxa"/>
            <w:vAlign w:val="center"/>
          </w:tcPr>
          <w:p w14:paraId="12E8D172">
            <w:pPr>
              <w:jc w:val="right"/>
            </w:pPr>
            <w:r>
              <w:rPr>
                <w:rFonts w:hint="eastAsia"/>
              </w:rPr>
              <w:t>-</w:t>
            </w:r>
          </w:p>
        </w:tc>
      </w:tr>
      <w:tr w14:paraId="7A16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C67D5">
            <w:r>
              <w:rPr>
                <w:rFonts w:hint="eastAsia"/>
              </w:rPr>
              <w:t>应付管理人报酬</w:t>
            </w:r>
          </w:p>
        </w:tc>
        <w:tc>
          <w:tcPr>
            <w:tcW w:w="1384" w:type="dxa"/>
            <w:vAlign w:val="center"/>
          </w:tcPr>
          <w:p w14:paraId="705B856A">
            <w:pPr>
              <w:jc w:val="right"/>
            </w:pPr>
            <w:r>
              <w:rPr>
                <w:rFonts w:hint="eastAsia"/>
              </w:rPr>
              <w:t>-</w:t>
            </w:r>
          </w:p>
        </w:tc>
        <w:tc>
          <w:tcPr>
            <w:tcW w:w="1384" w:type="dxa"/>
            <w:vAlign w:val="center"/>
          </w:tcPr>
          <w:p w14:paraId="1E44673F">
            <w:pPr>
              <w:jc w:val="right"/>
            </w:pPr>
            <w:r>
              <w:rPr>
                <w:rFonts w:hint="eastAsia"/>
              </w:rPr>
              <w:t>-</w:t>
            </w:r>
          </w:p>
        </w:tc>
        <w:tc>
          <w:tcPr>
            <w:tcW w:w="1384" w:type="dxa"/>
            <w:vAlign w:val="center"/>
          </w:tcPr>
          <w:p w14:paraId="74D4AE79">
            <w:pPr>
              <w:jc w:val="right"/>
            </w:pPr>
            <w:r>
              <w:rPr>
                <w:rFonts w:hint="eastAsia"/>
              </w:rPr>
              <w:t>-</w:t>
            </w:r>
          </w:p>
        </w:tc>
        <w:tc>
          <w:tcPr>
            <w:tcW w:w="1384" w:type="dxa"/>
            <w:vAlign w:val="center"/>
          </w:tcPr>
          <w:p w14:paraId="0527EACA">
            <w:pPr>
              <w:jc w:val="right"/>
            </w:pPr>
            <w:r>
              <w:rPr>
                <w:rFonts w:hint="eastAsia"/>
              </w:rPr>
              <w:t>417,153.58</w:t>
            </w:r>
          </w:p>
        </w:tc>
        <w:tc>
          <w:tcPr>
            <w:tcW w:w="1384" w:type="dxa"/>
            <w:vAlign w:val="center"/>
          </w:tcPr>
          <w:p w14:paraId="23D15E48">
            <w:pPr>
              <w:jc w:val="right"/>
            </w:pPr>
            <w:r>
              <w:rPr>
                <w:rFonts w:hint="eastAsia"/>
              </w:rPr>
              <w:t>417,153.58</w:t>
            </w:r>
          </w:p>
        </w:tc>
      </w:tr>
      <w:tr w14:paraId="5C53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A3456">
            <w:r>
              <w:rPr>
                <w:rFonts w:hint="eastAsia"/>
              </w:rPr>
              <w:t>应付托管费</w:t>
            </w:r>
          </w:p>
        </w:tc>
        <w:tc>
          <w:tcPr>
            <w:tcW w:w="1384" w:type="dxa"/>
            <w:vAlign w:val="center"/>
          </w:tcPr>
          <w:p w14:paraId="5534DAF6">
            <w:pPr>
              <w:jc w:val="right"/>
            </w:pPr>
            <w:r>
              <w:rPr>
                <w:rFonts w:hint="eastAsia"/>
              </w:rPr>
              <w:t>-</w:t>
            </w:r>
          </w:p>
        </w:tc>
        <w:tc>
          <w:tcPr>
            <w:tcW w:w="1384" w:type="dxa"/>
            <w:vAlign w:val="center"/>
          </w:tcPr>
          <w:p w14:paraId="40AD0434">
            <w:pPr>
              <w:jc w:val="right"/>
            </w:pPr>
            <w:r>
              <w:rPr>
                <w:rFonts w:hint="eastAsia"/>
              </w:rPr>
              <w:t>-</w:t>
            </w:r>
          </w:p>
        </w:tc>
        <w:tc>
          <w:tcPr>
            <w:tcW w:w="1384" w:type="dxa"/>
            <w:vAlign w:val="center"/>
          </w:tcPr>
          <w:p w14:paraId="0D5012C0">
            <w:pPr>
              <w:jc w:val="right"/>
            </w:pPr>
            <w:r>
              <w:rPr>
                <w:rFonts w:hint="eastAsia"/>
              </w:rPr>
              <w:t>-</w:t>
            </w:r>
          </w:p>
        </w:tc>
        <w:tc>
          <w:tcPr>
            <w:tcW w:w="1384" w:type="dxa"/>
            <w:vAlign w:val="center"/>
          </w:tcPr>
          <w:p w14:paraId="2B85057D">
            <w:pPr>
              <w:jc w:val="right"/>
            </w:pPr>
            <w:r>
              <w:rPr>
                <w:rFonts w:hint="eastAsia"/>
              </w:rPr>
              <w:t>139,051.19</w:t>
            </w:r>
          </w:p>
        </w:tc>
        <w:tc>
          <w:tcPr>
            <w:tcW w:w="1384" w:type="dxa"/>
            <w:vAlign w:val="center"/>
          </w:tcPr>
          <w:p w14:paraId="761551B6">
            <w:pPr>
              <w:jc w:val="right"/>
            </w:pPr>
            <w:r>
              <w:rPr>
                <w:rFonts w:hint="eastAsia"/>
              </w:rPr>
              <w:t>139,051.19</w:t>
            </w:r>
          </w:p>
        </w:tc>
      </w:tr>
      <w:tr w14:paraId="6614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D3F2D">
            <w:r>
              <w:rPr>
                <w:rFonts w:hint="eastAsia"/>
              </w:rPr>
              <w:t>应付销售服务费</w:t>
            </w:r>
          </w:p>
        </w:tc>
        <w:tc>
          <w:tcPr>
            <w:tcW w:w="1384" w:type="dxa"/>
            <w:vAlign w:val="center"/>
          </w:tcPr>
          <w:p w14:paraId="5533E409">
            <w:pPr>
              <w:jc w:val="right"/>
            </w:pPr>
            <w:r>
              <w:rPr>
                <w:rFonts w:hint="eastAsia"/>
              </w:rPr>
              <w:t>-</w:t>
            </w:r>
          </w:p>
        </w:tc>
        <w:tc>
          <w:tcPr>
            <w:tcW w:w="1384" w:type="dxa"/>
            <w:vAlign w:val="center"/>
          </w:tcPr>
          <w:p w14:paraId="5F8793C4">
            <w:pPr>
              <w:jc w:val="right"/>
            </w:pPr>
            <w:r>
              <w:rPr>
                <w:rFonts w:hint="eastAsia"/>
              </w:rPr>
              <w:t>-</w:t>
            </w:r>
          </w:p>
        </w:tc>
        <w:tc>
          <w:tcPr>
            <w:tcW w:w="1384" w:type="dxa"/>
            <w:vAlign w:val="center"/>
          </w:tcPr>
          <w:p w14:paraId="42BAF072">
            <w:pPr>
              <w:jc w:val="right"/>
            </w:pPr>
            <w:r>
              <w:rPr>
                <w:rFonts w:hint="eastAsia"/>
              </w:rPr>
              <w:t>-</w:t>
            </w:r>
          </w:p>
        </w:tc>
        <w:tc>
          <w:tcPr>
            <w:tcW w:w="1384" w:type="dxa"/>
            <w:vAlign w:val="center"/>
          </w:tcPr>
          <w:p w14:paraId="698A1D94">
            <w:pPr>
              <w:jc w:val="right"/>
            </w:pPr>
            <w:r>
              <w:rPr>
                <w:rFonts w:hint="eastAsia"/>
              </w:rPr>
              <w:t>-</w:t>
            </w:r>
          </w:p>
        </w:tc>
        <w:tc>
          <w:tcPr>
            <w:tcW w:w="1384" w:type="dxa"/>
            <w:vAlign w:val="center"/>
          </w:tcPr>
          <w:p w14:paraId="0AA98FB4">
            <w:pPr>
              <w:jc w:val="right"/>
            </w:pPr>
            <w:r>
              <w:rPr>
                <w:rFonts w:hint="eastAsia"/>
              </w:rPr>
              <w:t>-</w:t>
            </w:r>
          </w:p>
        </w:tc>
      </w:tr>
      <w:tr w14:paraId="6AF17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8A388A">
            <w:r>
              <w:rPr>
                <w:rFonts w:hint="eastAsia"/>
              </w:rPr>
              <w:t>应付投资顾问费</w:t>
            </w:r>
          </w:p>
        </w:tc>
        <w:tc>
          <w:tcPr>
            <w:tcW w:w="1384" w:type="dxa"/>
            <w:vAlign w:val="center"/>
          </w:tcPr>
          <w:p w14:paraId="2A1919D1">
            <w:pPr>
              <w:jc w:val="right"/>
            </w:pPr>
            <w:r>
              <w:rPr>
                <w:rFonts w:hint="eastAsia"/>
              </w:rPr>
              <w:t>-</w:t>
            </w:r>
          </w:p>
        </w:tc>
        <w:tc>
          <w:tcPr>
            <w:tcW w:w="1384" w:type="dxa"/>
            <w:vAlign w:val="center"/>
          </w:tcPr>
          <w:p w14:paraId="734D754D">
            <w:pPr>
              <w:jc w:val="right"/>
            </w:pPr>
            <w:r>
              <w:rPr>
                <w:rFonts w:hint="eastAsia"/>
              </w:rPr>
              <w:t>-</w:t>
            </w:r>
          </w:p>
        </w:tc>
        <w:tc>
          <w:tcPr>
            <w:tcW w:w="1384" w:type="dxa"/>
            <w:vAlign w:val="center"/>
          </w:tcPr>
          <w:p w14:paraId="731C5EE6">
            <w:pPr>
              <w:jc w:val="right"/>
            </w:pPr>
            <w:r>
              <w:rPr>
                <w:rFonts w:hint="eastAsia"/>
              </w:rPr>
              <w:t>-</w:t>
            </w:r>
          </w:p>
        </w:tc>
        <w:tc>
          <w:tcPr>
            <w:tcW w:w="1384" w:type="dxa"/>
            <w:vAlign w:val="center"/>
          </w:tcPr>
          <w:p w14:paraId="7F89C6A2">
            <w:pPr>
              <w:jc w:val="right"/>
            </w:pPr>
            <w:r>
              <w:rPr>
                <w:rFonts w:hint="eastAsia"/>
              </w:rPr>
              <w:t>-</w:t>
            </w:r>
          </w:p>
        </w:tc>
        <w:tc>
          <w:tcPr>
            <w:tcW w:w="1384" w:type="dxa"/>
            <w:vAlign w:val="center"/>
          </w:tcPr>
          <w:p w14:paraId="0B8B7B73">
            <w:pPr>
              <w:jc w:val="right"/>
            </w:pPr>
            <w:r>
              <w:rPr>
                <w:rFonts w:hint="eastAsia"/>
              </w:rPr>
              <w:t>-</w:t>
            </w:r>
          </w:p>
        </w:tc>
      </w:tr>
      <w:tr w14:paraId="521C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9FC36">
            <w:r>
              <w:rPr>
                <w:rFonts w:hint="eastAsia"/>
              </w:rPr>
              <w:t>应交税费</w:t>
            </w:r>
          </w:p>
        </w:tc>
        <w:tc>
          <w:tcPr>
            <w:tcW w:w="1384" w:type="dxa"/>
            <w:vAlign w:val="center"/>
          </w:tcPr>
          <w:p w14:paraId="539543D6">
            <w:pPr>
              <w:jc w:val="right"/>
            </w:pPr>
            <w:r>
              <w:rPr>
                <w:rFonts w:hint="eastAsia"/>
              </w:rPr>
              <w:t>-</w:t>
            </w:r>
          </w:p>
        </w:tc>
        <w:tc>
          <w:tcPr>
            <w:tcW w:w="1384" w:type="dxa"/>
            <w:vAlign w:val="center"/>
          </w:tcPr>
          <w:p w14:paraId="306E6634">
            <w:pPr>
              <w:jc w:val="right"/>
            </w:pPr>
            <w:r>
              <w:rPr>
                <w:rFonts w:hint="eastAsia"/>
              </w:rPr>
              <w:t>-</w:t>
            </w:r>
          </w:p>
        </w:tc>
        <w:tc>
          <w:tcPr>
            <w:tcW w:w="1384" w:type="dxa"/>
            <w:vAlign w:val="center"/>
          </w:tcPr>
          <w:p w14:paraId="266FB7ED">
            <w:pPr>
              <w:jc w:val="right"/>
            </w:pPr>
            <w:r>
              <w:rPr>
                <w:rFonts w:hint="eastAsia"/>
              </w:rPr>
              <w:t>-</w:t>
            </w:r>
          </w:p>
        </w:tc>
        <w:tc>
          <w:tcPr>
            <w:tcW w:w="1384" w:type="dxa"/>
            <w:vAlign w:val="center"/>
          </w:tcPr>
          <w:p w14:paraId="3EE9E4F7">
            <w:pPr>
              <w:jc w:val="right"/>
            </w:pPr>
            <w:r>
              <w:rPr>
                <w:rFonts w:hint="eastAsia"/>
              </w:rPr>
              <w:t>111,771.09</w:t>
            </w:r>
          </w:p>
        </w:tc>
        <w:tc>
          <w:tcPr>
            <w:tcW w:w="1384" w:type="dxa"/>
            <w:vAlign w:val="center"/>
          </w:tcPr>
          <w:p w14:paraId="379E5346">
            <w:pPr>
              <w:jc w:val="right"/>
            </w:pPr>
            <w:r>
              <w:rPr>
                <w:rFonts w:hint="eastAsia"/>
              </w:rPr>
              <w:t>111,771.09</w:t>
            </w:r>
          </w:p>
        </w:tc>
      </w:tr>
      <w:tr w14:paraId="2179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9E5D33">
            <w:r>
              <w:rPr>
                <w:rFonts w:hint="eastAsia"/>
              </w:rPr>
              <w:t>应付利润</w:t>
            </w:r>
          </w:p>
        </w:tc>
        <w:tc>
          <w:tcPr>
            <w:tcW w:w="1384" w:type="dxa"/>
            <w:vAlign w:val="center"/>
          </w:tcPr>
          <w:p w14:paraId="30A03636">
            <w:pPr>
              <w:jc w:val="right"/>
            </w:pPr>
            <w:r>
              <w:rPr>
                <w:rFonts w:hint="eastAsia"/>
              </w:rPr>
              <w:t>-</w:t>
            </w:r>
          </w:p>
        </w:tc>
        <w:tc>
          <w:tcPr>
            <w:tcW w:w="1384" w:type="dxa"/>
            <w:vAlign w:val="center"/>
          </w:tcPr>
          <w:p w14:paraId="267AEA48">
            <w:pPr>
              <w:jc w:val="right"/>
            </w:pPr>
            <w:r>
              <w:rPr>
                <w:rFonts w:hint="eastAsia"/>
              </w:rPr>
              <w:t>-</w:t>
            </w:r>
          </w:p>
        </w:tc>
        <w:tc>
          <w:tcPr>
            <w:tcW w:w="1384" w:type="dxa"/>
            <w:vAlign w:val="center"/>
          </w:tcPr>
          <w:p w14:paraId="2EB2EE04">
            <w:pPr>
              <w:jc w:val="right"/>
            </w:pPr>
            <w:r>
              <w:rPr>
                <w:rFonts w:hint="eastAsia"/>
              </w:rPr>
              <w:t>-</w:t>
            </w:r>
          </w:p>
        </w:tc>
        <w:tc>
          <w:tcPr>
            <w:tcW w:w="1384" w:type="dxa"/>
            <w:vAlign w:val="center"/>
          </w:tcPr>
          <w:p w14:paraId="34C0B898">
            <w:pPr>
              <w:jc w:val="right"/>
            </w:pPr>
            <w:r>
              <w:rPr>
                <w:rFonts w:hint="eastAsia"/>
              </w:rPr>
              <w:t>-</w:t>
            </w:r>
          </w:p>
        </w:tc>
        <w:tc>
          <w:tcPr>
            <w:tcW w:w="1384" w:type="dxa"/>
            <w:vAlign w:val="center"/>
          </w:tcPr>
          <w:p w14:paraId="253372F0">
            <w:pPr>
              <w:jc w:val="right"/>
            </w:pPr>
            <w:r>
              <w:rPr>
                <w:rFonts w:hint="eastAsia"/>
              </w:rPr>
              <w:t>-</w:t>
            </w:r>
          </w:p>
        </w:tc>
      </w:tr>
      <w:tr w14:paraId="568D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61C2E">
            <w:r>
              <w:rPr>
                <w:rFonts w:hint="eastAsia"/>
              </w:rPr>
              <w:t>递延所得税负债</w:t>
            </w:r>
          </w:p>
        </w:tc>
        <w:tc>
          <w:tcPr>
            <w:tcW w:w="1384" w:type="dxa"/>
            <w:vAlign w:val="center"/>
          </w:tcPr>
          <w:p w14:paraId="2679B61C">
            <w:pPr>
              <w:jc w:val="right"/>
            </w:pPr>
            <w:r>
              <w:rPr>
                <w:rFonts w:hint="eastAsia"/>
              </w:rPr>
              <w:t>-</w:t>
            </w:r>
          </w:p>
        </w:tc>
        <w:tc>
          <w:tcPr>
            <w:tcW w:w="1384" w:type="dxa"/>
            <w:vAlign w:val="center"/>
          </w:tcPr>
          <w:p w14:paraId="15B7A467">
            <w:pPr>
              <w:jc w:val="right"/>
            </w:pPr>
            <w:r>
              <w:rPr>
                <w:rFonts w:hint="eastAsia"/>
              </w:rPr>
              <w:t>-</w:t>
            </w:r>
          </w:p>
        </w:tc>
        <w:tc>
          <w:tcPr>
            <w:tcW w:w="1384" w:type="dxa"/>
            <w:vAlign w:val="center"/>
          </w:tcPr>
          <w:p w14:paraId="2FBCBC8B">
            <w:pPr>
              <w:jc w:val="right"/>
            </w:pPr>
            <w:r>
              <w:rPr>
                <w:rFonts w:hint="eastAsia"/>
              </w:rPr>
              <w:t>-</w:t>
            </w:r>
          </w:p>
        </w:tc>
        <w:tc>
          <w:tcPr>
            <w:tcW w:w="1384" w:type="dxa"/>
            <w:vAlign w:val="center"/>
          </w:tcPr>
          <w:p w14:paraId="746D4DEE">
            <w:pPr>
              <w:jc w:val="right"/>
            </w:pPr>
            <w:r>
              <w:rPr>
                <w:rFonts w:hint="eastAsia"/>
              </w:rPr>
              <w:t>-</w:t>
            </w:r>
          </w:p>
        </w:tc>
        <w:tc>
          <w:tcPr>
            <w:tcW w:w="1384" w:type="dxa"/>
            <w:vAlign w:val="center"/>
          </w:tcPr>
          <w:p w14:paraId="03D57FB3">
            <w:pPr>
              <w:jc w:val="right"/>
            </w:pPr>
            <w:r>
              <w:rPr>
                <w:rFonts w:hint="eastAsia"/>
              </w:rPr>
              <w:t>-</w:t>
            </w:r>
          </w:p>
        </w:tc>
      </w:tr>
      <w:tr w14:paraId="60A5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B713F">
            <w:r>
              <w:rPr>
                <w:rFonts w:hint="eastAsia"/>
              </w:rPr>
              <w:t>其他负债</w:t>
            </w:r>
          </w:p>
        </w:tc>
        <w:tc>
          <w:tcPr>
            <w:tcW w:w="1384" w:type="dxa"/>
            <w:vAlign w:val="center"/>
          </w:tcPr>
          <w:p w14:paraId="09534478">
            <w:pPr>
              <w:jc w:val="right"/>
            </w:pPr>
            <w:r>
              <w:rPr>
                <w:rFonts w:hint="eastAsia"/>
              </w:rPr>
              <w:t>-</w:t>
            </w:r>
          </w:p>
        </w:tc>
        <w:tc>
          <w:tcPr>
            <w:tcW w:w="1384" w:type="dxa"/>
            <w:vAlign w:val="center"/>
          </w:tcPr>
          <w:p w14:paraId="69BF9E15">
            <w:pPr>
              <w:jc w:val="right"/>
            </w:pPr>
            <w:r>
              <w:rPr>
                <w:rFonts w:hint="eastAsia"/>
              </w:rPr>
              <w:t>-</w:t>
            </w:r>
          </w:p>
        </w:tc>
        <w:tc>
          <w:tcPr>
            <w:tcW w:w="1384" w:type="dxa"/>
            <w:vAlign w:val="center"/>
          </w:tcPr>
          <w:p w14:paraId="5429606A">
            <w:pPr>
              <w:jc w:val="right"/>
            </w:pPr>
            <w:r>
              <w:rPr>
                <w:rFonts w:hint="eastAsia"/>
              </w:rPr>
              <w:t>-</w:t>
            </w:r>
          </w:p>
        </w:tc>
        <w:tc>
          <w:tcPr>
            <w:tcW w:w="1384" w:type="dxa"/>
            <w:vAlign w:val="center"/>
          </w:tcPr>
          <w:p w14:paraId="0C4966CF">
            <w:pPr>
              <w:jc w:val="right"/>
            </w:pPr>
            <w:r>
              <w:rPr>
                <w:rFonts w:hint="eastAsia"/>
              </w:rPr>
              <w:t>231,931.75</w:t>
            </w:r>
          </w:p>
        </w:tc>
        <w:tc>
          <w:tcPr>
            <w:tcW w:w="1384" w:type="dxa"/>
            <w:vAlign w:val="center"/>
          </w:tcPr>
          <w:p w14:paraId="1EB7C30C">
            <w:pPr>
              <w:jc w:val="right"/>
            </w:pPr>
            <w:r>
              <w:rPr>
                <w:rFonts w:hint="eastAsia"/>
              </w:rPr>
              <w:t>231,931.75</w:t>
            </w:r>
          </w:p>
        </w:tc>
      </w:tr>
      <w:tr w14:paraId="6C8D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40D57A">
            <w:r>
              <w:rPr>
                <w:rFonts w:hint="eastAsia"/>
              </w:rPr>
              <w:t>负债总计</w:t>
            </w:r>
          </w:p>
        </w:tc>
        <w:tc>
          <w:tcPr>
            <w:tcW w:w="1384" w:type="dxa"/>
            <w:vAlign w:val="center"/>
          </w:tcPr>
          <w:p w14:paraId="7C60404A">
            <w:pPr>
              <w:jc w:val="right"/>
            </w:pPr>
            <w:r>
              <w:rPr>
                <w:rFonts w:hint="eastAsia"/>
              </w:rPr>
              <w:t>369,623,702.59</w:t>
            </w:r>
          </w:p>
        </w:tc>
        <w:tc>
          <w:tcPr>
            <w:tcW w:w="1384" w:type="dxa"/>
            <w:vAlign w:val="center"/>
          </w:tcPr>
          <w:p w14:paraId="4952B786">
            <w:pPr>
              <w:jc w:val="right"/>
            </w:pPr>
            <w:r>
              <w:rPr>
                <w:rFonts w:hint="eastAsia"/>
              </w:rPr>
              <w:t>-</w:t>
            </w:r>
          </w:p>
        </w:tc>
        <w:tc>
          <w:tcPr>
            <w:tcW w:w="1384" w:type="dxa"/>
            <w:vAlign w:val="center"/>
          </w:tcPr>
          <w:p w14:paraId="021C1EF7">
            <w:pPr>
              <w:jc w:val="right"/>
            </w:pPr>
            <w:r>
              <w:rPr>
                <w:rFonts w:hint="eastAsia"/>
              </w:rPr>
              <w:t>-</w:t>
            </w:r>
          </w:p>
        </w:tc>
        <w:tc>
          <w:tcPr>
            <w:tcW w:w="1384" w:type="dxa"/>
            <w:vAlign w:val="center"/>
          </w:tcPr>
          <w:p w14:paraId="03336E70">
            <w:pPr>
              <w:jc w:val="right"/>
            </w:pPr>
            <w:r>
              <w:rPr>
                <w:rFonts w:hint="eastAsia"/>
              </w:rPr>
              <w:t>11,196,262.15</w:t>
            </w:r>
          </w:p>
        </w:tc>
        <w:tc>
          <w:tcPr>
            <w:tcW w:w="1384" w:type="dxa"/>
            <w:vAlign w:val="center"/>
          </w:tcPr>
          <w:p w14:paraId="3FAE383E">
            <w:pPr>
              <w:jc w:val="right"/>
            </w:pPr>
            <w:r>
              <w:rPr>
                <w:rFonts w:hint="eastAsia"/>
              </w:rPr>
              <w:t>380,819,964.74</w:t>
            </w:r>
          </w:p>
        </w:tc>
      </w:tr>
      <w:tr w14:paraId="09C9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3C829">
            <w:r>
              <w:rPr>
                <w:rFonts w:hint="eastAsia"/>
              </w:rPr>
              <w:t>利率敏感度缺口</w:t>
            </w:r>
          </w:p>
        </w:tc>
        <w:tc>
          <w:tcPr>
            <w:tcW w:w="1384" w:type="dxa"/>
            <w:vAlign w:val="center"/>
          </w:tcPr>
          <w:p w14:paraId="1E378EE1">
            <w:pPr>
              <w:jc w:val="right"/>
            </w:pPr>
            <w:r>
              <w:rPr>
                <w:rFonts w:hint="eastAsia"/>
              </w:rPr>
              <w:t>140,076,578.57</w:t>
            </w:r>
          </w:p>
        </w:tc>
        <w:tc>
          <w:tcPr>
            <w:tcW w:w="1384" w:type="dxa"/>
            <w:vAlign w:val="center"/>
          </w:tcPr>
          <w:p w14:paraId="6A2AC3D4">
            <w:pPr>
              <w:jc w:val="right"/>
            </w:pPr>
            <w:r>
              <w:rPr>
                <w:rFonts w:hint="eastAsia"/>
              </w:rPr>
              <w:t>1,391,032,173.69</w:t>
            </w:r>
          </w:p>
        </w:tc>
        <w:tc>
          <w:tcPr>
            <w:tcW w:w="1384" w:type="dxa"/>
            <w:vAlign w:val="center"/>
          </w:tcPr>
          <w:p w14:paraId="18F2645A">
            <w:pPr>
              <w:jc w:val="right"/>
            </w:pPr>
            <w:r>
              <w:rPr>
                <w:rFonts w:hint="eastAsia"/>
              </w:rPr>
              <w:t>104,901,514.25</w:t>
            </w:r>
          </w:p>
        </w:tc>
        <w:tc>
          <w:tcPr>
            <w:tcW w:w="1384" w:type="dxa"/>
            <w:vAlign w:val="center"/>
          </w:tcPr>
          <w:p w14:paraId="6B31E04C">
            <w:pPr>
              <w:jc w:val="right"/>
            </w:pPr>
            <w:r>
              <w:rPr>
                <w:rFonts w:hint="eastAsia"/>
              </w:rPr>
              <w:t>10,019,425.52</w:t>
            </w:r>
          </w:p>
        </w:tc>
        <w:tc>
          <w:tcPr>
            <w:tcW w:w="1384" w:type="dxa"/>
            <w:vAlign w:val="center"/>
          </w:tcPr>
          <w:p w14:paraId="7653FE5F">
            <w:pPr>
              <w:jc w:val="right"/>
            </w:pPr>
            <w:r>
              <w:rPr>
                <w:rFonts w:hint="eastAsia"/>
              </w:rPr>
              <w:t>1,646,029,692.03</w:t>
            </w:r>
          </w:p>
        </w:tc>
      </w:tr>
    </w:tbl>
    <w:p w14:paraId="5F969726">
      <w:pPr>
        <w:pStyle w:val="47"/>
        <w:rPr>
          <w:rFonts w:hint="eastAsia"/>
        </w:rPr>
      </w:pPr>
      <w:r>
        <w:rPr>
          <w:rFonts w:hint="eastAsia"/>
        </w:rPr>
        <w:t>注：表中所示为本基金资产及负债的账面价值，并按照合约规定的利率重新定价日或到期日孰早者予以分类。</w:t>
      </w:r>
    </w:p>
    <w:p w14:paraId="458D1ABE">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D2DD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7B09D6B">
            <w:r>
              <w:rPr>
                <w:rFonts w:hint="eastAsia"/>
              </w:rPr>
              <w:t>假设</w:t>
            </w:r>
          </w:p>
        </w:tc>
        <w:tc>
          <w:tcPr>
            <w:tcW w:w="3267" w:type="dxa"/>
            <w:gridSpan w:val="3"/>
            <w:vAlign w:val="center"/>
          </w:tcPr>
          <w:p w14:paraId="6B96C5B0">
            <w:r>
              <w:rPr>
                <w:rFonts w:hint="eastAsia"/>
              </w:rPr>
              <w:t>除市场利率以外的其他市场变量保持不变</w:t>
            </w:r>
          </w:p>
        </w:tc>
      </w:tr>
      <w:tr w14:paraId="666C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98883D6">
            <w:r>
              <w:rPr>
                <w:rFonts w:hint="eastAsia"/>
              </w:rPr>
              <w:t>分析</w:t>
            </w:r>
          </w:p>
        </w:tc>
        <w:tc>
          <w:tcPr>
            <w:tcW w:w="3267" w:type="dxa"/>
            <w:vMerge w:val="restart"/>
            <w:vAlign w:val="center"/>
          </w:tcPr>
          <w:p w14:paraId="57787823">
            <w:r>
              <w:rPr>
                <w:rFonts w:hint="eastAsia"/>
              </w:rPr>
              <w:t>相关风险变量的变动</w:t>
            </w:r>
          </w:p>
        </w:tc>
        <w:tc>
          <w:tcPr>
            <w:tcW w:w="2159" w:type="dxa"/>
            <w:gridSpan w:val="2"/>
            <w:vAlign w:val="center"/>
          </w:tcPr>
          <w:p w14:paraId="26338E8C">
            <w:r>
              <w:rPr>
                <w:rFonts w:hint="eastAsia"/>
              </w:rPr>
              <w:t>对资产负债表日基金资产净值的影响金额（单位：人民币元）</w:t>
            </w:r>
          </w:p>
        </w:tc>
      </w:tr>
      <w:tr w14:paraId="3175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92D41E"/>
        </w:tc>
        <w:tc>
          <w:tcPr>
            <w:tcW w:w="3267" w:type="dxa"/>
            <w:vMerge w:val="continue"/>
            <w:vAlign w:val="center"/>
          </w:tcPr>
          <w:p w14:paraId="7D4ECA41"/>
        </w:tc>
        <w:tc>
          <w:tcPr>
            <w:tcW w:w="2159" w:type="dxa"/>
            <w:vAlign w:val="center"/>
          </w:tcPr>
          <w:p w14:paraId="4FEC5090">
            <w:r>
              <w:rPr>
                <w:rFonts w:hint="eastAsia"/>
              </w:rPr>
              <w:t>本期末（ 2025年12月31日 ）</w:t>
            </w:r>
          </w:p>
        </w:tc>
        <w:tc>
          <w:tcPr>
            <w:tcW w:w="2159" w:type="dxa"/>
            <w:vAlign w:val="center"/>
          </w:tcPr>
          <w:p w14:paraId="36369759">
            <w:r>
              <w:rPr>
                <w:rFonts w:hint="eastAsia"/>
              </w:rPr>
              <w:t>上年度末（ 2024年12月31日 ）</w:t>
            </w:r>
          </w:p>
        </w:tc>
      </w:tr>
      <w:tr w14:paraId="5B24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748C93"/>
        </w:tc>
        <w:tc>
          <w:tcPr>
            <w:tcW w:w="3267" w:type="dxa"/>
            <w:vAlign w:val="center"/>
          </w:tcPr>
          <w:p w14:paraId="673FA3B1">
            <w:r>
              <w:rPr>
                <w:rFonts w:hint="eastAsia"/>
              </w:rPr>
              <w:t>1.市场利率平行上升25个基点</w:t>
            </w:r>
          </w:p>
        </w:tc>
        <w:tc>
          <w:tcPr>
            <w:tcW w:w="2159" w:type="dxa"/>
            <w:vAlign w:val="center"/>
          </w:tcPr>
          <w:p w14:paraId="0B26F549">
            <w:pPr>
              <w:jc w:val="right"/>
            </w:pPr>
            <w:r>
              <w:rPr>
                <w:rFonts w:hint="eastAsia"/>
              </w:rPr>
              <w:t>-13,605,469.21</w:t>
            </w:r>
          </w:p>
        </w:tc>
        <w:tc>
          <w:tcPr>
            <w:tcW w:w="2159" w:type="dxa"/>
            <w:vAlign w:val="center"/>
          </w:tcPr>
          <w:p w14:paraId="2494ABE2">
            <w:pPr>
              <w:jc w:val="right"/>
            </w:pPr>
            <w:r>
              <w:rPr>
                <w:rFonts w:hint="eastAsia"/>
              </w:rPr>
              <w:t>-11,114,660.68</w:t>
            </w:r>
          </w:p>
        </w:tc>
      </w:tr>
      <w:tr w14:paraId="6C46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34BB15"/>
        </w:tc>
        <w:tc>
          <w:tcPr>
            <w:tcW w:w="3267" w:type="dxa"/>
            <w:vAlign w:val="center"/>
          </w:tcPr>
          <w:p w14:paraId="3C3851F0">
            <w:r>
              <w:rPr>
                <w:rFonts w:hint="eastAsia"/>
              </w:rPr>
              <w:t>2.市场利率平行下降25个基点</w:t>
            </w:r>
          </w:p>
        </w:tc>
        <w:tc>
          <w:tcPr>
            <w:tcW w:w="2159" w:type="dxa"/>
            <w:vAlign w:val="center"/>
          </w:tcPr>
          <w:p w14:paraId="6BD29AD9">
            <w:pPr>
              <w:jc w:val="right"/>
            </w:pPr>
            <w:r>
              <w:rPr>
                <w:rFonts w:hint="eastAsia"/>
              </w:rPr>
              <w:t>13,962,632.71</w:t>
            </w:r>
          </w:p>
        </w:tc>
        <w:tc>
          <w:tcPr>
            <w:tcW w:w="2159" w:type="dxa"/>
            <w:vAlign w:val="center"/>
          </w:tcPr>
          <w:p w14:paraId="342B6E66">
            <w:pPr>
              <w:jc w:val="right"/>
            </w:pPr>
            <w:r>
              <w:rPr>
                <w:rFonts w:hint="eastAsia"/>
              </w:rPr>
              <w:t>11,268,595.71</w:t>
            </w:r>
          </w:p>
        </w:tc>
      </w:tr>
    </w:tbl>
    <w:p w14:paraId="5670A3F8">
      <w:pPr>
        <w:pStyle w:val="36"/>
      </w:pPr>
      <w:bookmarkStart w:id="142" w:name="_Toc142"/>
      <w:r>
        <w:t>外汇风险</w:t>
      </w:r>
      <w:bookmarkEnd w:id="142"/>
    </w:p>
    <w:p w14:paraId="7B0E15F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E3CAB0A">
      <w:pPr>
        <w:pStyle w:val="36"/>
      </w:pPr>
      <w:bookmarkStart w:id="143" w:name="_Toc143"/>
      <w:r>
        <w:t>其他价格风险</w:t>
      </w:r>
      <w:bookmarkEnd w:id="143"/>
    </w:p>
    <w:p w14:paraId="7E32E88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52F81F8">
      <w:pPr>
        <w:pStyle w:val="28"/>
      </w:pPr>
      <w:bookmarkStart w:id="144" w:name="_Toc144"/>
      <w:r>
        <w:t>公允价值</w:t>
      </w:r>
      <w:bookmarkEnd w:id="144"/>
    </w:p>
    <w:p w14:paraId="567810AD">
      <w:pPr>
        <w:pStyle w:val="35"/>
      </w:pPr>
      <w:bookmarkStart w:id="145" w:name="_Toc145"/>
      <w:r>
        <w:t>金融工具公允价值计量的方法</w:t>
      </w:r>
      <w:bookmarkEnd w:id="145"/>
    </w:p>
    <w:p w14:paraId="16B0096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F047570">
      <w:pPr>
        <w:pStyle w:val="35"/>
      </w:pPr>
      <w:bookmarkStart w:id="146" w:name="_Toc146"/>
      <w:r>
        <w:t>持续的以公允价值计量的金融工具</w:t>
      </w:r>
      <w:bookmarkEnd w:id="146"/>
    </w:p>
    <w:p w14:paraId="24214DD6">
      <w:pPr>
        <w:pStyle w:val="36"/>
      </w:pPr>
      <w:bookmarkStart w:id="147" w:name="_Toc147"/>
      <w:r>
        <w:t>各层次金融工具的公允价值</w:t>
      </w:r>
      <w:bookmarkEnd w:id="147"/>
    </w:p>
    <w:p w14:paraId="2F4E47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F4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45142C">
            <w:pPr>
              <w:jc w:val="center"/>
            </w:pPr>
            <w:r>
              <w:rPr>
                <w:rFonts w:hint="eastAsia"/>
                <w:b/>
              </w:rPr>
              <w:t>公允价值计量结果所属的层次</w:t>
            </w:r>
          </w:p>
        </w:tc>
        <w:tc>
          <w:tcPr>
            <w:tcW w:w="2768" w:type="dxa"/>
            <w:shd w:val="clear" w:color="auto" w:fill="BFBFBF"/>
            <w:vAlign w:val="center"/>
          </w:tcPr>
          <w:p w14:paraId="5F2B3240">
            <w:pPr>
              <w:jc w:val="center"/>
            </w:pPr>
            <w:r>
              <w:rPr>
                <w:rFonts w:hint="eastAsia"/>
                <w:b/>
              </w:rPr>
              <w:t>本期末2025年12月31日</w:t>
            </w:r>
          </w:p>
        </w:tc>
        <w:tc>
          <w:tcPr>
            <w:tcW w:w="2768" w:type="dxa"/>
            <w:shd w:val="clear" w:color="auto" w:fill="BFBFBF"/>
            <w:vAlign w:val="center"/>
          </w:tcPr>
          <w:p w14:paraId="712BF006">
            <w:pPr>
              <w:jc w:val="center"/>
            </w:pPr>
            <w:r>
              <w:rPr>
                <w:rFonts w:hint="eastAsia"/>
                <w:b/>
              </w:rPr>
              <w:t>上年度末2024年12月31日</w:t>
            </w:r>
          </w:p>
        </w:tc>
      </w:tr>
      <w:tr w14:paraId="19AE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53E14">
            <w:r>
              <w:rPr>
                <w:rFonts w:hint="eastAsia"/>
              </w:rPr>
              <w:t>第一层次</w:t>
            </w:r>
          </w:p>
        </w:tc>
        <w:tc>
          <w:tcPr>
            <w:tcW w:w="2768" w:type="dxa"/>
            <w:vAlign w:val="center"/>
          </w:tcPr>
          <w:p w14:paraId="0C7E0A31">
            <w:pPr>
              <w:jc w:val="right"/>
            </w:pPr>
            <w:r>
              <w:rPr>
                <w:rFonts w:hint="eastAsia"/>
              </w:rPr>
              <w:t>-</w:t>
            </w:r>
          </w:p>
        </w:tc>
        <w:tc>
          <w:tcPr>
            <w:tcW w:w="2768" w:type="dxa"/>
            <w:vAlign w:val="center"/>
          </w:tcPr>
          <w:p w14:paraId="158DA6C4">
            <w:pPr>
              <w:jc w:val="right"/>
            </w:pPr>
            <w:r>
              <w:rPr>
                <w:rFonts w:hint="eastAsia"/>
              </w:rPr>
              <w:t>-</w:t>
            </w:r>
          </w:p>
        </w:tc>
      </w:tr>
      <w:tr w14:paraId="7740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24EF4A">
            <w:r>
              <w:rPr>
                <w:rFonts w:hint="eastAsia"/>
              </w:rPr>
              <w:t>第二层次</w:t>
            </w:r>
          </w:p>
        </w:tc>
        <w:tc>
          <w:tcPr>
            <w:tcW w:w="2768" w:type="dxa"/>
            <w:vAlign w:val="center"/>
          </w:tcPr>
          <w:p w14:paraId="7DBD2FE0">
            <w:pPr>
              <w:jc w:val="right"/>
            </w:pPr>
            <w:r>
              <w:rPr>
                <w:rFonts w:hint="eastAsia"/>
              </w:rPr>
              <w:t>1,149,118,371.38</w:t>
            </w:r>
          </w:p>
        </w:tc>
        <w:tc>
          <w:tcPr>
            <w:tcW w:w="2768" w:type="dxa"/>
            <w:vAlign w:val="center"/>
          </w:tcPr>
          <w:p w14:paraId="4B284D5C">
            <w:pPr>
              <w:jc w:val="right"/>
            </w:pPr>
            <w:r>
              <w:rPr>
                <w:rFonts w:hint="eastAsia"/>
              </w:rPr>
              <w:t>1,994,397,248.37</w:t>
            </w:r>
          </w:p>
        </w:tc>
      </w:tr>
      <w:tr w14:paraId="24C9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C7B20">
            <w:r>
              <w:rPr>
                <w:rFonts w:hint="eastAsia"/>
              </w:rPr>
              <w:t>第三层次</w:t>
            </w:r>
          </w:p>
        </w:tc>
        <w:tc>
          <w:tcPr>
            <w:tcW w:w="2768" w:type="dxa"/>
            <w:vAlign w:val="center"/>
          </w:tcPr>
          <w:p w14:paraId="7D41D8B1">
            <w:pPr>
              <w:jc w:val="right"/>
            </w:pPr>
            <w:r>
              <w:rPr>
                <w:rFonts w:hint="eastAsia"/>
              </w:rPr>
              <w:t>-</w:t>
            </w:r>
          </w:p>
        </w:tc>
        <w:tc>
          <w:tcPr>
            <w:tcW w:w="2768" w:type="dxa"/>
            <w:vAlign w:val="center"/>
          </w:tcPr>
          <w:p w14:paraId="68CBFFA5">
            <w:pPr>
              <w:jc w:val="right"/>
            </w:pPr>
            <w:r>
              <w:rPr>
                <w:rFonts w:hint="eastAsia"/>
              </w:rPr>
              <w:t>-</w:t>
            </w:r>
          </w:p>
        </w:tc>
      </w:tr>
      <w:tr w14:paraId="191E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A8015">
            <w:r>
              <w:rPr>
                <w:rFonts w:hint="eastAsia"/>
              </w:rPr>
              <w:t>合计</w:t>
            </w:r>
          </w:p>
        </w:tc>
        <w:tc>
          <w:tcPr>
            <w:tcW w:w="2768" w:type="dxa"/>
            <w:vAlign w:val="center"/>
          </w:tcPr>
          <w:p w14:paraId="299AAB52">
            <w:pPr>
              <w:jc w:val="right"/>
            </w:pPr>
            <w:r>
              <w:rPr>
                <w:rFonts w:hint="eastAsia"/>
              </w:rPr>
              <w:t>1,149,118,371.38</w:t>
            </w:r>
          </w:p>
        </w:tc>
        <w:tc>
          <w:tcPr>
            <w:tcW w:w="2768" w:type="dxa"/>
            <w:vAlign w:val="center"/>
          </w:tcPr>
          <w:p w14:paraId="502EEFDF">
            <w:pPr>
              <w:jc w:val="right"/>
            </w:pPr>
            <w:r>
              <w:rPr>
                <w:rFonts w:hint="eastAsia"/>
              </w:rPr>
              <w:t>1,994,397,248.37</w:t>
            </w:r>
          </w:p>
        </w:tc>
      </w:tr>
    </w:tbl>
    <w:p w14:paraId="2AFE0301">
      <w:pPr>
        <w:pStyle w:val="36"/>
      </w:pPr>
      <w:bookmarkStart w:id="148" w:name="_Toc148"/>
      <w:r>
        <w:t>公允价值所属层次间的重大变动</w:t>
      </w:r>
      <w:bookmarkEnd w:id="148"/>
    </w:p>
    <w:p w14:paraId="1128BE23">
      <w:pPr>
        <w:pStyle w:val="18"/>
        <w:rPr>
          <w:rFonts w:hint="eastAsia"/>
        </w:rPr>
      </w:pPr>
      <w:r>
        <w:rPr>
          <w:rFonts w:hint="eastAsia"/>
        </w:rPr>
        <w:t>本基金以导致各层次之间转换的事项发生日为确认各层次之间转换的时点。</w:t>
      </w:r>
    </w:p>
    <w:p w14:paraId="5677E1EC">
      <w:pPr>
        <w:pStyle w:val="18"/>
        <w:rPr>
          <w:rFonts w:hint="eastAsia"/>
        </w:rPr>
      </w:pPr>
      <w:r>
        <w:rPr>
          <w:rFonts w:hint="eastAsia"/>
        </w:rPr>
        <w:t>本基金本期及上年度可比期间持有的以公允价值计量的金融工具的公允价值所属层次未发生重大变动。</w:t>
      </w:r>
    </w:p>
    <w:p w14:paraId="2F5E0844">
      <w:pPr>
        <w:pStyle w:val="35"/>
      </w:pPr>
      <w:bookmarkStart w:id="149" w:name="_Toc149"/>
      <w:r>
        <w:t>非持续的以公允价值计量的金融工具的说明</w:t>
      </w:r>
      <w:bookmarkEnd w:id="149"/>
    </w:p>
    <w:p w14:paraId="6B10347A">
      <w:pPr>
        <w:pStyle w:val="18"/>
        <w:rPr>
          <w:rFonts w:hint="eastAsia"/>
        </w:rPr>
      </w:pPr>
      <w:r>
        <w:rPr>
          <w:rFonts w:hint="eastAsia"/>
        </w:rPr>
        <w:t>于本报告期末，本基金未持有非持续的以公允价值计量的金融资产（上年度末：同）。</w:t>
      </w:r>
    </w:p>
    <w:p w14:paraId="60C8547C">
      <w:pPr>
        <w:pStyle w:val="35"/>
      </w:pPr>
      <w:bookmarkStart w:id="150" w:name="_Toc150"/>
      <w:r>
        <w:t>不以公允价值计量的金融工具的相关说明</w:t>
      </w:r>
      <w:bookmarkEnd w:id="150"/>
    </w:p>
    <w:p w14:paraId="02A1D6DA">
      <w:pPr>
        <w:pStyle w:val="18"/>
        <w:rPr>
          <w:rFonts w:hint="eastAsia"/>
        </w:rPr>
      </w:pPr>
      <w:r>
        <w:rPr>
          <w:rFonts w:hint="eastAsia"/>
        </w:rPr>
        <w:t>不以公允价值计量的金融资产和负债主要包括应收款项和其他金融负债，其账面价值与公允价值相差很小。</w:t>
      </w:r>
    </w:p>
    <w:p w14:paraId="69EE61C7">
      <w:pPr>
        <w:pStyle w:val="28"/>
      </w:pPr>
      <w:bookmarkStart w:id="151" w:name="_Toc151"/>
      <w:r>
        <w:t>有助于理解和分析会计报表需要说明的其他事项</w:t>
      </w:r>
      <w:bookmarkEnd w:id="151"/>
    </w:p>
    <w:p w14:paraId="720ABE20">
      <w:pPr>
        <w:pStyle w:val="18"/>
        <w:rPr>
          <w:rFonts w:hint="eastAsia"/>
        </w:rPr>
      </w:pPr>
      <w:r>
        <w:rPr>
          <w:rFonts w:hint="eastAsia"/>
        </w:rPr>
        <w:t>截至资产负债表日本基金无需要说明的其他重要事项。</w:t>
      </w:r>
    </w:p>
    <w:p w14:paraId="752C2F7D">
      <w:pPr>
        <w:pStyle w:val="26"/>
      </w:pPr>
      <w:bookmarkStart w:id="152" w:name="_Toc7313"/>
      <w:r>
        <w:t>投资组合报告</w:t>
      </w:r>
      <w:bookmarkEnd w:id="152"/>
    </w:p>
    <w:p w14:paraId="4298D2BC">
      <w:pPr>
        <w:pStyle w:val="23"/>
      </w:pPr>
      <w:bookmarkStart w:id="153" w:name="_Toc26421"/>
      <w:r>
        <w:t>期末基金资产组合情况</w:t>
      </w:r>
      <w:bookmarkEnd w:id="153"/>
    </w:p>
    <w:p w14:paraId="711D255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3A2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92AE444">
            <w:pPr>
              <w:jc w:val="center"/>
            </w:pPr>
            <w:r>
              <w:rPr>
                <w:rFonts w:hint="eastAsia"/>
                <w:b/>
              </w:rPr>
              <w:t>序号</w:t>
            </w:r>
          </w:p>
        </w:tc>
        <w:tc>
          <w:tcPr>
            <w:tcW w:w="3211" w:type="dxa"/>
            <w:shd w:val="clear" w:color="auto" w:fill="BFBFBF"/>
            <w:vAlign w:val="center"/>
          </w:tcPr>
          <w:p w14:paraId="6F45E696">
            <w:pPr>
              <w:jc w:val="center"/>
            </w:pPr>
            <w:r>
              <w:rPr>
                <w:rFonts w:hint="eastAsia"/>
                <w:b/>
              </w:rPr>
              <w:t>项目</w:t>
            </w:r>
          </w:p>
        </w:tc>
        <w:tc>
          <w:tcPr>
            <w:tcW w:w="2214" w:type="dxa"/>
            <w:shd w:val="clear" w:color="auto" w:fill="BFBFBF"/>
            <w:vAlign w:val="center"/>
          </w:tcPr>
          <w:p w14:paraId="5DAF76B6">
            <w:pPr>
              <w:jc w:val="center"/>
            </w:pPr>
            <w:r>
              <w:rPr>
                <w:rFonts w:hint="eastAsia"/>
                <w:b/>
              </w:rPr>
              <w:t>金额</w:t>
            </w:r>
          </w:p>
        </w:tc>
        <w:tc>
          <w:tcPr>
            <w:tcW w:w="2214" w:type="dxa"/>
            <w:shd w:val="clear" w:color="auto" w:fill="BFBFBF"/>
            <w:vAlign w:val="center"/>
          </w:tcPr>
          <w:p w14:paraId="70D30A1D">
            <w:pPr>
              <w:jc w:val="center"/>
            </w:pPr>
            <w:r>
              <w:rPr>
                <w:rFonts w:hint="eastAsia"/>
                <w:b/>
              </w:rPr>
              <w:t>占基金总资产的比例（%）</w:t>
            </w:r>
          </w:p>
        </w:tc>
      </w:tr>
      <w:tr w14:paraId="1D797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DA898B">
            <w:pPr>
              <w:jc w:val="center"/>
            </w:pPr>
            <w:r>
              <w:rPr>
                <w:rFonts w:hint="eastAsia"/>
              </w:rPr>
              <w:t>1</w:t>
            </w:r>
          </w:p>
        </w:tc>
        <w:tc>
          <w:tcPr>
            <w:tcW w:w="3211" w:type="dxa"/>
            <w:vAlign w:val="center"/>
          </w:tcPr>
          <w:p w14:paraId="460D7B64">
            <w:r>
              <w:rPr>
                <w:rFonts w:hint="eastAsia"/>
              </w:rPr>
              <w:t>权益投资</w:t>
            </w:r>
          </w:p>
        </w:tc>
        <w:tc>
          <w:tcPr>
            <w:tcW w:w="2214" w:type="dxa"/>
            <w:vAlign w:val="center"/>
          </w:tcPr>
          <w:p w14:paraId="6485EA71">
            <w:pPr>
              <w:jc w:val="right"/>
            </w:pPr>
            <w:r>
              <w:rPr>
                <w:rFonts w:hint="eastAsia"/>
              </w:rPr>
              <w:t>-</w:t>
            </w:r>
          </w:p>
        </w:tc>
        <w:tc>
          <w:tcPr>
            <w:tcW w:w="2214" w:type="dxa"/>
            <w:vAlign w:val="center"/>
          </w:tcPr>
          <w:p w14:paraId="03216637">
            <w:pPr>
              <w:jc w:val="right"/>
            </w:pPr>
            <w:r>
              <w:rPr>
                <w:rFonts w:hint="eastAsia"/>
              </w:rPr>
              <w:t>-</w:t>
            </w:r>
          </w:p>
        </w:tc>
      </w:tr>
      <w:tr w14:paraId="0B6C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36694F">
            <w:pPr>
              <w:jc w:val="center"/>
            </w:pPr>
          </w:p>
        </w:tc>
        <w:tc>
          <w:tcPr>
            <w:tcW w:w="3211" w:type="dxa"/>
            <w:vAlign w:val="center"/>
          </w:tcPr>
          <w:p w14:paraId="17F859EA">
            <w:r>
              <w:rPr>
                <w:rFonts w:hint="eastAsia"/>
              </w:rPr>
              <w:t>其中：股票</w:t>
            </w:r>
          </w:p>
        </w:tc>
        <w:tc>
          <w:tcPr>
            <w:tcW w:w="2214" w:type="dxa"/>
            <w:vAlign w:val="center"/>
          </w:tcPr>
          <w:p w14:paraId="67C352B5">
            <w:pPr>
              <w:jc w:val="right"/>
            </w:pPr>
            <w:r>
              <w:rPr>
                <w:rFonts w:hint="eastAsia"/>
              </w:rPr>
              <w:t>-</w:t>
            </w:r>
          </w:p>
        </w:tc>
        <w:tc>
          <w:tcPr>
            <w:tcW w:w="2214" w:type="dxa"/>
            <w:vAlign w:val="center"/>
          </w:tcPr>
          <w:p w14:paraId="03B7F54E">
            <w:pPr>
              <w:jc w:val="right"/>
            </w:pPr>
            <w:r>
              <w:rPr>
                <w:rFonts w:hint="eastAsia"/>
              </w:rPr>
              <w:t>-</w:t>
            </w:r>
          </w:p>
        </w:tc>
      </w:tr>
      <w:tr w14:paraId="69274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71CFDF">
            <w:pPr>
              <w:jc w:val="center"/>
            </w:pPr>
            <w:r>
              <w:rPr>
                <w:rFonts w:hint="eastAsia"/>
              </w:rPr>
              <w:t>2</w:t>
            </w:r>
          </w:p>
        </w:tc>
        <w:tc>
          <w:tcPr>
            <w:tcW w:w="3211" w:type="dxa"/>
            <w:vAlign w:val="center"/>
          </w:tcPr>
          <w:p w14:paraId="1F69A752">
            <w:r>
              <w:rPr>
                <w:rFonts w:hint="eastAsia"/>
              </w:rPr>
              <w:t>基金投资</w:t>
            </w:r>
          </w:p>
        </w:tc>
        <w:tc>
          <w:tcPr>
            <w:tcW w:w="2214" w:type="dxa"/>
            <w:vAlign w:val="center"/>
          </w:tcPr>
          <w:p w14:paraId="6169F226">
            <w:pPr>
              <w:jc w:val="right"/>
            </w:pPr>
            <w:r>
              <w:rPr>
                <w:rFonts w:hint="eastAsia"/>
              </w:rPr>
              <w:t>-</w:t>
            </w:r>
          </w:p>
        </w:tc>
        <w:tc>
          <w:tcPr>
            <w:tcW w:w="2214" w:type="dxa"/>
            <w:vAlign w:val="center"/>
          </w:tcPr>
          <w:p w14:paraId="5A664D50">
            <w:pPr>
              <w:jc w:val="right"/>
            </w:pPr>
            <w:r>
              <w:rPr>
                <w:rFonts w:hint="eastAsia"/>
              </w:rPr>
              <w:t>-</w:t>
            </w:r>
          </w:p>
        </w:tc>
      </w:tr>
      <w:tr w14:paraId="0CF3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0AC8D4">
            <w:pPr>
              <w:jc w:val="center"/>
            </w:pPr>
            <w:r>
              <w:rPr>
                <w:rFonts w:hint="eastAsia"/>
              </w:rPr>
              <w:t>3</w:t>
            </w:r>
          </w:p>
        </w:tc>
        <w:tc>
          <w:tcPr>
            <w:tcW w:w="3211" w:type="dxa"/>
            <w:vAlign w:val="center"/>
          </w:tcPr>
          <w:p w14:paraId="74AD6EB1">
            <w:r>
              <w:rPr>
                <w:rFonts w:hint="eastAsia"/>
              </w:rPr>
              <w:t>固定收益投资</w:t>
            </w:r>
          </w:p>
        </w:tc>
        <w:tc>
          <w:tcPr>
            <w:tcW w:w="2214" w:type="dxa"/>
            <w:vAlign w:val="center"/>
          </w:tcPr>
          <w:p w14:paraId="10B7CBE1">
            <w:pPr>
              <w:jc w:val="right"/>
            </w:pPr>
            <w:r>
              <w:rPr>
                <w:rFonts w:hint="eastAsia"/>
              </w:rPr>
              <w:t>1,149,118,371.38</w:t>
            </w:r>
          </w:p>
        </w:tc>
        <w:tc>
          <w:tcPr>
            <w:tcW w:w="2214" w:type="dxa"/>
            <w:vAlign w:val="center"/>
          </w:tcPr>
          <w:p w14:paraId="4681364F">
            <w:pPr>
              <w:jc w:val="right"/>
            </w:pPr>
            <w:r>
              <w:rPr>
                <w:rFonts w:hint="eastAsia"/>
              </w:rPr>
              <w:t>99.86</w:t>
            </w:r>
          </w:p>
        </w:tc>
      </w:tr>
      <w:tr w14:paraId="56B2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874C4A">
            <w:pPr>
              <w:jc w:val="center"/>
            </w:pPr>
          </w:p>
        </w:tc>
        <w:tc>
          <w:tcPr>
            <w:tcW w:w="3211" w:type="dxa"/>
            <w:vAlign w:val="center"/>
          </w:tcPr>
          <w:p w14:paraId="0E4FB314">
            <w:r>
              <w:rPr>
                <w:rFonts w:hint="eastAsia"/>
              </w:rPr>
              <w:t>其中：债券</w:t>
            </w:r>
          </w:p>
        </w:tc>
        <w:tc>
          <w:tcPr>
            <w:tcW w:w="2214" w:type="dxa"/>
            <w:vAlign w:val="center"/>
          </w:tcPr>
          <w:p w14:paraId="0D5B4963">
            <w:pPr>
              <w:jc w:val="right"/>
            </w:pPr>
            <w:r>
              <w:rPr>
                <w:rFonts w:hint="eastAsia"/>
              </w:rPr>
              <w:t>1,149,118,371.38</w:t>
            </w:r>
          </w:p>
        </w:tc>
        <w:tc>
          <w:tcPr>
            <w:tcW w:w="2214" w:type="dxa"/>
            <w:vAlign w:val="center"/>
          </w:tcPr>
          <w:p w14:paraId="473BAE5C">
            <w:pPr>
              <w:jc w:val="right"/>
            </w:pPr>
            <w:r>
              <w:rPr>
                <w:rFonts w:hint="eastAsia"/>
              </w:rPr>
              <w:t>99.86</w:t>
            </w:r>
          </w:p>
        </w:tc>
      </w:tr>
      <w:tr w14:paraId="0CA0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FBE25D">
            <w:pPr>
              <w:jc w:val="center"/>
            </w:pPr>
          </w:p>
        </w:tc>
        <w:tc>
          <w:tcPr>
            <w:tcW w:w="3211" w:type="dxa"/>
            <w:vAlign w:val="center"/>
          </w:tcPr>
          <w:p w14:paraId="24BF3FC7">
            <w:r>
              <w:rPr>
                <w:rFonts w:hint="eastAsia"/>
              </w:rPr>
              <w:t xml:space="preserve">      资产支持证券</w:t>
            </w:r>
          </w:p>
        </w:tc>
        <w:tc>
          <w:tcPr>
            <w:tcW w:w="2214" w:type="dxa"/>
            <w:vAlign w:val="center"/>
          </w:tcPr>
          <w:p w14:paraId="78C18B26">
            <w:pPr>
              <w:jc w:val="right"/>
            </w:pPr>
            <w:r>
              <w:rPr>
                <w:rFonts w:hint="eastAsia"/>
              </w:rPr>
              <w:t>-</w:t>
            </w:r>
          </w:p>
        </w:tc>
        <w:tc>
          <w:tcPr>
            <w:tcW w:w="2214" w:type="dxa"/>
            <w:vAlign w:val="center"/>
          </w:tcPr>
          <w:p w14:paraId="2F19E18C">
            <w:pPr>
              <w:jc w:val="right"/>
            </w:pPr>
            <w:r>
              <w:rPr>
                <w:rFonts w:hint="eastAsia"/>
              </w:rPr>
              <w:t>-</w:t>
            </w:r>
          </w:p>
        </w:tc>
      </w:tr>
      <w:tr w14:paraId="4B7D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3D9CAF">
            <w:pPr>
              <w:jc w:val="center"/>
            </w:pPr>
            <w:r>
              <w:rPr>
                <w:rFonts w:hint="eastAsia"/>
              </w:rPr>
              <w:t>4</w:t>
            </w:r>
          </w:p>
        </w:tc>
        <w:tc>
          <w:tcPr>
            <w:tcW w:w="3211" w:type="dxa"/>
            <w:vAlign w:val="center"/>
          </w:tcPr>
          <w:p w14:paraId="596061D6">
            <w:r>
              <w:rPr>
                <w:rFonts w:hint="eastAsia"/>
              </w:rPr>
              <w:t>贵金属投资</w:t>
            </w:r>
          </w:p>
        </w:tc>
        <w:tc>
          <w:tcPr>
            <w:tcW w:w="2214" w:type="dxa"/>
            <w:vAlign w:val="center"/>
          </w:tcPr>
          <w:p w14:paraId="7A846660">
            <w:pPr>
              <w:jc w:val="right"/>
            </w:pPr>
            <w:r>
              <w:rPr>
                <w:rFonts w:hint="eastAsia"/>
              </w:rPr>
              <w:t>-</w:t>
            </w:r>
          </w:p>
        </w:tc>
        <w:tc>
          <w:tcPr>
            <w:tcW w:w="2214" w:type="dxa"/>
            <w:vAlign w:val="center"/>
          </w:tcPr>
          <w:p w14:paraId="1CEC081C">
            <w:pPr>
              <w:jc w:val="right"/>
            </w:pPr>
            <w:r>
              <w:rPr>
                <w:rFonts w:hint="eastAsia"/>
              </w:rPr>
              <w:t>-</w:t>
            </w:r>
          </w:p>
        </w:tc>
      </w:tr>
      <w:tr w14:paraId="577F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27FF52">
            <w:pPr>
              <w:jc w:val="center"/>
            </w:pPr>
            <w:r>
              <w:rPr>
                <w:rFonts w:hint="eastAsia"/>
              </w:rPr>
              <w:t>5</w:t>
            </w:r>
          </w:p>
        </w:tc>
        <w:tc>
          <w:tcPr>
            <w:tcW w:w="3211" w:type="dxa"/>
            <w:vAlign w:val="center"/>
          </w:tcPr>
          <w:p w14:paraId="119A8296">
            <w:r>
              <w:rPr>
                <w:rFonts w:hint="eastAsia"/>
              </w:rPr>
              <w:t>金融衍生品投资</w:t>
            </w:r>
          </w:p>
        </w:tc>
        <w:tc>
          <w:tcPr>
            <w:tcW w:w="2214" w:type="dxa"/>
            <w:vAlign w:val="center"/>
          </w:tcPr>
          <w:p w14:paraId="573C061F">
            <w:pPr>
              <w:jc w:val="right"/>
            </w:pPr>
            <w:r>
              <w:rPr>
                <w:rFonts w:hint="eastAsia"/>
              </w:rPr>
              <w:t>-</w:t>
            </w:r>
          </w:p>
        </w:tc>
        <w:tc>
          <w:tcPr>
            <w:tcW w:w="2214" w:type="dxa"/>
            <w:vAlign w:val="center"/>
          </w:tcPr>
          <w:p w14:paraId="34098DCF">
            <w:pPr>
              <w:jc w:val="right"/>
            </w:pPr>
            <w:r>
              <w:rPr>
                <w:rFonts w:hint="eastAsia"/>
              </w:rPr>
              <w:t>-</w:t>
            </w:r>
          </w:p>
        </w:tc>
      </w:tr>
      <w:tr w14:paraId="70DC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EF6D90">
            <w:pPr>
              <w:jc w:val="center"/>
            </w:pPr>
            <w:r>
              <w:rPr>
                <w:rFonts w:hint="eastAsia"/>
              </w:rPr>
              <w:t>6</w:t>
            </w:r>
          </w:p>
        </w:tc>
        <w:tc>
          <w:tcPr>
            <w:tcW w:w="3211" w:type="dxa"/>
            <w:vAlign w:val="center"/>
          </w:tcPr>
          <w:p w14:paraId="15726C5D">
            <w:r>
              <w:rPr>
                <w:rFonts w:hint="eastAsia"/>
              </w:rPr>
              <w:t>买入返售金融资产</w:t>
            </w:r>
          </w:p>
        </w:tc>
        <w:tc>
          <w:tcPr>
            <w:tcW w:w="2214" w:type="dxa"/>
            <w:vAlign w:val="center"/>
          </w:tcPr>
          <w:p w14:paraId="2DA76168">
            <w:pPr>
              <w:jc w:val="right"/>
            </w:pPr>
            <w:r>
              <w:rPr>
                <w:rFonts w:hint="eastAsia"/>
              </w:rPr>
              <w:t>-</w:t>
            </w:r>
          </w:p>
        </w:tc>
        <w:tc>
          <w:tcPr>
            <w:tcW w:w="2214" w:type="dxa"/>
            <w:vAlign w:val="center"/>
          </w:tcPr>
          <w:p w14:paraId="4AC8191B">
            <w:pPr>
              <w:jc w:val="right"/>
            </w:pPr>
            <w:r>
              <w:rPr>
                <w:rFonts w:hint="eastAsia"/>
              </w:rPr>
              <w:t>-</w:t>
            </w:r>
          </w:p>
        </w:tc>
      </w:tr>
      <w:tr w14:paraId="560A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69A19E">
            <w:pPr>
              <w:jc w:val="center"/>
            </w:pPr>
          </w:p>
        </w:tc>
        <w:tc>
          <w:tcPr>
            <w:tcW w:w="3211" w:type="dxa"/>
            <w:vAlign w:val="center"/>
          </w:tcPr>
          <w:p w14:paraId="6C166F99">
            <w:r>
              <w:rPr>
                <w:rFonts w:hint="eastAsia"/>
              </w:rPr>
              <w:t>其中：买断式回购的买入返售金融资产</w:t>
            </w:r>
          </w:p>
        </w:tc>
        <w:tc>
          <w:tcPr>
            <w:tcW w:w="2214" w:type="dxa"/>
            <w:vAlign w:val="center"/>
          </w:tcPr>
          <w:p w14:paraId="2CB7C5AC">
            <w:pPr>
              <w:jc w:val="right"/>
            </w:pPr>
            <w:r>
              <w:rPr>
                <w:rFonts w:hint="eastAsia"/>
              </w:rPr>
              <w:t>-</w:t>
            </w:r>
          </w:p>
        </w:tc>
        <w:tc>
          <w:tcPr>
            <w:tcW w:w="2214" w:type="dxa"/>
            <w:vAlign w:val="center"/>
          </w:tcPr>
          <w:p w14:paraId="55ED47FD">
            <w:pPr>
              <w:jc w:val="right"/>
            </w:pPr>
            <w:r>
              <w:rPr>
                <w:rFonts w:hint="eastAsia"/>
              </w:rPr>
              <w:t>-</w:t>
            </w:r>
          </w:p>
        </w:tc>
      </w:tr>
      <w:tr w14:paraId="369A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AFCE0F">
            <w:pPr>
              <w:jc w:val="center"/>
            </w:pPr>
            <w:r>
              <w:rPr>
                <w:rFonts w:hint="eastAsia"/>
              </w:rPr>
              <w:t>7</w:t>
            </w:r>
          </w:p>
        </w:tc>
        <w:tc>
          <w:tcPr>
            <w:tcW w:w="3211" w:type="dxa"/>
            <w:vAlign w:val="center"/>
          </w:tcPr>
          <w:p w14:paraId="3DD17F5C">
            <w:r>
              <w:rPr>
                <w:rFonts w:hint="eastAsia"/>
              </w:rPr>
              <w:t>银行存款和结算备付金合计</w:t>
            </w:r>
          </w:p>
        </w:tc>
        <w:tc>
          <w:tcPr>
            <w:tcW w:w="2214" w:type="dxa"/>
            <w:vAlign w:val="center"/>
          </w:tcPr>
          <w:p w14:paraId="596DEBC6">
            <w:pPr>
              <w:jc w:val="right"/>
            </w:pPr>
            <w:r>
              <w:rPr>
                <w:rFonts w:hint="eastAsia"/>
              </w:rPr>
              <w:t>1,574,127.76</w:t>
            </w:r>
          </w:p>
        </w:tc>
        <w:tc>
          <w:tcPr>
            <w:tcW w:w="2214" w:type="dxa"/>
            <w:vAlign w:val="center"/>
          </w:tcPr>
          <w:p w14:paraId="393C9E7B">
            <w:pPr>
              <w:jc w:val="right"/>
            </w:pPr>
            <w:r>
              <w:rPr>
                <w:rFonts w:hint="eastAsia"/>
              </w:rPr>
              <w:t>0.14</w:t>
            </w:r>
          </w:p>
        </w:tc>
      </w:tr>
      <w:tr w14:paraId="190A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C7AB40">
            <w:pPr>
              <w:jc w:val="center"/>
            </w:pPr>
            <w:r>
              <w:rPr>
                <w:rFonts w:hint="eastAsia"/>
              </w:rPr>
              <w:t>8</w:t>
            </w:r>
          </w:p>
        </w:tc>
        <w:tc>
          <w:tcPr>
            <w:tcW w:w="3211" w:type="dxa"/>
            <w:vAlign w:val="center"/>
          </w:tcPr>
          <w:p w14:paraId="49C6D1B0">
            <w:r>
              <w:rPr>
                <w:rFonts w:hint="eastAsia"/>
              </w:rPr>
              <w:t>其他各项资产</w:t>
            </w:r>
          </w:p>
        </w:tc>
        <w:tc>
          <w:tcPr>
            <w:tcW w:w="2214" w:type="dxa"/>
            <w:vAlign w:val="center"/>
          </w:tcPr>
          <w:p w14:paraId="01F1094B">
            <w:pPr>
              <w:jc w:val="right"/>
            </w:pPr>
            <w:r>
              <w:rPr>
                <w:rFonts w:hint="eastAsia"/>
              </w:rPr>
              <w:t>14,382.93</w:t>
            </w:r>
          </w:p>
        </w:tc>
        <w:tc>
          <w:tcPr>
            <w:tcW w:w="2214" w:type="dxa"/>
            <w:vAlign w:val="center"/>
          </w:tcPr>
          <w:p w14:paraId="582118A0">
            <w:pPr>
              <w:jc w:val="right"/>
            </w:pPr>
            <w:r>
              <w:rPr>
                <w:rFonts w:hint="eastAsia"/>
              </w:rPr>
              <w:t>0.00</w:t>
            </w:r>
          </w:p>
        </w:tc>
      </w:tr>
      <w:tr w14:paraId="212E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EB4296">
            <w:pPr>
              <w:jc w:val="center"/>
            </w:pPr>
            <w:r>
              <w:rPr>
                <w:rFonts w:hint="eastAsia"/>
              </w:rPr>
              <w:t>9</w:t>
            </w:r>
          </w:p>
        </w:tc>
        <w:tc>
          <w:tcPr>
            <w:tcW w:w="3211" w:type="dxa"/>
            <w:vAlign w:val="center"/>
          </w:tcPr>
          <w:p w14:paraId="1B331B25">
            <w:r>
              <w:rPr>
                <w:rFonts w:hint="eastAsia"/>
              </w:rPr>
              <w:t>合计</w:t>
            </w:r>
          </w:p>
        </w:tc>
        <w:tc>
          <w:tcPr>
            <w:tcW w:w="2214" w:type="dxa"/>
            <w:vAlign w:val="center"/>
          </w:tcPr>
          <w:p w14:paraId="26DC86CD">
            <w:pPr>
              <w:jc w:val="right"/>
            </w:pPr>
            <w:r>
              <w:rPr>
                <w:rFonts w:hint="eastAsia"/>
              </w:rPr>
              <w:t>1,150,706,882.07</w:t>
            </w:r>
          </w:p>
        </w:tc>
        <w:tc>
          <w:tcPr>
            <w:tcW w:w="2214" w:type="dxa"/>
            <w:vAlign w:val="center"/>
          </w:tcPr>
          <w:p w14:paraId="19AAF555">
            <w:pPr>
              <w:jc w:val="right"/>
            </w:pPr>
            <w:r>
              <w:rPr>
                <w:rFonts w:hint="eastAsia"/>
              </w:rPr>
              <w:t>100.00</w:t>
            </w:r>
          </w:p>
        </w:tc>
      </w:tr>
    </w:tbl>
    <w:p w14:paraId="12D2461F">
      <w:pPr>
        <w:pStyle w:val="23"/>
      </w:pPr>
      <w:bookmarkStart w:id="154" w:name="_Toc11028"/>
      <w:r>
        <w:t>报告期末按行业分类的股票投资组合</w:t>
      </w:r>
      <w:bookmarkEnd w:id="154"/>
    </w:p>
    <w:p w14:paraId="3C820138">
      <w:pPr>
        <w:pStyle w:val="28"/>
      </w:pPr>
      <w:bookmarkStart w:id="155" w:name="_Toc155"/>
      <w:r>
        <w:t>报告期末按行业分类的境内股票投资组合</w:t>
      </w:r>
      <w:bookmarkEnd w:id="155"/>
    </w:p>
    <w:p w14:paraId="58241357">
      <w:pPr>
        <w:pStyle w:val="18"/>
        <w:rPr>
          <w:rFonts w:hint="eastAsia"/>
        </w:rPr>
      </w:pPr>
      <w:r>
        <w:rPr>
          <w:rFonts w:hint="eastAsia"/>
        </w:rPr>
        <w:t>无。</w:t>
      </w:r>
    </w:p>
    <w:p w14:paraId="254C2A38">
      <w:pPr>
        <w:pStyle w:val="28"/>
      </w:pPr>
      <w:bookmarkStart w:id="156" w:name="_Toc156"/>
      <w:r>
        <w:t>报告期末按行业分类的港股通投资股票投资组合</w:t>
      </w:r>
      <w:bookmarkEnd w:id="156"/>
    </w:p>
    <w:p w14:paraId="01D92E1A">
      <w:pPr>
        <w:pStyle w:val="18"/>
        <w:rPr>
          <w:rFonts w:hint="eastAsia"/>
        </w:rPr>
      </w:pPr>
      <w:r>
        <w:rPr>
          <w:rFonts w:hint="eastAsia"/>
        </w:rPr>
        <w:t>无。</w:t>
      </w:r>
    </w:p>
    <w:p w14:paraId="45674FBD">
      <w:pPr>
        <w:pStyle w:val="23"/>
      </w:pPr>
      <w:bookmarkStart w:id="157" w:name="_Toc31943"/>
      <w:r>
        <w:t>期末按公允价值占基金资产净值比例大小排序的所有股票投资明细</w:t>
      </w:r>
      <w:bookmarkEnd w:id="157"/>
    </w:p>
    <w:p w14:paraId="2F47CA92">
      <w:pPr>
        <w:pStyle w:val="18"/>
        <w:rPr>
          <w:rFonts w:hint="eastAsia"/>
        </w:rPr>
      </w:pPr>
      <w:r>
        <w:rPr>
          <w:rFonts w:hint="eastAsia"/>
        </w:rPr>
        <w:t>无。</w:t>
      </w:r>
    </w:p>
    <w:p w14:paraId="30C79ACF">
      <w:pPr>
        <w:pStyle w:val="23"/>
      </w:pPr>
      <w:bookmarkStart w:id="158" w:name="_Toc21932"/>
      <w:r>
        <w:t>报告期内股票投资组合的重大变动</w:t>
      </w:r>
      <w:bookmarkEnd w:id="158"/>
    </w:p>
    <w:p w14:paraId="47A9FEA7">
      <w:pPr>
        <w:pStyle w:val="28"/>
      </w:pPr>
      <w:bookmarkStart w:id="159" w:name="_Toc159"/>
      <w:r>
        <w:t>累计买入金额超出期初基金资产净值2%或前20名的股票明细</w:t>
      </w:r>
      <w:bookmarkEnd w:id="159"/>
    </w:p>
    <w:p w14:paraId="565AD4D6">
      <w:pPr>
        <w:pStyle w:val="18"/>
        <w:rPr>
          <w:rFonts w:hint="eastAsia"/>
        </w:rPr>
      </w:pPr>
      <w:r>
        <w:rPr>
          <w:rFonts w:hint="eastAsia"/>
        </w:rPr>
        <w:t>无。</w:t>
      </w:r>
    </w:p>
    <w:p w14:paraId="7C953811">
      <w:pPr>
        <w:pStyle w:val="28"/>
      </w:pPr>
      <w:bookmarkStart w:id="160" w:name="_Toc160"/>
      <w:r>
        <w:t>累计卖出金额超出期初基金资产净值2%或前20名的股票明细</w:t>
      </w:r>
      <w:bookmarkEnd w:id="160"/>
    </w:p>
    <w:p w14:paraId="03C53C82">
      <w:pPr>
        <w:pStyle w:val="18"/>
        <w:rPr>
          <w:rFonts w:hint="eastAsia"/>
        </w:rPr>
      </w:pPr>
      <w:r>
        <w:rPr>
          <w:rFonts w:hint="eastAsia"/>
        </w:rPr>
        <w:t>无。</w:t>
      </w:r>
    </w:p>
    <w:p w14:paraId="542E1545">
      <w:pPr>
        <w:pStyle w:val="28"/>
      </w:pPr>
      <w:bookmarkStart w:id="161" w:name="_Toc161"/>
      <w:r>
        <w:t>买入股票的成本总额及卖出股票的收入总额</w:t>
      </w:r>
      <w:bookmarkEnd w:id="161"/>
    </w:p>
    <w:p w14:paraId="5BBF54A2">
      <w:pPr>
        <w:pStyle w:val="18"/>
        <w:rPr>
          <w:rFonts w:hint="eastAsia"/>
        </w:rPr>
      </w:pPr>
      <w:r>
        <w:rPr>
          <w:rFonts w:hint="eastAsia"/>
        </w:rPr>
        <w:t>无。</w:t>
      </w:r>
    </w:p>
    <w:p w14:paraId="5EE1521A">
      <w:pPr>
        <w:pStyle w:val="23"/>
      </w:pPr>
      <w:bookmarkStart w:id="162" w:name="_Toc12083"/>
      <w:r>
        <w:t>期末按债券品种分类的债券投资组合</w:t>
      </w:r>
      <w:bookmarkEnd w:id="162"/>
    </w:p>
    <w:p w14:paraId="5320E72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8F8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B70CEA">
            <w:pPr>
              <w:jc w:val="center"/>
            </w:pPr>
            <w:r>
              <w:rPr>
                <w:rFonts w:hint="eastAsia"/>
                <w:b/>
              </w:rPr>
              <w:t>序号</w:t>
            </w:r>
          </w:p>
        </w:tc>
        <w:tc>
          <w:tcPr>
            <w:tcW w:w="2768" w:type="dxa"/>
            <w:shd w:val="clear" w:color="auto" w:fill="BFBFBF"/>
            <w:vAlign w:val="center"/>
          </w:tcPr>
          <w:p w14:paraId="3F55880B">
            <w:pPr>
              <w:jc w:val="center"/>
            </w:pPr>
            <w:r>
              <w:rPr>
                <w:rFonts w:hint="eastAsia"/>
                <w:b/>
              </w:rPr>
              <w:t>债券品种</w:t>
            </w:r>
          </w:p>
        </w:tc>
        <w:tc>
          <w:tcPr>
            <w:tcW w:w="2408" w:type="dxa"/>
            <w:shd w:val="clear" w:color="auto" w:fill="BFBFBF"/>
            <w:vAlign w:val="center"/>
          </w:tcPr>
          <w:p w14:paraId="3374B548">
            <w:pPr>
              <w:jc w:val="center"/>
            </w:pPr>
            <w:r>
              <w:rPr>
                <w:rFonts w:hint="eastAsia"/>
                <w:b/>
              </w:rPr>
              <w:t>公允价值（元）</w:t>
            </w:r>
          </w:p>
        </w:tc>
        <w:tc>
          <w:tcPr>
            <w:tcW w:w="2497" w:type="dxa"/>
            <w:shd w:val="clear" w:color="auto" w:fill="BFBFBF"/>
            <w:vAlign w:val="center"/>
          </w:tcPr>
          <w:p w14:paraId="5AC95F35">
            <w:pPr>
              <w:jc w:val="center"/>
            </w:pPr>
            <w:r>
              <w:rPr>
                <w:rFonts w:hint="eastAsia"/>
                <w:b/>
              </w:rPr>
              <w:t>占基金资产净值比例（％）</w:t>
            </w:r>
          </w:p>
        </w:tc>
      </w:tr>
      <w:tr w14:paraId="1CC6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1EAB7F">
            <w:pPr>
              <w:jc w:val="center"/>
            </w:pPr>
            <w:r>
              <w:rPr>
                <w:rFonts w:hint="eastAsia"/>
              </w:rPr>
              <w:t>1</w:t>
            </w:r>
          </w:p>
        </w:tc>
        <w:tc>
          <w:tcPr>
            <w:tcW w:w="2768" w:type="dxa"/>
            <w:vAlign w:val="center"/>
          </w:tcPr>
          <w:p w14:paraId="31C101A1">
            <w:r>
              <w:rPr>
                <w:rFonts w:hint="eastAsia"/>
              </w:rPr>
              <w:t>国家债券</w:t>
            </w:r>
          </w:p>
        </w:tc>
        <w:tc>
          <w:tcPr>
            <w:tcW w:w="2408" w:type="dxa"/>
            <w:vAlign w:val="center"/>
          </w:tcPr>
          <w:p w14:paraId="6F1F03B7">
            <w:pPr>
              <w:jc w:val="right"/>
            </w:pPr>
            <w:r>
              <w:rPr>
                <w:rFonts w:hint="eastAsia"/>
              </w:rPr>
              <w:t>142,615,060.82</w:t>
            </w:r>
          </w:p>
        </w:tc>
        <w:tc>
          <w:tcPr>
            <w:tcW w:w="2497" w:type="dxa"/>
            <w:vAlign w:val="center"/>
          </w:tcPr>
          <w:p w14:paraId="525A1899">
            <w:pPr>
              <w:jc w:val="right"/>
            </w:pPr>
            <w:r>
              <w:rPr>
                <w:rFonts w:hint="eastAsia"/>
              </w:rPr>
              <w:t>13.39</w:t>
            </w:r>
          </w:p>
        </w:tc>
      </w:tr>
      <w:tr w14:paraId="5E75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49EF30">
            <w:pPr>
              <w:jc w:val="center"/>
            </w:pPr>
            <w:r>
              <w:rPr>
                <w:rFonts w:hint="eastAsia"/>
              </w:rPr>
              <w:t>2</w:t>
            </w:r>
          </w:p>
        </w:tc>
        <w:tc>
          <w:tcPr>
            <w:tcW w:w="2768" w:type="dxa"/>
            <w:vAlign w:val="center"/>
          </w:tcPr>
          <w:p w14:paraId="0A719119">
            <w:r>
              <w:rPr>
                <w:rFonts w:hint="eastAsia"/>
              </w:rPr>
              <w:t>央行票据</w:t>
            </w:r>
          </w:p>
        </w:tc>
        <w:tc>
          <w:tcPr>
            <w:tcW w:w="2408" w:type="dxa"/>
            <w:vAlign w:val="center"/>
          </w:tcPr>
          <w:p w14:paraId="0EAB2B17">
            <w:pPr>
              <w:jc w:val="right"/>
            </w:pPr>
            <w:r>
              <w:rPr>
                <w:rFonts w:hint="eastAsia"/>
              </w:rPr>
              <w:t>-</w:t>
            </w:r>
          </w:p>
        </w:tc>
        <w:tc>
          <w:tcPr>
            <w:tcW w:w="2497" w:type="dxa"/>
            <w:vAlign w:val="center"/>
          </w:tcPr>
          <w:p w14:paraId="2B0C8C4D">
            <w:pPr>
              <w:jc w:val="right"/>
            </w:pPr>
            <w:r>
              <w:rPr>
                <w:rFonts w:hint="eastAsia"/>
              </w:rPr>
              <w:t>-</w:t>
            </w:r>
          </w:p>
        </w:tc>
      </w:tr>
      <w:tr w14:paraId="62D3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2D5B37">
            <w:pPr>
              <w:jc w:val="center"/>
            </w:pPr>
            <w:r>
              <w:rPr>
                <w:rFonts w:hint="eastAsia"/>
              </w:rPr>
              <w:t>3</w:t>
            </w:r>
          </w:p>
        </w:tc>
        <w:tc>
          <w:tcPr>
            <w:tcW w:w="2768" w:type="dxa"/>
            <w:vAlign w:val="center"/>
          </w:tcPr>
          <w:p w14:paraId="65DC938D">
            <w:r>
              <w:rPr>
                <w:rFonts w:hint="eastAsia"/>
              </w:rPr>
              <w:t>金融债券</w:t>
            </w:r>
          </w:p>
        </w:tc>
        <w:tc>
          <w:tcPr>
            <w:tcW w:w="2408" w:type="dxa"/>
            <w:vAlign w:val="center"/>
          </w:tcPr>
          <w:p w14:paraId="24C5AB82">
            <w:pPr>
              <w:jc w:val="right"/>
            </w:pPr>
            <w:r>
              <w:rPr>
                <w:rFonts w:hint="eastAsia"/>
              </w:rPr>
              <w:t>436,952,763.83</w:t>
            </w:r>
          </w:p>
        </w:tc>
        <w:tc>
          <w:tcPr>
            <w:tcW w:w="2497" w:type="dxa"/>
            <w:vAlign w:val="center"/>
          </w:tcPr>
          <w:p w14:paraId="5AEB881E">
            <w:pPr>
              <w:jc w:val="right"/>
            </w:pPr>
            <w:r>
              <w:rPr>
                <w:rFonts w:hint="eastAsia"/>
              </w:rPr>
              <w:t>41.01</w:t>
            </w:r>
          </w:p>
        </w:tc>
      </w:tr>
      <w:tr w14:paraId="3A79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61C127">
            <w:pPr>
              <w:jc w:val="center"/>
            </w:pPr>
          </w:p>
        </w:tc>
        <w:tc>
          <w:tcPr>
            <w:tcW w:w="2768" w:type="dxa"/>
            <w:vAlign w:val="center"/>
          </w:tcPr>
          <w:p w14:paraId="325A21FA">
            <w:r>
              <w:rPr>
                <w:rFonts w:hint="eastAsia"/>
              </w:rPr>
              <w:t>其中：政策性金融债</w:t>
            </w:r>
          </w:p>
        </w:tc>
        <w:tc>
          <w:tcPr>
            <w:tcW w:w="2408" w:type="dxa"/>
            <w:vAlign w:val="center"/>
          </w:tcPr>
          <w:p w14:paraId="5201198B">
            <w:pPr>
              <w:jc w:val="right"/>
            </w:pPr>
            <w:r>
              <w:rPr>
                <w:rFonts w:hint="eastAsia"/>
              </w:rPr>
              <w:t>139,882,706.84</w:t>
            </w:r>
          </w:p>
        </w:tc>
        <w:tc>
          <w:tcPr>
            <w:tcW w:w="2497" w:type="dxa"/>
            <w:vAlign w:val="center"/>
          </w:tcPr>
          <w:p w14:paraId="400DBBED">
            <w:pPr>
              <w:jc w:val="right"/>
            </w:pPr>
            <w:r>
              <w:rPr>
                <w:rFonts w:hint="eastAsia"/>
              </w:rPr>
              <w:t>13.13</w:t>
            </w:r>
          </w:p>
        </w:tc>
      </w:tr>
      <w:tr w14:paraId="29D2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9DE523">
            <w:pPr>
              <w:jc w:val="center"/>
            </w:pPr>
            <w:r>
              <w:rPr>
                <w:rFonts w:hint="eastAsia"/>
              </w:rPr>
              <w:t>4</w:t>
            </w:r>
          </w:p>
        </w:tc>
        <w:tc>
          <w:tcPr>
            <w:tcW w:w="2768" w:type="dxa"/>
            <w:vAlign w:val="center"/>
          </w:tcPr>
          <w:p w14:paraId="634D3500">
            <w:r>
              <w:rPr>
                <w:rFonts w:hint="eastAsia"/>
              </w:rPr>
              <w:t>企业债券</w:t>
            </w:r>
          </w:p>
        </w:tc>
        <w:tc>
          <w:tcPr>
            <w:tcW w:w="2408" w:type="dxa"/>
            <w:vAlign w:val="center"/>
          </w:tcPr>
          <w:p w14:paraId="4632FC21">
            <w:pPr>
              <w:jc w:val="right"/>
            </w:pPr>
            <w:r>
              <w:rPr>
                <w:rFonts w:hint="eastAsia"/>
              </w:rPr>
              <w:t>105,942,010.31</w:t>
            </w:r>
          </w:p>
        </w:tc>
        <w:tc>
          <w:tcPr>
            <w:tcW w:w="2497" w:type="dxa"/>
            <w:vAlign w:val="center"/>
          </w:tcPr>
          <w:p w14:paraId="7719A149">
            <w:pPr>
              <w:jc w:val="right"/>
            </w:pPr>
            <w:r>
              <w:rPr>
                <w:rFonts w:hint="eastAsia"/>
              </w:rPr>
              <w:t>9.94</w:t>
            </w:r>
          </w:p>
        </w:tc>
      </w:tr>
      <w:tr w14:paraId="175E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11DBD">
            <w:pPr>
              <w:jc w:val="center"/>
            </w:pPr>
            <w:r>
              <w:rPr>
                <w:rFonts w:hint="eastAsia"/>
              </w:rPr>
              <w:t>5</w:t>
            </w:r>
          </w:p>
        </w:tc>
        <w:tc>
          <w:tcPr>
            <w:tcW w:w="2768" w:type="dxa"/>
            <w:vAlign w:val="center"/>
          </w:tcPr>
          <w:p w14:paraId="59D54A8F">
            <w:r>
              <w:rPr>
                <w:rFonts w:hint="eastAsia"/>
              </w:rPr>
              <w:t>企业短期融资券</w:t>
            </w:r>
          </w:p>
        </w:tc>
        <w:tc>
          <w:tcPr>
            <w:tcW w:w="2408" w:type="dxa"/>
            <w:vAlign w:val="center"/>
          </w:tcPr>
          <w:p w14:paraId="3E84D182">
            <w:pPr>
              <w:jc w:val="right"/>
            </w:pPr>
            <w:r>
              <w:rPr>
                <w:rFonts w:hint="eastAsia"/>
              </w:rPr>
              <w:t>-</w:t>
            </w:r>
          </w:p>
        </w:tc>
        <w:tc>
          <w:tcPr>
            <w:tcW w:w="2497" w:type="dxa"/>
            <w:vAlign w:val="center"/>
          </w:tcPr>
          <w:p w14:paraId="613BA3C2">
            <w:pPr>
              <w:jc w:val="right"/>
            </w:pPr>
            <w:r>
              <w:rPr>
                <w:rFonts w:hint="eastAsia"/>
              </w:rPr>
              <w:t>-</w:t>
            </w:r>
          </w:p>
        </w:tc>
      </w:tr>
      <w:tr w14:paraId="4E7C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5D8D45">
            <w:pPr>
              <w:jc w:val="center"/>
            </w:pPr>
            <w:r>
              <w:rPr>
                <w:rFonts w:hint="eastAsia"/>
              </w:rPr>
              <w:t>6</w:t>
            </w:r>
          </w:p>
        </w:tc>
        <w:tc>
          <w:tcPr>
            <w:tcW w:w="2768" w:type="dxa"/>
            <w:vAlign w:val="center"/>
          </w:tcPr>
          <w:p w14:paraId="0E08F460">
            <w:r>
              <w:rPr>
                <w:rFonts w:hint="eastAsia"/>
              </w:rPr>
              <w:t>中期票据</w:t>
            </w:r>
          </w:p>
        </w:tc>
        <w:tc>
          <w:tcPr>
            <w:tcW w:w="2408" w:type="dxa"/>
            <w:vAlign w:val="center"/>
          </w:tcPr>
          <w:p w14:paraId="4304F930">
            <w:pPr>
              <w:jc w:val="right"/>
            </w:pPr>
            <w:r>
              <w:rPr>
                <w:rFonts w:hint="eastAsia"/>
              </w:rPr>
              <w:t>463,608,536.42</w:t>
            </w:r>
          </w:p>
        </w:tc>
        <w:tc>
          <w:tcPr>
            <w:tcW w:w="2497" w:type="dxa"/>
            <w:vAlign w:val="center"/>
          </w:tcPr>
          <w:p w14:paraId="2E262077">
            <w:pPr>
              <w:jc w:val="right"/>
            </w:pPr>
            <w:r>
              <w:rPr>
                <w:rFonts w:hint="eastAsia"/>
              </w:rPr>
              <w:t>43.51</w:t>
            </w:r>
          </w:p>
        </w:tc>
      </w:tr>
      <w:tr w14:paraId="4883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9382D2">
            <w:pPr>
              <w:jc w:val="center"/>
            </w:pPr>
            <w:r>
              <w:rPr>
                <w:rFonts w:hint="eastAsia"/>
              </w:rPr>
              <w:t>7</w:t>
            </w:r>
          </w:p>
        </w:tc>
        <w:tc>
          <w:tcPr>
            <w:tcW w:w="2768" w:type="dxa"/>
            <w:vAlign w:val="center"/>
          </w:tcPr>
          <w:p w14:paraId="0959763E">
            <w:r>
              <w:rPr>
                <w:rFonts w:hint="eastAsia"/>
              </w:rPr>
              <w:t>可转债（可交换债）</w:t>
            </w:r>
          </w:p>
        </w:tc>
        <w:tc>
          <w:tcPr>
            <w:tcW w:w="2408" w:type="dxa"/>
            <w:vAlign w:val="center"/>
          </w:tcPr>
          <w:p w14:paraId="0AC94E80">
            <w:pPr>
              <w:jc w:val="right"/>
            </w:pPr>
            <w:r>
              <w:rPr>
                <w:rFonts w:hint="eastAsia"/>
              </w:rPr>
              <w:t>-</w:t>
            </w:r>
          </w:p>
        </w:tc>
        <w:tc>
          <w:tcPr>
            <w:tcW w:w="2497" w:type="dxa"/>
            <w:vAlign w:val="center"/>
          </w:tcPr>
          <w:p w14:paraId="5050C26D">
            <w:pPr>
              <w:jc w:val="right"/>
            </w:pPr>
            <w:r>
              <w:rPr>
                <w:rFonts w:hint="eastAsia"/>
              </w:rPr>
              <w:t>-</w:t>
            </w:r>
          </w:p>
        </w:tc>
      </w:tr>
      <w:tr w14:paraId="2FD8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66D877">
            <w:pPr>
              <w:jc w:val="center"/>
            </w:pPr>
            <w:r>
              <w:rPr>
                <w:rFonts w:hint="eastAsia"/>
              </w:rPr>
              <w:t>8</w:t>
            </w:r>
          </w:p>
        </w:tc>
        <w:tc>
          <w:tcPr>
            <w:tcW w:w="2768" w:type="dxa"/>
            <w:vAlign w:val="center"/>
          </w:tcPr>
          <w:p w14:paraId="3FBA9CFA">
            <w:r>
              <w:rPr>
                <w:rFonts w:hint="eastAsia"/>
              </w:rPr>
              <w:t>同业存单</w:t>
            </w:r>
          </w:p>
        </w:tc>
        <w:tc>
          <w:tcPr>
            <w:tcW w:w="2408" w:type="dxa"/>
            <w:vAlign w:val="center"/>
          </w:tcPr>
          <w:p w14:paraId="1584366B">
            <w:pPr>
              <w:jc w:val="right"/>
            </w:pPr>
            <w:r>
              <w:rPr>
                <w:rFonts w:hint="eastAsia"/>
              </w:rPr>
              <w:t>-</w:t>
            </w:r>
          </w:p>
        </w:tc>
        <w:tc>
          <w:tcPr>
            <w:tcW w:w="2497" w:type="dxa"/>
            <w:vAlign w:val="center"/>
          </w:tcPr>
          <w:p w14:paraId="6994347F">
            <w:pPr>
              <w:jc w:val="right"/>
            </w:pPr>
            <w:r>
              <w:rPr>
                <w:rFonts w:hint="eastAsia"/>
              </w:rPr>
              <w:t>-</w:t>
            </w:r>
          </w:p>
        </w:tc>
      </w:tr>
      <w:tr w14:paraId="4760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C6F085">
            <w:pPr>
              <w:jc w:val="center"/>
            </w:pPr>
            <w:r>
              <w:rPr>
                <w:rFonts w:hint="eastAsia"/>
              </w:rPr>
              <w:t>9</w:t>
            </w:r>
          </w:p>
        </w:tc>
        <w:tc>
          <w:tcPr>
            <w:tcW w:w="2768" w:type="dxa"/>
            <w:vAlign w:val="center"/>
          </w:tcPr>
          <w:p w14:paraId="221A771A">
            <w:r>
              <w:rPr>
                <w:rFonts w:hint="eastAsia"/>
              </w:rPr>
              <w:t>其他</w:t>
            </w:r>
          </w:p>
        </w:tc>
        <w:tc>
          <w:tcPr>
            <w:tcW w:w="2408" w:type="dxa"/>
            <w:vAlign w:val="center"/>
          </w:tcPr>
          <w:p w14:paraId="4E3C8DBB">
            <w:pPr>
              <w:jc w:val="right"/>
            </w:pPr>
            <w:r>
              <w:rPr>
                <w:rFonts w:hint="eastAsia"/>
              </w:rPr>
              <w:t>-</w:t>
            </w:r>
          </w:p>
        </w:tc>
        <w:tc>
          <w:tcPr>
            <w:tcW w:w="2497" w:type="dxa"/>
            <w:vAlign w:val="center"/>
          </w:tcPr>
          <w:p w14:paraId="3F5D5942">
            <w:pPr>
              <w:jc w:val="right"/>
            </w:pPr>
            <w:r>
              <w:rPr>
                <w:rFonts w:hint="eastAsia"/>
              </w:rPr>
              <w:t>-</w:t>
            </w:r>
          </w:p>
        </w:tc>
      </w:tr>
      <w:tr w14:paraId="17F2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470EB9">
            <w:pPr>
              <w:jc w:val="center"/>
            </w:pPr>
            <w:r>
              <w:rPr>
                <w:rFonts w:hint="eastAsia"/>
              </w:rPr>
              <w:t>10</w:t>
            </w:r>
          </w:p>
        </w:tc>
        <w:tc>
          <w:tcPr>
            <w:tcW w:w="2768" w:type="dxa"/>
            <w:vAlign w:val="center"/>
          </w:tcPr>
          <w:p w14:paraId="086B04DE">
            <w:r>
              <w:rPr>
                <w:rFonts w:hint="eastAsia"/>
              </w:rPr>
              <w:t>合计</w:t>
            </w:r>
          </w:p>
        </w:tc>
        <w:tc>
          <w:tcPr>
            <w:tcW w:w="2408" w:type="dxa"/>
            <w:vAlign w:val="center"/>
          </w:tcPr>
          <w:p w14:paraId="2A4CA290">
            <w:pPr>
              <w:jc w:val="right"/>
            </w:pPr>
            <w:r>
              <w:rPr>
                <w:rFonts w:hint="eastAsia"/>
              </w:rPr>
              <w:t>1,149,118,371.38</w:t>
            </w:r>
          </w:p>
        </w:tc>
        <w:tc>
          <w:tcPr>
            <w:tcW w:w="2497" w:type="dxa"/>
            <w:vAlign w:val="center"/>
          </w:tcPr>
          <w:p w14:paraId="0BD9D177">
            <w:pPr>
              <w:jc w:val="right"/>
            </w:pPr>
            <w:r>
              <w:rPr>
                <w:rFonts w:hint="eastAsia"/>
              </w:rPr>
              <w:t>107.86</w:t>
            </w:r>
          </w:p>
        </w:tc>
      </w:tr>
    </w:tbl>
    <w:p w14:paraId="451EABC7">
      <w:pPr>
        <w:pStyle w:val="23"/>
      </w:pPr>
      <w:bookmarkStart w:id="163" w:name="_Toc19305"/>
      <w:r>
        <w:t>期末按公允价值占基金资产净值比例大小排序的前五名债券投资明细</w:t>
      </w:r>
      <w:bookmarkEnd w:id="163"/>
    </w:p>
    <w:p w14:paraId="680BB5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DB53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37212FE">
            <w:pPr>
              <w:jc w:val="center"/>
            </w:pPr>
            <w:r>
              <w:rPr>
                <w:rFonts w:hint="eastAsia"/>
                <w:b/>
              </w:rPr>
              <w:t>序号</w:t>
            </w:r>
          </w:p>
        </w:tc>
        <w:tc>
          <w:tcPr>
            <w:tcW w:w="1135" w:type="dxa"/>
            <w:shd w:val="clear" w:color="auto" w:fill="BFBFBF"/>
            <w:vAlign w:val="center"/>
          </w:tcPr>
          <w:p w14:paraId="5D8ED371">
            <w:pPr>
              <w:jc w:val="center"/>
            </w:pPr>
            <w:r>
              <w:rPr>
                <w:rFonts w:hint="eastAsia"/>
                <w:b/>
              </w:rPr>
              <w:t>债券代码</w:t>
            </w:r>
          </w:p>
        </w:tc>
        <w:tc>
          <w:tcPr>
            <w:tcW w:w="1882" w:type="dxa"/>
            <w:shd w:val="clear" w:color="auto" w:fill="BFBFBF"/>
            <w:vAlign w:val="center"/>
          </w:tcPr>
          <w:p w14:paraId="45CDEBCD">
            <w:pPr>
              <w:jc w:val="center"/>
            </w:pPr>
            <w:r>
              <w:rPr>
                <w:rFonts w:hint="eastAsia"/>
                <w:b/>
              </w:rPr>
              <w:t>债券名称</w:t>
            </w:r>
          </w:p>
        </w:tc>
        <w:tc>
          <w:tcPr>
            <w:tcW w:w="1113" w:type="dxa"/>
            <w:shd w:val="clear" w:color="auto" w:fill="BFBFBF"/>
            <w:vAlign w:val="center"/>
          </w:tcPr>
          <w:p w14:paraId="19F392FD">
            <w:pPr>
              <w:jc w:val="center"/>
            </w:pPr>
            <w:r>
              <w:rPr>
                <w:rFonts w:hint="eastAsia"/>
                <w:b/>
              </w:rPr>
              <w:t>数量（张）</w:t>
            </w:r>
          </w:p>
        </w:tc>
        <w:tc>
          <w:tcPr>
            <w:tcW w:w="1771" w:type="dxa"/>
            <w:shd w:val="clear" w:color="auto" w:fill="BFBFBF"/>
            <w:vAlign w:val="center"/>
          </w:tcPr>
          <w:p w14:paraId="73FC7CB5">
            <w:pPr>
              <w:jc w:val="center"/>
            </w:pPr>
            <w:r>
              <w:rPr>
                <w:rFonts w:hint="eastAsia"/>
                <w:b/>
              </w:rPr>
              <w:t>公允价值（元）</w:t>
            </w:r>
          </w:p>
        </w:tc>
        <w:tc>
          <w:tcPr>
            <w:tcW w:w="1771" w:type="dxa"/>
            <w:shd w:val="clear" w:color="auto" w:fill="BFBFBF"/>
            <w:vAlign w:val="center"/>
          </w:tcPr>
          <w:p w14:paraId="6A5FE801">
            <w:pPr>
              <w:jc w:val="center"/>
            </w:pPr>
            <w:r>
              <w:rPr>
                <w:rFonts w:hint="eastAsia"/>
                <w:b/>
              </w:rPr>
              <w:t>占基金资产净值比例（％）</w:t>
            </w:r>
          </w:p>
        </w:tc>
      </w:tr>
      <w:tr w14:paraId="022C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AEBA82">
            <w:pPr>
              <w:jc w:val="center"/>
            </w:pPr>
            <w:r>
              <w:rPr>
                <w:rFonts w:hint="eastAsia"/>
              </w:rPr>
              <w:t>1</w:t>
            </w:r>
          </w:p>
        </w:tc>
        <w:tc>
          <w:tcPr>
            <w:tcW w:w="1135" w:type="dxa"/>
            <w:vAlign w:val="center"/>
          </w:tcPr>
          <w:p w14:paraId="6C6CAA6A">
            <w:r>
              <w:rPr>
                <w:rFonts w:hint="eastAsia"/>
              </w:rPr>
              <w:t>138890</w:t>
            </w:r>
          </w:p>
        </w:tc>
        <w:tc>
          <w:tcPr>
            <w:tcW w:w="1882" w:type="dxa"/>
            <w:vAlign w:val="center"/>
          </w:tcPr>
          <w:p w14:paraId="3BD6BEFB">
            <w:r>
              <w:rPr>
                <w:rFonts w:hint="eastAsia"/>
              </w:rPr>
              <w:t>23国君G4</w:t>
            </w:r>
          </w:p>
        </w:tc>
        <w:tc>
          <w:tcPr>
            <w:tcW w:w="1113" w:type="dxa"/>
            <w:vAlign w:val="center"/>
          </w:tcPr>
          <w:p w14:paraId="079FD064">
            <w:pPr>
              <w:jc w:val="right"/>
            </w:pPr>
            <w:r>
              <w:rPr>
                <w:rFonts w:hint="eastAsia"/>
              </w:rPr>
              <w:t>800,000</w:t>
            </w:r>
          </w:p>
        </w:tc>
        <w:tc>
          <w:tcPr>
            <w:tcW w:w="1771" w:type="dxa"/>
            <w:vAlign w:val="center"/>
          </w:tcPr>
          <w:p w14:paraId="1BDB5DC2">
            <w:pPr>
              <w:jc w:val="right"/>
            </w:pPr>
            <w:r>
              <w:rPr>
                <w:rFonts w:hint="eastAsia"/>
              </w:rPr>
              <w:t>81,901,063.02</w:t>
            </w:r>
          </w:p>
        </w:tc>
        <w:tc>
          <w:tcPr>
            <w:tcW w:w="1771" w:type="dxa"/>
            <w:vAlign w:val="center"/>
          </w:tcPr>
          <w:p w14:paraId="77DD91CE">
            <w:pPr>
              <w:jc w:val="right"/>
            </w:pPr>
            <w:r>
              <w:rPr>
                <w:rFonts w:hint="eastAsia"/>
              </w:rPr>
              <w:t>7.69</w:t>
            </w:r>
          </w:p>
        </w:tc>
      </w:tr>
      <w:tr w14:paraId="2934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2737C8">
            <w:pPr>
              <w:jc w:val="center"/>
            </w:pPr>
            <w:r>
              <w:rPr>
                <w:rFonts w:hint="eastAsia"/>
              </w:rPr>
              <w:t>2</w:t>
            </w:r>
          </w:p>
        </w:tc>
        <w:tc>
          <w:tcPr>
            <w:tcW w:w="1135" w:type="dxa"/>
            <w:vAlign w:val="center"/>
          </w:tcPr>
          <w:p w14:paraId="15E37E59">
            <w:r>
              <w:rPr>
                <w:rFonts w:hint="eastAsia"/>
              </w:rPr>
              <w:t>200215</w:t>
            </w:r>
          </w:p>
        </w:tc>
        <w:tc>
          <w:tcPr>
            <w:tcW w:w="1882" w:type="dxa"/>
            <w:vAlign w:val="center"/>
          </w:tcPr>
          <w:p w14:paraId="22A80FC6">
            <w:r>
              <w:rPr>
                <w:rFonts w:hint="eastAsia"/>
              </w:rPr>
              <w:t>20国开15</w:t>
            </w:r>
          </w:p>
        </w:tc>
        <w:tc>
          <w:tcPr>
            <w:tcW w:w="1113" w:type="dxa"/>
            <w:vAlign w:val="center"/>
          </w:tcPr>
          <w:p w14:paraId="54172F3E">
            <w:pPr>
              <w:jc w:val="right"/>
            </w:pPr>
            <w:r>
              <w:rPr>
                <w:rFonts w:hint="eastAsia"/>
              </w:rPr>
              <w:t>600,000</w:t>
            </w:r>
          </w:p>
        </w:tc>
        <w:tc>
          <w:tcPr>
            <w:tcW w:w="1771" w:type="dxa"/>
            <w:vAlign w:val="center"/>
          </w:tcPr>
          <w:p w14:paraId="3AEE67F0">
            <w:pPr>
              <w:jc w:val="right"/>
            </w:pPr>
            <w:r>
              <w:rPr>
                <w:rFonts w:hint="eastAsia"/>
              </w:rPr>
              <w:t>65,706,000.00</w:t>
            </w:r>
          </w:p>
        </w:tc>
        <w:tc>
          <w:tcPr>
            <w:tcW w:w="1771" w:type="dxa"/>
            <w:vAlign w:val="center"/>
          </w:tcPr>
          <w:p w14:paraId="2AC1AB05">
            <w:pPr>
              <w:jc w:val="right"/>
            </w:pPr>
            <w:r>
              <w:rPr>
                <w:rFonts w:hint="eastAsia"/>
              </w:rPr>
              <w:t>6.17</w:t>
            </w:r>
          </w:p>
        </w:tc>
      </w:tr>
      <w:tr w14:paraId="0A3F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236A52">
            <w:pPr>
              <w:jc w:val="center"/>
            </w:pPr>
            <w:r>
              <w:rPr>
                <w:rFonts w:hint="eastAsia"/>
              </w:rPr>
              <w:t>3</w:t>
            </w:r>
          </w:p>
        </w:tc>
        <w:tc>
          <w:tcPr>
            <w:tcW w:w="1135" w:type="dxa"/>
            <w:vAlign w:val="center"/>
          </w:tcPr>
          <w:p w14:paraId="08386A9D">
            <w:r>
              <w:rPr>
                <w:rFonts w:hint="eastAsia"/>
              </w:rPr>
              <w:t>200210</w:t>
            </w:r>
          </w:p>
        </w:tc>
        <w:tc>
          <w:tcPr>
            <w:tcW w:w="1882" w:type="dxa"/>
            <w:vAlign w:val="center"/>
          </w:tcPr>
          <w:p w14:paraId="701BBC75">
            <w:r>
              <w:rPr>
                <w:rFonts w:hint="eastAsia"/>
              </w:rPr>
              <w:t>20国开10</w:t>
            </w:r>
          </w:p>
        </w:tc>
        <w:tc>
          <w:tcPr>
            <w:tcW w:w="1113" w:type="dxa"/>
            <w:vAlign w:val="center"/>
          </w:tcPr>
          <w:p w14:paraId="22E7D86D">
            <w:pPr>
              <w:jc w:val="right"/>
            </w:pPr>
            <w:r>
              <w:rPr>
                <w:rFonts w:hint="eastAsia"/>
              </w:rPr>
              <w:t>600,000</w:t>
            </w:r>
          </w:p>
        </w:tc>
        <w:tc>
          <w:tcPr>
            <w:tcW w:w="1771" w:type="dxa"/>
            <w:vAlign w:val="center"/>
          </w:tcPr>
          <w:p w14:paraId="51366B0B">
            <w:pPr>
              <w:jc w:val="right"/>
            </w:pPr>
            <w:r>
              <w:rPr>
                <w:rFonts w:hint="eastAsia"/>
              </w:rPr>
              <w:t>64,342,652.05</w:t>
            </w:r>
          </w:p>
        </w:tc>
        <w:tc>
          <w:tcPr>
            <w:tcW w:w="1771" w:type="dxa"/>
            <w:vAlign w:val="center"/>
          </w:tcPr>
          <w:p w14:paraId="066DA50D">
            <w:pPr>
              <w:jc w:val="right"/>
            </w:pPr>
            <w:r>
              <w:rPr>
                <w:rFonts w:hint="eastAsia"/>
              </w:rPr>
              <w:t>6.04</w:t>
            </w:r>
          </w:p>
        </w:tc>
      </w:tr>
      <w:tr w14:paraId="617E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D9F21E">
            <w:pPr>
              <w:jc w:val="center"/>
            </w:pPr>
            <w:r>
              <w:rPr>
                <w:rFonts w:hint="eastAsia"/>
              </w:rPr>
              <w:t>4</w:t>
            </w:r>
          </w:p>
        </w:tc>
        <w:tc>
          <w:tcPr>
            <w:tcW w:w="1135" w:type="dxa"/>
            <w:vAlign w:val="center"/>
          </w:tcPr>
          <w:p w14:paraId="59847BC6">
            <w:r>
              <w:rPr>
                <w:rFonts w:hint="eastAsia"/>
              </w:rPr>
              <w:t>240011</w:t>
            </w:r>
          </w:p>
        </w:tc>
        <w:tc>
          <w:tcPr>
            <w:tcW w:w="1882" w:type="dxa"/>
            <w:vAlign w:val="center"/>
          </w:tcPr>
          <w:p w14:paraId="6EE69621">
            <w:r>
              <w:rPr>
                <w:rFonts w:hint="eastAsia"/>
              </w:rPr>
              <w:t>24附息国债11</w:t>
            </w:r>
          </w:p>
        </w:tc>
        <w:tc>
          <w:tcPr>
            <w:tcW w:w="1113" w:type="dxa"/>
            <w:vAlign w:val="center"/>
          </w:tcPr>
          <w:p w14:paraId="04C1EE56">
            <w:pPr>
              <w:jc w:val="right"/>
            </w:pPr>
            <w:r>
              <w:rPr>
                <w:rFonts w:hint="eastAsia"/>
              </w:rPr>
              <w:t>600,000</w:t>
            </w:r>
          </w:p>
        </w:tc>
        <w:tc>
          <w:tcPr>
            <w:tcW w:w="1771" w:type="dxa"/>
            <w:vAlign w:val="center"/>
          </w:tcPr>
          <w:p w14:paraId="5E7263A0">
            <w:pPr>
              <w:jc w:val="right"/>
            </w:pPr>
            <w:r>
              <w:rPr>
                <w:rFonts w:hint="eastAsia"/>
              </w:rPr>
              <w:t>62,233,209.94</w:t>
            </w:r>
          </w:p>
        </w:tc>
        <w:tc>
          <w:tcPr>
            <w:tcW w:w="1771" w:type="dxa"/>
            <w:vAlign w:val="center"/>
          </w:tcPr>
          <w:p w14:paraId="35F6EDBC">
            <w:pPr>
              <w:jc w:val="right"/>
            </w:pPr>
            <w:r>
              <w:rPr>
                <w:rFonts w:hint="eastAsia"/>
              </w:rPr>
              <w:t>5.84</w:t>
            </w:r>
          </w:p>
        </w:tc>
      </w:tr>
      <w:tr w14:paraId="7D1E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EB79C6">
            <w:pPr>
              <w:jc w:val="center"/>
            </w:pPr>
            <w:r>
              <w:rPr>
                <w:rFonts w:hint="eastAsia"/>
              </w:rPr>
              <w:t>5</w:t>
            </w:r>
          </w:p>
        </w:tc>
        <w:tc>
          <w:tcPr>
            <w:tcW w:w="1135" w:type="dxa"/>
            <w:vAlign w:val="center"/>
          </w:tcPr>
          <w:p w14:paraId="66E7D528">
            <w:r>
              <w:rPr>
                <w:rFonts w:hint="eastAsia"/>
              </w:rPr>
              <w:t>243001</w:t>
            </w:r>
          </w:p>
        </w:tc>
        <w:tc>
          <w:tcPr>
            <w:tcW w:w="1882" w:type="dxa"/>
            <w:vAlign w:val="center"/>
          </w:tcPr>
          <w:p w14:paraId="04473512">
            <w:r>
              <w:rPr>
                <w:rFonts w:hint="eastAsia"/>
              </w:rPr>
              <w:t>24工银亚洲债01</w:t>
            </w:r>
          </w:p>
        </w:tc>
        <w:tc>
          <w:tcPr>
            <w:tcW w:w="1113" w:type="dxa"/>
            <w:vAlign w:val="center"/>
          </w:tcPr>
          <w:p w14:paraId="473649BE">
            <w:pPr>
              <w:jc w:val="right"/>
            </w:pPr>
            <w:r>
              <w:rPr>
                <w:rFonts w:hint="eastAsia"/>
              </w:rPr>
              <w:t>600,000</w:t>
            </w:r>
          </w:p>
        </w:tc>
        <w:tc>
          <w:tcPr>
            <w:tcW w:w="1771" w:type="dxa"/>
            <w:vAlign w:val="center"/>
          </w:tcPr>
          <w:p w14:paraId="2F148BCC">
            <w:pPr>
              <w:jc w:val="right"/>
            </w:pPr>
            <w:r>
              <w:rPr>
                <w:rFonts w:hint="eastAsia"/>
              </w:rPr>
              <w:t>60,569,243.84</w:t>
            </w:r>
          </w:p>
        </w:tc>
        <w:tc>
          <w:tcPr>
            <w:tcW w:w="1771" w:type="dxa"/>
            <w:vAlign w:val="center"/>
          </w:tcPr>
          <w:p w14:paraId="7E1A4191">
            <w:pPr>
              <w:jc w:val="right"/>
            </w:pPr>
            <w:r>
              <w:rPr>
                <w:rFonts w:hint="eastAsia"/>
              </w:rPr>
              <w:t>5.69</w:t>
            </w:r>
          </w:p>
        </w:tc>
      </w:tr>
    </w:tbl>
    <w:p w14:paraId="1E81A2CD">
      <w:pPr>
        <w:pStyle w:val="23"/>
      </w:pPr>
      <w:bookmarkStart w:id="164" w:name="_Toc15380"/>
      <w:r>
        <w:t>期末按公允价值占基金资产净值比例大小排序的所有资产支持证券投资明细</w:t>
      </w:r>
      <w:bookmarkEnd w:id="164"/>
    </w:p>
    <w:p w14:paraId="7682326F">
      <w:pPr>
        <w:pStyle w:val="18"/>
        <w:rPr>
          <w:rFonts w:hint="eastAsia"/>
        </w:rPr>
      </w:pPr>
      <w:r>
        <w:rPr>
          <w:rFonts w:hint="eastAsia"/>
        </w:rPr>
        <w:t>无。</w:t>
      </w:r>
    </w:p>
    <w:p w14:paraId="1C9514F5">
      <w:pPr>
        <w:pStyle w:val="23"/>
      </w:pPr>
      <w:bookmarkStart w:id="165" w:name="_Toc6945"/>
      <w:r>
        <w:t>报告期末按公允价值占基金资产净值比例大小排序的前五名贵金属投资明细</w:t>
      </w:r>
      <w:bookmarkEnd w:id="165"/>
    </w:p>
    <w:p w14:paraId="2A98187E">
      <w:pPr>
        <w:pStyle w:val="18"/>
        <w:rPr>
          <w:rFonts w:hint="eastAsia"/>
        </w:rPr>
      </w:pPr>
      <w:r>
        <w:rPr>
          <w:rFonts w:hint="eastAsia"/>
        </w:rPr>
        <w:t>无。</w:t>
      </w:r>
    </w:p>
    <w:p w14:paraId="311BEA09">
      <w:pPr>
        <w:pStyle w:val="23"/>
      </w:pPr>
      <w:bookmarkStart w:id="166" w:name="_Toc10242"/>
      <w:r>
        <w:t>期末按公允价值占基金资产净值比例大小排序的前五名权证投资明细</w:t>
      </w:r>
      <w:bookmarkEnd w:id="166"/>
    </w:p>
    <w:p w14:paraId="0C118BB2">
      <w:pPr>
        <w:pStyle w:val="18"/>
        <w:rPr>
          <w:rFonts w:hint="eastAsia"/>
        </w:rPr>
      </w:pPr>
      <w:r>
        <w:rPr>
          <w:rFonts w:hint="eastAsia"/>
        </w:rPr>
        <w:t>无。</w:t>
      </w:r>
    </w:p>
    <w:p w14:paraId="628EFB4D">
      <w:pPr>
        <w:pStyle w:val="23"/>
      </w:pPr>
      <w:bookmarkStart w:id="167" w:name="_Toc3000"/>
      <w:r>
        <w:t>本基金投资股指期货的投资政策</w:t>
      </w:r>
      <w:bookmarkEnd w:id="167"/>
    </w:p>
    <w:p w14:paraId="7B9D6480">
      <w:pPr>
        <w:pStyle w:val="18"/>
        <w:rPr>
          <w:rFonts w:hint="eastAsia"/>
        </w:rPr>
      </w:pPr>
      <w:r>
        <w:rPr>
          <w:rFonts w:hint="eastAsia"/>
        </w:rPr>
        <w:t>无。</w:t>
      </w:r>
    </w:p>
    <w:p w14:paraId="64FCF52C">
      <w:pPr>
        <w:pStyle w:val="23"/>
      </w:pPr>
      <w:bookmarkStart w:id="168" w:name="_Toc26679"/>
      <w:r>
        <w:t>报告期末本基金投资的国债期货交易情况说明</w:t>
      </w:r>
      <w:bookmarkEnd w:id="168"/>
    </w:p>
    <w:p w14:paraId="4BD72AD9">
      <w:pPr>
        <w:pStyle w:val="28"/>
      </w:pPr>
      <w:bookmarkStart w:id="169" w:name="_Toc169"/>
      <w:r>
        <w:t>本期国债期货投资政策</w:t>
      </w:r>
      <w:bookmarkEnd w:id="169"/>
    </w:p>
    <w:p w14:paraId="12F8C389">
      <w:pPr>
        <w:pStyle w:val="18"/>
        <w:rPr>
          <w:rFonts w:hint="eastAsia"/>
        </w:rPr>
      </w:pPr>
      <w:r>
        <w:rPr>
          <w:rFonts w:hint="eastAsia"/>
        </w:rPr>
        <w:t>无。</w:t>
      </w:r>
    </w:p>
    <w:p w14:paraId="61BD8ADF">
      <w:pPr>
        <w:pStyle w:val="28"/>
      </w:pPr>
      <w:bookmarkStart w:id="170" w:name="_Toc170"/>
      <w:r>
        <w:t>本期国债期货投资评价</w:t>
      </w:r>
      <w:bookmarkEnd w:id="170"/>
    </w:p>
    <w:p w14:paraId="2C0CD413">
      <w:pPr>
        <w:pStyle w:val="18"/>
        <w:rPr>
          <w:rFonts w:hint="eastAsia"/>
        </w:rPr>
      </w:pPr>
      <w:r>
        <w:rPr>
          <w:rFonts w:hint="eastAsia"/>
        </w:rPr>
        <w:t>无。</w:t>
      </w:r>
    </w:p>
    <w:p w14:paraId="7AFBA9CE">
      <w:pPr>
        <w:pStyle w:val="23"/>
      </w:pPr>
      <w:bookmarkStart w:id="171" w:name="_Toc1989"/>
      <w:r>
        <w:t>投资组合报告附注</w:t>
      </w:r>
      <w:bookmarkEnd w:id="171"/>
    </w:p>
    <w:p w14:paraId="3EBEC598">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1A9D52D8">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0034F66A">
      <w:pPr>
        <w:pStyle w:val="18"/>
        <w:rPr>
          <w:rFonts w:hint="eastAsia"/>
        </w:rPr>
      </w:pPr>
      <w:r>
        <w:rPr>
          <w:rFonts w:hint="eastAsia"/>
        </w:rPr>
        <w:t>对上述证券的投资决策程序的说明：本基金投资上述证券的投资决策程序符合相关法律法规和公司制度的要求。</w:t>
      </w:r>
    </w:p>
    <w:p w14:paraId="0CC6037B">
      <w:pPr>
        <w:pStyle w:val="28"/>
      </w:pPr>
      <w:bookmarkStart w:id="173" w:name="_Toc173"/>
      <w:r>
        <w:t xml:space="preserve">声明基金投资的前十名股票是否超出基金合同规定的备选股票库。如是，还应对相关股票的投资决策程序做出说明 </w:t>
      </w:r>
      <w:bookmarkEnd w:id="173"/>
    </w:p>
    <w:p w14:paraId="093B7E94">
      <w:pPr>
        <w:pStyle w:val="18"/>
        <w:rPr>
          <w:rFonts w:hint="eastAsia"/>
        </w:rPr>
      </w:pPr>
      <w:r>
        <w:rPr>
          <w:rFonts w:hint="eastAsia"/>
        </w:rPr>
        <w:t>本基金投资的前十名股票（如有）没有超出基金合同规定的备选股票库，本基金管理人从制度和流程上要求股票必须先入库再买入。</w:t>
      </w:r>
    </w:p>
    <w:p w14:paraId="515A7240">
      <w:pPr>
        <w:pStyle w:val="28"/>
      </w:pPr>
      <w:bookmarkStart w:id="174" w:name="_Toc174"/>
      <w:r>
        <w:t>期末其他各项资产构成</w:t>
      </w:r>
      <w:bookmarkEnd w:id="174"/>
    </w:p>
    <w:p w14:paraId="722DCA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07D4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F893266">
            <w:pPr>
              <w:jc w:val="center"/>
            </w:pPr>
            <w:r>
              <w:rPr>
                <w:rFonts w:hint="eastAsia"/>
                <w:b/>
              </w:rPr>
              <w:t>序号</w:t>
            </w:r>
          </w:p>
        </w:tc>
        <w:tc>
          <w:tcPr>
            <w:tcW w:w="2907" w:type="dxa"/>
            <w:shd w:val="clear" w:color="auto" w:fill="BFBFBF"/>
            <w:vAlign w:val="center"/>
          </w:tcPr>
          <w:p w14:paraId="7518215D">
            <w:pPr>
              <w:jc w:val="center"/>
            </w:pPr>
            <w:r>
              <w:rPr>
                <w:rFonts w:hint="eastAsia"/>
                <w:b/>
              </w:rPr>
              <w:t>名称</w:t>
            </w:r>
          </w:p>
        </w:tc>
        <w:tc>
          <w:tcPr>
            <w:tcW w:w="4673" w:type="dxa"/>
            <w:shd w:val="clear" w:color="auto" w:fill="BFBFBF"/>
            <w:vAlign w:val="center"/>
          </w:tcPr>
          <w:p w14:paraId="0C39BEC5">
            <w:pPr>
              <w:jc w:val="center"/>
            </w:pPr>
            <w:r>
              <w:rPr>
                <w:rFonts w:hint="eastAsia"/>
                <w:b/>
              </w:rPr>
              <w:t>金额（元）</w:t>
            </w:r>
          </w:p>
        </w:tc>
      </w:tr>
      <w:tr w14:paraId="6765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132F0D">
            <w:pPr>
              <w:jc w:val="center"/>
            </w:pPr>
            <w:r>
              <w:rPr>
                <w:rFonts w:hint="eastAsia"/>
              </w:rPr>
              <w:t>1</w:t>
            </w:r>
          </w:p>
        </w:tc>
        <w:tc>
          <w:tcPr>
            <w:tcW w:w="2907" w:type="dxa"/>
            <w:vAlign w:val="center"/>
          </w:tcPr>
          <w:p w14:paraId="6AF3A9A4">
            <w:r>
              <w:rPr>
                <w:rFonts w:hint="eastAsia"/>
              </w:rPr>
              <w:t>存出保证金</w:t>
            </w:r>
          </w:p>
        </w:tc>
        <w:tc>
          <w:tcPr>
            <w:tcW w:w="4673" w:type="dxa"/>
            <w:vAlign w:val="center"/>
          </w:tcPr>
          <w:p w14:paraId="68759AB0">
            <w:pPr>
              <w:jc w:val="right"/>
            </w:pPr>
            <w:r>
              <w:rPr>
                <w:rFonts w:hint="eastAsia"/>
              </w:rPr>
              <w:t>14,382.93</w:t>
            </w:r>
          </w:p>
        </w:tc>
      </w:tr>
      <w:tr w14:paraId="24EB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C5816A">
            <w:pPr>
              <w:jc w:val="center"/>
            </w:pPr>
            <w:r>
              <w:rPr>
                <w:rFonts w:hint="eastAsia"/>
              </w:rPr>
              <w:t>2</w:t>
            </w:r>
          </w:p>
        </w:tc>
        <w:tc>
          <w:tcPr>
            <w:tcW w:w="2907" w:type="dxa"/>
            <w:vAlign w:val="center"/>
          </w:tcPr>
          <w:p w14:paraId="70A97FA9">
            <w:r>
              <w:rPr>
                <w:rFonts w:hint="eastAsia"/>
              </w:rPr>
              <w:t>应收清算款</w:t>
            </w:r>
          </w:p>
        </w:tc>
        <w:tc>
          <w:tcPr>
            <w:tcW w:w="4673" w:type="dxa"/>
            <w:vAlign w:val="center"/>
          </w:tcPr>
          <w:p w14:paraId="2887A430">
            <w:pPr>
              <w:jc w:val="right"/>
            </w:pPr>
            <w:r>
              <w:rPr>
                <w:rFonts w:hint="eastAsia"/>
              </w:rPr>
              <w:t>-</w:t>
            </w:r>
          </w:p>
        </w:tc>
      </w:tr>
      <w:tr w14:paraId="6B11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B2CF44">
            <w:pPr>
              <w:jc w:val="center"/>
            </w:pPr>
            <w:r>
              <w:rPr>
                <w:rFonts w:hint="eastAsia"/>
              </w:rPr>
              <w:t>3</w:t>
            </w:r>
          </w:p>
        </w:tc>
        <w:tc>
          <w:tcPr>
            <w:tcW w:w="2907" w:type="dxa"/>
            <w:vAlign w:val="center"/>
          </w:tcPr>
          <w:p w14:paraId="0CFCF64E">
            <w:r>
              <w:rPr>
                <w:rFonts w:hint="eastAsia"/>
              </w:rPr>
              <w:t>应收股利</w:t>
            </w:r>
          </w:p>
        </w:tc>
        <w:tc>
          <w:tcPr>
            <w:tcW w:w="4673" w:type="dxa"/>
            <w:vAlign w:val="center"/>
          </w:tcPr>
          <w:p w14:paraId="6731E0FF">
            <w:pPr>
              <w:jc w:val="right"/>
            </w:pPr>
            <w:r>
              <w:rPr>
                <w:rFonts w:hint="eastAsia"/>
              </w:rPr>
              <w:t>-</w:t>
            </w:r>
          </w:p>
        </w:tc>
      </w:tr>
      <w:tr w14:paraId="41CD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3D0266">
            <w:pPr>
              <w:jc w:val="center"/>
            </w:pPr>
            <w:r>
              <w:rPr>
                <w:rFonts w:hint="eastAsia"/>
              </w:rPr>
              <w:t>4</w:t>
            </w:r>
          </w:p>
        </w:tc>
        <w:tc>
          <w:tcPr>
            <w:tcW w:w="2907" w:type="dxa"/>
            <w:vAlign w:val="center"/>
          </w:tcPr>
          <w:p w14:paraId="45BC8780">
            <w:r>
              <w:rPr>
                <w:rFonts w:hint="eastAsia"/>
              </w:rPr>
              <w:t>应收利息</w:t>
            </w:r>
          </w:p>
        </w:tc>
        <w:tc>
          <w:tcPr>
            <w:tcW w:w="4673" w:type="dxa"/>
            <w:vAlign w:val="center"/>
          </w:tcPr>
          <w:p w14:paraId="3E7F074C">
            <w:pPr>
              <w:jc w:val="right"/>
            </w:pPr>
            <w:r>
              <w:rPr>
                <w:rFonts w:hint="eastAsia"/>
              </w:rPr>
              <w:t>-</w:t>
            </w:r>
          </w:p>
        </w:tc>
      </w:tr>
      <w:tr w14:paraId="7702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AAFBCA">
            <w:pPr>
              <w:jc w:val="center"/>
            </w:pPr>
            <w:r>
              <w:rPr>
                <w:rFonts w:hint="eastAsia"/>
              </w:rPr>
              <w:t>5</w:t>
            </w:r>
          </w:p>
        </w:tc>
        <w:tc>
          <w:tcPr>
            <w:tcW w:w="2907" w:type="dxa"/>
            <w:vAlign w:val="center"/>
          </w:tcPr>
          <w:p w14:paraId="62992EFF">
            <w:r>
              <w:rPr>
                <w:rFonts w:hint="eastAsia"/>
              </w:rPr>
              <w:t>应收申购款</w:t>
            </w:r>
          </w:p>
        </w:tc>
        <w:tc>
          <w:tcPr>
            <w:tcW w:w="4673" w:type="dxa"/>
            <w:vAlign w:val="center"/>
          </w:tcPr>
          <w:p w14:paraId="6EA8C9DA">
            <w:pPr>
              <w:jc w:val="right"/>
            </w:pPr>
            <w:r>
              <w:rPr>
                <w:rFonts w:hint="eastAsia"/>
              </w:rPr>
              <w:t>-</w:t>
            </w:r>
          </w:p>
        </w:tc>
      </w:tr>
      <w:tr w14:paraId="1087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ABE551">
            <w:pPr>
              <w:jc w:val="center"/>
            </w:pPr>
            <w:r>
              <w:rPr>
                <w:rFonts w:hint="eastAsia"/>
              </w:rPr>
              <w:t>6</w:t>
            </w:r>
          </w:p>
        </w:tc>
        <w:tc>
          <w:tcPr>
            <w:tcW w:w="2907" w:type="dxa"/>
            <w:vAlign w:val="center"/>
          </w:tcPr>
          <w:p w14:paraId="5EB58B46">
            <w:r>
              <w:rPr>
                <w:rFonts w:hint="eastAsia"/>
              </w:rPr>
              <w:t>其他应收款</w:t>
            </w:r>
          </w:p>
        </w:tc>
        <w:tc>
          <w:tcPr>
            <w:tcW w:w="4673" w:type="dxa"/>
            <w:vAlign w:val="center"/>
          </w:tcPr>
          <w:p w14:paraId="5D2B8D41">
            <w:pPr>
              <w:jc w:val="right"/>
            </w:pPr>
            <w:r>
              <w:rPr>
                <w:rFonts w:hint="eastAsia"/>
              </w:rPr>
              <w:t>-</w:t>
            </w:r>
          </w:p>
        </w:tc>
      </w:tr>
      <w:tr w14:paraId="0587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C89442">
            <w:pPr>
              <w:jc w:val="center"/>
            </w:pPr>
            <w:r>
              <w:rPr>
                <w:rFonts w:hint="eastAsia"/>
              </w:rPr>
              <w:t>7</w:t>
            </w:r>
          </w:p>
        </w:tc>
        <w:tc>
          <w:tcPr>
            <w:tcW w:w="2907" w:type="dxa"/>
            <w:vAlign w:val="center"/>
          </w:tcPr>
          <w:p w14:paraId="4D35F6E4">
            <w:r>
              <w:rPr>
                <w:rFonts w:hint="eastAsia"/>
              </w:rPr>
              <w:t>待摊费用</w:t>
            </w:r>
          </w:p>
        </w:tc>
        <w:tc>
          <w:tcPr>
            <w:tcW w:w="4673" w:type="dxa"/>
            <w:vAlign w:val="center"/>
          </w:tcPr>
          <w:p w14:paraId="691EA21F">
            <w:pPr>
              <w:jc w:val="right"/>
            </w:pPr>
            <w:r>
              <w:rPr>
                <w:rFonts w:hint="eastAsia"/>
              </w:rPr>
              <w:t>-</w:t>
            </w:r>
          </w:p>
        </w:tc>
      </w:tr>
      <w:tr w14:paraId="440B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EF87B5">
            <w:pPr>
              <w:jc w:val="center"/>
            </w:pPr>
            <w:r>
              <w:rPr>
                <w:rFonts w:hint="eastAsia"/>
              </w:rPr>
              <w:t>8</w:t>
            </w:r>
          </w:p>
        </w:tc>
        <w:tc>
          <w:tcPr>
            <w:tcW w:w="2907" w:type="dxa"/>
            <w:vAlign w:val="center"/>
          </w:tcPr>
          <w:p w14:paraId="54A271BB">
            <w:r>
              <w:rPr>
                <w:rFonts w:hint="eastAsia"/>
              </w:rPr>
              <w:t>其他</w:t>
            </w:r>
          </w:p>
        </w:tc>
        <w:tc>
          <w:tcPr>
            <w:tcW w:w="4673" w:type="dxa"/>
            <w:vAlign w:val="center"/>
          </w:tcPr>
          <w:p w14:paraId="2CD5FA32">
            <w:pPr>
              <w:jc w:val="right"/>
            </w:pPr>
            <w:r>
              <w:rPr>
                <w:rFonts w:hint="eastAsia"/>
              </w:rPr>
              <w:t>-</w:t>
            </w:r>
          </w:p>
        </w:tc>
      </w:tr>
      <w:tr w14:paraId="294F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216765">
            <w:pPr>
              <w:jc w:val="center"/>
            </w:pPr>
            <w:r>
              <w:rPr>
                <w:rFonts w:hint="eastAsia"/>
              </w:rPr>
              <w:t>9</w:t>
            </w:r>
          </w:p>
        </w:tc>
        <w:tc>
          <w:tcPr>
            <w:tcW w:w="2907" w:type="dxa"/>
            <w:vAlign w:val="center"/>
          </w:tcPr>
          <w:p w14:paraId="1911915C">
            <w:r>
              <w:rPr>
                <w:rFonts w:hint="eastAsia"/>
              </w:rPr>
              <w:t>合计</w:t>
            </w:r>
          </w:p>
        </w:tc>
        <w:tc>
          <w:tcPr>
            <w:tcW w:w="4673" w:type="dxa"/>
            <w:vAlign w:val="center"/>
          </w:tcPr>
          <w:p w14:paraId="46B56829">
            <w:pPr>
              <w:jc w:val="right"/>
            </w:pPr>
            <w:r>
              <w:rPr>
                <w:rFonts w:hint="eastAsia"/>
              </w:rPr>
              <w:t>14,382.93</w:t>
            </w:r>
          </w:p>
        </w:tc>
      </w:tr>
    </w:tbl>
    <w:p w14:paraId="52FF6D0F">
      <w:pPr>
        <w:pStyle w:val="28"/>
      </w:pPr>
      <w:bookmarkStart w:id="175" w:name="_Toc175"/>
      <w:r>
        <w:t>期末持有的处于转股期的可转换债券明细</w:t>
      </w:r>
      <w:bookmarkEnd w:id="175"/>
    </w:p>
    <w:p w14:paraId="208CF3BC">
      <w:pPr>
        <w:pStyle w:val="18"/>
        <w:rPr>
          <w:rFonts w:hint="eastAsia"/>
        </w:rPr>
      </w:pPr>
      <w:r>
        <w:rPr>
          <w:rFonts w:hint="eastAsia"/>
        </w:rPr>
        <w:t>本基金本报告期末未持有处于转股期的可转换债券。</w:t>
      </w:r>
    </w:p>
    <w:p w14:paraId="2F9788BC">
      <w:pPr>
        <w:pStyle w:val="28"/>
      </w:pPr>
      <w:bookmarkStart w:id="176" w:name="_Toc176"/>
      <w:r>
        <w:t>报告期末前十名股票中存在流通受限情况的说明</w:t>
      </w:r>
      <w:bookmarkEnd w:id="176"/>
    </w:p>
    <w:p w14:paraId="36BA5AE6">
      <w:pPr>
        <w:pStyle w:val="18"/>
        <w:rPr>
          <w:rFonts w:hint="eastAsia"/>
        </w:rPr>
      </w:pPr>
      <w:r>
        <w:rPr>
          <w:rFonts w:hint="eastAsia"/>
        </w:rPr>
        <w:t>无。</w:t>
      </w:r>
    </w:p>
    <w:p w14:paraId="576933B5">
      <w:pPr>
        <w:pStyle w:val="26"/>
      </w:pPr>
      <w:bookmarkStart w:id="177" w:name="_Toc26157"/>
      <w:r>
        <w:t>基金份额持有人信息</w:t>
      </w:r>
      <w:bookmarkEnd w:id="177"/>
    </w:p>
    <w:p w14:paraId="393D337E">
      <w:pPr>
        <w:pStyle w:val="23"/>
      </w:pPr>
      <w:bookmarkStart w:id="178" w:name="_Toc16168"/>
      <w:r>
        <w:t>期末基金份额持有人户数及持有人结构</w:t>
      </w:r>
      <w:bookmarkEnd w:id="178"/>
    </w:p>
    <w:p w14:paraId="41B5D71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67D0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7AD70F6">
            <w:pPr>
              <w:jc w:val="center"/>
            </w:pPr>
            <w:r>
              <w:rPr>
                <w:rFonts w:hint="eastAsia"/>
                <w:b/>
              </w:rPr>
              <w:t>持有人户数（户）</w:t>
            </w:r>
          </w:p>
        </w:tc>
        <w:tc>
          <w:tcPr>
            <w:tcW w:w="1960" w:type="dxa"/>
            <w:vMerge w:val="restart"/>
            <w:shd w:val="clear" w:color="auto" w:fill="BFBFBF"/>
            <w:vAlign w:val="center"/>
          </w:tcPr>
          <w:p w14:paraId="3AB51396">
            <w:pPr>
              <w:jc w:val="center"/>
            </w:pPr>
            <w:r>
              <w:rPr>
                <w:rFonts w:hint="eastAsia"/>
                <w:b/>
              </w:rPr>
              <w:t>户均持有的基金份额</w:t>
            </w:r>
          </w:p>
        </w:tc>
        <w:tc>
          <w:tcPr>
            <w:tcW w:w="2063" w:type="dxa"/>
            <w:gridSpan w:val="4"/>
            <w:shd w:val="clear" w:color="auto" w:fill="BFBFBF"/>
            <w:vAlign w:val="center"/>
          </w:tcPr>
          <w:p w14:paraId="1ABEE2D7">
            <w:pPr>
              <w:jc w:val="center"/>
            </w:pPr>
            <w:r>
              <w:rPr>
                <w:rFonts w:hint="eastAsia"/>
                <w:b/>
              </w:rPr>
              <w:t>持有人结构</w:t>
            </w:r>
          </w:p>
        </w:tc>
      </w:tr>
      <w:tr w14:paraId="5F3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7EBB6B04"/>
        </w:tc>
        <w:tc>
          <w:tcPr>
            <w:tcW w:w="1960" w:type="dxa"/>
            <w:vMerge w:val="continue"/>
            <w:vAlign w:val="center"/>
          </w:tcPr>
          <w:p w14:paraId="3919403B"/>
        </w:tc>
        <w:tc>
          <w:tcPr>
            <w:tcW w:w="2063" w:type="dxa"/>
            <w:gridSpan w:val="2"/>
            <w:shd w:val="clear" w:color="auto" w:fill="BFBFBF"/>
            <w:vAlign w:val="center"/>
          </w:tcPr>
          <w:p w14:paraId="3C07D35B">
            <w:pPr>
              <w:jc w:val="center"/>
            </w:pPr>
            <w:r>
              <w:rPr>
                <w:rFonts w:hint="eastAsia"/>
                <w:b/>
              </w:rPr>
              <w:t>机构投资者</w:t>
            </w:r>
          </w:p>
        </w:tc>
        <w:tc>
          <w:tcPr>
            <w:tcW w:w="2063" w:type="dxa"/>
            <w:gridSpan w:val="2"/>
            <w:shd w:val="clear" w:color="auto" w:fill="BFBFBF"/>
            <w:vAlign w:val="center"/>
          </w:tcPr>
          <w:p w14:paraId="18254917">
            <w:pPr>
              <w:jc w:val="center"/>
            </w:pPr>
            <w:r>
              <w:rPr>
                <w:rFonts w:hint="eastAsia"/>
                <w:b/>
              </w:rPr>
              <w:t>个人投资者</w:t>
            </w:r>
          </w:p>
        </w:tc>
      </w:tr>
      <w:tr w14:paraId="3CBF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6DE98A0A"/>
        </w:tc>
        <w:tc>
          <w:tcPr>
            <w:tcW w:w="1960" w:type="dxa"/>
            <w:vMerge w:val="continue"/>
            <w:vAlign w:val="center"/>
          </w:tcPr>
          <w:p w14:paraId="41332EEE"/>
        </w:tc>
        <w:tc>
          <w:tcPr>
            <w:tcW w:w="2063" w:type="dxa"/>
            <w:shd w:val="clear" w:color="auto" w:fill="BFBFBF"/>
            <w:vAlign w:val="center"/>
          </w:tcPr>
          <w:p w14:paraId="549D1D8A">
            <w:pPr>
              <w:jc w:val="center"/>
            </w:pPr>
            <w:r>
              <w:rPr>
                <w:rFonts w:hint="eastAsia"/>
                <w:b/>
              </w:rPr>
              <w:t>持有份额</w:t>
            </w:r>
          </w:p>
        </w:tc>
        <w:tc>
          <w:tcPr>
            <w:tcW w:w="773" w:type="dxa"/>
            <w:shd w:val="clear" w:color="auto" w:fill="BFBFBF"/>
            <w:vAlign w:val="center"/>
          </w:tcPr>
          <w:p w14:paraId="20D219AB">
            <w:pPr>
              <w:jc w:val="center"/>
            </w:pPr>
            <w:r>
              <w:rPr>
                <w:rFonts w:hint="eastAsia"/>
                <w:b/>
              </w:rPr>
              <w:t>占总份额比例</w:t>
            </w:r>
          </w:p>
        </w:tc>
        <w:tc>
          <w:tcPr>
            <w:tcW w:w="2063" w:type="dxa"/>
            <w:shd w:val="clear" w:color="auto" w:fill="BFBFBF"/>
            <w:vAlign w:val="center"/>
          </w:tcPr>
          <w:p w14:paraId="6D63AE5C">
            <w:pPr>
              <w:jc w:val="center"/>
            </w:pPr>
            <w:r>
              <w:rPr>
                <w:rFonts w:hint="eastAsia"/>
                <w:b/>
              </w:rPr>
              <w:t>持有份额</w:t>
            </w:r>
          </w:p>
        </w:tc>
        <w:tc>
          <w:tcPr>
            <w:tcW w:w="773" w:type="dxa"/>
            <w:shd w:val="clear" w:color="auto" w:fill="BFBFBF"/>
            <w:vAlign w:val="center"/>
          </w:tcPr>
          <w:p w14:paraId="1CB0DDF3">
            <w:pPr>
              <w:jc w:val="center"/>
            </w:pPr>
            <w:r>
              <w:rPr>
                <w:rFonts w:hint="eastAsia"/>
                <w:b/>
              </w:rPr>
              <w:t>占总份额比例</w:t>
            </w:r>
          </w:p>
        </w:tc>
      </w:tr>
      <w:tr w14:paraId="1C54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42BB3C5">
            <w:pPr>
              <w:jc w:val="right"/>
            </w:pPr>
            <w:r>
              <w:rPr>
                <w:rFonts w:hint="eastAsia"/>
              </w:rPr>
              <w:t>202</w:t>
            </w:r>
          </w:p>
        </w:tc>
        <w:tc>
          <w:tcPr>
            <w:tcW w:w="1960" w:type="dxa"/>
            <w:vAlign w:val="center"/>
          </w:tcPr>
          <w:p w14:paraId="1C23892A">
            <w:pPr>
              <w:jc w:val="right"/>
            </w:pPr>
            <w:r>
              <w:rPr>
                <w:rFonts w:hint="eastAsia"/>
              </w:rPr>
              <w:t>4,960,203.61</w:t>
            </w:r>
          </w:p>
        </w:tc>
        <w:tc>
          <w:tcPr>
            <w:tcW w:w="2063" w:type="dxa"/>
            <w:vAlign w:val="center"/>
          </w:tcPr>
          <w:p w14:paraId="52FE7240">
            <w:pPr>
              <w:jc w:val="right"/>
            </w:pPr>
            <w:r>
              <w:rPr>
                <w:rFonts w:hint="eastAsia"/>
              </w:rPr>
              <w:t>1,001,961,129.58</w:t>
            </w:r>
          </w:p>
        </w:tc>
        <w:tc>
          <w:tcPr>
            <w:tcW w:w="773" w:type="dxa"/>
            <w:vAlign w:val="center"/>
          </w:tcPr>
          <w:p w14:paraId="086F1345">
            <w:pPr>
              <w:jc w:val="right"/>
            </w:pPr>
            <w:r>
              <w:rPr>
                <w:rFonts w:hint="eastAsia"/>
              </w:rPr>
              <w:t>100.00%</w:t>
            </w:r>
          </w:p>
        </w:tc>
        <w:tc>
          <w:tcPr>
            <w:tcW w:w="2063" w:type="dxa"/>
            <w:vAlign w:val="center"/>
          </w:tcPr>
          <w:p w14:paraId="71FEB77D">
            <w:pPr>
              <w:jc w:val="right"/>
            </w:pPr>
            <w:r>
              <w:rPr>
                <w:rFonts w:hint="eastAsia"/>
              </w:rPr>
              <w:t>-</w:t>
            </w:r>
          </w:p>
        </w:tc>
        <w:tc>
          <w:tcPr>
            <w:tcW w:w="773" w:type="dxa"/>
            <w:vAlign w:val="center"/>
          </w:tcPr>
          <w:p w14:paraId="7534093E">
            <w:pPr>
              <w:jc w:val="right"/>
            </w:pPr>
            <w:r>
              <w:rPr>
                <w:rFonts w:hint="eastAsia"/>
              </w:rPr>
              <w:t>-</w:t>
            </w:r>
          </w:p>
        </w:tc>
      </w:tr>
    </w:tbl>
    <w:p w14:paraId="20768880">
      <w:pPr>
        <w:pStyle w:val="23"/>
      </w:pPr>
      <w:bookmarkStart w:id="179" w:name="_Toc5453"/>
      <w:r>
        <w:t>期末基金管理人的从业人员持有本基金的情况</w:t>
      </w:r>
      <w:bookmarkEnd w:id="179"/>
    </w:p>
    <w:p w14:paraId="1DBEBADF">
      <w:pPr>
        <w:pStyle w:val="18"/>
        <w:rPr>
          <w:rFonts w:hint="eastAsia"/>
        </w:rPr>
      </w:pPr>
      <w:r>
        <w:rPr>
          <w:rFonts w:hint="eastAsia"/>
        </w:rPr>
        <w:t>本公司的所有从业人员(包含高级管理人员、基金投资和研究部门负责人和本基金基金经理)均未持有本基金份额。</w:t>
      </w:r>
    </w:p>
    <w:p w14:paraId="74F5B3A3">
      <w:pPr>
        <w:pStyle w:val="23"/>
      </w:pPr>
      <w:bookmarkStart w:id="180" w:name="_Toc30353"/>
      <w:r>
        <w:t>期末基金管理人的从业人员持有本开放式基金份额总量区间情况</w:t>
      </w:r>
      <w:bookmarkEnd w:id="180"/>
    </w:p>
    <w:p w14:paraId="1E46342A">
      <w:pPr>
        <w:pStyle w:val="18"/>
        <w:rPr>
          <w:rFonts w:hint="eastAsia"/>
        </w:rPr>
      </w:pPr>
      <w:r>
        <w:rPr>
          <w:rFonts w:hint="eastAsia"/>
        </w:rPr>
        <w:t>本公司的高级管理人员、基金投资和研究部门负责人和本基金基金经理均未持有本基金份额。</w:t>
      </w:r>
    </w:p>
    <w:p w14:paraId="1D5BC731">
      <w:pPr>
        <w:pStyle w:val="23"/>
      </w:pPr>
      <w:bookmarkStart w:id="181" w:name="_Toc21217"/>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969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41DF5D0">
            <w:pPr>
              <w:jc w:val="center"/>
            </w:pPr>
            <w:r>
              <w:rPr>
                <w:rFonts w:hint="eastAsia"/>
                <w:b/>
              </w:rPr>
              <w:t>项目</w:t>
            </w:r>
          </w:p>
        </w:tc>
        <w:tc>
          <w:tcPr>
            <w:tcW w:w="1550" w:type="dxa"/>
            <w:shd w:val="clear" w:color="auto" w:fill="BFBFBF"/>
            <w:vAlign w:val="center"/>
          </w:tcPr>
          <w:p w14:paraId="1FF25D0B">
            <w:pPr>
              <w:jc w:val="center"/>
            </w:pPr>
            <w:r>
              <w:rPr>
                <w:rFonts w:hint="eastAsia"/>
                <w:b/>
              </w:rPr>
              <w:t>持有份额总数</w:t>
            </w:r>
          </w:p>
        </w:tc>
        <w:tc>
          <w:tcPr>
            <w:tcW w:w="1328" w:type="dxa"/>
            <w:shd w:val="clear" w:color="auto" w:fill="BFBFBF"/>
            <w:vAlign w:val="center"/>
          </w:tcPr>
          <w:p w14:paraId="60D01303">
            <w:pPr>
              <w:jc w:val="center"/>
            </w:pPr>
            <w:r>
              <w:rPr>
                <w:rFonts w:hint="eastAsia"/>
                <w:b/>
              </w:rPr>
              <w:t>持有份额占基金总份额比例（%）</w:t>
            </w:r>
          </w:p>
        </w:tc>
        <w:tc>
          <w:tcPr>
            <w:tcW w:w="1550" w:type="dxa"/>
            <w:shd w:val="clear" w:color="auto" w:fill="BFBFBF"/>
            <w:vAlign w:val="center"/>
          </w:tcPr>
          <w:p w14:paraId="2F3ED54E">
            <w:pPr>
              <w:jc w:val="center"/>
            </w:pPr>
            <w:r>
              <w:rPr>
                <w:rFonts w:hint="eastAsia"/>
                <w:b/>
              </w:rPr>
              <w:t>发起份额总数</w:t>
            </w:r>
          </w:p>
        </w:tc>
        <w:tc>
          <w:tcPr>
            <w:tcW w:w="1273" w:type="dxa"/>
            <w:shd w:val="clear" w:color="auto" w:fill="BFBFBF"/>
            <w:vAlign w:val="center"/>
          </w:tcPr>
          <w:p w14:paraId="463CDD7C">
            <w:pPr>
              <w:jc w:val="center"/>
            </w:pPr>
            <w:r>
              <w:rPr>
                <w:rFonts w:hint="eastAsia"/>
                <w:b/>
              </w:rPr>
              <w:t>发起份额占基金总份额比例（%）</w:t>
            </w:r>
          </w:p>
        </w:tc>
        <w:tc>
          <w:tcPr>
            <w:tcW w:w="1273" w:type="dxa"/>
            <w:shd w:val="clear" w:color="auto" w:fill="BFBFBF"/>
            <w:vAlign w:val="center"/>
          </w:tcPr>
          <w:p w14:paraId="53EC5AA6">
            <w:pPr>
              <w:jc w:val="center"/>
            </w:pPr>
            <w:r>
              <w:rPr>
                <w:rFonts w:hint="eastAsia"/>
                <w:b/>
              </w:rPr>
              <w:t>发起份额承诺持有期限</w:t>
            </w:r>
          </w:p>
        </w:tc>
      </w:tr>
      <w:tr w14:paraId="0222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F579B1D">
            <w:r>
              <w:rPr>
                <w:rFonts w:hint="eastAsia"/>
              </w:rPr>
              <w:t>基金管理人固有资金</w:t>
            </w:r>
          </w:p>
        </w:tc>
        <w:tc>
          <w:tcPr>
            <w:tcW w:w="1550" w:type="dxa"/>
            <w:vAlign w:val="center"/>
          </w:tcPr>
          <w:p w14:paraId="10958E37">
            <w:pPr>
              <w:jc w:val="right"/>
            </w:pPr>
            <w:r>
              <w:rPr>
                <w:rFonts w:hint="eastAsia"/>
              </w:rPr>
              <w:t>10,014,695.91</w:t>
            </w:r>
          </w:p>
        </w:tc>
        <w:tc>
          <w:tcPr>
            <w:tcW w:w="1328" w:type="dxa"/>
            <w:vAlign w:val="center"/>
          </w:tcPr>
          <w:p w14:paraId="76EAB350">
            <w:pPr>
              <w:jc w:val="right"/>
            </w:pPr>
            <w:r>
              <w:rPr>
                <w:rFonts w:hint="eastAsia"/>
              </w:rPr>
              <w:t>1.00</w:t>
            </w:r>
          </w:p>
        </w:tc>
        <w:tc>
          <w:tcPr>
            <w:tcW w:w="1550" w:type="dxa"/>
            <w:vAlign w:val="center"/>
          </w:tcPr>
          <w:p w14:paraId="6098DD79">
            <w:pPr>
              <w:jc w:val="right"/>
            </w:pPr>
            <w:r>
              <w:rPr>
                <w:rFonts w:hint="eastAsia"/>
              </w:rPr>
              <w:t>10,000,000.00</w:t>
            </w:r>
          </w:p>
        </w:tc>
        <w:tc>
          <w:tcPr>
            <w:tcW w:w="1273" w:type="dxa"/>
            <w:vAlign w:val="center"/>
          </w:tcPr>
          <w:p w14:paraId="1FB6D242">
            <w:pPr>
              <w:jc w:val="right"/>
            </w:pPr>
            <w:r>
              <w:rPr>
                <w:rFonts w:hint="eastAsia"/>
              </w:rPr>
              <w:t>1.00</w:t>
            </w:r>
          </w:p>
        </w:tc>
        <w:tc>
          <w:tcPr>
            <w:tcW w:w="1273" w:type="dxa"/>
            <w:vAlign w:val="center"/>
          </w:tcPr>
          <w:p w14:paraId="5E5ABFB8">
            <w:r>
              <w:rPr>
                <w:rFonts w:hint="eastAsia"/>
              </w:rPr>
              <w:t>自合同生效之日起不少于3年</w:t>
            </w:r>
          </w:p>
        </w:tc>
      </w:tr>
      <w:tr w14:paraId="40EB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4E0F251">
            <w:r>
              <w:rPr>
                <w:rFonts w:hint="eastAsia"/>
              </w:rPr>
              <w:t>基金管理人高级管理人员</w:t>
            </w:r>
          </w:p>
        </w:tc>
        <w:tc>
          <w:tcPr>
            <w:tcW w:w="1550" w:type="dxa"/>
            <w:vAlign w:val="center"/>
          </w:tcPr>
          <w:p w14:paraId="5740C772">
            <w:pPr>
              <w:jc w:val="right"/>
            </w:pPr>
            <w:r>
              <w:rPr>
                <w:rFonts w:hint="eastAsia"/>
              </w:rPr>
              <w:t>-</w:t>
            </w:r>
          </w:p>
        </w:tc>
        <w:tc>
          <w:tcPr>
            <w:tcW w:w="1328" w:type="dxa"/>
            <w:vAlign w:val="center"/>
          </w:tcPr>
          <w:p w14:paraId="60B8054B">
            <w:pPr>
              <w:jc w:val="right"/>
            </w:pPr>
            <w:r>
              <w:rPr>
                <w:rFonts w:hint="eastAsia"/>
              </w:rPr>
              <w:t>-</w:t>
            </w:r>
          </w:p>
        </w:tc>
        <w:tc>
          <w:tcPr>
            <w:tcW w:w="1550" w:type="dxa"/>
            <w:vAlign w:val="center"/>
          </w:tcPr>
          <w:p w14:paraId="40799D76">
            <w:pPr>
              <w:jc w:val="right"/>
            </w:pPr>
            <w:r>
              <w:rPr>
                <w:rFonts w:hint="eastAsia"/>
              </w:rPr>
              <w:t>-</w:t>
            </w:r>
          </w:p>
        </w:tc>
        <w:tc>
          <w:tcPr>
            <w:tcW w:w="1273" w:type="dxa"/>
            <w:vAlign w:val="center"/>
          </w:tcPr>
          <w:p w14:paraId="3FF59BEE">
            <w:pPr>
              <w:jc w:val="right"/>
            </w:pPr>
            <w:r>
              <w:rPr>
                <w:rFonts w:hint="eastAsia"/>
              </w:rPr>
              <w:t>-</w:t>
            </w:r>
          </w:p>
        </w:tc>
        <w:tc>
          <w:tcPr>
            <w:tcW w:w="1273" w:type="dxa"/>
            <w:vAlign w:val="center"/>
          </w:tcPr>
          <w:p w14:paraId="44928B47">
            <w:pPr>
              <w:jc w:val="right"/>
            </w:pPr>
            <w:r>
              <w:rPr>
                <w:rFonts w:hint="eastAsia"/>
              </w:rPr>
              <w:t>-</w:t>
            </w:r>
          </w:p>
        </w:tc>
      </w:tr>
      <w:tr w14:paraId="7F806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4C4653B">
            <w:r>
              <w:rPr>
                <w:rFonts w:hint="eastAsia"/>
              </w:rPr>
              <w:t>基金经理等人员</w:t>
            </w:r>
          </w:p>
        </w:tc>
        <w:tc>
          <w:tcPr>
            <w:tcW w:w="1550" w:type="dxa"/>
            <w:vAlign w:val="center"/>
          </w:tcPr>
          <w:p w14:paraId="08CEFBCF">
            <w:pPr>
              <w:jc w:val="right"/>
            </w:pPr>
            <w:r>
              <w:rPr>
                <w:rFonts w:hint="eastAsia"/>
              </w:rPr>
              <w:t>-</w:t>
            </w:r>
          </w:p>
        </w:tc>
        <w:tc>
          <w:tcPr>
            <w:tcW w:w="1328" w:type="dxa"/>
            <w:vAlign w:val="center"/>
          </w:tcPr>
          <w:p w14:paraId="5B681B94">
            <w:pPr>
              <w:jc w:val="right"/>
            </w:pPr>
            <w:r>
              <w:rPr>
                <w:rFonts w:hint="eastAsia"/>
              </w:rPr>
              <w:t>-</w:t>
            </w:r>
          </w:p>
        </w:tc>
        <w:tc>
          <w:tcPr>
            <w:tcW w:w="1550" w:type="dxa"/>
            <w:vAlign w:val="center"/>
          </w:tcPr>
          <w:p w14:paraId="4A48CEB5">
            <w:pPr>
              <w:jc w:val="right"/>
            </w:pPr>
            <w:r>
              <w:rPr>
                <w:rFonts w:hint="eastAsia"/>
              </w:rPr>
              <w:t>-</w:t>
            </w:r>
          </w:p>
        </w:tc>
        <w:tc>
          <w:tcPr>
            <w:tcW w:w="1273" w:type="dxa"/>
            <w:vAlign w:val="center"/>
          </w:tcPr>
          <w:p w14:paraId="63C16858">
            <w:pPr>
              <w:jc w:val="right"/>
            </w:pPr>
            <w:r>
              <w:rPr>
                <w:rFonts w:hint="eastAsia"/>
              </w:rPr>
              <w:t>-</w:t>
            </w:r>
          </w:p>
        </w:tc>
        <w:tc>
          <w:tcPr>
            <w:tcW w:w="1273" w:type="dxa"/>
            <w:vAlign w:val="center"/>
          </w:tcPr>
          <w:p w14:paraId="4630F84B">
            <w:pPr>
              <w:jc w:val="right"/>
            </w:pPr>
            <w:r>
              <w:rPr>
                <w:rFonts w:hint="eastAsia"/>
              </w:rPr>
              <w:t>-</w:t>
            </w:r>
          </w:p>
        </w:tc>
      </w:tr>
      <w:tr w14:paraId="418F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5C8EF39">
            <w:r>
              <w:rPr>
                <w:rFonts w:hint="eastAsia"/>
              </w:rPr>
              <w:t>基金管理人股东</w:t>
            </w:r>
          </w:p>
        </w:tc>
        <w:tc>
          <w:tcPr>
            <w:tcW w:w="1550" w:type="dxa"/>
            <w:vAlign w:val="center"/>
          </w:tcPr>
          <w:p w14:paraId="0925171A">
            <w:pPr>
              <w:jc w:val="right"/>
            </w:pPr>
            <w:r>
              <w:rPr>
                <w:rFonts w:hint="eastAsia"/>
              </w:rPr>
              <w:t>-</w:t>
            </w:r>
          </w:p>
        </w:tc>
        <w:tc>
          <w:tcPr>
            <w:tcW w:w="1328" w:type="dxa"/>
            <w:vAlign w:val="center"/>
          </w:tcPr>
          <w:p w14:paraId="53F6709E">
            <w:pPr>
              <w:jc w:val="right"/>
            </w:pPr>
            <w:r>
              <w:rPr>
                <w:rFonts w:hint="eastAsia"/>
              </w:rPr>
              <w:t>-</w:t>
            </w:r>
          </w:p>
        </w:tc>
        <w:tc>
          <w:tcPr>
            <w:tcW w:w="1550" w:type="dxa"/>
            <w:vAlign w:val="center"/>
          </w:tcPr>
          <w:p w14:paraId="6E198CDD">
            <w:pPr>
              <w:jc w:val="right"/>
            </w:pPr>
            <w:r>
              <w:rPr>
                <w:rFonts w:hint="eastAsia"/>
              </w:rPr>
              <w:t>-</w:t>
            </w:r>
          </w:p>
        </w:tc>
        <w:tc>
          <w:tcPr>
            <w:tcW w:w="1273" w:type="dxa"/>
            <w:vAlign w:val="center"/>
          </w:tcPr>
          <w:p w14:paraId="258B479F">
            <w:pPr>
              <w:jc w:val="right"/>
            </w:pPr>
            <w:r>
              <w:rPr>
                <w:rFonts w:hint="eastAsia"/>
              </w:rPr>
              <w:t>-</w:t>
            </w:r>
          </w:p>
        </w:tc>
        <w:tc>
          <w:tcPr>
            <w:tcW w:w="1273" w:type="dxa"/>
            <w:vAlign w:val="center"/>
          </w:tcPr>
          <w:p w14:paraId="735822D0">
            <w:pPr>
              <w:jc w:val="right"/>
            </w:pPr>
            <w:r>
              <w:rPr>
                <w:rFonts w:hint="eastAsia"/>
              </w:rPr>
              <w:t>-</w:t>
            </w:r>
          </w:p>
        </w:tc>
      </w:tr>
      <w:tr w14:paraId="29F7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DBEC187">
            <w:r>
              <w:rPr>
                <w:rFonts w:hint="eastAsia"/>
              </w:rPr>
              <w:t>其他</w:t>
            </w:r>
          </w:p>
        </w:tc>
        <w:tc>
          <w:tcPr>
            <w:tcW w:w="1550" w:type="dxa"/>
            <w:vAlign w:val="center"/>
          </w:tcPr>
          <w:p w14:paraId="07337D5B">
            <w:pPr>
              <w:jc w:val="right"/>
            </w:pPr>
            <w:r>
              <w:rPr>
                <w:rFonts w:hint="eastAsia"/>
              </w:rPr>
              <w:t>-</w:t>
            </w:r>
          </w:p>
        </w:tc>
        <w:tc>
          <w:tcPr>
            <w:tcW w:w="1328" w:type="dxa"/>
            <w:vAlign w:val="center"/>
          </w:tcPr>
          <w:p w14:paraId="0B489540">
            <w:pPr>
              <w:jc w:val="right"/>
            </w:pPr>
            <w:r>
              <w:rPr>
                <w:rFonts w:hint="eastAsia"/>
              </w:rPr>
              <w:t>-</w:t>
            </w:r>
          </w:p>
        </w:tc>
        <w:tc>
          <w:tcPr>
            <w:tcW w:w="1550" w:type="dxa"/>
            <w:vAlign w:val="center"/>
          </w:tcPr>
          <w:p w14:paraId="3D168678">
            <w:pPr>
              <w:jc w:val="right"/>
            </w:pPr>
            <w:r>
              <w:rPr>
                <w:rFonts w:hint="eastAsia"/>
              </w:rPr>
              <w:t>-</w:t>
            </w:r>
          </w:p>
        </w:tc>
        <w:tc>
          <w:tcPr>
            <w:tcW w:w="1273" w:type="dxa"/>
            <w:vAlign w:val="center"/>
          </w:tcPr>
          <w:p w14:paraId="32F9325B">
            <w:pPr>
              <w:jc w:val="right"/>
            </w:pPr>
            <w:r>
              <w:rPr>
                <w:rFonts w:hint="eastAsia"/>
              </w:rPr>
              <w:t>-</w:t>
            </w:r>
          </w:p>
        </w:tc>
        <w:tc>
          <w:tcPr>
            <w:tcW w:w="1273" w:type="dxa"/>
            <w:vAlign w:val="center"/>
          </w:tcPr>
          <w:p w14:paraId="626B4359">
            <w:pPr>
              <w:jc w:val="right"/>
            </w:pPr>
            <w:r>
              <w:rPr>
                <w:rFonts w:hint="eastAsia"/>
              </w:rPr>
              <w:t>-</w:t>
            </w:r>
          </w:p>
        </w:tc>
      </w:tr>
      <w:tr w14:paraId="6589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FB8CDDF">
            <w:r>
              <w:rPr>
                <w:rFonts w:hint="eastAsia"/>
              </w:rPr>
              <w:t>合计</w:t>
            </w:r>
          </w:p>
        </w:tc>
        <w:tc>
          <w:tcPr>
            <w:tcW w:w="1550" w:type="dxa"/>
            <w:vAlign w:val="center"/>
          </w:tcPr>
          <w:p w14:paraId="553C1629">
            <w:pPr>
              <w:jc w:val="right"/>
            </w:pPr>
            <w:r>
              <w:rPr>
                <w:rFonts w:hint="eastAsia"/>
              </w:rPr>
              <w:t>10,014,695.91</w:t>
            </w:r>
          </w:p>
        </w:tc>
        <w:tc>
          <w:tcPr>
            <w:tcW w:w="1328" w:type="dxa"/>
            <w:vAlign w:val="center"/>
          </w:tcPr>
          <w:p w14:paraId="6C5E4EB8">
            <w:pPr>
              <w:jc w:val="right"/>
            </w:pPr>
            <w:r>
              <w:rPr>
                <w:rFonts w:hint="eastAsia"/>
              </w:rPr>
              <w:t>1.00</w:t>
            </w:r>
          </w:p>
        </w:tc>
        <w:tc>
          <w:tcPr>
            <w:tcW w:w="1550" w:type="dxa"/>
            <w:vAlign w:val="center"/>
          </w:tcPr>
          <w:p w14:paraId="7146484E">
            <w:pPr>
              <w:jc w:val="right"/>
            </w:pPr>
            <w:r>
              <w:rPr>
                <w:rFonts w:hint="eastAsia"/>
              </w:rPr>
              <w:t>10,000,000.00</w:t>
            </w:r>
          </w:p>
        </w:tc>
        <w:tc>
          <w:tcPr>
            <w:tcW w:w="1273" w:type="dxa"/>
            <w:vAlign w:val="center"/>
          </w:tcPr>
          <w:p w14:paraId="3350E9DE">
            <w:pPr>
              <w:jc w:val="right"/>
            </w:pPr>
            <w:r>
              <w:rPr>
                <w:rFonts w:hint="eastAsia"/>
              </w:rPr>
              <w:t>1.00</w:t>
            </w:r>
          </w:p>
        </w:tc>
        <w:tc>
          <w:tcPr>
            <w:tcW w:w="1273" w:type="dxa"/>
            <w:vAlign w:val="center"/>
          </w:tcPr>
          <w:p w14:paraId="41F3C24E">
            <w:pPr>
              <w:jc w:val="right"/>
            </w:pPr>
            <w:r>
              <w:rPr>
                <w:rFonts w:hint="eastAsia"/>
              </w:rPr>
              <w:t>-</w:t>
            </w:r>
          </w:p>
        </w:tc>
      </w:tr>
    </w:tbl>
    <w:p w14:paraId="35827BEA">
      <w:pPr>
        <w:pStyle w:val="26"/>
      </w:pPr>
      <w:bookmarkStart w:id="182" w:name="_Toc31754"/>
      <w:r>
        <w:t>开放式基金份额变动</w:t>
      </w:r>
      <w:bookmarkEnd w:id="182"/>
    </w:p>
    <w:p w14:paraId="084ED159">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A86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CFC55E">
            <w:r>
              <w:rPr>
                <w:rFonts w:hint="eastAsia"/>
              </w:rPr>
              <w:t>基金合同生效日(2019年12月20日)基金份额总额</w:t>
            </w:r>
          </w:p>
        </w:tc>
        <w:tc>
          <w:tcPr>
            <w:tcW w:w="4153" w:type="dxa"/>
            <w:vAlign w:val="center"/>
          </w:tcPr>
          <w:p w14:paraId="3A151C74">
            <w:pPr>
              <w:jc w:val="right"/>
            </w:pPr>
            <w:r>
              <w:rPr>
                <w:rFonts w:hint="eastAsia"/>
              </w:rPr>
              <w:t>210,013,695.91</w:t>
            </w:r>
          </w:p>
        </w:tc>
      </w:tr>
      <w:tr w14:paraId="020E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6D0C40">
            <w:r>
              <w:rPr>
                <w:rFonts w:hint="eastAsia"/>
              </w:rPr>
              <w:t>本报告期期初基金份额总额</w:t>
            </w:r>
          </w:p>
        </w:tc>
        <w:tc>
          <w:tcPr>
            <w:tcW w:w="4153" w:type="dxa"/>
            <w:vAlign w:val="center"/>
          </w:tcPr>
          <w:p w14:paraId="30F76C7A">
            <w:pPr>
              <w:jc w:val="right"/>
            </w:pPr>
            <w:r>
              <w:rPr>
                <w:rFonts w:hint="eastAsia"/>
              </w:rPr>
              <w:t>1,485,842,266.76</w:t>
            </w:r>
          </w:p>
        </w:tc>
      </w:tr>
      <w:tr w14:paraId="069E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EC060E">
            <w:r>
              <w:rPr>
                <w:rFonts w:hint="eastAsia"/>
              </w:rPr>
              <w:t>本报告期基金总申购份额</w:t>
            </w:r>
          </w:p>
        </w:tc>
        <w:tc>
          <w:tcPr>
            <w:tcW w:w="4153" w:type="dxa"/>
            <w:vAlign w:val="center"/>
          </w:tcPr>
          <w:p w14:paraId="1B5A2B6D">
            <w:pPr>
              <w:jc w:val="right"/>
            </w:pPr>
            <w:r>
              <w:rPr>
                <w:rFonts w:hint="eastAsia"/>
              </w:rPr>
              <w:t>5,616,736.87</w:t>
            </w:r>
          </w:p>
        </w:tc>
      </w:tr>
      <w:tr w14:paraId="2D2C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60F21C">
            <w:r>
              <w:rPr>
                <w:rFonts w:hint="eastAsia"/>
              </w:rPr>
              <w:t>减：本报告期基金总赎回份额</w:t>
            </w:r>
          </w:p>
        </w:tc>
        <w:tc>
          <w:tcPr>
            <w:tcW w:w="4153" w:type="dxa"/>
            <w:vAlign w:val="center"/>
          </w:tcPr>
          <w:p w14:paraId="1E14F6D4">
            <w:pPr>
              <w:jc w:val="right"/>
            </w:pPr>
            <w:r>
              <w:rPr>
                <w:rFonts w:hint="eastAsia"/>
              </w:rPr>
              <w:t>489,497,874.05</w:t>
            </w:r>
          </w:p>
        </w:tc>
      </w:tr>
      <w:tr w14:paraId="42D6F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00B690">
            <w:r>
              <w:rPr>
                <w:rFonts w:hint="eastAsia"/>
              </w:rPr>
              <w:t>本报告期基金拆分变动份额</w:t>
            </w:r>
          </w:p>
        </w:tc>
        <w:tc>
          <w:tcPr>
            <w:tcW w:w="4153" w:type="dxa"/>
            <w:vAlign w:val="center"/>
          </w:tcPr>
          <w:p w14:paraId="46381581">
            <w:pPr>
              <w:jc w:val="right"/>
            </w:pPr>
            <w:r>
              <w:rPr>
                <w:rFonts w:hint="eastAsia"/>
              </w:rPr>
              <w:t>-</w:t>
            </w:r>
          </w:p>
        </w:tc>
      </w:tr>
      <w:tr w14:paraId="22AC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861E3F">
            <w:r>
              <w:rPr>
                <w:rFonts w:hint="eastAsia"/>
              </w:rPr>
              <w:t>本报告期期末基金份额总额</w:t>
            </w:r>
          </w:p>
        </w:tc>
        <w:tc>
          <w:tcPr>
            <w:tcW w:w="4153" w:type="dxa"/>
            <w:vAlign w:val="center"/>
          </w:tcPr>
          <w:p w14:paraId="41CC5AFD">
            <w:pPr>
              <w:jc w:val="right"/>
            </w:pPr>
            <w:r>
              <w:rPr>
                <w:rFonts w:hint="eastAsia"/>
              </w:rPr>
              <w:t>1,001,961,129.58</w:t>
            </w:r>
          </w:p>
        </w:tc>
      </w:tr>
    </w:tbl>
    <w:p w14:paraId="554B1B4B">
      <w:pPr>
        <w:pStyle w:val="26"/>
      </w:pPr>
      <w:bookmarkStart w:id="183" w:name="_Toc19186"/>
      <w:r>
        <w:t>重大事件揭示</w:t>
      </w:r>
      <w:bookmarkEnd w:id="183"/>
    </w:p>
    <w:p w14:paraId="55329692">
      <w:pPr>
        <w:pStyle w:val="23"/>
      </w:pPr>
      <w:bookmarkStart w:id="184" w:name="_Toc12544"/>
      <w:r>
        <w:t>基金份额持有人大会决议</w:t>
      </w:r>
      <w:bookmarkEnd w:id="184"/>
    </w:p>
    <w:p w14:paraId="44D718D8">
      <w:pPr>
        <w:pStyle w:val="18"/>
        <w:rPr>
          <w:rFonts w:hint="eastAsia"/>
        </w:rPr>
      </w:pPr>
      <w:r>
        <w:rPr>
          <w:rFonts w:hint="eastAsia"/>
        </w:rPr>
        <w:t>本报告期本基金无基金份额持有人大会决议。</w:t>
      </w:r>
    </w:p>
    <w:p w14:paraId="38655E86">
      <w:pPr>
        <w:pStyle w:val="23"/>
      </w:pPr>
      <w:r>
        <w:t xml:space="preserve"> </w:t>
      </w:r>
      <w:bookmarkStart w:id="185" w:name="_Toc12470"/>
      <w:r>
        <w:t>基金管理人、基金托管人的专门基金托管部门的重大人事变动</w:t>
      </w:r>
      <w:bookmarkEnd w:id="185"/>
    </w:p>
    <w:p w14:paraId="0C1B0FE2">
      <w:pPr>
        <w:pStyle w:val="18"/>
        <w:rPr>
          <w:rFonts w:hint="eastAsia"/>
        </w:rPr>
      </w:pPr>
      <w:r>
        <w:rPr>
          <w:rFonts w:hint="eastAsia"/>
        </w:rPr>
        <w:t>本报告期内，本基金的基金管理人未发生重大人事变动。</w:t>
      </w:r>
    </w:p>
    <w:p w14:paraId="505EA904">
      <w:pPr>
        <w:pStyle w:val="18"/>
        <w:rPr>
          <w:rFonts w:hint="eastAsia"/>
        </w:rPr>
      </w:pPr>
      <w:r>
        <w:rPr>
          <w:rFonts w:hint="eastAsia"/>
        </w:rPr>
        <w:t>本报告期，基金托管人的专门基金托管部门无重大人事变动。</w:t>
      </w:r>
    </w:p>
    <w:p w14:paraId="45B61C1B">
      <w:pPr>
        <w:pStyle w:val="23"/>
      </w:pPr>
      <w:r>
        <w:t xml:space="preserve"> </w:t>
      </w:r>
      <w:bookmarkStart w:id="186" w:name="_Toc23903"/>
      <w:r>
        <w:t>涉及基金管理人、基金财产、基金托管业务的诉讼</w:t>
      </w:r>
      <w:bookmarkEnd w:id="186"/>
    </w:p>
    <w:p w14:paraId="20D8974C">
      <w:pPr>
        <w:pStyle w:val="18"/>
        <w:rPr>
          <w:rFonts w:hint="eastAsia"/>
        </w:rPr>
      </w:pPr>
      <w:r>
        <w:rPr>
          <w:rFonts w:hint="eastAsia"/>
        </w:rPr>
        <w:t>本报告期内，无涉及基金管理人主营业务的诉讼。</w:t>
      </w:r>
    </w:p>
    <w:p w14:paraId="28EC9553">
      <w:pPr>
        <w:pStyle w:val="18"/>
        <w:rPr>
          <w:rFonts w:hint="eastAsia"/>
        </w:rPr>
      </w:pPr>
      <w:r>
        <w:rPr>
          <w:rFonts w:hint="eastAsia"/>
        </w:rPr>
        <w:t>本报告期内无涉及基金财产的诉讼事项。</w:t>
      </w:r>
    </w:p>
    <w:p w14:paraId="6EB44A54">
      <w:pPr>
        <w:pStyle w:val="18"/>
        <w:rPr>
          <w:rFonts w:hint="eastAsia"/>
        </w:rPr>
      </w:pPr>
      <w:r>
        <w:rPr>
          <w:rFonts w:hint="eastAsia"/>
        </w:rPr>
        <w:t>本报告期，无涉及基金托管业务的诉讼事项。</w:t>
      </w:r>
    </w:p>
    <w:p w14:paraId="43155B0A">
      <w:pPr>
        <w:pStyle w:val="23"/>
      </w:pPr>
      <w:bookmarkStart w:id="187" w:name="_Toc20404"/>
      <w:r>
        <w:t>基金投资策略的改变</w:t>
      </w:r>
      <w:bookmarkEnd w:id="187"/>
    </w:p>
    <w:p w14:paraId="0710EF65">
      <w:pPr>
        <w:pStyle w:val="18"/>
        <w:rPr>
          <w:rFonts w:hint="eastAsia"/>
        </w:rPr>
      </w:pPr>
      <w:r>
        <w:rPr>
          <w:rFonts w:hint="eastAsia"/>
        </w:rPr>
        <w:t>本报告期内本基金的投资策略未有重大变化。</w:t>
      </w:r>
    </w:p>
    <w:p w14:paraId="3D44F26E">
      <w:pPr>
        <w:pStyle w:val="23"/>
      </w:pPr>
      <w:bookmarkStart w:id="188" w:name="_Toc23737"/>
      <w:r>
        <w:t>为基金进行审计的会计师事务所情况</w:t>
      </w:r>
      <w:bookmarkEnd w:id="188"/>
    </w:p>
    <w:p w14:paraId="7E3025C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3B852D67">
      <w:pPr>
        <w:pStyle w:val="23"/>
      </w:pPr>
      <w:bookmarkStart w:id="189" w:name="_Toc25293"/>
      <w:r>
        <w:t>管理人、托管人及相关从业人员受调查或处罚等情况</w:t>
      </w:r>
      <w:bookmarkEnd w:id="189"/>
    </w:p>
    <w:p w14:paraId="1C02406F">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BA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AB3DCA2">
            <w:pPr>
              <w:jc w:val="center"/>
            </w:pPr>
            <w:r>
              <w:rPr>
                <w:rFonts w:hint="eastAsia"/>
                <w:b/>
              </w:rPr>
              <w:t>管理人受调查或处罚等情况</w:t>
            </w:r>
          </w:p>
        </w:tc>
        <w:tc>
          <w:tcPr>
            <w:tcW w:w="4153" w:type="dxa"/>
            <w:shd w:val="clear" w:color="auto" w:fill="BFBFBF"/>
            <w:vAlign w:val="center"/>
          </w:tcPr>
          <w:p w14:paraId="524584E2">
            <w:pPr>
              <w:jc w:val="center"/>
            </w:pPr>
            <w:r>
              <w:rPr>
                <w:rFonts w:hint="eastAsia"/>
                <w:b/>
              </w:rPr>
              <w:t>内容</w:t>
            </w:r>
          </w:p>
        </w:tc>
      </w:tr>
      <w:tr w14:paraId="29CB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B3AB52">
            <w:r>
              <w:rPr>
                <w:rFonts w:hint="eastAsia"/>
              </w:rPr>
              <w:t>受到调查或处罚等措施的主体</w:t>
            </w:r>
          </w:p>
        </w:tc>
        <w:tc>
          <w:tcPr>
            <w:tcW w:w="4153" w:type="dxa"/>
            <w:vAlign w:val="center"/>
          </w:tcPr>
          <w:p w14:paraId="53AECAF1">
            <w:r>
              <w:rPr>
                <w:rFonts w:hint="eastAsia"/>
              </w:rPr>
              <w:t>管理人</w:t>
            </w:r>
          </w:p>
        </w:tc>
      </w:tr>
      <w:tr w14:paraId="4CB0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EF3743">
            <w:r>
              <w:rPr>
                <w:rFonts w:hint="eastAsia"/>
              </w:rPr>
              <w:t>受到调查或处罚等措施的时间</w:t>
            </w:r>
          </w:p>
        </w:tc>
        <w:tc>
          <w:tcPr>
            <w:tcW w:w="4153" w:type="dxa"/>
            <w:vAlign w:val="center"/>
          </w:tcPr>
          <w:p w14:paraId="078835A6">
            <w:pPr>
              <w:rPr>
                <w:rFonts w:hint="eastAsia"/>
              </w:rPr>
            </w:pPr>
            <w:r>
              <w:rPr>
                <w:rFonts w:hint="eastAsia"/>
              </w:rPr>
              <w:t>2025-10-17；
</w:t>
            </w:r>
            <w:r>
              <w:rPr>
                <w:rFonts w:hint="eastAsia"/>
              </w:rPr>
              <w:br w:type="textWrapping"/>
            </w:r>
            <w:r>
              <w:rPr>
                <w:rFonts w:hint="eastAsia"/>
              </w:rPr>
              <w:t>2025-11-18</w:t>
            </w:r>
          </w:p>
        </w:tc>
      </w:tr>
      <w:tr w14:paraId="5B42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D89B3">
            <w:r>
              <w:rPr>
                <w:rFonts w:hint="eastAsia"/>
              </w:rPr>
              <w:t>采取调查或处罚等措施的机构</w:t>
            </w:r>
          </w:p>
        </w:tc>
        <w:tc>
          <w:tcPr>
            <w:tcW w:w="4153" w:type="dxa"/>
            <w:vAlign w:val="center"/>
          </w:tcPr>
          <w:p w14:paraId="2AA9A32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116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464167">
            <w:r>
              <w:rPr>
                <w:rFonts w:hint="eastAsia"/>
              </w:rPr>
              <w:t>受到调查或处罚等措施类型</w:t>
            </w:r>
          </w:p>
        </w:tc>
        <w:tc>
          <w:tcPr>
            <w:tcW w:w="4153" w:type="dxa"/>
            <w:vAlign w:val="center"/>
          </w:tcPr>
          <w:p w14:paraId="09E98FBA">
            <w:pPr>
              <w:rPr>
                <w:rFonts w:hint="eastAsia"/>
              </w:rPr>
            </w:pPr>
            <w:r>
              <w:rPr>
                <w:rFonts w:hint="eastAsia"/>
              </w:rPr>
              <w:t>行政监管措施；
</w:t>
            </w:r>
            <w:r>
              <w:rPr>
                <w:rFonts w:hint="eastAsia"/>
              </w:rPr>
              <w:br w:type="textWrapping"/>
            </w:r>
            <w:r>
              <w:rPr>
                <w:rFonts w:hint="eastAsia"/>
              </w:rPr>
              <w:t>行政处罚</w:t>
            </w:r>
          </w:p>
        </w:tc>
      </w:tr>
      <w:tr w14:paraId="42D3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14CBF5">
            <w:r>
              <w:rPr>
                <w:rFonts w:hint="eastAsia"/>
              </w:rPr>
              <w:t>受到的具体措施类型</w:t>
            </w:r>
          </w:p>
        </w:tc>
        <w:tc>
          <w:tcPr>
            <w:tcW w:w="4153" w:type="dxa"/>
            <w:vAlign w:val="center"/>
          </w:tcPr>
          <w:p w14:paraId="311E58CC">
            <w:pPr>
              <w:rPr>
                <w:rFonts w:hint="eastAsia"/>
              </w:rPr>
            </w:pPr>
            <w:r>
              <w:rPr>
                <w:rFonts w:hint="eastAsia"/>
              </w:rPr>
              <w:t>责令改正；
</w:t>
            </w:r>
            <w:r>
              <w:rPr>
                <w:rFonts w:hint="eastAsia"/>
              </w:rPr>
              <w:br w:type="textWrapping"/>
            </w:r>
            <w:r>
              <w:rPr>
                <w:rFonts w:hint="eastAsia"/>
              </w:rPr>
              <w:t>警告、罚款</w:t>
            </w:r>
          </w:p>
        </w:tc>
      </w:tr>
      <w:tr w14:paraId="2B0A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097538">
            <w:r>
              <w:rPr>
                <w:rFonts w:hint="eastAsia"/>
              </w:rPr>
              <w:t>受到调查或处罚等措施的原因</w:t>
            </w:r>
          </w:p>
        </w:tc>
        <w:tc>
          <w:tcPr>
            <w:tcW w:w="4153" w:type="dxa"/>
            <w:vAlign w:val="center"/>
          </w:tcPr>
          <w:p w14:paraId="41CEB09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6F1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7EC45A">
            <w:r>
              <w:rPr>
                <w:rFonts w:hint="eastAsia"/>
              </w:rPr>
              <w:t>受到处罚的依据</w:t>
            </w:r>
          </w:p>
        </w:tc>
        <w:tc>
          <w:tcPr>
            <w:tcW w:w="4153" w:type="dxa"/>
            <w:vAlign w:val="center"/>
          </w:tcPr>
          <w:p w14:paraId="707CBEA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BCF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C613D1">
            <w:r>
              <w:rPr>
                <w:rFonts w:hint="eastAsia"/>
              </w:rPr>
              <w:t>管理人采取整改措施的情况</w:t>
            </w:r>
          </w:p>
        </w:tc>
        <w:tc>
          <w:tcPr>
            <w:tcW w:w="4153" w:type="dxa"/>
            <w:vAlign w:val="center"/>
          </w:tcPr>
          <w:p w14:paraId="4231AB1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3E3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F52AD6">
            <w:r>
              <w:rPr>
                <w:rFonts w:hint="eastAsia"/>
              </w:rPr>
              <w:t>其他</w:t>
            </w:r>
          </w:p>
        </w:tc>
        <w:tc>
          <w:tcPr>
            <w:tcW w:w="4153" w:type="dxa"/>
            <w:vAlign w:val="center"/>
          </w:tcPr>
          <w:p w14:paraId="208059B8">
            <w:r>
              <w:rPr>
                <w:rFonts w:hint="eastAsia"/>
              </w:rPr>
              <w:t>-</w:t>
            </w:r>
          </w:p>
        </w:tc>
      </w:tr>
    </w:tbl>
    <w:p w14:paraId="5BD448D0">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72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FE22BD5">
            <w:pPr>
              <w:jc w:val="center"/>
            </w:pPr>
            <w:r>
              <w:rPr>
                <w:rFonts w:hint="eastAsia"/>
                <w:b/>
              </w:rPr>
              <w:t>管理人相关从业人员受调查或处罚等情况</w:t>
            </w:r>
          </w:p>
        </w:tc>
        <w:tc>
          <w:tcPr>
            <w:tcW w:w="4153" w:type="dxa"/>
            <w:shd w:val="clear" w:color="auto" w:fill="BFBFBF"/>
            <w:vAlign w:val="center"/>
          </w:tcPr>
          <w:p w14:paraId="48489B3E">
            <w:pPr>
              <w:jc w:val="center"/>
            </w:pPr>
            <w:r>
              <w:rPr>
                <w:rFonts w:hint="eastAsia"/>
                <w:b/>
              </w:rPr>
              <w:t>内容</w:t>
            </w:r>
          </w:p>
        </w:tc>
      </w:tr>
      <w:tr w14:paraId="49F7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7EF558">
            <w:r>
              <w:rPr>
                <w:rFonts w:hint="eastAsia"/>
              </w:rPr>
              <w:t>受到调查或处罚等措施的主体</w:t>
            </w:r>
          </w:p>
        </w:tc>
        <w:tc>
          <w:tcPr>
            <w:tcW w:w="4153" w:type="dxa"/>
            <w:vAlign w:val="center"/>
          </w:tcPr>
          <w:p w14:paraId="69FE170F">
            <w:r>
              <w:rPr>
                <w:rFonts w:hint="eastAsia"/>
              </w:rPr>
              <w:t>高级管理人员</w:t>
            </w:r>
          </w:p>
        </w:tc>
      </w:tr>
      <w:tr w14:paraId="08CE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61274E">
            <w:r>
              <w:rPr>
                <w:rFonts w:hint="eastAsia"/>
              </w:rPr>
              <w:t>受到调查或处罚等措施的时间</w:t>
            </w:r>
          </w:p>
        </w:tc>
        <w:tc>
          <w:tcPr>
            <w:tcW w:w="4153" w:type="dxa"/>
            <w:vAlign w:val="center"/>
          </w:tcPr>
          <w:p w14:paraId="1E63C642">
            <w:r>
              <w:rPr>
                <w:rFonts w:hint="eastAsia"/>
              </w:rPr>
              <w:t>2025-10-17</w:t>
            </w:r>
          </w:p>
        </w:tc>
      </w:tr>
      <w:tr w14:paraId="0437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F2CDFF">
            <w:r>
              <w:rPr>
                <w:rFonts w:hint="eastAsia"/>
              </w:rPr>
              <w:t>采取调查或处罚等措施的机构</w:t>
            </w:r>
          </w:p>
        </w:tc>
        <w:tc>
          <w:tcPr>
            <w:tcW w:w="4153" w:type="dxa"/>
            <w:vAlign w:val="center"/>
          </w:tcPr>
          <w:p w14:paraId="64D9B9B9">
            <w:r>
              <w:rPr>
                <w:rFonts w:hint="eastAsia"/>
              </w:rPr>
              <w:t>中国证监会深圳监管局</w:t>
            </w:r>
          </w:p>
        </w:tc>
      </w:tr>
      <w:tr w14:paraId="7AA9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981FFF">
            <w:r>
              <w:rPr>
                <w:rFonts w:hint="eastAsia"/>
              </w:rPr>
              <w:t>受到调查或处罚等措施类型</w:t>
            </w:r>
          </w:p>
        </w:tc>
        <w:tc>
          <w:tcPr>
            <w:tcW w:w="4153" w:type="dxa"/>
            <w:vAlign w:val="center"/>
          </w:tcPr>
          <w:p w14:paraId="18F001AB">
            <w:r>
              <w:rPr>
                <w:rFonts w:hint="eastAsia"/>
              </w:rPr>
              <w:t>行政监管措施</w:t>
            </w:r>
          </w:p>
        </w:tc>
      </w:tr>
      <w:tr w14:paraId="5425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5E55CE">
            <w:r>
              <w:rPr>
                <w:rFonts w:hint="eastAsia"/>
              </w:rPr>
              <w:t>受到的具体措施类型</w:t>
            </w:r>
          </w:p>
        </w:tc>
        <w:tc>
          <w:tcPr>
            <w:tcW w:w="4153" w:type="dxa"/>
            <w:vAlign w:val="center"/>
          </w:tcPr>
          <w:p w14:paraId="4B07EDB8">
            <w:r>
              <w:rPr>
                <w:rFonts w:hint="eastAsia"/>
              </w:rPr>
              <w:t>出具警示函</w:t>
            </w:r>
          </w:p>
        </w:tc>
      </w:tr>
      <w:tr w14:paraId="7F5A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5D760F">
            <w:r>
              <w:rPr>
                <w:rFonts w:hint="eastAsia"/>
              </w:rPr>
              <w:t>受到调查或处罚等措施的原因</w:t>
            </w:r>
          </w:p>
        </w:tc>
        <w:tc>
          <w:tcPr>
            <w:tcW w:w="4153" w:type="dxa"/>
            <w:vAlign w:val="center"/>
          </w:tcPr>
          <w:p w14:paraId="483333E5">
            <w:r>
              <w:rPr>
                <w:rFonts w:hint="eastAsia"/>
              </w:rPr>
              <w:t>人员管理、其他问题(销售管理)</w:t>
            </w:r>
          </w:p>
        </w:tc>
      </w:tr>
      <w:tr w14:paraId="0DD8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43E124">
            <w:r>
              <w:rPr>
                <w:rFonts w:hint="eastAsia"/>
              </w:rPr>
              <w:t>受到处罚的依据</w:t>
            </w:r>
          </w:p>
        </w:tc>
        <w:tc>
          <w:tcPr>
            <w:tcW w:w="4153" w:type="dxa"/>
            <w:vAlign w:val="center"/>
          </w:tcPr>
          <w:p w14:paraId="0860815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227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A66EB8">
            <w:r>
              <w:rPr>
                <w:rFonts w:hint="eastAsia"/>
              </w:rPr>
              <w:t>管理人采取整改措施的情况（如提出整改意见）</w:t>
            </w:r>
          </w:p>
        </w:tc>
        <w:tc>
          <w:tcPr>
            <w:tcW w:w="4153" w:type="dxa"/>
            <w:vAlign w:val="center"/>
          </w:tcPr>
          <w:p w14:paraId="413D6154">
            <w:r>
              <w:rPr>
                <w:rFonts w:hint="eastAsia"/>
              </w:rPr>
              <w:t>截至报告期末公司已通过完善制度、优化流程等整改措施完成整改，整改成果已经中国证监会深圳监管局验收通过</w:t>
            </w:r>
          </w:p>
        </w:tc>
      </w:tr>
      <w:tr w14:paraId="51AC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99EABA">
            <w:r>
              <w:rPr>
                <w:rFonts w:hint="eastAsia"/>
              </w:rPr>
              <w:t>其他</w:t>
            </w:r>
          </w:p>
        </w:tc>
        <w:tc>
          <w:tcPr>
            <w:tcW w:w="4153" w:type="dxa"/>
            <w:vAlign w:val="center"/>
          </w:tcPr>
          <w:p w14:paraId="30C6185E">
            <w:pPr>
              <w:jc w:val="right"/>
            </w:pPr>
            <w:r>
              <w:rPr>
                <w:rFonts w:hint="eastAsia"/>
              </w:rPr>
              <w:t>-</w:t>
            </w:r>
          </w:p>
        </w:tc>
      </w:tr>
    </w:tbl>
    <w:p w14:paraId="64C06B7B">
      <w:pPr>
        <w:pStyle w:val="28"/>
      </w:pPr>
      <w:bookmarkStart w:id="192" w:name="_Toc192"/>
      <w:r>
        <w:t>托管人受调查或处罚等情况</w:t>
      </w:r>
      <w:bookmarkEnd w:id="192"/>
    </w:p>
    <w:p w14:paraId="7D9F3196">
      <w:pPr>
        <w:pStyle w:val="18"/>
        <w:rPr>
          <w:rFonts w:hint="eastAsia"/>
        </w:rPr>
      </w:pPr>
      <w:r>
        <w:rPr>
          <w:rFonts w:hint="eastAsia"/>
        </w:rPr>
        <w:t>无。</w:t>
      </w:r>
    </w:p>
    <w:p w14:paraId="323D845E">
      <w:pPr>
        <w:pStyle w:val="28"/>
      </w:pPr>
      <w:bookmarkStart w:id="193" w:name="_Toc193"/>
      <w:r>
        <w:t>托管人相关从业人员受调查或处罚等情况</w:t>
      </w:r>
      <w:bookmarkEnd w:id="193"/>
    </w:p>
    <w:p w14:paraId="2AF61483">
      <w:pPr>
        <w:pStyle w:val="18"/>
        <w:rPr>
          <w:rFonts w:hint="eastAsia"/>
        </w:rPr>
      </w:pPr>
      <w:r>
        <w:rPr>
          <w:rFonts w:hint="eastAsia"/>
        </w:rPr>
        <w:t>无。</w:t>
      </w:r>
    </w:p>
    <w:p w14:paraId="5F337C96">
      <w:pPr>
        <w:pStyle w:val="23"/>
      </w:pPr>
      <w:bookmarkStart w:id="194" w:name="_Toc32154"/>
      <w:r>
        <w:t>基金租用证券公司交易单元的有关情况</w:t>
      </w:r>
      <w:bookmarkEnd w:id="194"/>
    </w:p>
    <w:p w14:paraId="6034825E">
      <w:pPr>
        <w:pStyle w:val="28"/>
      </w:pPr>
      <w:bookmarkStart w:id="195" w:name="_Toc195"/>
      <w:r>
        <w:t>基金租用证券公司交易单元进行股票投资及佣金支付情况</w:t>
      </w:r>
      <w:bookmarkEnd w:id="195"/>
    </w:p>
    <w:p w14:paraId="16FC1C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1E8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AD44F17">
            <w:pPr>
              <w:jc w:val="center"/>
            </w:pPr>
            <w:r>
              <w:rPr>
                <w:rFonts w:hint="eastAsia"/>
                <w:b/>
              </w:rPr>
              <w:t>券商名称</w:t>
            </w:r>
          </w:p>
        </w:tc>
        <w:tc>
          <w:tcPr>
            <w:tcW w:w="775" w:type="dxa"/>
            <w:vMerge w:val="restart"/>
            <w:shd w:val="clear" w:color="auto" w:fill="BFBFBF"/>
            <w:vAlign w:val="center"/>
          </w:tcPr>
          <w:p w14:paraId="3D30F082">
            <w:pPr>
              <w:jc w:val="center"/>
            </w:pPr>
            <w:r>
              <w:rPr>
                <w:rFonts w:hint="eastAsia"/>
                <w:b/>
              </w:rPr>
              <w:t>交易单元数量</w:t>
            </w:r>
          </w:p>
        </w:tc>
        <w:tc>
          <w:tcPr>
            <w:tcW w:w="1699" w:type="dxa"/>
            <w:gridSpan w:val="2"/>
            <w:shd w:val="clear" w:color="auto" w:fill="BFBFBF"/>
            <w:vAlign w:val="center"/>
          </w:tcPr>
          <w:p w14:paraId="55AD4961">
            <w:pPr>
              <w:jc w:val="center"/>
            </w:pPr>
            <w:r>
              <w:rPr>
                <w:rFonts w:hint="eastAsia"/>
                <w:b/>
              </w:rPr>
              <w:t>股票交易</w:t>
            </w:r>
          </w:p>
        </w:tc>
        <w:tc>
          <w:tcPr>
            <w:tcW w:w="1312" w:type="dxa"/>
            <w:gridSpan w:val="2"/>
            <w:shd w:val="clear" w:color="auto" w:fill="BFBFBF"/>
            <w:vAlign w:val="center"/>
          </w:tcPr>
          <w:p w14:paraId="5106CDD9">
            <w:pPr>
              <w:jc w:val="center"/>
            </w:pPr>
            <w:r>
              <w:rPr>
                <w:rFonts w:hint="eastAsia"/>
                <w:b/>
              </w:rPr>
              <w:t>应支付该券商的佣金</w:t>
            </w:r>
          </w:p>
        </w:tc>
        <w:tc>
          <w:tcPr>
            <w:tcW w:w="946" w:type="dxa"/>
            <w:vMerge w:val="restart"/>
            <w:shd w:val="clear" w:color="auto" w:fill="BFBFBF"/>
            <w:vAlign w:val="center"/>
          </w:tcPr>
          <w:p w14:paraId="556A2262">
            <w:pPr>
              <w:jc w:val="center"/>
            </w:pPr>
            <w:r>
              <w:rPr>
                <w:rFonts w:hint="eastAsia"/>
                <w:b/>
              </w:rPr>
              <w:t>备注</w:t>
            </w:r>
          </w:p>
        </w:tc>
      </w:tr>
      <w:tr w14:paraId="7193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E9E14DA"/>
        </w:tc>
        <w:tc>
          <w:tcPr>
            <w:tcW w:w="775" w:type="dxa"/>
            <w:vMerge w:val="continue"/>
            <w:vAlign w:val="center"/>
          </w:tcPr>
          <w:p w14:paraId="1D4081CD"/>
        </w:tc>
        <w:tc>
          <w:tcPr>
            <w:tcW w:w="1699" w:type="dxa"/>
            <w:shd w:val="clear" w:color="auto" w:fill="BFBFBF"/>
            <w:vAlign w:val="center"/>
          </w:tcPr>
          <w:p w14:paraId="0CF8FC48">
            <w:pPr>
              <w:jc w:val="center"/>
            </w:pPr>
            <w:r>
              <w:rPr>
                <w:rFonts w:hint="eastAsia"/>
                <w:b/>
              </w:rPr>
              <w:t>成交金额</w:t>
            </w:r>
          </w:p>
        </w:tc>
        <w:tc>
          <w:tcPr>
            <w:tcW w:w="1201" w:type="dxa"/>
            <w:shd w:val="clear" w:color="auto" w:fill="BFBFBF"/>
            <w:vAlign w:val="center"/>
          </w:tcPr>
          <w:p w14:paraId="7FDBD7F1">
            <w:pPr>
              <w:jc w:val="center"/>
            </w:pPr>
            <w:r>
              <w:rPr>
                <w:rFonts w:hint="eastAsia"/>
                <w:b/>
              </w:rPr>
              <w:t>占当期股票成交总额的比例</w:t>
            </w:r>
          </w:p>
        </w:tc>
        <w:tc>
          <w:tcPr>
            <w:tcW w:w="1312" w:type="dxa"/>
            <w:shd w:val="clear" w:color="auto" w:fill="BFBFBF"/>
            <w:vAlign w:val="center"/>
          </w:tcPr>
          <w:p w14:paraId="23A12BC4">
            <w:pPr>
              <w:jc w:val="center"/>
            </w:pPr>
            <w:r>
              <w:rPr>
                <w:rFonts w:hint="eastAsia"/>
                <w:b/>
              </w:rPr>
              <w:t>佣金</w:t>
            </w:r>
          </w:p>
        </w:tc>
        <w:tc>
          <w:tcPr>
            <w:tcW w:w="1256" w:type="dxa"/>
            <w:shd w:val="clear" w:color="auto" w:fill="BFBFBF"/>
            <w:vAlign w:val="center"/>
          </w:tcPr>
          <w:p w14:paraId="774C6FBE">
            <w:pPr>
              <w:jc w:val="center"/>
            </w:pPr>
            <w:r>
              <w:rPr>
                <w:rFonts w:hint="eastAsia"/>
                <w:b/>
              </w:rPr>
              <w:t>占当期佣金总量的比例</w:t>
            </w:r>
          </w:p>
        </w:tc>
        <w:tc>
          <w:tcPr>
            <w:tcW w:w="946" w:type="dxa"/>
            <w:vMerge w:val="continue"/>
            <w:vAlign w:val="center"/>
          </w:tcPr>
          <w:p w14:paraId="07E0D9C5"/>
        </w:tc>
      </w:tr>
      <w:tr w14:paraId="7D05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6EC988">
            <w:r>
              <w:rPr>
                <w:rFonts w:hint="eastAsia"/>
              </w:rPr>
              <w:t>华宝证券</w:t>
            </w:r>
          </w:p>
        </w:tc>
        <w:tc>
          <w:tcPr>
            <w:tcW w:w="775" w:type="dxa"/>
            <w:vAlign w:val="center"/>
          </w:tcPr>
          <w:p w14:paraId="4FD4241B">
            <w:pPr>
              <w:jc w:val="right"/>
            </w:pPr>
            <w:r>
              <w:rPr>
                <w:rFonts w:hint="eastAsia"/>
              </w:rPr>
              <w:t>2</w:t>
            </w:r>
          </w:p>
        </w:tc>
        <w:tc>
          <w:tcPr>
            <w:tcW w:w="1699" w:type="dxa"/>
            <w:vAlign w:val="center"/>
          </w:tcPr>
          <w:p w14:paraId="7C439DC4">
            <w:pPr>
              <w:jc w:val="right"/>
            </w:pPr>
            <w:r>
              <w:rPr>
                <w:rFonts w:hint="eastAsia"/>
              </w:rPr>
              <w:t>-</w:t>
            </w:r>
          </w:p>
        </w:tc>
        <w:tc>
          <w:tcPr>
            <w:tcW w:w="1201" w:type="dxa"/>
            <w:vAlign w:val="center"/>
          </w:tcPr>
          <w:p w14:paraId="484B7225">
            <w:pPr>
              <w:jc w:val="right"/>
            </w:pPr>
            <w:r>
              <w:rPr>
                <w:rFonts w:hint="eastAsia"/>
              </w:rPr>
              <w:t>-</w:t>
            </w:r>
          </w:p>
        </w:tc>
        <w:tc>
          <w:tcPr>
            <w:tcW w:w="1312" w:type="dxa"/>
            <w:vAlign w:val="center"/>
          </w:tcPr>
          <w:p w14:paraId="65344BD3">
            <w:pPr>
              <w:jc w:val="right"/>
            </w:pPr>
            <w:r>
              <w:rPr>
                <w:rFonts w:hint="eastAsia"/>
              </w:rPr>
              <w:t>-</w:t>
            </w:r>
          </w:p>
        </w:tc>
        <w:tc>
          <w:tcPr>
            <w:tcW w:w="1256" w:type="dxa"/>
            <w:vAlign w:val="center"/>
          </w:tcPr>
          <w:p w14:paraId="5CB5EC4C">
            <w:pPr>
              <w:jc w:val="right"/>
            </w:pPr>
            <w:r>
              <w:rPr>
                <w:rFonts w:hint="eastAsia"/>
              </w:rPr>
              <w:t>-</w:t>
            </w:r>
          </w:p>
        </w:tc>
        <w:tc>
          <w:tcPr>
            <w:tcW w:w="946" w:type="dxa"/>
            <w:vAlign w:val="center"/>
          </w:tcPr>
          <w:p w14:paraId="0C347415">
            <w:pPr>
              <w:jc w:val="right"/>
            </w:pPr>
            <w:r>
              <w:rPr>
                <w:rFonts w:hint="eastAsia"/>
              </w:rPr>
              <w:t>-</w:t>
            </w:r>
          </w:p>
        </w:tc>
      </w:tr>
      <w:tr w14:paraId="6D7D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5CF2CB">
            <w:r>
              <w:rPr>
                <w:rFonts w:hint="eastAsia"/>
              </w:rPr>
              <w:t>华泰证券</w:t>
            </w:r>
          </w:p>
        </w:tc>
        <w:tc>
          <w:tcPr>
            <w:tcW w:w="775" w:type="dxa"/>
            <w:vAlign w:val="center"/>
          </w:tcPr>
          <w:p w14:paraId="68B87E05">
            <w:pPr>
              <w:jc w:val="right"/>
            </w:pPr>
            <w:r>
              <w:rPr>
                <w:rFonts w:hint="eastAsia"/>
              </w:rPr>
              <w:t>2</w:t>
            </w:r>
          </w:p>
        </w:tc>
        <w:tc>
          <w:tcPr>
            <w:tcW w:w="1699" w:type="dxa"/>
            <w:vAlign w:val="center"/>
          </w:tcPr>
          <w:p w14:paraId="1B576B17">
            <w:pPr>
              <w:jc w:val="right"/>
            </w:pPr>
            <w:r>
              <w:rPr>
                <w:rFonts w:hint="eastAsia"/>
              </w:rPr>
              <w:t>-</w:t>
            </w:r>
          </w:p>
        </w:tc>
        <w:tc>
          <w:tcPr>
            <w:tcW w:w="1201" w:type="dxa"/>
            <w:vAlign w:val="center"/>
          </w:tcPr>
          <w:p w14:paraId="7CE54D47">
            <w:pPr>
              <w:jc w:val="right"/>
            </w:pPr>
            <w:r>
              <w:rPr>
                <w:rFonts w:hint="eastAsia"/>
              </w:rPr>
              <w:t>-</w:t>
            </w:r>
          </w:p>
        </w:tc>
        <w:tc>
          <w:tcPr>
            <w:tcW w:w="1312" w:type="dxa"/>
            <w:vAlign w:val="center"/>
          </w:tcPr>
          <w:p w14:paraId="674C2999">
            <w:pPr>
              <w:jc w:val="right"/>
            </w:pPr>
            <w:r>
              <w:rPr>
                <w:rFonts w:hint="eastAsia"/>
              </w:rPr>
              <w:t>-</w:t>
            </w:r>
          </w:p>
        </w:tc>
        <w:tc>
          <w:tcPr>
            <w:tcW w:w="1256" w:type="dxa"/>
            <w:vAlign w:val="center"/>
          </w:tcPr>
          <w:p w14:paraId="6B26EDA2">
            <w:pPr>
              <w:jc w:val="right"/>
            </w:pPr>
            <w:r>
              <w:rPr>
                <w:rFonts w:hint="eastAsia"/>
              </w:rPr>
              <w:t>-</w:t>
            </w:r>
          </w:p>
        </w:tc>
        <w:tc>
          <w:tcPr>
            <w:tcW w:w="946" w:type="dxa"/>
            <w:vAlign w:val="center"/>
          </w:tcPr>
          <w:p w14:paraId="370D521F">
            <w:pPr>
              <w:jc w:val="right"/>
            </w:pPr>
            <w:r>
              <w:rPr>
                <w:rFonts w:hint="eastAsia"/>
              </w:rPr>
              <w:t>-</w:t>
            </w:r>
          </w:p>
        </w:tc>
      </w:tr>
      <w:tr w14:paraId="13F4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B513BE">
            <w:r>
              <w:rPr>
                <w:rFonts w:hint="eastAsia"/>
              </w:rPr>
              <w:t>平安证券</w:t>
            </w:r>
          </w:p>
        </w:tc>
        <w:tc>
          <w:tcPr>
            <w:tcW w:w="775" w:type="dxa"/>
            <w:vAlign w:val="center"/>
          </w:tcPr>
          <w:p w14:paraId="399BA73E">
            <w:pPr>
              <w:jc w:val="right"/>
            </w:pPr>
            <w:r>
              <w:rPr>
                <w:rFonts w:hint="eastAsia"/>
              </w:rPr>
              <w:t>1</w:t>
            </w:r>
          </w:p>
        </w:tc>
        <w:tc>
          <w:tcPr>
            <w:tcW w:w="1699" w:type="dxa"/>
            <w:vAlign w:val="center"/>
          </w:tcPr>
          <w:p w14:paraId="30292228">
            <w:pPr>
              <w:jc w:val="right"/>
            </w:pPr>
            <w:r>
              <w:rPr>
                <w:rFonts w:hint="eastAsia"/>
              </w:rPr>
              <w:t>-</w:t>
            </w:r>
          </w:p>
        </w:tc>
        <w:tc>
          <w:tcPr>
            <w:tcW w:w="1201" w:type="dxa"/>
            <w:vAlign w:val="center"/>
          </w:tcPr>
          <w:p w14:paraId="5932134E">
            <w:pPr>
              <w:jc w:val="right"/>
            </w:pPr>
            <w:r>
              <w:rPr>
                <w:rFonts w:hint="eastAsia"/>
              </w:rPr>
              <w:t>-</w:t>
            </w:r>
          </w:p>
        </w:tc>
        <w:tc>
          <w:tcPr>
            <w:tcW w:w="1312" w:type="dxa"/>
            <w:vAlign w:val="center"/>
          </w:tcPr>
          <w:p w14:paraId="4A303F63">
            <w:pPr>
              <w:jc w:val="right"/>
            </w:pPr>
            <w:r>
              <w:rPr>
                <w:rFonts w:hint="eastAsia"/>
              </w:rPr>
              <w:t>-</w:t>
            </w:r>
          </w:p>
        </w:tc>
        <w:tc>
          <w:tcPr>
            <w:tcW w:w="1256" w:type="dxa"/>
            <w:vAlign w:val="center"/>
          </w:tcPr>
          <w:p w14:paraId="233F3F3E">
            <w:pPr>
              <w:jc w:val="right"/>
            </w:pPr>
            <w:r>
              <w:rPr>
                <w:rFonts w:hint="eastAsia"/>
              </w:rPr>
              <w:t>-</w:t>
            </w:r>
          </w:p>
        </w:tc>
        <w:tc>
          <w:tcPr>
            <w:tcW w:w="946" w:type="dxa"/>
            <w:vAlign w:val="center"/>
          </w:tcPr>
          <w:p w14:paraId="73F5A0A6">
            <w:pPr>
              <w:jc w:val="right"/>
            </w:pPr>
            <w:r>
              <w:rPr>
                <w:rFonts w:hint="eastAsia"/>
              </w:rPr>
              <w:t>-</w:t>
            </w:r>
          </w:p>
        </w:tc>
      </w:tr>
      <w:tr w14:paraId="46A6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89E922">
            <w:r>
              <w:rPr>
                <w:rFonts w:hint="eastAsia"/>
              </w:rPr>
              <w:t>招商证券</w:t>
            </w:r>
          </w:p>
        </w:tc>
        <w:tc>
          <w:tcPr>
            <w:tcW w:w="775" w:type="dxa"/>
            <w:vAlign w:val="center"/>
          </w:tcPr>
          <w:p w14:paraId="781C2F04">
            <w:pPr>
              <w:jc w:val="right"/>
            </w:pPr>
            <w:r>
              <w:rPr>
                <w:rFonts w:hint="eastAsia"/>
              </w:rPr>
              <w:t>1</w:t>
            </w:r>
          </w:p>
        </w:tc>
        <w:tc>
          <w:tcPr>
            <w:tcW w:w="1699" w:type="dxa"/>
            <w:vAlign w:val="center"/>
          </w:tcPr>
          <w:p w14:paraId="53B64305">
            <w:pPr>
              <w:jc w:val="right"/>
            </w:pPr>
            <w:r>
              <w:rPr>
                <w:rFonts w:hint="eastAsia"/>
              </w:rPr>
              <w:t>-</w:t>
            </w:r>
          </w:p>
        </w:tc>
        <w:tc>
          <w:tcPr>
            <w:tcW w:w="1201" w:type="dxa"/>
            <w:vAlign w:val="center"/>
          </w:tcPr>
          <w:p w14:paraId="6C922817">
            <w:pPr>
              <w:jc w:val="right"/>
            </w:pPr>
            <w:r>
              <w:rPr>
                <w:rFonts w:hint="eastAsia"/>
              </w:rPr>
              <w:t>-</w:t>
            </w:r>
          </w:p>
        </w:tc>
        <w:tc>
          <w:tcPr>
            <w:tcW w:w="1312" w:type="dxa"/>
            <w:vAlign w:val="center"/>
          </w:tcPr>
          <w:p w14:paraId="471C015A">
            <w:pPr>
              <w:jc w:val="right"/>
            </w:pPr>
            <w:r>
              <w:rPr>
                <w:rFonts w:hint="eastAsia"/>
              </w:rPr>
              <w:t>-</w:t>
            </w:r>
          </w:p>
        </w:tc>
        <w:tc>
          <w:tcPr>
            <w:tcW w:w="1256" w:type="dxa"/>
            <w:vAlign w:val="center"/>
          </w:tcPr>
          <w:p w14:paraId="26222C64">
            <w:pPr>
              <w:jc w:val="right"/>
            </w:pPr>
            <w:r>
              <w:rPr>
                <w:rFonts w:hint="eastAsia"/>
              </w:rPr>
              <w:t>-</w:t>
            </w:r>
          </w:p>
        </w:tc>
        <w:tc>
          <w:tcPr>
            <w:tcW w:w="946" w:type="dxa"/>
            <w:vAlign w:val="center"/>
          </w:tcPr>
          <w:p w14:paraId="6E3141D8">
            <w:pPr>
              <w:jc w:val="right"/>
            </w:pPr>
            <w:r>
              <w:rPr>
                <w:rFonts w:hint="eastAsia"/>
              </w:rPr>
              <w:t>-</w:t>
            </w:r>
          </w:p>
        </w:tc>
      </w:tr>
    </w:tbl>
    <w:p w14:paraId="7D98677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F3F3602">
      <w:pPr>
        <w:pStyle w:val="47"/>
        <w:rPr>
          <w:rFonts w:hint="eastAsia"/>
        </w:rPr>
      </w:pPr>
      <w:r>
        <w:tab/>
      </w:r>
      <w:r>
        <w:rPr>
          <w:rFonts w:hint="eastAsia"/>
        </w:rPr>
        <w:t>1、选择标准</w:t>
      </w:r>
    </w:p>
    <w:p w14:paraId="544A225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71F4C0F">
      <w:pPr>
        <w:pStyle w:val="47"/>
        <w:rPr>
          <w:rFonts w:hint="eastAsia"/>
        </w:rPr>
      </w:pPr>
      <w:r>
        <w:tab/>
      </w:r>
      <w:r>
        <w:rPr>
          <w:rFonts w:hint="eastAsia"/>
        </w:rPr>
        <w:t>2、选择程序</w:t>
      </w:r>
    </w:p>
    <w:p w14:paraId="62E5B51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EE92D2F">
      <w:pPr>
        <w:pStyle w:val="47"/>
        <w:rPr>
          <w:rFonts w:hint="eastAsia"/>
        </w:rPr>
      </w:pPr>
      <w:r>
        <w:tab/>
      </w:r>
      <w:r>
        <w:rPr>
          <w:rFonts w:hint="eastAsia"/>
        </w:rPr>
        <w:t>（2）基金管理人根据其建立的服务评价及交易量分配机制，定期对证券公司开展评价后，根据评价结果进行交易量的分配。</w:t>
      </w:r>
    </w:p>
    <w:p w14:paraId="70525EFB">
      <w:pPr>
        <w:pStyle w:val="47"/>
        <w:rPr>
          <w:rFonts w:hint="eastAsia"/>
        </w:rPr>
      </w:pPr>
      <w:r>
        <w:tab/>
      </w:r>
      <w:r>
        <w:rPr>
          <w:rFonts w:hint="eastAsia"/>
        </w:rPr>
        <w:t>3、报告期内基金租用券商交易单元的变更情况：新增交易单元：无；减少交易单元：无。</w:t>
      </w:r>
    </w:p>
    <w:p w14:paraId="06782242">
      <w:pPr>
        <w:pStyle w:val="28"/>
      </w:pPr>
      <w:bookmarkStart w:id="196" w:name="_Toc196"/>
      <w:r>
        <w:t>基金租用证券公司交易单元进行其他证券投资的情况</w:t>
      </w:r>
      <w:bookmarkEnd w:id="196"/>
    </w:p>
    <w:p w14:paraId="413E89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15F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4CF3407">
            <w:pPr>
              <w:jc w:val="center"/>
            </w:pPr>
            <w:r>
              <w:rPr>
                <w:rFonts w:hint="eastAsia"/>
                <w:b/>
              </w:rPr>
              <w:t>券商名称</w:t>
            </w:r>
          </w:p>
        </w:tc>
        <w:tc>
          <w:tcPr>
            <w:tcW w:w="1508" w:type="dxa"/>
            <w:gridSpan w:val="2"/>
            <w:shd w:val="clear" w:color="auto" w:fill="BFBFBF"/>
            <w:vAlign w:val="center"/>
          </w:tcPr>
          <w:p w14:paraId="545EBD91">
            <w:pPr>
              <w:jc w:val="center"/>
            </w:pPr>
            <w:r>
              <w:rPr>
                <w:rFonts w:hint="eastAsia"/>
                <w:b/>
              </w:rPr>
              <w:t>债券交易</w:t>
            </w:r>
          </w:p>
        </w:tc>
        <w:tc>
          <w:tcPr>
            <w:tcW w:w="1697" w:type="dxa"/>
            <w:gridSpan w:val="2"/>
            <w:shd w:val="clear" w:color="auto" w:fill="BFBFBF"/>
            <w:vAlign w:val="center"/>
          </w:tcPr>
          <w:p w14:paraId="435269BE">
            <w:pPr>
              <w:jc w:val="center"/>
            </w:pPr>
            <w:r>
              <w:rPr>
                <w:rFonts w:hint="eastAsia"/>
                <w:b/>
              </w:rPr>
              <w:t>债券回购交易</w:t>
            </w:r>
          </w:p>
        </w:tc>
        <w:tc>
          <w:tcPr>
            <w:tcW w:w="1508" w:type="dxa"/>
            <w:gridSpan w:val="2"/>
            <w:shd w:val="clear" w:color="auto" w:fill="BFBFBF"/>
            <w:vAlign w:val="center"/>
          </w:tcPr>
          <w:p w14:paraId="535EB7FF">
            <w:pPr>
              <w:jc w:val="center"/>
            </w:pPr>
            <w:r>
              <w:rPr>
                <w:rFonts w:hint="eastAsia"/>
                <w:b/>
              </w:rPr>
              <w:t>权证交易</w:t>
            </w:r>
          </w:p>
        </w:tc>
      </w:tr>
      <w:tr w14:paraId="3548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8DEE20A"/>
        </w:tc>
        <w:tc>
          <w:tcPr>
            <w:tcW w:w="1508" w:type="dxa"/>
            <w:shd w:val="clear" w:color="auto" w:fill="BFBFBF"/>
            <w:vAlign w:val="center"/>
          </w:tcPr>
          <w:p w14:paraId="2FC417C6">
            <w:pPr>
              <w:jc w:val="center"/>
            </w:pPr>
            <w:r>
              <w:rPr>
                <w:rFonts w:hint="eastAsia"/>
                <w:b/>
              </w:rPr>
              <w:t>成交金额</w:t>
            </w:r>
          </w:p>
        </w:tc>
        <w:tc>
          <w:tcPr>
            <w:tcW w:w="895" w:type="dxa"/>
            <w:shd w:val="clear" w:color="auto" w:fill="BFBFBF"/>
            <w:vAlign w:val="center"/>
          </w:tcPr>
          <w:p w14:paraId="3B7BA4CB">
            <w:pPr>
              <w:jc w:val="center"/>
            </w:pPr>
            <w:r>
              <w:rPr>
                <w:rFonts w:hint="eastAsia"/>
                <w:b/>
              </w:rPr>
              <w:t>占当期债券成交总额的比例</w:t>
            </w:r>
          </w:p>
        </w:tc>
        <w:tc>
          <w:tcPr>
            <w:tcW w:w="1697" w:type="dxa"/>
            <w:shd w:val="clear" w:color="auto" w:fill="BFBFBF"/>
            <w:vAlign w:val="center"/>
          </w:tcPr>
          <w:p w14:paraId="3A698813">
            <w:pPr>
              <w:jc w:val="center"/>
            </w:pPr>
            <w:r>
              <w:rPr>
                <w:rFonts w:hint="eastAsia"/>
                <w:b/>
              </w:rPr>
              <w:t>成交金额</w:t>
            </w:r>
          </w:p>
        </w:tc>
        <w:tc>
          <w:tcPr>
            <w:tcW w:w="895" w:type="dxa"/>
            <w:shd w:val="clear" w:color="auto" w:fill="BFBFBF"/>
            <w:vAlign w:val="center"/>
          </w:tcPr>
          <w:p w14:paraId="4415B4A7">
            <w:pPr>
              <w:jc w:val="center"/>
            </w:pPr>
            <w:r>
              <w:rPr>
                <w:rFonts w:hint="eastAsia"/>
                <w:b/>
              </w:rPr>
              <w:t>占当期债券回购成交总额的比例</w:t>
            </w:r>
          </w:p>
        </w:tc>
        <w:tc>
          <w:tcPr>
            <w:tcW w:w="1508" w:type="dxa"/>
            <w:shd w:val="clear" w:color="auto" w:fill="BFBFBF"/>
            <w:vAlign w:val="center"/>
          </w:tcPr>
          <w:p w14:paraId="56F934C6">
            <w:pPr>
              <w:jc w:val="center"/>
            </w:pPr>
            <w:r>
              <w:rPr>
                <w:rFonts w:hint="eastAsia"/>
                <w:b/>
              </w:rPr>
              <w:t>成交金额</w:t>
            </w:r>
          </w:p>
        </w:tc>
        <w:tc>
          <w:tcPr>
            <w:tcW w:w="900" w:type="dxa"/>
            <w:shd w:val="clear" w:color="auto" w:fill="BFBFBF"/>
            <w:vAlign w:val="center"/>
          </w:tcPr>
          <w:p w14:paraId="6D342D33">
            <w:pPr>
              <w:jc w:val="center"/>
            </w:pPr>
            <w:r>
              <w:rPr>
                <w:rFonts w:hint="eastAsia"/>
                <w:b/>
              </w:rPr>
              <w:t>占当期权证成交总额的比例</w:t>
            </w:r>
          </w:p>
        </w:tc>
      </w:tr>
      <w:tr w14:paraId="09C5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DC698FC">
            <w:r>
              <w:rPr>
                <w:rFonts w:hint="eastAsia"/>
              </w:rPr>
              <w:t>华宝证券</w:t>
            </w:r>
          </w:p>
        </w:tc>
        <w:tc>
          <w:tcPr>
            <w:tcW w:w="1508" w:type="dxa"/>
            <w:vAlign w:val="center"/>
          </w:tcPr>
          <w:p w14:paraId="70E84B1D">
            <w:pPr>
              <w:jc w:val="right"/>
            </w:pPr>
            <w:r>
              <w:rPr>
                <w:rFonts w:hint="eastAsia"/>
              </w:rPr>
              <w:t>-</w:t>
            </w:r>
          </w:p>
        </w:tc>
        <w:tc>
          <w:tcPr>
            <w:tcW w:w="895" w:type="dxa"/>
            <w:vAlign w:val="center"/>
          </w:tcPr>
          <w:p w14:paraId="60605C24">
            <w:pPr>
              <w:jc w:val="right"/>
            </w:pPr>
            <w:r>
              <w:rPr>
                <w:rFonts w:hint="eastAsia"/>
              </w:rPr>
              <w:t>-</w:t>
            </w:r>
          </w:p>
        </w:tc>
        <w:tc>
          <w:tcPr>
            <w:tcW w:w="1697" w:type="dxa"/>
            <w:vAlign w:val="center"/>
          </w:tcPr>
          <w:p w14:paraId="6F039D78">
            <w:pPr>
              <w:jc w:val="right"/>
            </w:pPr>
            <w:r>
              <w:rPr>
                <w:rFonts w:hint="eastAsia"/>
              </w:rPr>
              <w:t>-</w:t>
            </w:r>
          </w:p>
        </w:tc>
        <w:tc>
          <w:tcPr>
            <w:tcW w:w="895" w:type="dxa"/>
            <w:vAlign w:val="center"/>
          </w:tcPr>
          <w:p w14:paraId="50F0053D">
            <w:pPr>
              <w:jc w:val="right"/>
            </w:pPr>
            <w:r>
              <w:rPr>
                <w:rFonts w:hint="eastAsia"/>
              </w:rPr>
              <w:t>-</w:t>
            </w:r>
          </w:p>
        </w:tc>
        <w:tc>
          <w:tcPr>
            <w:tcW w:w="1508" w:type="dxa"/>
            <w:vAlign w:val="center"/>
          </w:tcPr>
          <w:p w14:paraId="0A1820DF">
            <w:pPr>
              <w:jc w:val="right"/>
            </w:pPr>
            <w:r>
              <w:rPr>
                <w:rFonts w:hint="eastAsia"/>
              </w:rPr>
              <w:t>-</w:t>
            </w:r>
          </w:p>
        </w:tc>
        <w:tc>
          <w:tcPr>
            <w:tcW w:w="900" w:type="dxa"/>
            <w:vAlign w:val="center"/>
          </w:tcPr>
          <w:p w14:paraId="27A275BC">
            <w:pPr>
              <w:jc w:val="right"/>
            </w:pPr>
            <w:r>
              <w:rPr>
                <w:rFonts w:hint="eastAsia"/>
              </w:rPr>
              <w:t>-</w:t>
            </w:r>
          </w:p>
        </w:tc>
      </w:tr>
      <w:tr w14:paraId="2634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BA2273">
            <w:r>
              <w:rPr>
                <w:rFonts w:hint="eastAsia"/>
              </w:rPr>
              <w:t>华泰证券</w:t>
            </w:r>
          </w:p>
        </w:tc>
        <w:tc>
          <w:tcPr>
            <w:tcW w:w="1508" w:type="dxa"/>
            <w:vAlign w:val="center"/>
          </w:tcPr>
          <w:p w14:paraId="1B4F388D">
            <w:pPr>
              <w:jc w:val="right"/>
            </w:pPr>
            <w:r>
              <w:rPr>
                <w:rFonts w:hint="eastAsia"/>
              </w:rPr>
              <w:t>314,727,260.00</w:t>
            </w:r>
          </w:p>
        </w:tc>
        <w:tc>
          <w:tcPr>
            <w:tcW w:w="895" w:type="dxa"/>
            <w:vAlign w:val="center"/>
          </w:tcPr>
          <w:p w14:paraId="53F9773E">
            <w:pPr>
              <w:jc w:val="right"/>
            </w:pPr>
            <w:r>
              <w:rPr>
                <w:rFonts w:hint="eastAsia"/>
              </w:rPr>
              <w:t>91.04%</w:t>
            </w:r>
          </w:p>
        </w:tc>
        <w:tc>
          <w:tcPr>
            <w:tcW w:w="1697" w:type="dxa"/>
            <w:vAlign w:val="center"/>
          </w:tcPr>
          <w:p w14:paraId="579C5BFB">
            <w:pPr>
              <w:jc w:val="right"/>
            </w:pPr>
            <w:r>
              <w:rPr>
                <w:rFonts w:hint="eastAsia"/>
              </w:rPr>
              <w:t>-</w:t>
            </w:r>
          </w:p>
        </w:tc>
        <w:tc>
          <w:tcPr>
            <w:tcW w:w="895" w:type="dxa"/>
            <w:vAlign w:val="center"/>
          </w:tcPr>
          <w:p w14:paraId="356CA19F">
            <w:pPr>
              <w:jc w:val="right"/>
            </w:pPr>
            <w:r>
              <w:rPr>
                <w:rFonts w:hint="eastAsia"/>
              </w:rPr>
              <w:t>-</w:t>
            </w:r>
          </w:p>
        </w:tc>
        <w:tc>
          <w:tcPr>
            <w:tcW w:w="1508" w:type="dxa"/>
            <w:vAlign w:val="center"/>
          </w:tcPr>
          <w:p w14:paraId="4149B9EA">
            <w:pPr>
              <w:jc w:val="right"/>
            </w:pPr>
            <w:r>
              <w:rPr>
                <w:rFonts w:hint="eastAsia"/>
              </w:rPr>
              <w:t>-</w:t>
            </w:r>
          </w:p>
        </w:tc>
        <w:tc>
          <w:tcPr>
            <w:tcW w:w="900" w:type="dxa"/>
            <w:vAlign w:val="center"/>
          </w:tcPr>
          <w:p w14:paraId="0E830694">
            <w:pPr>
              <w:jc w:val="right"/>
            </w:pPr>
            <w:r>
              <w:rPr>
                <w:rFonts w:hint="eastAsia"/>
              </w:rPr>
              <w:t>-</w:t>
            </w:r>
          </w:p>
        </w:tc>
      </w:tr>
      <w:tr w14:paraId="31AE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203E32">
            <w:r>
              <w:rPr>
                <w:rFonts w:hint="eastAsia"/>
              </w:rPr>
              <w:t>平安证券</w:t>
            </w:r>
          </w:p>
        </w:tc>
        <w:tc>
          <w:tcPr>
            <w:tcW w:w="1508" w:type="dxa"/>
            <w:vAlign w:val="center"/>
          </w:tcPr>
          <w:p w14:paraId="2CFD92FE">
            <w:pPr>
              <w:jc w:val="right"/>
            </w:pPr>
            <w:r>
              <w:rPr>
                <w:rFonts w:hint="eastAsia"/>
              </w:rPr>
              <w:t>-</w:t>
            </w:r>
          </w:p>
        </w:tc>
        <w:tc>
          <w:tcPr>
            <w:tcW w:w="895" w:type="dxa"/>
            <w:vAlign w:val="center"/>
          </w:tcPr>
          <w:p w14:paraId="5AFCDE3C">
            <w:pPr>
              <w:jc w:val="right"/>
            </w:pPr>
            <w:r>
              <w:rPr>
                <w:rFonts w:hint="eastAsia"/>
              </w:rPr>
              <w:t>-</w:t>
            </w:r>
          </w:p>
        </w:tc>
        <w:tc>
          <w:tcPr>
            <w:tcW w:w="1697" w:type="dxa"/>
            <w:vAlign w:val="center"/>
          </w:tcPr>
          <w:p w14:paraId="3037CF66">
            <w:pPr>
              <w:jc w:val="right"/>
            </w:pPr>
            <w:r>
              <w:rPr>
                <w:rFonts w:hint="eastAsia"/>
              </w:rPr>
              <w:t>-</w:t>
            </w:r>
          </w:p>
        </w:tc>
        <w:tc>
          <w:tcPr>
            <w:tcW w:w="895" w:type="dxa"/>
            <w:vAlign w:val="center"/>
          </w:tcPr>
          <w:p w14:paraId="5E7EC47E">
            <w:pPr>
              <w:jc w:val="right"/>
            </w:pPr>
            <w:r>
              <w:rPr>
                <w:rFonts w:hint="eastAsia"/>
              </w:rPr>
              <w:t>-</w:t>
            </w:r>
          </w:p>
        </w:tc>
        <w:tc>
          <w:tcPr>
            <w:tcW w:w="1508" w:type="dxa"/>
            <w:vAlign w:val="center"/>
          </w:tcPr>
          <w:p w14:paraId="58EAA9CD">
            <w:pPr>
              <w:jc w:val="right"/>
            </w:pPr>
            <w:r>
              <w:rPr>
                <w:rFonts w:hint="eastAsia"/>
              </w:rPr>
              <w:t>-</w:t>
            </w:r>
          </w:p>
        </w:tc>
        <w:tc>
          <w:tcPr>
            <w:tcW w:w="900" w:type="dxa"/>
            <w:vAlign w:val="center"/>
          </w:tcPr>
          <w:p w14:paraId="26ADBBA1">
            <w:pPr>
              <w:jc w:val="right"/>
            </w:pPr>
            <w:r>
              <w:rPr>
                <w:rFonts w:hint="eastAsia"/>
              </w:rPr>
              <w:t>-</w:t>
            </w:r>
          </w:p>
        </w:tc>
      </w:tr>
      <w:tr w14:paraId="01EB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82642D">
            <w:r>
              <w:rPr>
                <w:rFonts w:hint="eastAsia"/>
              </w:rPr>
              <w:t>招商证券</w:t>
            </w:r>
          </w:p>
        </w:tc>
        <w:tc>
          <w:tcPr>
            <w:tcW w:w="1508" w:type="dxa"/>
            <w:vAlign w:val="center"/>
          </w:tcPr>
          <w:p w14:paraId="3D262E6C">
            <w:pPr>
              <w:jc w:val="right"/>
            </w:pPr>
            <w:r>
              <w:rPr>
                <w:rFonts w:hint="eastAsia"/>
              </w:rPr>
              <w:t>30,969,020.00</w:t>
            </w:r>
          </w:p>
        </w:tc>
        <w:tc>
          <w:tcPr>
            <w:tcW w:w="895" w:type="dxa"/>
            <w:vAlign w:val="center"/>
          </w:tcPr>
          <w:p w14:paraId="77D0E893">
            <w:pPr>
              <w:jc w:val="right"/>
            </w:pPr>
            <w:r>
              <w:rPr>
                <w:rFonts w:hint="eastAsia"/>
              </w:rPr>
              <w:t>8.96%</w:t>
            </w:r>
          </w:p>
        </w:tc>
        <w:tc>
          <w:tcPr>
            <w:tcW w:w="1697" w:type="dxa"/>
            <w:vAlign w:val="center"/>
          </w:tcPr>
          <w:p w14:paraId="36461B75">
            <w:pPr>
              <w:jc w:val="right"/>
            </w:pPr>
            <w:r>
              <w:rPr>
                <w:rFonts w:hint="eastAsia"/>
              </w:rPr>
              <w:t>-</w:t>
            </w:r>
          </w:p>
        </w:tc>
        <w:tc>
          <w:tcPr>
            <w:tcW w:w="895" w:type="dxa"/>
            <w:vAlign w:val="center"/>
          </w:tcPr>
          <w:p w14:paraId="2DEA43F6">
            <w:pPr>
              <w:jc w:val="right"/>
            </w:pPr>
            <w:r>
              <w:rPr>
                <w:rFonts w:hint="eastAsia"/>
              </w:rPr>
              <w:t>-</w:t>
            </w:r>
          </w:p>
        </w:tc>
        <w:tc>
          <w:tcPr>
            <w:tcW w:w="1508" w:type="dxa"/>
            <w:vAlign w:val="center"/>
          </w:tcPr>
          <w:p w14:paraId="2F048C5D">
            <w:pPr>
              <w:jc w:val="right"/>
            </w:pPr>
            <w:r>
              <w:rPr>
                <w:rFonts w:hint="eastAsia"/>
              </w:rPr>
              <w:t>-</w:t>
            </w:r>
          </w:p>
        </w:tc>
        <w:tc>
          <w:tcPr>
            <w:tcW w:w="900" w:type="dxa"/>
            <w:vAlign w:val="center"/>
          </w:tcPr>
          <w:p w14:paraId="052DE27F">
            <w:pPr>
              <w:jc w:val="right"/>
            </w:pPr>
            <w:r>
              <w:rPr>
                <w:rFonts w:hint="eastAsia"/>
              </w:rPr>
              <w:t>-</w:t>
            </w:r>
          </w:p>
        </w:tc>
      </w:tr>
    </w:tbl>
    <w:p w14:paraId="591182F3">
      <w:pPr>
        <w:pStyle w:val="23"/>
      </w:pPr>
      <w:bookmarkStart w:id="197" w:name="_Toc18632"/>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6BF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F447050">
            <w:pPr>
              <w:jc w:val="center"/>
            </w:pPr>
            <w:r>
              <w:rPr>
                <w:rFonts w:hint="eastAsia"/>
                <w:b/>
              </w:rPr>
              <w:t>序号</w:t>
            </w:r>
          </w:p>
        </w:tc>
        <w:tc>
          <w:tcPr>
            <w:tcW w:w="4319" w:type="dxa"/>
            <w:shd w:val="clear" w:color="auto" w:fill="BFBFBF"/>
            <w:vAlign w:val="center"/>
          </w:tcPr>
          <w:p w14:paraId="5C945D57">
            <w:pPr>
              <w:jc w:val="center"/>
            </w:pPr>
            <w:r>
              <w:rPr>
                <w:rFonts w:hint="eastAsia"/>
                <w:b/>
              </w:rPr>
              <w:t>公告事项</w:t>
            </w:r>
          </w:p>
        </w:tc>
        <w:tc>
          <w:tcPr>
            <w:tcW w:w="2076" w:type="dxa"/>
            <w:shd w:val="clear" w:color="auto" w:fill="BFBFBF"/>
            <w:vAlign w:val="center"/>
          </w:tcPr>
          <w:p w14:paraId="39BDA202">
            <w:pPr>
              <w:jc w:val="center"/>
            </w:pPr>
            <w:r>
              <w:rPr>
                <w:rFonts w:hint="eastAsia"/>
                <w:b/>
              </w:rPr>
              <w:t>法定披露方式</w:t>
            </w:r>
          </w:p>
        </w:tc>
        <w:tc>
          <w:tcPr>
            <w:tcW w:w="1218" w:type="dxa"/>
            <w:shd w:val="clear" w:color="auto" w:fill="BFBFBF"/>
            <w:vAlign w:val="center"/>
          </w:tcPr>
          <w:p w14:paraId="4996356F">
            <w:pPr>
              <w:jc w:val="center"/>
            </w:pPr>
            <w:r>
              <w:rPr>
                <w:rFonts w:hint="eastAsia"/>
                <w:b/>
              </w:rPr>
              <w:t>法定披露日期</w:t>
            </w:r>
          </w:p>
        </w:tc>
      </w:tr>
      <w:tr w14:paraId="5354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67197F">
            <w:pPr>
              <w:jc w:val="center"/>
            </w:pPr>
            <w:r>
              <w:rPr>
                <w:rFonts w:hint="eastAsia"/>
              </w:rPr>
              <w:t>1</w:t>
            </w:r>
          </w:p>
        </w:tc>
        <w:tc>
          <w:tcPr>
            <w:tcW w:w="4319" w:type="dxa"/>
            <w:vAlign w:val="center"/>
          </w:tcPr>
          <w:p w14:paraId="5EFD5DDD">
            <w:r>
              <w:rPr>
                <w:rFonts w:hint="eastAsia"/>
              </w:rPr>
              <w:t>南方基金关于直销平台相关业务费率优惠的公告</w:t>
            </w:r>
          </w:p>
        </w:tc>
        <w:tc>
          <w:tcPr>
            <w:tcW w:w="2076" w:type="dxa"/>
            <w:vAlign w:val="center"/>
          </w:tcPr>
          <w:p w14:paraId="2C0D6B64">
            <w:r>
              <w:rPr>
                <w:rFonts w:hint="eastAsia"/>
              </w:rPr>
              <w:t>中国证券报、基金管理人网站、中国证监会基金电子披露网站</w:t>
            </w:r>
          </w:p>
        </w:tc>
        <w:tc>
          <w:tcPr>
            <w:tcW w:w="1218" w:type="dxa"/>
            <w:vAlign w:val="center"/>
          </w:tcPr>
          <w:p w14:paraId="2FAC957A">
            <w:r>
              <w:rPr>
                <w:rFonts w:hint="eastAsia"/>
              </w:rPr>
              <w:t>2025-01-01</w:t>
            </w:r>
          </w:p>
        </w:tc>
      </w:tr>
      <w:tr w14:paraId="0CD9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0F1E17">
            <w:pPr>
              <w:jc w:val="center"/>
            </w:pPr>
            <w:r>
              <w:rPr>
                <w:rFonts w:hint="eastAsia"/>
              </w:rPr>
              <w:t>2</w:t>
            </w:r>
          </w:p>
        </w:tc>
        <w:tc>
          <w:tcPr>
            <w:tcW w:w="4319" w:type="dxa"/>
            <w:vAlign w:val="center"/>
          </w:tcPr>
          <w:p w14:paraId="05160F40">
            <w:r>
              <w:rPr>
                <w:rFonts w:hint="eastAsia"/>
              </w:rPr>
              <w:t>南方远利3个月定期开放债券型发起式证券投资基金开放申购、赎回及转换业务的公告</w:t>
            </w:r>
          </w:p>
        </w:tc>
        <w:tc>
          <w:tcPr>
            <w:tcW w:w="2076" w:type="dxa"/>
            <w:vAlign w:val="center"/>
          </w:tcPr>
          <w:p w14:paraId="0275EF8A">
            <w:r>
              <w:rPr>
                <w:rFonts w:hint="eastAsia"/>
              </w:rPr>
              <w:t>中国证券报、基金管理人网站、中国证监会基金电子披露网站</w:t>
            </w:r>
          </w:p>
        </w:tc>
        <w:tc>
          <w:tcPr>
            <w:tcW w:w="1218" w:type="dxa"/>
            <w:vAlign w:val="center"/>
          </w:tcPr>
          <w:p w14:paraId="01B356E9">
            <w:r>
              <w:rPr>
                <w:rFonts w:hint="eastAsia"/>
              </w:rPr>
              <w:t>2025-02-05</w:t>
            </w:r>
          </w:p>
        </w:tc>
      </w:tr>
      <w:tr w14:paraId="504D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330556">
            <w:pPr>
              <w:jc w:val="center"/>
            </w:pPr>
            <w:r>
              <w:rPr>
                <w:rFonts w:hint="eastAsia"/>
              </w:rPr>
              <w:t>3</w:t>
            </w:r>
          </w:p>
        </w:tc>
        <w:tc>
          <w:tcPr>
            <w:tcW w:w="4319" w:type="dxa"/>
            <w:vAlign w:val="center"/>
          </w:tcPr>
          <w:p w14:paraId="2EC54556">
            <w:r>
              <w:rPr>
                <w:rFonts w:hint="eastAsia"/>
              </w:rPr>
              <w:t>关于南方远利3个月定期开放债券型发起式证券投资基金调整开放期安排的公告</w:t>
            </w:r>
          </w:p>
        </w:tc>
        <w:tc>
          <w:tcPr>
            <w:tcW w:w="2076" w:type="dxa"/>
            <w:vAlign w:val="center"/>
          </w:tcPr>
          <w:p w14:paraId="359FDDCF">
            <w:r>
              <w:rPr>
                <w:rFonts w:hint="eastAsia"/>
              </w:rPr>
              <w:t>中国证券报、基金管理人网站、中国证监会基金电子披露网站</w:t>
            </w:r>
          </w:p>
        </w:tc>
        <w:tc>
          <w:tcPr>
            <w:tcW w:w="1218" w:type="dxa"/>
            <w:vAlign w:val="center"/>
          </w:tcPr>
          <w:p w14:paraId="11C9E30F">
            <w:r>
              <w:rPr>
                <w:rFonts w:hint="eastAsia"/>
              </w:rPr>
              <w:t>2025-02-14</w:t>
            </w:r>
          </w:p>
        </w:tc>
      </w:tr>
      <w:tr w14:paraId="6C60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72F8DE">
            <w:pPr>
              <w:jc w:val="center"/>
            </w:pPr>
            <w:r>
              <w:rPr>
                <w:rFonts w:hint="eastAsia"/>
              </w:rPr>
              <w:t>4</w:t>
            </w:r>
          </w:p>
        </w:tc>
        <w:tc>
          <w:tcPr>
            <w:tcW w:w="4319" w:type="dxa"/>
            <w:vAlign w:val="center"/>
          </w:tcPr>
          <w:p w14:paraId="35C62F54">
            <w:r>
              <w:rPr>
                <w:rFonts w:hint="eastAsia"/>
              </w:rPr>
              <w:t>南方基金管理股份有限公司旗下公募基金通过证券公司证券交易及佣金支付情况（2024年度）</w:t>
            </w:r>
          </w:p>
        </w:tc>
        <w:tc>
          <w:tcPr>
            <w:tcW w:w="2076" w:type="dxa"/>
            <w:vAlign w:val="center"/>
          </w:tcPr>
          <w:p w14:paraId="09C042CF">
            <w:r>
              <w:rPr>
                <w:rFonts w:hint="eastAsia"/>
              </w:rPr>
              <w:t>中国证券报、基金管理人网站、中国证监会基金电子披露网站</w:t>
            </w:r>
          </w:p>
        </w:tc>
        <w:tc>
          <w:tcPr>
            <w:tcW w:w="1218" w:type="dxa"/>
            <w:vAlign w:val="center"/>
          </w:tcPr>
          <w:p w14:paraId="3052B200">
            <w:r>
              <w:rPr>
                <w:rFonts w:hint="eastAsia"/>
              </w:rPr>
              <w:t>2025-03-31</w:t>
            </w:r>
          </w:p>
        </w:tc>
      </w:tr>
      <w:tr w14:paraId="6C85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5CDF46B">
            <w:pPr>
              <w:jc w:val="center"/>
            </w:pPr>
            <w:r>
              <w:rPr>
                <w:rFonts w:hint="eastAsia"/>
              </w:rPr>
              <w:t>5</w:t>
            </w:r>
          </w:p>
        </w:tc>
        <w:tc>
          <w:tcPr>
            <w:tcW w:w="4319" w:type="dxa"/>
            <w:vAlign w:val="center"/>
          </w:tcPr>
          <w:p w14:paraId="6A59F081">
            <w:r>
              <w:rPr>
                <w:rFonts w:hint="eastAsia"/>
              </w:rPr>
              <w:t>南方远利3个月定期开放债券型发起式证券投资基金分红公告</w:t>
            </w:r>
          </w:p>
        </w:tc>
        <w:tc>
          <w:tcPr>
            <w:tcW w:w="2076" w:type="dxa"/>
            <w:vAlign w:val="center"/>
          </w:tcPr>
          <w:p w14:paraId="4882A5F0">
            <w:r>
              <w:rPr>
                <w:rFonts w:hint="eastAsia"/>
              </w:rPr>
              <w:t>中国证券报、基金管理人网站、中国证监会基金电子披露网站</w:t>
            </w:r>
          </w:p>
        </w:tc>
        <w:tc>
          <w:tcPr>
            <w:tcW w:w="1218" w:type="dxa"/>
            <w:vAlign w:val="center"/>
          </w:tcPr>
          <w:p w14:paraId="7FA8D46F">
            <w:r>
              <w:rPr>
                <w:rFonts w:hint="eastAsia"/>
              </w:rPr>
              <w:t>2025-04-16</w:t>
            </w:r>
          </w:p>
        </w:tc>
      </w:tr>
      <w:tr w14:paraId="23F7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B1C6F1">
            <w:pPr>
              <w:jc w:val="center"/>
            </w:pPr>
            <w:r>
              <w:rPr>
                <w:rFonts w:hint="eastAsia"/>
              </w:rPr>
              <w:t>6</w:t>
            </w:r>
          </w:p>
        </w:tc>
        <w:tc>
          <w:tcPr>
            <w:tcW w:w="4319" w:type="dxa"/>
            <w:vAlign w:val="center"/>
          </w:tcPr>
          <w:p w14:paraId="4F8B725F">
            <w:r>
              <w:rPr>
                <w:rFonts w:hint="eastAsia"/>
              </w:rPr>
              <w:t>南方远利3个月定期开放债券型发起式证券投资基金开放申购、赎回及转换业务的公告</w:t>
            </w:r>
          </w:p>
        </w:tc>
        <w:tc>
          <w:tcPr>
            <w:tcW w:w="2076" w:type="dxa"/>
            <w:vAlign w:val="center"/>
          </w:tcPr>
          <w:p w14:paraId="41E78634">
            <w:r>
              <w:rPr>
                <w:rFonts w:hint="eastAsia"/>
              </w:rPr>
              <w:t>中国证券报、基金管理人网站、中国证监会基金电子披露网站</w:t>
            </w:r>
          </w:p>
        </w:tc>
        <w:tc>
          <w:tcPr>
            <w:tcW w:w="1218" w:type="dxa"/>
            <w:vAlign w:val="center"/>
          </w:tcPr>
          <w:p w14:paraId="636DA4E3">
            <w:r>
              <w:rPr>
                <w:rFonts w:hint="eastAsia"/>
              </w:rPr>
              <w:t>2025-05-20</w:t>
            </w:r>
          </w:p>
        </w:tc>
      </w:tr>
      <w:tr w14:paraId="5295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189354">
            <w:pPr>
              <w:jc w:val="center"/>
            </w:pPr>
            <w:r>
              <w:rPr>
                <w:rFonts w:hint="eastAsia"/>
              </w:rPr>
              <w:t>7</w:t>
            </w:r>
          </w:p>
        </w:tc>
        <w:tc>
          <w:tcPr>
            <w:tcW w:w="4319" w:type="dxa"/>
            <w:vAlign w:val="center"/>
          </w:tcPr>
          <w:p w14:paraId="2B949AED">
            <w:r>
              <w:rPr>
                <w:rFonts w:hint="eastAsia"/>
              </w:rPr>
              <w:t>关于南方远利3个月定期开放债券型发起式证券投资基金调整开放期安排的公告</w:t>
            </w:r>
          </w:p>
        </w:tc>
        <w:tc>
          <w:tcPr>
            <w:tcW w:w="2076" w:type="dxa"/>
            <w:vAlign w:val="center"/>
          </w:tcPr>
          <w:p w14:paraId="61DB1CEA">
            <w:r>
              <w:rPr>
                <w:rFonts w:hint="eastAsia"/>
              </w:rPr>
              <w:t>中国证券报、基金管理人网站、中国证监会基金电子披露网站</w:t>
            </w:r>
          </w:p>
        </w:tc>
        <w:tc>
          <w:tcPr>
            <w:tcW w:w="1218" w:type="dxa"/>
            <w:vAlign w:val="center"/>
          </w:tcPr>
          <w:p w14:paraId="5ABAADF1">
            <w:r>
              <w:rPr>
                <w:rFonts w:hint="eastAsia"/>
              </w:rPr>
              <w:t>2025-05-29</w:t>
            </w:r>
          </w:p>
        </w:tc>
      </w:tr>
      <w:tr w14:paraId="6B14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C1654FF">
            <w:pPr>
              <w:jc w:val="center"/>
            </w:pPr>
            <w:r>
              <w:rPr>
                <w:rFonts w:hint="eastAsia"/>
              </w:rPr>
              <w:t>8</w:t>
            </w:r>
          </w:p>
        </w:tc>
        <w:tc>
          <w:tcPr>
            <w:tcW w:w="4319" w:type="dxa"/>
            <w:vAlign w:val="center"/>
          </w:tcPr>
          <w:p w14:paraId="3FC1FF5F">
            <w:r>
              <w:rPr>
                <w:rFonts w:hint="eastAsia"/>
              </w:rPr>
              <w:t>南方远利3个月定期开放债券型发起式证券投资基金开放申购、赎回及转换业务的公告</w:t>
            </w:r>
          </w:p>
        </w:tc>
        <w:tc>
          <w:tcPr>
            <w:tcW w:w="2076" w:type="dxa"/>
            <w:vAlign w:val="center"/>
          </w:tcPr>
          <w:p w14:paraId="0AAD87E2">
            <w:r>
              <w:rPr>
                <w:rFonts w:hint="eastAsia"/>
              </w:rPr>
              <w:t>中国证券报、基金管理人网站、中国证监会基金电子披露网站</w:t>
            </w:r>
          </w:p>
        </w:tc>
        <w:tc>
          <w:tcPr>
            <w:tcW w:w="1218" w:type="dxa"/>
            <w:vAlign w:val="center"/>
          </w:tcPr>
          <w:p w14:paraId="4014FCA6">
            <w:r>
              <w:rPr>
                <w:rFonts w:hint="eastAsia"/>
              </w:rPr>
              <w:t>2025-09-03</w:t>
            </w:r>
          </w:p>
        </w:tc>
      </w:tr>
      <w:tr w14:paraId="6B21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048EA9">
            <w:pPr>
              <w:jc w:val="center"/>
            </w:pPr>
            <w:r>
              <w:rPr>
                <w:rFonts w:hint="eastAsia"/>
              </w:rPr>
              <w:t>9</w:t>
            </w:r>
          </w:p>
        </w:tc>
        <w:tc>
          <w:tcPr>
            <w:tcW w:w="4319" w:type="dxa"/>
            <w:vAlign w:val="center"/>
          </w:tcPr>
          <w:p w14:paraId="2977B448">
            <w:r>
              <w:rPr>
                <w:rFonts w:hint="eastAsia"/>
              </w:rPr>
              <w:t>南方远利3个月定期开放债券型发起式证券投资基金分红公告</w:t>
            </w:r>
          </w:p>
        </w:tc>
        <w:tc>
          <w:tcPr>
            <w:tcW w:w="2076" w:type="dxa"/>
            <w:vAlign w:val="center"/>
          </w:tcPr>
          <w:p w14:paraId="59D5DD7A">
            <w:r>
              <w:rPr>
                <w:rFonts w:hint="eastAsia"/>
              </w:rPr>
              <w:t>中国证券报、基金管理人网站、中国证监会基金电子披露网站</w:t>
            </w:r>
          </w:p>
        </w:tc>
        <w:tc>
          <w:tcPr>
            <w:tcW w:w="1218" w:type="dxa"/>
            <w:vAlign w:val="center"/>
          </w:tcPr>
          <w:p w14:paraId="72673B70">
            <w:r>
              <w:rPr>
                <w:rFonts w:hint="eastAsia"/>
              </w:rPr>
              <w:t>2025-12-03</w:t>
            </w:r>
          </w:p>
        </w:tc>
      </w:tr>
      <w:tr w14:paraId="06A3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F81E17">
            <w:pPr>
              <w:jc w:val="center"/>
            </w:pPr>
            <w:r>
              <w:rPr>
                <w:rFonts w:hint="eastAsia"/>
              </w:rPr>
              <w:t>10</w:t>
            </w:r>
          </w:p>
        </w:tc>
        <w:tc>
          <w:tcPr>
            <w:tcW w:w="4319" w:type="dxa"/>
            <w:vAlign w:val="center"/>
          </w:tcPr>
          <w:p w14:paraId="285298BB">
            <w:r>
              <w:rPr>
                <w:rFonts w:hint="eastAsia"/>
              </w:rPr>
              <w:t>南方远利3个月定期开放债券型发起式证券投资基金开放申购、赎回及转换业务的公告</w:t>
            </w:r>
          </w:p>
        </w:tc>
        <w:tc>
          <w:tcPr>
            <w:tcW w:w="2076" w:type="dxa"/>
            <w:vAlign w:val="center"/>
          </w:tcPr>
          <w:p w14:paraId="2DE15A19">
            <w:r>
              <w:rPr>
                <w:rFonts w:hint="eastAsia"/>
              </w:rPr>
              <w:t>中国证券报、基金管理人网站、中国证监会基金电子披露网站</w:t>
            </w:r>
          </w:p>
        </w:tc>
        <w:tc>
          <w:tcPr>
            <w:tcW w:w="1218" w:type="dxa"/>
            <w:vAlign w:val="center"/>
          </w:tcPr>
          <w:p w14:paraId="4B3E3E6B">
            <w:r>
              <w:rPr>
                <w:rFonts w:hint="eastAsia"/>
              </w:rPr>
              <w:t>2025-12-10</w:t>
            </w:r>
          </w:p>
        </w:tc>
      </w:tr>
    </w:tbl>
    <w:p w14:paraId="192E0E67">
      <w:pPr>
        <w:pStyle w:val="26"/>
      </w:pPr>
      <w:bookmarkStart w:id="198" w:name="_Toc27758"/>
      <w:r>
        <w:t>影响投资者决策的其他重要信息</w:t>
      </w:r>
      <w:bookmarkEnd w:id="198"/>
    </w:p>
    <w:p w14:paraId="6580276E">
      <w:pPr>
        <w:pStyle w:val="23"/>
      </w:pPr>
      <w:bookmarkStart w:id="199" w:name="_Toc10779"/>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2B4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60E3EB2">
            <w:r>
              <w:rPr>
                <w:rFonts w:hint="eastAsia"/>
              </w:rPr>
              <w:t>投资者类别</w:t>
            </w:r>
          </w:p>
        </w:tc>
        <w:tc>
          <w:tcPr>
            <w:tcW w:w="500" w:type="dxa"/>
            <w:gridSpan w:val="5"/>
            <w:vAlign w:val="center"/>
          </w:tcPr>
          <w:p w14:paraId="65BAD522">
            <w:r>
              <w:rPr>
                <w:rFonts w:hint="eastAsia"/>
              </w:rPr>
              <w:t>报告期内持有基金份额变化情况</w:t>
            </w:r>
          </w:p>
        </w:tc>
        <w:tc>
          <w:tcPr>
            <w:tcW w:w="1377" w:type="dxa"/>
            <w:gridSpan w:val="2"/>
            <w:vAlign w:val="center"/>
          </w:tcPr>
          <w:p w14:paraId="3E883309">
            <w:r>
              <w:rPr>
                <w:rFonts w:hint="eastAsia"/>
              </w:rPr>
              <w:t>报告期末持有基金情况</w:t>
            </w:r>
          </w:p>
        </w:tc>
      </w:tr>
      <w:tr w14:paraId="442C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DC962A2"/>
        </w:tc>
        <w:tc>
          <w:tcPr>
            <w:tcW w:w="500" w:type="dxa"/>
            <w:vAlign w:val="center"/>
          </w:tcPr>
          <w:p w14:paraId="17CCCCDC">
            <w:r>
              <w:rPr>
                <w:rFonts w:hint="eastAsia"/>
              </w:rPr>
              <w:t>序号</w:t>
            </w:r>
          </w:p>
        </w:tc>
        <w:tc>
          <w:tcPr>
            <w:tcW w:w="876" w:type="dxa"/>
            <w:vAlign w:val="center"/>
          </w:tcPr>
          <w:p w14:paraId="5CF99C00">
            <w:r>
              <w:rPr>
                <w:rFonts w:hint="eastAsia"/>
              </w:rPr>
              <w:t>持有基金份额比例达到或者超过20%的时间区间</w:t>
            </w:r>
          </w:p>
        </w:tc>
        <w:tc>
          <w:tcPr>
            <w:tcW w:w="1377" w:type="dxa"/>
            <w:vAlign w:val="center"/>
          </w:tcPr>
          <w:p w14:paraId="2D3E3FB7">
            <w:r>
              <w:rPr>
                <w:rFonts w:hint="eastAsia"/>
              </w:rPr>
              <w:t>期初份额</w:t>
            </w:r>
          </w:p>
        </w:tc>
        <w:tc>
          <w:tcPr>
            <w:tcW w:w="1377" w:type="dxa"/>
            <w:vAlign w:val="center"/>
          </w:tcPr>
          <w:p w14:paraId="6EB69B52">
            <w:r>
              <w:rPr>
                <w:rFonts w:hint="eastAsia"/>
              </w:rPr>
              <w:t>申购份额</w:t>
            </w:r>
          </w:p>
        </w:tc>
        <w:tc>
          <w:tcPr>
            <w:tcW w:w="1377" w:type="dxa"/>
            <w:vAlign w:val="center"/>
          </w:tcPr>
          <w:p w14:paraId="7C14E545">
            <w:r>
              <w:rPr>
                <w:rFonts w:hint="eastAsia"/>
              </w:rPr>
              <w:t>赎回份额</w:t>
            </w:r>
          </w:p>
        </w:tc>
        <w:tc>
          <w:tcPr>
            <w:tcW w:w="1377" w:type="dxa"/>
            <w:vAlign w:val="center"/>
          </w:tcPr>
          <w:p w14:paraId="3F8F3267">
            <w:r>
              <w:rPr>
                <w:rFonts w:hint="eastAsia"/>
              </w:rPr>
              <w:t>持有份额</w:t>
            </w:r>
          </w:p>
        </w:tc>
        <w:tc>
          <w:tcPr>
            <w:tcW w:w="667" w:type="dxa"/>
            <w:vAlign w:val="center"/>
          </w:tcPr>
          <w:p w14:paraId="7EE4542A">
            <w:r>
              <w:rPr>
                <w:rFonts w:hint="eastAsia"/>
              </w:rPr>
              <w:t>份额占比</w:t>
            </w:r>
          </w:p>
        </w:tc>
      </w:tr>
      <w:tr w14:paraId="6DAB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F755204">
            <w:r>
              <w:rPr>
                <w:rFonts w:hint="eastAsia"/>
              </w:rPr>
              <w:t>机构</w:t>
            </w:r>
          </w:p>
        </w:tc>
        <w:tc>
          <w:tcPr>
            <w:tcW w:w="500" w:type="dxa"/>
            <w:vAlign w:val="center"/>
          </w:tcPr>
          <w:p w14:paraId="2DA86CDD">
            <w:pPr>
              <w:jc w:val="right"/>
            </w:pPr>
            <w:r>
              <w:rPr>
                <w:rFonts w:hint="eastAsia"/>
              </w:rPr>
              <w:t>1</w:t>
            </w:r>
          </w:p>
        </w:tc>
        <w:tc>
          <w:tcPr>
            <w:tcW w:w="876" w:type="dxa"/>
            <w:vAlign w:val="center"/>
          </w:tcPr>
          <w:p w14:paraId="4A4229DC">
            <w:r>
              <w:rPr>
                <w:rFonts w:hint="eastAsia"/>
              </w:rPr>
              <w:t>20250101-20251231</w:t>
            </w:r>
          </w:p>
        </w:tc>
        <w:tc>
          <w:tcPr>
            <w:tcW w:w="1377" w:type="dxa"/>
            <w:vAlign w:val="center"/>
          </w:tcPr>
          <w:p w14:paraId="2FBC71F9">
            <w:pPr>
              <w:jc w:val="right"/>
            </w:pPr>
            <w:r>
              <w:rPr>
                <w:rFonts w:hint="eastAsia"/>
              </w:rPr>
              <w:t>1,468,492,727.71</w:t>
            </w:r>
          </w:p>
        </w:tc>
        <w:tc>
          <w:tcPr>
            <w:tcW w:w="1377" w:type="dxa"/>
            <w:vAlign w:val="center"/>
          </w:tcPr>
          <w:p w14:paraId="4F30647C">
            <w:pPr>
              <w:jc w:val="right"/>
            </w:pPr>
            <w:r>
              <w:rPr>
                <w:rFonts w:hint="eastAsia"/>
              </w:rPr>
              <w:t>-</w:t>
            </w:r>
          </w:p>
        </w:tc>
        <w:tc>
          <w:tcPr>
            <w:tcW w:w="1377" w:type="dxa"/>
            <w:vAlign w:val="center"/>
          </w:tcPr>
          <w:p w14:paraId="3386836A">
            <w:pPr>
              <w:jc w:val="right"/>
            </w:pPr>
            <w:r>
              <w:rPr>
                <w:rFonts w:hint="eastAsia"/>
              </w:rPr>
              <w:t>489,497,575.90</w:t>
            </w:r>
          </w:p>
        </w:tc>
        <w:tc>
          <w:tcPr>
            <w:tcW w:w="1377" w:type="dxa"/>
            <w:vAlign w:val="center"/>
          </w:tcPr>
          <w:p w14:paraId="1AEDBAB4">
            <w:pPr>
              <w:jc w:val="right"/>
            </w:pPr>
            <w:r>
              <w:rPr>
                <w:rFonts w:hint="eastAsia"/>
              </w:rPr>
              <w:t>978,995,151.81</w:t>
            </w:r>
          </w:p>
        </w:tc>
        <w:tc>
          <w:tcPr>
            <w:tcW w:w="667" w:type="dxa"/>
            <w:vAlign w:val="center"/>
          </w:tcPr>
          <w:p w14:paraId="5549E61E">
            <w:pPr>
              <w:jc w:val="right"/>
            </w:pPr>
            <w:r>
              <w:rPr>
                <w:rFonts w:hint="eastAsia"/>
              </w:rPr>
              <w:t>97.71%</w:t>
            </w:r>
          </w:p>
        </w:tc>
      </w:tr>
      <w:tr w14:paraId="33CA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2A43BB7">
            <w:r>
              <w:rPr>
                <w:rFonts w:hint="eastAsia"/>
              </w:rPr>
              <w:t>产品特有风险</w:t>
            </w:r>
          </w:p>
        </w:tc>
      </w:tr>
      <w:tr w14:paraId="4674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FF658C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5811DB0">
      <w:pPr>
        <w:pStyle w:val="23"/>
      </w:pPr>
      <w:bookmarkStart w:id="200" w:name="_Toc3751"/>
      <w:r>
        <w:t>影响投资者决策的其他重要信息</w:t>
      </w:r>
      <w:bookmarkEnd w:id="200"/>
    </w:p>
    <w:p w14:paraId="3C5716D6">
      <w:pPr>
        <w:pStyle w:val="18"/>
        <w:rPr>
          <w:rFonts w:hint="eastAsia"/>
        </w:rPr>
      </w:pPr>
      <w:r>
        <w:rPr>
          <w:rFonts w:hint="eastAsia"/>
        </w:rPr>
        <w:t>无。</w:t>
      </w:r>
    </w:p>
    <w:p w14:paraId="0329A298">
      <w:pPr>
        <w:pStyle w:val="26"/>
      </w:pPr>
      <w:bookmarkStart w:id="201" w:name="_Toc508"/>
      <w:r>
        <w:t>备查文件目录</w:t>
      </w:r>
      <w:bookmarkEnd w:id="201"/>
    </w:p>
    <w:p w14:paraId="6B757572">
      <w:pPr>
        <w:pStyle w:val="23"/>
      </w:pPr>
      <w:bookmarkStart w:id="202" w:name="_Toc6148"/>
      <w:r>
        <w:t>备查文件目录</w:t>
      </w:r>
      <w:bookmarkEnd w:id="202"/>
    </w:p>
    <w:p w14:paraId="70A1027B">
      <w:pPr>
        <w:pStyle w:val="18"/>
        <w:rPr>
          <w:rFonts w:hint="eastAsia"/>
        </w:rPr>
      </w:pPr>
      <w:r>
        <w:rPr>
          <w:rFonts w:hint="eastAsia"/>
        </w:rPr>
        <w:t>1、中国证监会批准设立南方远利3个月定期开放债券型发起式证券投资基金的文件；</w:t>
      </w:r>
    </w:p>
    <w:p w14:paraId="754D5CFE">
      <w:pPr>
        <w:pStyle w:val="18"/>
        <w:rPr>
          <w:rFonts w:hint="eastAsia"/>
        </w:rPr>
      </w:pPr>
      <w:r>
        <w:rPr>
          <w:rFonts w:hint="eastAsia"/>
        </w:rPr>
        <w:t>2、《南方远利3个月定期开放债券型发起式证券投资基金基金合同》；</w:t>
      </w:r>
    </w:p>
    <w:p w14:paraId="28F5D65E">
      <w:pPr>
        <w:pStyle w:val="18"/>
        <w:rPr>
          <w:rFonts w:hint="eastAsia"/>
        </w:rPr>
      </w:pPr>
      <w:r>
        <w:rPr>
          <w:rFonts w:hint="eastAsia"/>
        </w:rPr>
        <w:t>3、《南方远利3个月定期开放债券型发起式证券投资基金托管协议》；</w:t>
      </w:r>
    </w:p>
    <w:p w14:paraId="23C87A13">
      <w:pPr>
        <w:pStyle w:val="18"/>
        <w:rPr>
          <w:rFonts w:hint="eastAsia"/>
        </w:rPr>
      </w:pPr>
      <w:r>
        <w:rPr>
          <w:rFonts w:hint="eastAsia"/>
        </w:rPr>
        <w:t>4、基金管理人业务资格批件、营业执照；</w:t>
      </w:r>
    </w:p>
    <w:p w14:paraId="3FCB33E6">
      <w:pPr>
        <w:pStyle w:val="18"/>
        <w:rPr>
          <w:rFonts w:hint="eastAsia"/>
        </w:rPr>
      </w:pPr>
      <w:r>
        <w:rPr>
          <w:rFonts w:hint="eastAsia"/>
        </w:rPr>
        <w:t>5、报告期内在选定报刊上披露的各项公告；</w:t>
      </w:r>
    </w:p>
    <w:p w14:paraId="4F369F9D">
      <w:pPr>
        <w:pStyle w:val="18"/>
        <w:rPr>
          <w:rFonts w:hint="eastAsia"/>
        </w:rPr>
      </w:pPr>
      <w:r>
        <w:rPr>
          <w:rFonts w:hint="eastAsia"/>
        </w:rPr>
        <w:t>6、《南方远利3个月定期开放债券型发起式证券投资基金2025年年度报告》原文。</w:t>
      </w:r>
    </w:p>
    <w:p w14:paraId="215D1A28">
      <w:pPr>
        <w:pStyle w:val="23"/>
      </w:pPr>
      <w:bookmarkStart w:id="203" w:name="_Toc19716"/>
      <w:r>
        <w:t>存放地点</w:t>
      </w:r>
      <w:bookmarkEnd w:id="203"/>
    </w:p>
    <w:p w14:paraId="4F8A2BDB">
      <w:pPr>
        <w:pStyle w:val="18"/>
        <w:rPr>
          <w:rFonts w:hint="eastAsia"/>
        </w:rPr>
      </w:pPr>
      <w:r>
        <w:rPr>
          <w:rFonts w:hint="eastAsia"/>
        </w:rPr>
        <w:t>深圳市福田区莲花街道益田路5999号基金大厦32-42楼。</w:t>
      </w:r>
    </w:p>
    <w:p w14:paraId="0580E79A">
      <w:pPr>
        <w:pStyle w:val="23"/>
      </w:pPr>
      <w:bookmarkStart w:id="204" w:name="_Toc13099"/>
      <w:r>
        <w:t>查阅方式</w:t>
      </w:r>
      <w:bookmarkEnd w:id="204"/>
    </w:p>
    <w:p w14:paraId="43B4442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1DB98">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794B6">
    <w:pPr>
      <w:pStyle w:val="7"/>
      <w:pBdr>
        <w:bottom w:val="single" w:color="auto" w:sz="4" w:space="1"/>
      </w:pBdr>
      <w:jc w:val="right"/>
    </w:pPr>
    <w:r>
      <w:t>南方远利3个月定期开放债券型发起式证券投资基金2025年年度报告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F51E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39A7B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ABDA67C104B6400B8ECDE9D2E5A72359_12</vt:lpwstr>
  </property>
</Properties>
</file>