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691E2">
      <w:pPr>
        <w:pStyle w:val="25"/>
        <w:ind w:firstLine="420"/>
      </w:pPr>
      <w:bookmarkStart w:id="207" w:name="_GoBack"/>
      <w:bookmarkEnd w:id="207"/>
    </w:p>
    <w:p w14:paraId="1A556105">
      <w:pPr>
        <w:jc w:val="center"/>
        <w:rPr>
          <w:rFonts w:ascii="宋体" w:hAnsi="宋体"/>
          <w:b/>
          <w:bCs/>
          <w:sz w:val="28"/>
          <w:szCs w:val="30"/>
        </w:rPr>
      </w:pPr>
    </w:p>
    <w:p w14:paraId="24F28015">
      <w:pPr>
        <w:jc w:val="center"/>
        <w:rPr>
          <w:rFonts w:ascii="宋体" w:hAnsi="宋体"/>
          <w:b/>
          <w:bCs/>
          <w:sz w:val="48"/>
          <w:szCs w:val="30"/>
        </w:rPr>
      </w:pPr>
      <w:r>
        <w:rPr>
          <w:rFonts w:ascii="宋体" w:hAnsi="宋体"/>
          <w:b/>
          <w:bCs/>
          <w:sz w:val="48"/>
          <w:szCs w:val="30"/>
        </w:rPr>
        <w:t>南方恒庆一年定期开放债券型证券投资基金2025年年度报告</w:t>
      </w:r>
    </w:p>
    <w:p w14:paraId="5B17F479">
      <w:pPr>
        <w:jc w:val="center"/>
        <w:rPr>
          <w:rFonts w:ascii="宋体" w:hAnsi="宋体"/>
          <w:b/>
          <w:bCs/>
          <w:sz w:val="48"/>
          <w:szCs w:val="30"/>
        </w:rPr>
      </w:pPr>
      <w:bookmarkStart w:id="0" w:name="OLE_LINK2"/>
      <w:bookmarkStart w:id="1" w:name="OLE_LINK1"/>
    </w:p>
    <w:p w14:paraId="40450F32">
      <w:pPr>
        <w:jc w:val="center"/>
        <w:rPr>
          <w:rFonts w:ascii="宋体" w:hAnsi="宋体"/>
          <w:b/>
          <w:bCs/>
          <w:sz w:val="28"/>
          <w:szCs w:val="30"/>
        </w:rPr>
      </w:pPr>
    </w:p>
    <w:bookmarkEnd w:id="0"/>
    <w:bookmarkEnd w:id="1"/>
    <w:p w14:paraId="757CB481">
      <w:pPr>
        <w:jc w:val="center"/>
        <w:rPr>
          <w:rFonts w:ascii="宋体" w:hAnsi="宋体"/>
          <w:b/>
          <w:bCs/>
          <w:sz w:val="28"/>
          <w:szCs w:val="30"/>
        </w:rPr>
      </w:pPr>
      <w:r>
        <w:rPr>
          <w:rFonts w:ascii="宋体" w:hAnsi="宋体"/>
          <w:b/>
          <w:bCs/>
          <w:sz w:val="28"/>
          <w:szCs w:val="30"/>
        </w:rPr>
        <w:t>2025年12月31日</w:t>
      </w:r>
    </w:p>
    <w:p w14:paraId="4A215436">
      <w:pPr>
        <w:jc w:val="center"/>
        <w:rPr>
          <w:rFonts w:ascii="宋体" w:hAnsi="宋体"/>
          <w:sz w:val="28"/>
          <w:szCs w:val="30"/>
        </w:rPr>
      </w:pPr>
    </w:p>
    <w:p w14:paraId="672AD825">
      <w:pPr>
        <w:jc w:val="center"/>
        <w:rPr>
          <w:rFonts w:ascii="宋体" w:hAnsi="宋体"/>
          <w:sz w:val="28"/>
          <w:szCs w:val="30"/>
        </w:rPr>
      </w:pPr>
    </w:p>
    <w:p w14:paraId="37564D3B">
      <w:pPr>
        <w:jc w:val="center"/>
        <w:rPr>
          <w:rFonts w:ascii="宋体" w:hAnsi="宋体"/>
          <w:sz w:val="28"/>
          <w:szCs w:val="30"/>
        </w:rPr>
      </w:pPr>
    </w:p>
    <w:p w14:paraId="469A7CC8">
      <w:pPr>
        <w:jc w:val="center"/>
        <w:rPr>
          <w:rFonts w:ascii="宋体" w:hAnsi="宋体"/>
          <w:sz w:val="28"/>
          <w:szCs w:val="30"/>
        </w:rPr>
      </w:pPr>
    </w:p>
    <w:p w14:paraId="5A87D41C">
      <w:pPr>
        <w:jc w:val="center"/>
        <w:rPr>
          <w:rFonts w:ascii="宋体" w:hAnsi="宋体"/>
          <w:sz w:val="28"/>
          <w:szCs w:val="30"/>
        </w:rPr>
      </w:pPr>
    </w:p>
    <w:p w14:paraId="20581580">
      <w:pPr>
        <w:jc w:val="center"/>
        <w:rPr>
          <w:rFonts w:ascii="宋体" w:hAnsi="宋体"/>
          <w:sz w:val="28"/>
          <w:szCs w:val="30"/>
        </w:rPr>
      </w:pPr>
    </w:p>
    <w:p w14:paraId="11B5E5DF">
      <w:pPr>
        <w:jc w:val="center"/>
        <w:rPr>
          <w:rFonts w:ascii="宋体" w:hAnsi="宋体"/>
          <w:sz w:val="28"/>
          <w:szCs w:val="30"/>
        </w:rPr>
      </w:pPr>
    </w:p>
    <w:p w14:paraId="7A609535">
      <w:pPr>
        <w:jc w:val="center"/>
        <w:rPr>
          <w:rFonts w:ascii="宋体" w:hAnsi="宋体"/>
          <w:sz w:val="28"/>
          <w:szCs w:val="30"/>
        </w:rPr>
      </w:pPr>
    </w:p>
    <w:p w14:paraId="050B6215">
      <w:pPr>
        <w:jc w:val="center"/>
        <w:rPr>
          <w:rFonts w:ascii="宋体" w:hAnsi="宋体"/>
          <w:sz w:val="28"/>
          <w:szCs w:val="30"/>
        </w:rPr>
      </w:pPr>
    </w:p>
    <w:p w14:paraId="7F96A12D">
      <w:pPr>
        <w:jc w:val="center"/>
        <w:rPr>
          <w:rFonts w:ascii="宋体" w:hAnsi="宋体"/>
          <w:sz w:val="28"/>
          <w:szCs w:val="30"/>
        </w:rPr>
      </w:pPr>
    </w:p>
    <w:p w14:paraId="205E18B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02189F6">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3C81AE79">
      <w:pPr>
        <w:ind w:firstLine="1687" w:firstLineChars="600"/>
        <w:rPr>
          <w:rFonts w:ascii="宋体" w:hAnsi="宋体"/>
          <w:b/>
          <w:bCs/>
          <w:sz w:val="28"/>
          <w:szCs w:val="30"/>
        </w:rPr>
      </w:pPr>
      <w:r>
        <w:rPr>
          <w:rFonts w:hint="eastAsia" w:ascii="宋体" w:hAnsi="宋体"/>
          <w:b/>
          <w:bCs/>
          <w:sz w:val="28"/>
          <w:szCs w:val="30"/>
        </w:rPr>
        <w:t>送出日期：2026年3月31日</w:t>
      </w:r>
    </w:p>
    <w:p w14:paraId="0878EEEC">
      <w:pPr>
        <w:ind w:firstLine="1687" w:firstLineChars="600"/>
        <w:rPr>
          <w:rFonts w:ascii="宋体" w:hAnsi="宋体"/>
          <w:b/>
          <w:bCs/>
          <w:sz w:val="28"/>
          <w:szCs w:val="30"/>
        </w:rPr>
      </w:pPr>
    </w:p>
    <w:p w14:paraId="02DCE014">
      <w:pPr>
        <w:snapToGrid w:val="0"/>
        <w:spacing w:line="360" w:lineRule="auto"/>
        <w:jc w:val="left"/>
      </w:pPr>
      <w:r>
        <w:br w:type="page"/>
      </w:r>
    </w:p>
    <w:p w14:paraId="3B097CA8"/>
    <w:p w14:paraId="2CD121D2">
      <w:pPr>
        <w:pStyle w:val="33"/>
      </w:pPr>
      <w:bookmarkStart w:id="2" w:name="_Toc23109"/>
      <w:r>
        <w:t>重要提示及目录</w:t>
      </w:r>
      <w:bookmarkEnd w:id="2"/>
    </w:p>
    <w:p w14:paraId="01E636FC">
      <w:pPr>
        <w:pStyle w:val="30"/>
      </w:pPr>
      <w:bookmarkStart w:id="3" w:name="_Toc17886"/>
      <w:r>
        <w:t>重要提示</w:t>
      </w:r>
      <w:bookmarkEnd w:id="3"/>
    </w:p>
    <w:p w14:paraId="722DBB53">
      <w:pPr>
        <w:pStyle w:val="25"/>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D56DA8D">
      <w:pPr>
        <w:pStyle w:val="25"/>
        <w:rPr>
          <w:rFonts w:hint="eastAsia"/>
        </w:rPr>
      </w:pPr>
      <w:r>
        <w:rPr>
          <w:rFonts w:hint="eastAsia"/>
        </w:rPr>
        <w:t>本年度报告已经三分之二以上独立董事签字同意，并由董事长签发。</w:t>
      </w:r>
    </w:p>
    <w:p w14:paraId="0B58E1D8">
      <w:pPr>
        <w:pStyle w:val="25"/>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1EF9A50E">
      <w:pPr>
        <w:pStyle w:val="25"/>
        <w:rPr>
          <w:rFonts w:hint="eastAsia"/>
        </w:rPr>
      </w:pPr>
      <w:r>
        <w:rPr>
          <w:rFonts w:hint="eastAsia"/>
        </w:rPr>
        <w:t>基金管理人承诺以诚实信用、勤勉尽责的原则管理和运用基金资产，但不保证基金一定盈利。</w:t>
      </w:r>
    </w:p>
    <w:p w14:paraId="2BA8F8B8">
      <w:pPr>
        <w:pStyle w:val="25"/>
        <w:rPr>
          <w:rFonts w:hint="eastAsia"/>
        </w:rPr>
      </w:pPr>
      <w:r>
        <w:rPr>
          <w:rFonts w:hint="eastAsia"/>
        </w:rPr>
        <w:t>基金的过往业绩并不代表其未来表现。投资有风险，投资者在作出投资决策前应仔细阅读本基金的招募说明书及其更新。</w:t>
      </w:r>
    </w:p>
    <w:p w14:paraId="46A52043">
      <w:pPr>
        <w:pStyle w:val="25"/>
        <w:rPr>
          <w:rFonts w:hint="eastAsia"/>
        </w:rPr>
      </w:pPr>
      <w:r>
        <w:rPr>
          <w:rFonts w:hint="eastAsia"/>
        </w:rPr>
        <w:t>本报告期自2025年1月1日起至12月31日止。</w:t>
      </w:r>
    </w:p>
    <w:p w14:paraId="594D23AF">
      <w:pPr>
        <w:pStyle w:val="30"/>
        <w:pageBreakBefore/>
      </w:pPr>
      <w:bookmarkStart w:id="4" w:name="_Toc1097"/>
      <w:r>
        <w:t>目录</w:t>
      </w:r>
      <w:bookmarkEnd w:id="4"/>
    </w:p>
    <w:sdt>
      <w:sdtPr>
        <w:rPr>
          <w:rFonts w:ascii="宋体" w:hAnsi="宋体" w:eastAsia="宋体"/>
          <w:color w:val="DBDBDB"/>
          <w:sz w:val="21"/>
          <w:szCs w:val="24"/>
          <w:lang w:val="en-US" w:eastAsia="zh-CN" w:bidi="ar-SA"/>
        </w:rPr>
        <w:id w:val="36835"/>
        <w:docPartObj>
          <w:docPartGallery w:val="Table of Contents"/>
          <w:docPartUnique/>
        </w:docPartObj>
      </w:sdtPr>
      <w:sdtEndPr>
        <w:rPr>
          <w:rFonts w:ascii="宋体" w:hAnsi="宋体" w:eastAsia="宋体"/>
          <w:b/>
          <w:color w:val="DBDBDB"/>
          <w:sz w:val="21"/>
          <w:szCs w:val="24"/>
          <w:lang w:val="en-US" w:eastAsia="zh-CN" w:bidi="ar-SA"/>
        </w:rPr>
      </w:sdtEndPr>
      <w:sdtContent>
        <w:p w14:paraId="003FFF45">
          <w:pPr>
            <w:pStyle w:val="105"/>
            <w:spacing w:before="0" w:beforeLines="0" w:after="0" w:afterLines="0" w:line="240" w:lineRule="auto"/>
            <w:ind w:left="0" w:leftChars="0" w:right="0" w:rightChars="0" w:firstLine="0" w:firstLineChars="0"/>
            <w:jc w:val="center"/>
            <w:rPr>
              <w:b/>
            </w:rPr>
          </w:pPr>
          <w:r>
            <w:rPr>
              <w:b/>
              <w:lang w:val="zh-CN"/>
            </w:rPr>
            <w:t>目录</w:t>
          </w:r>
        </w:p>
        <w:p w14:paraId="010EE238">
          <w:pPr>
            <w:pStyle w:val="15"/>
            <w:tabs>
              <w:tab w:val="right" w:leader="dot" w:pos="8306"/>
            </w:tabs>
          </w:pPr>
          <w:r>
            <w:fldChar w:fldCharType="begin"/>
          </w:r>
          <w:r>
            <w:instrText xml:space="preserve">TOC \o "1-2" \h \z \u </w:instrText>
          </w:r>
          <w:r>
            <w:fldChar w:fldCharType="separate"/>
          </w:r>
          <w:r>
            <w:fldChar w:fldCharType="begin"/>
          </w:r>
          <w:r>
            <w:instrText xml:space="preserve"> HYPERLINK \l _Toc23109 </w:instrText>
          </w:r>
          <w:r>
            <w:fldChar w:fldCharType="separate"/>
          </w:r>
          <w:r>
            <w:rPr>
              <w:rFonts w:hint="eastAsia"/>
            </w:rPr>
            <w:t xml:space="preserve">§1 </w:t>
          </w:r>
          <w:r>
            <w:t>重要提示及目录</w:t>
          </w:r>
          <w:r>
            <w:tab/>
          </w:r>
          <w:r>
            <w:fldChar w:fldCharType="begin"/>
          </w:r>
          <w:r>
            <w:instrText xml:space="preserve"> PAGEREF _Toc23109 \h </w:instrText>
          </w:r>
          <w:r>
            <w:fldChar w:fldCharType="separate"/>
          </w:r>
          <w:r>
            <w:t>1</w:t>
          </w:r>
          <w:r>
            <w:fldChar w:fldCharType="end"/>
          </w:r>
          <w:r>
            <w:fldChar w:fldCharType="end"/>
          </w:r>
        </w:p>
        <w:p w14:paraId="2F476ACA">
          <w:pPr>
            <w:pStyle w:val="17"/>
            <w:tabs>
              <w:tab w:val="right" w:leader="dot" w:pos="8306"/>
            </w:tabs>
          </w:pPr>
          <w:r>
            <w:fldChar w:fldCharType="begin"/>
          </w:r>
          <w:r>
            <w:instrText xml:space="preserve"> HYPERLINK \l _Toc17886 </w:instrText>
          </w:r>
          <w:r>
            <w:fldChar w:fldCharType="separate"/>
          </w:r>
          <w:r>
            <w:rPr>
              <w:rFonts w:hint="eastAsia"/>
            </w:rPr>
            <w:t xml:space="preserve">1.1 </w:t>
          </w:r>
          <w:r>
            <w:t>重要提示</w:t>
          </w:r>
          <w:r>
            <w:tab/>
          </w:r>
          <w:r>
            <w:fldChar w:fldCharType="begin"/>
          </w:r>
          <w:r>
            <w:instrText xml:space="preserve"> PAGEREF _Toc17886 \h </w:instrText>
          </w:r>
          <w:r>
            <w:fldChar w:fldCharType="separate"/>
          </w:r>
          <w:r>
            <w:t>1</w:t>
          </w:r>
          <w:r>
            <w:fldChar w:fldCharType="end"/>
          </w:r>
          <w:r>
            <w:fldChar w:fldCharType="end"/>
          </w:r>
        </w:p>
        <w:p w14:paraId="7964F5D9">
          <w:pPr>
            <w:pStyle w:val="17"/>
            <w:tabs>
              <w:tab w:val="right" w:leader="dot" w:pos="8306"/>
            </w:tabs>
          </w:pPr>
          <w:r>
            <w:fldChar w:fldCharType="begin"/>
          </w:r>
          <w:r>
            <w:instrText xml:space="preserve"> HYPERLINK \l _Toc1097 </w:instrText>
          </w:r>
          <w:r>
            <w:fldChar w:fldCharType="separate"/>
          </w:r>
          <w:r>
            <w:rPr>
              <w:rFonts w:hint="eastAsia"/>
            </w:rPr>
            <w:t xml:space="preserve">1.2 </w:t>
          </w:r>
          <w:r>
            <w:t>目录</w:t>
          </w:r>
          <w:r>
            <w:tab/>
          </w:r>
          <w:r>
            <w:fldChar w:fldCharType="begin"/>
          </w:r>
          <w:r>
            <w:instrText xml:space="preserve"> PAGEREF _Toc1097 \h </w:instrText>
          </w:r>
          <w:r>
            <w:fldChar w:fldCharType="separate"/>
          </w:r>
          <w:r>
            <w:t>2</w:t>
          </w:r>
          <w:r>
            <w:fldChar w:fldCharType="end"/>
          </w:r>
          <w:r>
            <w:fldChar w:fldCharType="end"/>
          </w:r>
        </w:p>
        <w:p w14:paraId="5641CB35">
          <w:pPr>
            <w:pStyle w:val="15"/>
            <w:tabs>
              <w:tab w:val="right" w:leader="dot" w:pos="8306"/>
            </w:tabs>
          </w:pPr>
          <w:r>
            <w:fldChar w:fldCharType="begin"/>
          </w:r>
          <w:r>
            <w:instrText xml:space="preserve"> HYPERLINK \l _Toc23575 </w:instrText>
          </w:r>
          <w:r>
            <w:fldChar w:fldCharType="separate"/>
          </w:r>
          <w:r>
            <w:rPr>
              <w:rFonts w:hint="eastAsia"/>
            </w:rPr>
            <w:t xml:space="preserve">§2 </w:t>
          </w:r>
          <w:r>
            <w:t>基金简介</w:t>
          </w:r>
          <w:r>
            <w:tab/>
          </w:r>
          <w:r>
            <w:fldChar w:fldCharType="begin"/>
          </w:r>
          <w:r>
            <w:instrText xml:space="preserve"> PAGEREF _Toc23575 \h </w:instrText>
          </w:r>
          <w:r>
            <w:fldChar w:fldCharType="separate"/>
          </w:r>
          <w:r>
            <w:t>4</w:t>
          </w:r>
          <w:r>
            <w:fldChar w:fldCharType="end"/>
          </w:r>
          <w:r>
            <w:fldChar w:fldCharType="end"/>
          </w:r>
        </w:p>
        <w:p w14:paraId="308F3E4C">
          <w:pPr>
            <w:pStyle w:val="17"/>
            <w:tabs>
              <w:tab w:val="right" w:leader="dot" w:pos="8306"/>
            </w:tabs>
          </w:pPr>
          <w:r>
            <w:fldChar w:fldCharType="begin"/>
          </w:r>
          <w:r>
            <w:instrText xml:space="preserve"> HYPERLINK \l _Toc6001 </w:instrText>
          </w:r>
          <w:r>
            <w:fldChar w:fldCharType="separate"/>
          </w:r>
          <w:r>
            <w:rPr>
              <w:rFonts w:hint="eastAsia"/>
            </w:rPr>
            <w:t xml:space="preserve">2.1 </w:t>
          </w:r>
          <w:r>
            <w:t>基金基本情况</w:t>
          </w:r>
          <w:r>
            <w:tab/>
          </w:r>
          <w:r>
            <w:fldChar w:fldCharType="begin"/>
          </w:r>
          <w:r>
            <w:instrText xml:space="preserve"> PAGEREF _Toc6001 \h </w:instrText>
          </w:r>
          <w:r>
            <w:fldChar w:fldCharType="separate"/>
          </w:r>
          <w:r>
            <w:t>4</w:t>
          </w:r>
          <w:r>
            <w:fldChar w:fldCharType="end"/>
          </w:r>
          <w:r>
            <w:fldChar w:fldCharType="end"/>
          </w:r>
        </w:p>
        <w:p w14:paraId="11D6E4CD">
          <w:pPr>
            <w:pStyle w:val="17"/>
            <w:tabs>
              <w:tab w:val="right" w:leader="dot" w:pos="8306"/>
            </w:tabs>
          </w:pPr>
          <w:r>
            <w:fldChar w:fldCharType="begin"/>
          </w:r>
          <w:r>
            <w:instrText xml:space="preserve"> HYPERLINK \l _Toc26947 </w:instrText>
          </w:r>
          <w:r>
            <w:fldChar w:fldCharType="separate"/>
          </w:r>
          <w:r>
            <w:rPr>
              <w:rFonts w:hint="eastAsia"/>
            </w:rPr>
            <w:t xml:space="preserve">2.2 </w:t>
          </w:r>
          <w:r>
            <w:t>基金产品说明</w:t>
          </w:r>
          <w:r>
            <w:tab/>
          </w:r>
          <w:r>
            <w:fldChar w:fldCharType="begin"/>
          </w:r>
          <w:r>
            <w:instrText xml:space="preserve"> PAGEREF _Toc26947 \h </w:instrText>
          </w:r>
          <w:r>
            <w:fldChar w:fldCharType="separate"/>
          </w:r>
          <w:r>
            <w:t>4</w:t>
          </w:r>
          <w:r>
            <w:fldChar w:fldCharType="end"/>
          </w:r>
          <w:r>
            <w:fldChar w:fldCharType="end"/>
          </w:r>
        </w:p>
        <w:p w14:paraId="0B9D9407">
          <w:pPr>
            <w:pStyle w:val="17"/>
            <w:tabs>
              <w:tab w:val="right" w:leader="dot" w:pos="8306"/>
            </w:tabs>
          </w:pPr>
          <w:r>
            <w:fldChar w:fldCharType="begin"/>
          </w:r>
          <w:r>
            <w:instrText xml:space="preserve"> HYPERLINK \l _Toc17308 </w:instrText>
          </w:r>
          <w:r>
            <w:fldChar w:fldCharType="separate"/>
          </w:r>
          <w:r>
            <w:rPr>
              <w:rFonts w:hint="eastAsia"/>
            </w:rPr>
            <w:t xml:space="preserve">2.3 </w:t>
          </w:r>
          <w:r>
            <w:t>基金管理人和基金托管人</w:t>
          </w:r>
          <w:r>
            <w:tab/>
          </w:r>
          <w:r>
            <w:fldChar w:fldCharType="begin"/>
          </w:r>
          <w:r>
            <w:instrText xml:space="preserve"> PAGEREF _Toc17308 \h </w:instrText>
          </w:r>
          <w:r>
            <w:fldChar w:fldCharType="separate"/>
          </w:r>
          <w:r>
            <w:t>5</w:t>
          </w:r>
          <w:r>
            <w:fldChar w:fldCharType="end"/>
          </w:r>
          <w:r>
            <w:fldChar w:fldCharType="end"/>
          </w:r>
        </w:p>
        <w:p w14:paraId="78B3910F">
          <w:pPr>
            <w:pStyle w:val="17"/>
            <w:tabs>
              <w:tab w:val="right" w:leader="dot" w:pos="8306"/>
            </w:tabs>
          </w:pPr>
          <w:r>
            <w:fldChar w:fldCharType="begin"/>
          </w:r>
          <w:r>
            <w:instrText xml:space="preserve"> HYPERLINK \l _Toc29396 </w:instrText>
          </w:r>
          <w:r>
            <w:fldChar w:fldCharType="separate"/>
          </w:r>
          <w:r>
            <w:rPr>
              <w:rFonts w:hint="eastAsia"/>
            </w:rPr>
            <w:t xml:space="preserve">2.4 </w:t>
          </w:r>
          <w:r>
            <w:t>信息披露方式</w:t>
          </w:r>
          <w:r>
            <w:tab/>
          </w:r>
          <w:r>
            <w:fldChar w:fldCharType="begin"/>
          </w:r>
          <w:r>
            <w:instrText xml:space="preserve"> PAGEREF _Toc29396 \h </w:instrText>
          </w:r>
          <w:r>
            <w:fldChar w:fldCharType="separate"/>
          </w:r>
          <w:r>
            <w:t>5</w:t>
          </w:r>
          <w:r>
            <w:fldChar w:fldCharType="end"/>
          </w:r>
          <w:r>
            <w:fldChar w:fldCharType="end"/>
          </w:r>
        </w:p>
        <w:p w14:paraId="7EE2738E">
          <w:pPr>
            <w:pStyle w:val="17"/>
            <w:tabs>
              <w:tab w:val="right" w:leader="dot" w:pos="8306"/>
            </w:tabs>
          </w:pPr>
          <w:r>
            <w:fldChar w:fldCharType="begin"/>
          </w:r>
          <w:r>
            <w:instrText xml:space="preserve"> HYPERLINK \l _Toc24920 </w:instrText>
          </w:r>
          <w:r>
            <w:fldChar w:fldCharType="separate"/>
          </w:r>
          <w:r>
            <w:rPr>
              <w:rFonts w:hint="eastAsia"/>
            </w:rPr>
            <w:t xml:space="preserve">2.5 </w:t>
          </w:r>
          <w:r>
            <w:t>其他相关资料</w:t>
          </w:r>
          <w:r>
            <w:tab/>
          </w:r>
          <w:r>
            <w:fldChar w:fldCharType="begin"/>
          </w:r>
          <w:r>
            <w:instrText xml:space="preserve"> PAGEREF _Toc24920 \h </w:instrText>
          </w:r>
          <w:r>
            <w:fldChar w:fldCharType="separate"/>
          </w:r>
          <w:r>
            <w:t>5</w:t>
          </w:r>
          <w:r>
            <w:fldChar w:fldCharType="end"/>
          </w:r>
          <w:r>
            <w:fldChar w:fldCharType="end"/>
          </w:r>
        </w:p>
        <w:p w14:paraId="43DF840C">
          <w:pPr>
            <w:pStyle w:val="15"/>
            <w:tabs>
              <w:tab w:val="right" w:leader="dot" w:pos="8306"/>
            </w:tabs>
          </w:pPr>
          <w:r>
            <w:fldChar w:fldCharType="begin"/>
          </w:r>
          <w:r>
            <w:instrText xml:space="preserve"> HYPERLINK \l _Toc15476 </w:instrText>
          </w:r>
          <w:r>
            <w:fldChar w:fldCharType="separate"/>
          </w:r>
          <w:r>
            <w:rPr>
              <w:rFonts w:hint="eastAsia"/>
            </w:rPr>
            <w:t xml:space="preserve">§3 </w:t>
          </w:r>
          <w:r>
            <w:t>主要财务指标、基金净值表现及利润分配情况</w:t>
          </w:r>
          <w:r>
            <w:tab/>
          </w:r>
          <w:r>
            <w:fldChar w:fldCharType="begin"/>
          </w:r>
          <w:r>
            <w:instrText xml:space="preserve"> PAGEREF _Toc15476 \h </w:instrText>
          </w:r>
          <w:r>
            <w:fldChar w:fldCharType="separate"/>
          </w:r>
          <w:r>
            <w:t>7</w:t>
          </w:r>
          <w:r>
            <w:fldChar w:fldCharType="end"/>
          </w:r>
          <w:r>
            <w:fldChar w:fldCharType="end"/>
          </w:r>
        </w:p>
        <w:p w14:paraId="53D2AD9B">
          <w:pPr>
            <w:pStyle w:val="17"/>
            <w:tabs>
              <w:tab w:val="right" w:leader="dot" w:pos="8306"/>
            </w:tabs>
          </w:pPr>
          <w:r>
            <w:fldChar w:fldCharType="begin"/>
          </w:r>
          <w:r>
            <w:instrText xml:space="preserve"> HYPERLINK \l _Toc9623 </w:instrText>
          </w:r>
          <w:r>
            <w:fldChar w:fldCharType="separate"/>
          </w:r>
          <w:r>
            <w:rPr>
              <w:rFonts w:hint="eastAsia"/>
            </w:rPr>
            <w:t xml:space="preserve">3.1 </w:t>
          </w:r>
          <w:r>
            <w:t>主要会计数据和财务指标</w:t>
          </w:r>
          <w:r>
            <w:tab/>
          </w:r>
          <w:r>
            <w:fldChar w:fldCharType="begin"/>
          </w:r>
          <w:r>
            <w:instrText xml:space="preserve"> PAGEREF _Toc9623 \h </w:instrText>
          </w:r>
          <w:r>
            <w:fldChar w:fldCharType="separate"/>
          </w:r>
          <w:r>
            <w:t>7</w:t>
          </w:r>
          <w:r>
            <w:fldChar w:fldCharType="end"/>
          </w:r>
          <w:r>
            <w:fldChar w:fldCharType="end"/>
          </w:r>
        </w:p>
        <w:p w14:paraId="2FB92219">
          <w:pPr>
            <w:pStyle w:val="17"/>
            <w:tabs>
              <w:tab w:val="right" w:leader="dot" w:pos="8306"/>
            </w:tabs>
          </w:pPr>
          <w:r>
            <w:fldChar w:fldCharType="begin"/>
          </w:r>
          <w:r>
            <w:instrText xml:space="preserve"> HYPERLINK \l _Toc28541 </w:instrText>
          </w:r>
          <w:r>
            <w:fldChar w:fldCharType="separate"/>
          </w:r>
          <w:r>
            <w:rPr>
              <w:rFonts w:hint="eastAsia"/>
            </w:rPr>
            <w:t xml:space="preserve">3.2 </w:t>
          </w:r>
          <w:r>
            <w:t>基金净值表现</w:t>
          </w:r>
          <w:r>
            <w:tab/>
          </w:r>
          <w:r>
            <w:fldChar w:fldCharType="begin"/>
          </w:r>
          <w:r>
            <w:instrText xml:space="preserve"> PAGEREF _Toc28541 \h </w:instrText>
          </w:r>
          <w:r>
            <w:fldChar w:fldCharType="separate"/>
          </w:r>
          <w:r>
            <w:t>7</w:t>
          </w:r>
          <w:r>
            <w:fldChar w:fldCharType="end"/>
          </w:r>
          <w:r>
            <w:fldChar w:fldCharType="end"/>
          </w:r>
        </w:p>
        <w:p w14:paraId="64277361">
          <w:pPr>
            <w:pStyle w:val="17"/>
            <w:tabs>
              <w:tab w:val="right" w:leader="dot" w:pos="8306"/>
            </w:tabs>
          </w:pPr>
          <w:r>
            <w:fldChar w:fldCharType="begin"/>
          </w:r>
          <w:r>
            <w:instrText xml:space="preserve"> HYPERLINK \l _Toc25548 </w:instrText>
          </w:r>
          <w:r>
            <w:fldChar w:fldCharType="separate"/>
          </w:r>
          <w:r>
            <w:rPr>
              <w:rFonts w:hint="eastAsia"/>
            </w:rPr>
            <w:t xml:space="preserve">3.3 </w:t>
          </w:r>
          <w:r>
            <w:t>过去三年基金的利润分配情况</w:t>
          </w:r>
          <w:r>
            <w:tab/>
          </w:r>
          <w:r>
            <w:fldChar w:fldCharType="begin"/>
          </w:r>
          <w:r>
            <w:instrText xml:space="preserve"> PAGEREF _Toc25548 \h </w:instrText>
          </w:r>
          <w:r>
            <w:fldChar w:fldCharType="separate"/>
          </w:r>
          <w:r>
            <w:t>9</w:t>
          </w:r>
          <w:r>
            <w:fldChar w:fldCharType="end"/>
          </w:r>
          <w:r>
            <w:fldChar w:fldCharType="end"/>
          </w:r>
        </w:p>
        <w:p w14:paraId="78C77B23">
          <w:pPr>
            <w:pStyle w:val="15"/>
            <w:tabs>
              <w:tab w:val="right" w:leader="dot" w:pos="8306"/>
            </w:tabs>
          </w:pPr>
          <w:r>
            <w:fldChar w:fldCharType="begin"/>
          </w:r>
          <w:r>
            <w:instrText xml:space="preserve"> HYPERLINK \l _Toc11021 </w:instrText>
          </w:r>
          <w:r>
            <w:fldChar w:fldCharType="separate"/>
          </w:r>
          <w:r>
            <w:rPr>
              <w:rFonts w:hint="eastAsia"/>
            </w:rPr>
            <w:t xml:space="preserve">§4 </w:t>
          </w:r>
          <w:r>
            <w:t>管理人报告</w:t>
          </w:r>
          <w:r>
            <w:tab/>
          </w:r>
          <w:r>
            <w:fldChar w:fldCharType="begin"/>
          </w:r>
          <w:r>
            <w:instrText xml:space="preserve"> PAGEREF _Toc11021 \h </w:instrText>
          </w:r>
          <w:r>
            <w:fldChar w:fldCharType="separate"/>
          </w:r>
          <w:r>
            <w:t>9</w:t>
          </w:r>
          <w:r>
            <w:fldChar w:fldCharType="end"/>
          </w:r>
          <w:r>
            <w:fldChar w:fldCharType="end"/>
          </w:r>
        </w:p>
        <w:p w14:paraId="02AD96B6">
          <w:pPr>
            <w:pStyle w:val="17"/>
            <w:tabs>
              <w:tab w:val="right" w:leader="dot" w:pos="8306"/>
            </w:tabs>
          </w:pPr>
          <w:r>
            <w:fldChar w:fldCharType="begin"/>
          </w:r>
          <w:r>
            <w:instrText xml:space="preserve"> HYPERLINK \l _Toc23087 </w:instrText>
          </w:r>
          <w:r>
            <w:fldChar w:fldCharType="separate"/>
          </w:r>
          <w:r>
            <w:rPr>
              <w:rFonts w:hint="eastAsia"/>
            </w:rPr>
            <w:t xml:space="preserve">4.1 </w:t>
          </w:r>
          <w:r>
            <w:t>基金管理人及基金经理情况</w:t>
          </w:r>
          <w:r>
            <w:tab/>
          </w:r>
          <w:r>
            <w:fldChar w:fldCharType="begin"/>
          </w:r>
          <w:r>
            <w:instrText xml:space="preserve"> PAGEREF _Toc23087 \h </w:instrText>
          </w:r>
          <w:r>
            <w:fldChar w:fldCharType="separate"/>
          </w:r>
          <w:r>
            <w:t>9</w:t>
          </w:r>
          <w:r>
            <w:fldChar w:fldCharType="end"/>
          </w:r>
          <w:r>
            <w:fldChar w:fldCharType="end"/>
          </w:r>
        </w:p>
        <w:p w14:paraId="20957433">
          <w:pPr>
            <w:pStyle w:val="17"/>
            <w:tabs>
              <w:tab w:val="right" w:leader="dot" w:pos="8306"/>
            </w:tabs>
          </w:pPr>
          <w:r>
            <w:fldChar w:fldCharType="begin"/>
          </w:r>
          <w:r>
            <w:instrText xml:space="preserve"> HYPERLINK \l _Toc10693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_Toc10693 \h </w:instrText>
          </w:r>
          <w:r>
            <w:fldChar w:fldCharType="separate"/>
          </w:r>
          <w:r>
            <w:t>11</w:t>
          </w:r>
          <w:r>
            <w:fldChar w:fldCharType="end"/>
          </w:r>
          <w:r>
            <w:fldChar w:fldCharType="end"/>
          </w:r>
        </w:p>
        <w:p w14:paraId="5A0AE403">
          <w:pPr>
            <w:pStyle w:val="17"/>
            <w:tabs>
              <w:tab w:val="right" w:leader="dot" w:pos="8306"/>
            </w:tabs>
          </w:pPr>
          <w:r>
            <w:fldChar w:fldCharType="begin"/>
          </w:r>
          <w:r>
            <w:instrText xml:space="preserve"> HYPERLINK \l _Toc8452 </w:instrText>
          </w:r>
          <w:r>
            <w:fldChar w:fldCharType="separate"/>
          </w:r>
          <w:r>
            <w:rPr>
              <w:rFonts w:hint="eastAsia"/>
            </w:rPr>
            <w:t xml:space="preserve">4.3 </w:t>
          </w:r>
          <w:r>
            <w:t>管理人对报告期内公平交易情况的专项说明</w:t>
          </w:r>
          <w:r>
            <w:tab/>
          </w:r>
          <w:r>
            <w:fldChar w:fldCharType="begin"/>
          </w:r>
          <w:r>
            <w:instrText xml:space="preserve"> PAGEREF _Toc8452 \h </w:instrText>
          </w:r>
          <w:r>
            <w:fldChar w:fldCharType="separate"/>
          </w:r>
          <w:r>
            <w:t>11</w:t>
          </w:r>
          <w:r>
            <w:fldChar w:fldCharType="end"/>
          </w:r>
          <w:r>
            <w:fldChar w:fldCharType="end"/>
          </w:r>
        </w:p>
        <w:p w14:paraId="1114DEB1">
          <w:pPr>
            <w:pStyle w:val="17"/>
            <w:tabs>
              <w:tab w:val="right" w:leader="dot" w:pos="8306"/>
            </w:tabs>
          </w:pPr>
          <w:r>
            <w:fldChar w:fldCharType="begin"/>
          </w:r>
          <w:r>
            <w:instrText xml:space="preserve"> HYPERLINK \l _Toc21107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_Toc21107 \h </w:instrText>
          </w:r>
          <w:r>
            <w:fldChar w:fldCharType="separate"/>
          </w:r>
          <w:r>
            <w:t>12</w:t>
          </w:r>
          <w:r>
            <w:fldChar w:fldCharType="end"/>
          </w:r>
          <w:r>
            <w:fldChar w:fldCharType="end"/>
          </w:r>
        </w:p>
        <w:p w14:paraId="1621D71E">
          <w:pPr>
            <w:pStyle w:val="17"/>
            <w:tabs>
              <w:tab w:val="right" w:leader="dot" w:pos="8306"/>
            </w:tabs>
          </w:pPr>
          <w:r>
            <w:fldChar w:fldCharType="begin"/>
          </w:r>
          <w:r>
            <w:instrText xml:space="preserve"> HYPERLINK \l _Toc23820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_Toc23820 \h </w:instrText>
          </w:r>
          <w:r>
            <w:fldChar w:fldCharType="separate"/>
          </w:r>
          <w:r>
            <w:t>12</w:t>
          </w:r>
          <w:r>
            <w:fldChar w:fldCharType="end"/>
          </w:r>
          <w:r>
            <w:fldChar w:fldCharType="end"/>
          </w:r>
        </w:p>
        <w:p w14:paraId="6058E23D">
          <w:pPr>
            <w:pStyle w:val="17"/>
            <w:tabs>
              <w:tab w:val="right" w:leader="dot" w:pos="8306"/>
            </w:tabs>
          </w:pPr>
          <w:r>
            <w:fldChar w:fldCharType="begin"/>
          </w:r>
          <w:r>
            <w:instrText xml:space="preserve"> HYPERLINK \l _Toc29507 </w:instrText>
          </w:r>
          <w:r>
            <w:fldChar w:fldCharType="separate"/>
          </w:r>
          <w:r>
            <w:rPr>
              <w:rFonts w:hint="eastAsia"/>
            </w:rPr>
            <w:t xml:space="preserve">4.6 </w:t>
          </w:r>
          <w:r>
            <w:t>管理人内部有关本基金的监察稽核工作情况</w:t>
          </w:r>
          <w:r>
            <w:tab/>
          </w:r>
          <w:r>
            <w:fldChar w:fldCharType="begin"/>
          </w:r>
          <w:r>
            <w:instrText xml:space="preserve"> PAGEREF _Toc29507 \h </w:instrText>
          </w:r>
          <w:r>
            <w:fldChar w:fldCharType="separate"/>
          </w:r>
          <w:r>
            <w:t>12</w:t>
          </w:r>
          <w:r>
            <w:fldChar w:fldCharType="end"/>
          </w:r>
          <w:r>
            <w:fldChar w:fldCharType="end"/>
          </w:r>
        </w:p>
        <w:p w14:paraId="0752C79B">
          <w:pPr>
            <w:pStyle w:val="17"/>
            <w:tabs>
              <w:tab w:val="right" w:leader="dot" w:pos="8306"/>
            </w:tabs>
          </w:pPr>
          <w:r>
            <w:fldChar w:fldCharType="begin"/>
          </w:r>
          <w:r>
            <w:instrText xml:space="preserve"> HYPERLINK \l _Toc5770 </w:instrText>
          </w:r>
          <w:r>
            <w:fldChar w:fldCharType="separate"/>
          </w:r>
          <w:r>
            <w:rPr>
              <w:rFonts w:hint="eastAsia"/>
            </w:rPr>
            <w:t xml:space="preserve">4.7 </w:t>
          </w:r>
          <w:r>
            <w:t>管理人对报告期内基金估值程序等事项的说明</w:t>
          </w:r>
          <w:r>
            <w:tab/>
          </w:r>
          <w:r>
            <w:fldChar w:fldCharType="begin"/>
          </w:r>
          <w:r>
            <w:instrText xml:space="preserve"> PAGEREF _Toc5770 \h </w:instrText>
          </w:r>
          <w:r>
            <w:fldChar w:fldCharType="separate"/>
          </w:r>
          <w:r>
            <w:t>14</w:t>
          </w:r>
          <w:r>
            <w:fldChar w:fldCharType="end"/>
          </w:r>
          <w:r>
            <w:fldChar w:fldCharType="end"/>
          </w:r>
        </w:p>
        <w:p w14:paraId="35E60473">
          <w:pPr>
            <w:pStyle w:val="17"/>
            <w:tabs>
              <w:tab w:val="right" w:leader="dot" w:pos="8306"/>
            </w:tabs>
          </w:pPr>
          <w:r>
            <w:fldChar w:fldCharType="begin"/>
          </w:r>
          <w:r>
            <w:instrText xml:space="preserve"> HYPERLINK \l _Toc8992 </w:instrText>
          </w:r>
          <w:r>
            <w:fldChar w:fldCharType="separate"/>
          </w:r>
          <w:r>
            <w:rPr>
              <w:rFonts w:hint="eastAsia"/>
            </w:rPr>
            <w:t xml:space="preserve">4.8 </w:t>
          </w:r>
          <w:r>
            <w:t>管理人对报告期内基金利润分配情况的说明</w:t>
          </w:r>
          <w:r>
            <w:tab/>
          </w:r>
          <w:r>
            <w:fldChar w:fldCharType="begin"/>
          </w:r>
          <w:r>
            <w:instrText xml:space="preserve"> PAGEREF _Toc8992 \h </w:instrText>
          </w:r>
          <w:r>
            <w:fldChar w:fldCharType="separate"/>
          </w:r>
          <w:r>
            <w:t>14</w:t>
          </w:r>
          <w:r>
            <w:fldChar w:fldCharType="end"/>
          </w:r>
          <w:r>
            <w:fldChar w:fldCharType="end"/>
          </w:r>
        </w:p>
        <w:p w14:paraId="65CBF21F">
          <w:pPr>
            <w:pStyle w:val="17"/>
            <w:tabs>
              <w:tab w:val="right" w:leader="dot" w:pos="8306"/>
            </w:tabs>
          </w:pPr>
          <w:r>
            <w:fldChar w:fldCharType="begin"/>
          </w:r>
          <w:r>
            <w:instrText xml:space="preserve"> HYPERLINK \l _Toc24973 </w:instrText>
          </w:r>
          <w:r>
            <w:fldChar w:fldCharType="separate"/>
          </w:r>
          <w:r>
            <w:rPr>
              <w:rFonts w:hint="eastAsia"/>
            </w:rPr>
            <w:t xml:space="preserve">4.9 </w:t>
          </w:r>
          <w:r>
            <w:t>报告期内基金持有人数或基金资产净值预警说明</w:t>
          </w:r>
          <w:r>
            <w:tab/>
          </w:r>
          <w:r>
            <w:fldChar w:fldCharType="begin"/>
          </w:r>
          <w:r>
            <w:instrText xml:space="preserve"> PAGEREF _Toc24973 \h </w:instrText>
          </w:r>
          <w:r>
            <w:fldChar w:fldCharType="separate"/>
          </w:r>
          <w:r>
            <w:t>14</w:t>
          </w:r>
          <w:r>
            <w:fldChar w:fldCharType="end"/>
          </w:r>
          <w:r>
            <w:fldChar w:fldCharType="end"/>
          </w:r>
        </w:p>
        <w:p w14:paraId="05FE7DEF">
          <w:pPr>
            <w:pStyle w:val="15"/>
            <w:tabs>
              <w:tab w:val="right" w:leader="dot" w:pos="8306"/>
            </w:tabs>
          </w:pPr>
          <w:r>
            <w:fldChar w:fldCharType="begin"/>
          </w:r>
          <w:r>
            <w:instrText xml:space="preserve"> HYPERLINK \l _Toc25451 </w:instrText>
          </w:r>
          <w:r>
            <w:fldChar w:fldCharType="separate"/>
          </w:r>
          <w:r>
            <w:rPr>
              <w:rFonts w:hint="eastAsia"/>
            </w:rPr>
            <w:t xml:space="preserve">§5 </w:t>
          </w:r>
          <w:r>
            <w:t>托管人报告</w:t>
          </w:r>
          <w:r>
            <w:tab/>
          </w:r>
          <w:r>
            <w:fldChar w:fldCharType="begin"/>
          </w:r>
          <w:r>
            <w:instrText xml:space="preserve"> PAGEREF _Toc25451 \h </w:instrText>
          </w:r>
          <w:r>
            <w:fldChar w:fldCharType="separate"/>
          </w:r>
          <w:r>
            <w:t>14</w:t>
          </w:r>
          <w:r>
            <w:fldChar w:fldCharType="end"/>
          </w:r>
          <w:r>
            <w:fldChar w:fldCharType="end"/>
          </w:r>
        </w:p>
        <w:p w14:paraId="2454484C">
          <w:pPr>
            <w:pStyle w:val="17"/>
            <w:tabs>
              <w:tab w:val="right" w:leader="dot" w:pos="8306"/>
            </w:tabs>
          </w:pPr>
          <w:r>
            <w:fldChar w:fldCharType="begin"/>
          </w:r>
          <w:r>
            <w:instrText xml:space="preserve"> HYPERLINK \l _Toc10581 </w:instrText>
          </w:r>
          <w:r>
            <w:fldChar w:fldCharType="separate"/>
          </w:r>
          <w:r>
            <w:rPr>
              <w:rFonts w:hint="eastAsia"/>
            </w:rPr>
            <w:t xml:space="preserve">5.1 </w:t>
          </w:r>
          <w:r>
            <w:t>报告期内本基金托管人遵规守信情况声明</w:t>
          </w:r>
          <w:r>
            <w:tab/>
          </w:r>
          <w:r>
            <w:fldChar w:fldCharType="begin"/>
          </w:r>
          <w:r>
            <w:instrText xml:space="preserve"> PAGEREF _Toc10581 \h </w:instrText>
          </w:r>
          <w:r>
            <w:fldChar w:fldCharType="separate"/>
          </w:r>
          <w:r>
            <w:t>14</w:t>
          </w:r>
          <w:r>
            <w:fldChar w:fldCharType="end"/>
          </w:r>
          <w:r>
            <w:fldChar w:fldCharType="end"/>
          </w:r>
        </w:p>
        <w:p w14:paraId="45287A80">
          <w:pPr>
            <w:pStyle w:val="17"/>
            <w:tabs>
              <w:tab w:val="right" w:leader="dot" w:pos="8306"/>
            </w:tabs>
          </w:pPr>
          <w:r>
            <w:fldChar w:fldCharType="begin"/>
          </w:r>
          <w:r>
            <w:instrText xml:space="preserve"> HYPERLINK \l _Toc11323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_Toc11323 \h </w:instrText>
          </w:r>
          <w:r>
            <w:fldChar w:fldCharType="separate"/>
          </w:r>
          <w:r>
            <w:t>15</w:t>
          </w:r>
          <w:r>
            <w:fldChar w:fldCharType="end"/>
          </w:r>
          <w:r>
            <w:fldChar w:fldCharType="end"/>
          </w:r>
        </w:p>
        <w:p w14:paraId="6C87F276">
          <w:pPr>
            <w:pStyle w:val="17"/>
            <w:tabs>
              <w:tab w:val="right" w:leader="dot" w:pos="8306"/>
            </w:tabs>
          </w:pPr>
          <w:r>
            <w:fldChar w:fldCharType="begin"/>
          </w:r>
          <w:r>
            <w:instrText xml:space="preserve"> HYPERLINK \l _Toc16396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_Toc16396 \h </w:instrText>
          </w:r>
          <w:r>
            <w:fldChar w:fldCharType="separate"/>
          </w:r>
          <w:r>
            <w:t>15</w:t>
          </w:r>
          <w:r>
            <w:fldChar w:fldCharType="end"/>
          </w:r>
          <w:r>
            <w:fldChar w:fldCharType="end"/>
          </w:r>
        </w:p>
        <w:p w14:paraId="2F5F83B9">
          <w:pPr>
            <w:pStyle w:val="15"/>
            <w:tabs>
              <w:tab w:val="right" w:leader="dot" w:pos="8306"/>
            </w:tabs>
          </w:pPr>
          <w:r>
            <w:fldChar w:fldCharType="begin"/>
          </w:r>
          <w:r>
            <w:instrText xml:space="preserve"> HYPERLINK \l _Toc8125 </w:instrText>
          </w:r>
          <w:r>
            <w:fldChar w:fldCharType="separate"/>
          </w:r>
          <w:r>
            <w:rPr>
              <w:rFonts w:hint="eastAsia"/>
            </w:rPr>
            <w:t xml:space="preserve">§6 </w:t>
          </w:r>
          <w:r>
            <w:t>审计报告</w:t>
          </w:r>
          <w:r>
            <w:tab/>
          </w:r>
          <w:r>
            <w:fldChar w:fldCharType="begin"/>
          </w:r>
          <w:r>
            <w:instrText xml:space="preserve"> PAGEREF _Toc8125 \h </w:instrText>
          </w:r>
          <w:r>
            <w:fldChar w:fldCharType="separate"/>
          </w:r>
          <w:r>
            <w:t>15</w:t>
          </w:r>
          <w:r>
            <w:fldChar w:fldCharType="end"/>
          </w:r>
          <w:r>
            <w:fldChar w:fldCharType="end"/>
          </w:r>
        </w:p>
        <w:p w14:paraId="09F825CF">
          <w:pPr>
            <w:pStyle w:val="17"/>
            <w:tabs>
              <w:tab w:val="right" w:leader="dot" w:pos="8306"/>
            </w:tabs>
          </w:pPr>
          <w:r>
            <w:fldChar w:fldCharType="begin"/>
          </w:r>
          <w:r>
            <w:instrText xml:space="preserve"> HYPERLINK \l _Toc7473 </w:instrText>
          </w:r>
          <w:r>
            <w:fldChar w:fldCharType="separate"/>
          </w:r>
          <w:r>
            <w:rPr>
              <w:rFonts w:hint="eastAsia"/>
            </w:rPr>
            <w:t xml:space="preserve">6.1 </w:t>
          </w:r>
          <w:r>
            <w:t>审计报告基本信息</w:t>
          </w:r>
          <w:r>
            <w:tab/>
          </w:r>
          <w:r>
            <w:fldChar w:fldCharType="begin"/>
          </w:r>
          <w:r>
            <w:instrText xml:space="preserve"> PAGEREF _Toc7473 \h </w:instrText>
          </w:r>
          <w:r>
            <w:fldChar w:fldCharType="separate"/>
          </w:r>
          <w:r>
            <w:t>15</w:t>
          </w:r>
          <w:r>
            <w:fldChar w:fldCharType="end"/>
          </w:r>
          <w:r>
            <w:fldChar w:fldCharType="end"/>
          </w:r>
        </w:p>
        <w:p w14:paraId="06C42536">
          <w:pPr>
            <w:pStyle w:val="17"/>
            <w:tabs>
              <w:tab w:val="right" w:leader="dot" w:pos="8306"/>
            </w:tabs>
          </w:pPr>
          <w:r>
            <w:fldChar w:fldCharType="begin"/>
          </w:r>
          <w:r>
            <w:instrText xml:space="preserve"> HYPERLINK \l _Toc17772 </w:instrText>
          </w:r>
          <w:r>
            <w:fldChar w:fldCharType="separate"/>
          </w:r>
          <w:r>
            <w:rPr>
              <w:rFonts w:hint="eastAsia"/>
            </w:rPr>
            <w:t xml:space="preserve">6.2 </w:t>
          </w:r>
          <w:r>
            <w:t>审计报告的基本内容</w:t>
          </w:r>
          <w:r>
            <w:tab/>
          </w:r>
          <w:r>
            <w:fldChar w:fldCharType="begin"/>
          </w:r>
          <w:r>
            <w:instrText xml:space="preserve"> PAGEREF _Toc17772 \h </w:instrText>
          </w:r>
          <w:r>
            <w:fldChar w:fldCharType="separate"/>
          </w:r>
          <w:r>
            <w:t>15</w:t>
          </w:r>
          <w:r>
            <w:fldChar w:fldCharType="end"/>
          </w:r>
          <w:r>
            <w:fldChar w:fldCharType="end"/>
          </w:r>
        </w:p>
        <w:p w14:paraId="1654A7DB">
          <w:pPr>
            <w:pStyle w:val="15"/>
            <w:tabs>
              <w:tab w:val="right" w:leader="dot" w:pos="8306"/>
            </w:tabs>
          </w:pPr>
          <w:r>
            <w:fldChar w:fldCharType="begin"/>
          </w:r>
          <w:r>
            <w:instrText xml:space="preserve"> HYPERLINK \l _Toc18531 </w:instrText>
          </w:r>
          <w:r>
            <w:fldChar w:fldCharType="separate"/>
          </w:r>
          <w:r>
            <w:rPr>
              <w:rFonts w:hint="eastAsia"/>
            </w:rPr>
            <w:t xml:space="preserve">§7 </w:t>
          </w:r>
          <w:r>
            <w:t>年度财务报表</w:t>
          </w:r>
          <w:r>
            <w:tab/>
          </w:r>
          <w:r>
            <w:fldChar w:fldCharType="begin"/>
          </w:r>
          <w:r>
            <w:instrText xml:space="preserve"> PAGEREF _Toc18531 \h </w:instrText>
          </w:r>
          <w:r>
            <w:fldChar w:fldCharType="separate"/>
          </w:r>
          <w:r>
            <w:t>17</w:t>
          </w:r>
          <w:r>
            <w:fldChar w:fldCharType="end"/>
          </w:r>
          <w:r>
            <w:fldChar w:fldCharType="end"/>
          </w:r>
        </w:p>
        <w:p w14:paraId="30215E5F">
          <w:pPr>
            <w:pStyle w:val="17"/>
            <w:tabs>
              <w:tab w:val="right" w:leader="dot" w:pos="8306"/>
            </w:tabs>
          </w:pPr>
          <w:r>
            <w:fldChar w:fldCharType="begin"/>
          </w:r>
          <w:r>
            <w:instrText xml:space="preserve"> HYPERLINK \l _Toc29756 </w:instrText>
          </w:r>
          <w:r>
            <w:fldChar w:fldCharType="separate"/>
          </w:r>
          <w:r>
            <w:rPr>
              <w:rFonts w:hint="eastAsia"/>
            </w:rPr>
            <w:t xml:space="preserve">7.1 </w:t>
          </w:r>
          <w:r>
            <w:t>资产负债表</w:t>
          </w:r>
          <w:r>
            <w:tab/>
          </w:r>
          <w:r>
            <w:fldChar w:fldCharType="begin"/>
          </w:r>
          <w:r>
            <w:instrText xml:space="preserve"> PAGEREF _Toc29756 \h </w:instrText>
          </w:r>
          <w:r>
            <w:fldChar w:fldCharType="separate"/>
          </w:r>
          <w:r>
            <w:t>17</w:t>
          </w:r>
          <w:r>
            <w:fldChar w:fldCharType="end"/>
          </w:r>
          <w:r>
            <w:fldChar w:fldCharType="end"/>
          </w:r>
        </w:p>
        <w:p w14:paraId="71D45CBA">
          <w:pPr>
            <w:pStyle w:val="17"/>
            <w:tabs>
              <w:tab w:val="right" w:leader="dot" w:pos="8306"/>
            </w:tabs>
          </w:pPr>
          <w:r>
            <w:fldChar w:fldCharType="begin"/>
          </w:r>
          <w:r>
            <w:instrText xml:space="preserve"> HYPERLINK \l _Toc7016 </w:instrText>
          </w:r>
          <w:r>
            <w:fldChar w:fldCharType="separate"/>
          </w:r>
          <w:r>
            <w:rPr>
              <w:rFonts w:hint="eastAsia"/>
            </w:rPr>
            <w:t xml:space="preserve">7.2 </w:t>
          </w:r>
          <w:r>
            <w:t>利润表</w:t>
          </w:r>
          <w:r>
            <w:tab/>
          </w:r>
          <w:r>
            <w:fldChar w:fldCharType="begin"/>
          </w:r>
          <w:r>
            <w:instrText xml:space="preserve"> PAGEREF _Toc7016 \h </w:instrText>
          </w:r>
          <w:r>
            <w:fldChar w:fldCharType="separate"/>
          </w:r>
          <w:r>
            <w:t>19</w:t>
          </w:r>
          <w:r>
            <w:fldChar w:fldCharType="end"/>
          </w:r>
          <w:r>
            <w:fldChar w:fldCharType="end"/>
          </w:r>
        </w:p>
        <w:p w14:paraId="2B9586BA">
          <w:pPr>
            <w:pStyle w:val="17"/>
            <w:tabs>
              <w:tab w:val="right" w:leader="dot" w:pos="8306"/>
            </w:tabs>
          </w:pPr>
          <w:r>
            <w:fldChar w:fldCharType="begin"/>
          </w:r>
          <w:r>
            <w:instrText xml:space="preserve"> HYPERLINK \l _Toc2798 </w:instrText>
          </w:r>
          <w:r>
            <w:fldChar w:fldCharType="separate"/>
          </w:r>
          <w:r>
            <w:rPr>
              <w:rFonts w:hint="eastAsia"/>
            </w:rPr>
            <w:t xml:space="preserve">7.3 </w:t>
          </w:r>
          <w:r>
            <w:t>净资产变动表</w:t>
          </w:r>
          <w:r>
            <w:tab/>
          </w:r>
          <w:r>
            <w:fldChar w:fldCharType="begin"/>
          </w:r>
          <w:r>
            <w:instrText xml:space="preserve"> PAGEREF _Toc2798 \h </w:instrText>
          </w:r>
          <w:r>
            <w:fldChar w:fldCharType="separate"/>
          </w:r>
          <w:r>
            <w:t>20</w:t>
          </w:r>
          <w:r>
            <w:fldChar w:fldCharType="end"/>
          </w:r>
          <w:r>
            <w:fldChar w:fldCharType="end"/>
          </w:r>
        </w:p>
        <w:p w14:paraId="42B2E6A9">
          <w:pPr>
            <w:pStyle w:val="17"/>
            <w:tabs>
              <w:tab w:val="right" w:leader="dot" w:pos="8306"/>
            </w:tabs>
          </w:pPr>
          <w:r>
            <w:fldChar w:fldCharType="begin"/>
          </w:r>
          <w:r>
            <w:instrText xml:space="preserve"> HYPERLINK \l _Toc7598 </w:instrText>
          </w:r>
          <w:r>
            <w:fldChar w:fldCharType="separate"/>
          </w:r>
          <w:r>
            <w:rPr>
              <w:rFonts w:hint="eastAsia"/>
            </w:rPr>
            <w:t xml:space="preserve">7.4 </w:t>
          </w:r>
          <w:r>
            <w:t>报表附注</w:t>
          </w:r>
          <w:r>
            <w:tab/>
          </w:r>
          <w:r>
            <w:fldChar w:fldCharType="begin"/>
          </w:r>
          <w:r>
            <w:instrText xml:space="preserve"> PAGEREF _Toc7598 \h </w:instrText>
          </w:r>
          <w:r>
            <w:fldChar w:fldCharType="separate"/>
          </w:r>
          <w:r>
            <w:t>22</w:t>
          </w:r>
          <w:r>
            <w:fldChar w:fldCharType="end"/>
          </w:r>
          <w:r>
            <w:fldChar w:fldCharType="end"/>
          </w:r>
        </w:p>
        <w:p w14:paraId="0FBD00A9">
          <w:pPr>
            <w:pStyle w:val="15"/>
            <w:tabs>
              <w:tab w:val="right" w:leader="dot" w:pos="8306"/>
            </w:tabs>
          </w:pPr>
          <w:r>
            <w:fldChar w:fldCharType="begin"/>
          </w:r>
          <w:r>
            <w:instrText xml:space="preserve"> HYPERLINK \l _Toc20514 </w:instrText>
          </w:r>
          <w:r>
            <w:fldChar w:fldCharType="separate"/>
          </w:r>
          <w:r>
            <w:rPr>
              <w:rFonts w:hint="eastAsia"/>
            </w:rPr>
            <w:t xml:space="preserve">§8 </w:t>
          </w:r>
          <w:r>
            <w:t>投资组合报告</w:t>
          </w:r>
          <w:r>
            <w:tab/>
          </w:r>
          <w:r>
            <w:fldChar w:fldCharType="begin"/>
          </w:r>
          <w:r>
            <w:instrText xml:space="preserve"> PAGEREF _Toc20514 \h </w:instrText>
          </w:r>
          <w:r>
            <w:fldChar w:fldCharType="separate"/>
          </w:r>
          <w:r>
            <w:t>45</w:t>
          </w:r>
          <w:r>
            <w:fldChar w:fldCharType="end"/>
          </w:r>
          <w:r>
            <w:fldChar w:fldCharType="end"/>
          </w:r>
        </w:p>
        <w:p w14:paraId="4A9A7F1E">
          <w:pPr>
            <w:pStyle w:val="17"/>
            <w:tabs>
              <w:tab w:val="right" w:leader="dot" w:pos="8306"/>
            </w:tabs>
          </w:pPr>
          <w:r>
            <w:fldChar w:fldCharType="begin"/>
          </w:r>
          <w:r>
            <w:instrText xml:space="preserve"> HYPERLINK \l _Toc3227 </w:instrText>
          </w:r>
          <w:r>
            <w:fldChar w:fldCharType="separate"/>
          </w:r>
          <w:r>
            <w:rPr>
              <w:rFonts w:hint="eastAsia"/>
            </w:rPr>
            <w:t xml:space="preserve">8.1 </w:t>
          </w:r>
          <w:r>
            <w:t>期末基金资产组合情况</w:t>
          </w:r>
          <w:r>
            <w:tab/>
          </w:r>
          <w:r>
            <w:fldChar w:fldCharType="begin"/>
          </w:r>
          <w:r>
            <w:instrText xml:space="preserve"> PAGEREF _Toc3227 \h </w:instrText>
          </w:r>
          <w:r>
            <w:fldChar w:fldCharType="separate"/>
          </w:r>
          <w:r>
            <w:t>45</w:t>
          </w:r>
          <w:r>
            <w:fldChar w:fldCharType="end"/>
          </w:r>
          <w:r>
            <w:fldChar w:fldCharType="end"/>
          </w:r>
        </w:p>
        <w:p w14:paraId="4049E8A3">
          <w:pPr>
            <w:pStyle w:val="17"/>
            <w:tabs>
              <w:tab w:val="right" w:leader="dot" w:pos="8306"/>
            </w:tabs>
          </w:pPr>
          <w:r>
            <w:fldChar w:fldCharType="begin"/>
          </w:r>
          <w:r>
            <w:instrText xml:space="preserve"> HYPERLINK \l _Toc24550 </w:instrText>
          </w:r>
          <w:r>
            <w:fldChar w:fldCharType="separate"/>
          </w:r>
          <w:r>
            <w:rPr>
              <w:rFonts w:hint="eastAsia"/>
            </w:rPr>
            <w:t xml:space="preserve">8.2 </w:t>
          </w:r>
          <w:r>
            <w:t>报告期末按行业分类的股票投资组合</w:t>
          </w:r>
          <w:r>
            <w:tab/>
          </w:r>
          <w:r>
            <w:fldChar w:fldCharType="begin"/>
          </w:r>
          <w:r>
            <w:instrText xml:space="preserve"> PAGEREF _Toc24550 \h </w:instrText>
          </w:r>
          <w:r>
            <w:fldChar w:fldCharType="separate"/>
          </w:r>
          <w:r>
            <w:t>46</w:t>
          </w:r>
          <w:r>
            <w:fldChar w:fldCharType="end"/>
          </w:r>
          <w:r>
            <w:fldChar w:fldCharType="end"/>
          </w:r>
        </w:p>
        <w:p w14:paraId="7F33BEF3">
          <w:pPr>
            <w:pStyle w:val="17"/>
            <w:tabs>
              <w:tab w:val="right" w:leader="dot" w:pos="8306"/>
            </w:tabs>
          </w:pPr>
          <w:r>
            <w:fldChar w:fldCharType="begin"/>
          </w:r>
          <w:r>
            <w:instrText xml:space="preserve"> HYPERLINK \l _Toc32595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_Toc32595 \h </w:instrText>
          </w:r>
          <w:r>
            <w:fldChar w:fldCharType="separate"/>
          </w:r>
          <w:r>
            <w:t>46</w:t>
          </w:r>
          <w:r>
            <w:fldChar w:fldCharType="end"/>
          </w:r>
          <w:r>
            <w:fldChar w:fldCharType="end"/>
          </w:r>
        </w:p>
        <w:p w14:paraId="08692AE4">
          <w:pPr>
            <w:pStyle w:val="17"/>
            <w:tabs>
              <w:tab w:val="right" w:leader="dot" w:pos="8306"/>
            </w:tabs>
          </w:pPr>
          <w:r>
            <w:fldChar w:fldCharType="begin"/>
          </w:r>
          <w:r>
            <w:instrText xml:space="preserve"> HYPERLINK \l _Toc31442 </w:instrText>
          </w:r>
          <w:r>
            <w:fldChar w:fldCharType="separate"/>
          </w:r>
          <w:r>
            <w:rPr>
              <w:rFonts w:hint="eastAsia"/>
            </w:rPr>
            <w:t xml:space="preserve">8.4 </w:t>
          </w:r>
          <w:r>
            <w:t>报告期内股票投资组合的重大变动</w:t>
          </w:r>
          <w:r>
            <w:tab/>
          </w:r>
          <w:r>
            <w:fldChar w:fldCharType="begin"/>
          </w:r>
          <w:r>
            <w:instrText xml:space="preserve"> PAGEREF _Toc31442 \h </w:instrText>
          </w:r>
          <w:r>
            <w:fldChar w:fldCharType="separate"/>
          </w:r>
          <w:r>
            <w:t>46</w:t>
          </w:r>
          <w:r>
            <w:fldChar w:fldCharType="end"/>
          </w:r>
          <w:r>
            <w:fldChar w:fldCharType="end"/>
          </w:r>
        </w:p>
        <w:p w14:paraId="368B303D">
          <w:pPr>
            <w:pStyle w:val="17"/>
            <w:tabs>
              <w:tab w:val="right" w:leader="dot" w:pos="8306"/>
            </w:tabs>
          </w:pPr>
          <w:r>
            <w:fldChar w:fldCharType="begin"/>
          </w:r>
          <w:r>
            <w:instrText xml:space="preserve"> HYPERLINK \l _Toc18929 </w:instrText>
          </w:r>
          <w:r>
            <w:fldChar w:fldCharType="separate"/>
          </w:r>
          <w:r>
            <w:rPr>
              <w:rFonts w:hint="eastAsia"/>
            </w:rPr>
            <w:t xml:space="preserve">8.5 </w:t>
          </w:r>
          <w:r>
            <w:t>期末按债券品种分类的债券投资组合</w:t>
          </w:r>
          <w:r>
            <w:tab/>
          </w:r>
          <w:r>
            <w:fldChar w:fldCharType="begin"/>
          </w:r>
          <w:r>
            <w:instrText xml:space="preserve"> PAGEREF _Toc18929 \h </w:instrText>
          </w:r>
          <w:r>
            <w:fldChar w:fldCharType="separate"/>
          </w:r>
          <w:r>
            <w:t>46</w:t>
          </w:r>
          <w:r>
            <w:fldChar w:fldCharType="end"/>
          </w:r>
          <w:r>
            <w:fldChar w:fldCharType="end"/>
          </w:r>
        </w:p>
        <w:p w14:paraId="4E7B9746">
          <w:pPr>
            <w:pStyle w:val="17"/>
            <w:tabs>
              <w:tab w:val="right" w:leader="dot" w:pos="8306"/>
            </w:tabs>
          </w:pPr>
          <w:r>
            <w:fldChar w:fldCharType="begin"/>
          </w:r>
          <w:r>
            <w:instrText xml:space="preserve"> HYPERLINK \l _Toc27379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_Toc27379 \h </w:instrText>
          </w:r>
          <w:r>
            <w:fldChar w:fldCharType="separate"/>
          </w:r>
          <w:r>
            <w:t>47</w:t>
          </w:r>
          <w:r>
            <w:fldChar w:fldCharType="end"/>
          </w:r>
          <w:r>
            <w:fldChar w:fldCharType="end"/>
          </w:r>
        </w:p>
        <w:p w14:paraId="53EF49A6">
          <w:pPr>
            <w:pStyle w:val="17"/>
            <w:tabs>
              <w:tab w:val="right" w:leader="dot" w:pos="8306"/>
            </w:tabs>
          </w:pPr>
          <w:r>
            <w:fldChar w:fldCharType="begin"/>
          </w:r>
          <w:r>
            <w:instrText xml:space="preserve"> HYPERLINK \l _Toc9024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_Toc9024 \h </w:instrText>
          </w:r>
          <w:r>
            <w:fldChar w:fldCharType="separate"/>
          </w:r>
          <w:r>
            <w:t>47</w:t>
          </w:r>
          <w:r>
            <w:fldChar w:fldCharType="end"/>
          </w:r>
          <w:r>
            <w:fldChar w:fldCharType="end"/>
          </w:r>
        </w:p>
        <w:p w14:paraId="728A50AC">
          <w:pPr>
            <w:pStyle w:val="17"/>
            <w:tabs>
              <w:tab w:val="right" w:leader="dot" w:pos="8306"/>
            </w:tabs>
          </w:pPr>
          <w:r>
            <w:fldChar w:fldCharType="begin"/>
          </w:r>
          <w:r>
            <w:instrText xml:space="preserve"> HYPERLINK \l _Toc5390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_Toc5390 \h </w:instrText>
          </w:r>
          <w:r>
            <w:fldChar w:fldCharType="separate"/>
          </w:r>
          <w:r>
            <w:t>47</w:t>
          </w:r>
          <w:r>
            <w:fldChar w:fldCharType="end"/>
          </w:r>
          <w:r>
            <w:fldChar w:fldCharType="end"/>
          </w:r>
        </w:p>
        <w:p w14:paraId="153E503F">
          <w:pPr>
            <w:pStyle w:val="17"/>
            <w:tabs>
              <w:tab w:val="right" w:leader="dot" w:pos="8306"/>
            </w:tabs>
          </w:pPr>
          <w:r>
            <w:fldChar w:fldCharType="begin"/>
          </w:r>
          <w:r>
            <w:instrText xml:space="preserve"> HYPERLINK \l _Toc26996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_Toc26996 \h </w:instrText>
          </w:r>
          <w:r>
            <w:fldChar w:fldCharType="separate"/>
          </w:r>
          <w:r>
            <w:t>47</w:t>
          </w:r>
          <w:r>
            <w:fldChar w:fldCharType="end"/>
          </w:r>
          <w:r>
            <w:fldChar w:fldCharType="end"/>
          </w:r>
        </w:p>
        <w:p w14:paraId="7DB4AF7F">
          <w:pPr>
            <w:pStyle w:val="17"/>
            <w:tabs>
              <w:tab w:val="right" w:leader="dot" w:pos="8306"/>
            </w:tabs>
          </w:pPr>
          <w:r>
            <w:fldChar w:fldCharType="begin"/>
          </w:r>
          <w:r>
            <w:instrText xml:space="preserve"> HYPERLINK \l _Toc16646 </w:instrText>
          </w:r>
          <w:r>
            <w:fldChar w:fldCharType="separate"/>
          </w:r>
          <w:r>
            <w:rPr>
              <w:rFonts w:hint="eastAsia"/>
            </w:rPr>
            <w:t xml:space="preserve">8.10 </w:t>
          </w:r>
          <w:r>
            <w:t>本基金投资股指期货的投资政策</w:t>
          </w:r>
          <w:r>
            <w:tab/>
          </w:r>
          <w:r>
            <w:fldChar w:fldCharType="begin"/>
          </w:r>
          <w:r>
            <w:instrText xml:space="preserve"> PAGEREF _Toc16646 \h </w:instrText>
          </w:r>
          <w:r>
            <w:fldChar w:fldCharType="separate"/>
          </w:r>
          <w:r>
            <w:t>47</w:t>
          </w:r>
          <w:r>
            <w:fldChar w:fldCharType="end"/>
          </w:r>
          <w:r>
            <w:fldChar w:fldCharType="end"/>
          </w:r>
        </w:p>
        <w:p w14:paraId="7FA1FA56">
          <w:pPr>
            <w:pStyle w:val="17"/>
            <w:tabs>
              <w:tab w:val="right" w:leader="dot" w:pos="8306"/>
            </w:tabs>
          </w:pPr>
          <w:r>
            <w:fldChar w:fldCharType="begin"/>
          </w:r>
          <w:r>
            <w:instrText xml:space="preserve"> HYPERLINK \l _Toc1396 </w:instrText>
          </w:r>
          <w:r>
            <w:fldChar w:fldCharType="separate"/>
          </w:r>
          <w:r>
            <w:rPr>
              <w:rFonts w:hint="eastAsia"/>
            </w:rPr>
            <w:t xml:space="preserve">8.11 </w:t>
          </w:r>
          <w:r>
            <w:t>报告期末本基金投资的国债期货交易情况说明</w:t>
          </w:r>
          <w:r>
            <w:tab/>
          </w:r>
          <w:r>
            <w:fldChar w:fldCharType="begin"/>
          </w:r>
          <w:r>
            <w:instrText xml:space="preserve"> PAGEREF _Toc1396 \h </w:instrText>
          </w:r>
          <w:r>
            <w:fldChar w:fldCharType="separate"/>
          </w:r>
          <w:r>
            <w:t>47</w:t>
          </w:r>
          <w:r>
            <w:fldChar w:fldCharType="end"/>
          </w:r>
          <w:r>
            <w:fldChar w:fldCharType="end"/>
          </w:r>
        </w:p>
        <w:p w14:paraId="2FA87477">
          <w:pPr>
            <w:pStyle w:val="17"/>
            <w:tabs>
              <w:tab w:val="right" w:leader="dot" w:pos="8306"/>
            </w:tabs>
          </w:pPr>
          <w:r>
            <w:fldChar w:fldCharType="begin"/>
          </w:r>
          <w:r>
            <w:instrText xml:space="preserve"> HYPERLINK \l _Toc14954 </w:instrText>
          </w:r>
          <w:r>
            <w:fldChar w:fldCharType="separate"/>
          </w:r>
          <w:r>
            <w:rPr>
              <w:rFonts w:hint="eastAsia"/>
            </w:rPr>
            <w:t xml:space="preserve">8.12 </w:t>
          </w:r>
          <w:r>
            <w:t>投资组合报告附注</w:t>
          </w:r>
          <w:r>
            <w:tab/>
          </w:r>
          <w:r>
            <w:fldChar w:fldCharType="begin"/>
          </w:r>
          <w:r>
            <w:instrText xml:space="preserve"> PAGEREF _Toc14954 \h </w:instrText>
          </w:r>
          <w:r>
            <w:fldChar w:fldCharType="separate"/>
          </w:r>
          <w:r>
            <w:t>47</w:t>
          </w:r>
          <w:r>
            <w:fldChar w:fldCharType="end"/>
          </w:r>
          <w:r>
            <w:fldChar w:fldCharType="end"/>
          </w:r>
        </w:p>
        <w:p w14:paraId="7DE7390A">
          <w:pPr>
            <w:pStyle w:val="15"/>
            <w:tabs>
              <w:tab w:val="right" w:leader="dot" w:pos="8306"/>
            </w:tabs>
          </w:pPr>
          <w:r>
            <w:fldChar w:fldCharType="begin"/>
          </w:r>
          <w:r>
            <w:instrText xml:space="preserve"> HYPERLINK \l _Toc10679 </w:instrText>
          </w:r>
          <w:r>
            <w:fldChar w:fldCharType="separate"/>
          </w:r>
          <w:r>
            <w:rPr>
              <w:rFonts w:hint="eastAsia"/>
            </w:rPr>
            <w:t xml:space="preserve">§9 </w:t>
          </w:r>
          <w:r>
            <w:t>基金份额持有人信息</w:t>
          </w:r>
          <w:r>
            <w:tab/>
          </w:r>
          <w:r>
            <w:fldChar w:fldCharType="begin"/>
          </w:r>
          <w:r>
            <w:instrText xml:space="preserve"> PAGEREF _Toc10679 \h </w:instrText>
          </w:r>
          <w:r>
            <w:fldChar w:fldCharType="separate"/>
          </w:r>
          <w:r>
            <w:t>48</w:t>
          </w:r>
          <w:r>
            <w:fldChar w:fldCharType="end"/>
          </w:r>
          <w:r>
            <w:fldChar w:fldCharType="end"/>
          </w:r>
        </w:p>
        <w:p w14:paraId="7D444269">
          <w:pPr>
            <w:pStyle w:val="17"/>
            <w:tabs>
              <w:tab w:val="right" w:leader="dot" w:pos="8306"/>
            </w:tabs>
          </w:pPr>
          <w:r>
            <w:fldChar w:fldCharType="begin"/>
          </w:r>
          <w:r>
            <w:instrText xml:space="preserve"> HYPERLINK \l _Toc12916 </w:instrText>
          </w:r>
          <w:r>
            <w:fldChar w:fldCharType="separate"/>
          </w:r>
          <w:r>
            <w:rPr>
              <w:rFonts w:hint="eastAsia"/>
            </w:rPr>
            <w:t xml:space="preserve">9.1 </w:t>
          </w:r>
          <w:r>
            <w:t>期末基金份额持有人户数及持有人结构</w:t>
          </w:r>
          <w:r>
            <w:tab/>
          </w:r>
          <w:r>
            <w:fldChar w:fldCharType="begin"/>
          </w:r>
          <w:r>
            <w:instrText xml:space="preserve"> PAGEREF _Toc12916 \h </w:instrText>
          </w:r>
          <w:r>
            <w:fldChar w:fldCharType="separate"/>
          </w:r>
          <w:r>
            <w:t>48</w:t>
          </w:r>
          <w:r>
            <w:fldChar w:fldCharType="end"/>
          </w:r>
          <w:r>
            <w:fldChar w:fldCharType="end"/>
          </w:r>
        </w:p>
        <w:p w14:paraId="0CDCA0FB">
          <w:pPr>
            <w:pStyle w:val="17"/>
            <w:tabs>
              <w:tab w:val="right" w:leader="dot" w:pos="8306"/>
            </w:tabs>
          </w:pPr>
          <w:r>
            <w:fldChar w:fldCharType="begin"/>
          </w:r>
          <w:r>
            <w:instrText xml:space="preserve"> HYPERLINK \l _Toc20673 </w:instrText>
          </w:r>
          <w:r>
            <w:fldChar w:fldCharType="separate"/>
          </w:r>
          <w:r>
            <w:rPr>
              <w:rFonts w:hint="eastAsia"/>
            </w:rPr>
            <w:t xml:space="preserve">9.2 </w:t>
          </w:r>
          <w:r>
            <w:t>期末基金管理人的从业人员持有本基金的情况</w:t>
          </w:r>
          <w:r>
            <w:tab/>
          </w:r>
          <w:r>
            <w:fldChar w:fldCharType="begin"/>
          </w:r>
          <w:r>
            <w:instrText xml:space="preserve"> PAGEREF _Toc20673 \h </w:instrText>
          </w:r>
          <w:r>
            <w:fldChar w:fldCharType="separate"/>
          </w:r>
          <w:r>
            <w:t>48</w:t>
          </w:r>
          <w:r>
            <w:fldChar w:fldCharType="end"/>
          </w:r>
          <w:r>
            <w:fldChar w:fldCharType="end"/>
          </w:r>
        </w:p>
        <w:p w14:paraId="77470DA9">
          <w:pPr>
            <w:pStyle w:val="17"/>
            <w:tabs>
              <w:tab w:val="right" w:leader="dot" w:pos="8306"/>
            </w:tabs>
          </w:pPr>
          <w:r>
            <w:fldChar w:fldCharType="begin"/>
          </w:r>
          <w:r>
            <w:instrText xml:space="preserve"> HYPERLINK \l _Toc22272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_Toc22272 \h </w:instrText>
          </w:r>
          <w:r>
            <w:fldChar w:fldCharType="separate"/>
          </w:r>
          <w:r>
            <w:t>48</w:t>
          </w:r>
          <w:r>
            <w:fldChar w:fldCharType="end"/>
          </w:r>
          <w:r>
            <w:fldChar w:fldCharType="end"/>
          </w:r>
        </w:p>
        <w:p w14:paraId="556172C9">
          <w:pPr>
            <w:pStyle w:val="15"/>
            <w:tabs>
              <w:tab w:val="right" w:leader="dot" w:pos="8306"/>
            </w:tabs>
          </w:pPr>
          <w:r>
            <w:fldChar w:fldCharType="begin"/>
          </w:r>
          <w:r>
            <w:instrText xml:space="preserve"> HYPERLINK \l _Toc16572 </w:instrText>
          </w:r>
          <w:r>
            <w:fldChar w:fldCharType="separate"/>
          </w:r>
          <w:r>
            <w:rPr>
              <w:rFonts w:hint="eastAsia"/>
            </w:rPr>
            <w:t xml:space="preserve">§10 </w:t>
          </w:r>
          <w:r>
            <w:t>开放式基金份额变动</w:t>
          </w:r>
          <w:r>
            <w:tab/>
          </w:r>
          <w:r>
            <w:fldChar w:fldCharType="begin"/>
          </w:r>
          <w:r>
            <w:instrText xml:space="preserve"> PAGEREF _Toc16572 \h </w:instrText>
          </w:r>
          <w:r>
            <w:fldChar w:fldCharType="separate"/>
          </w:r>
          <w:r>
            <w:t>49</w:t>
          </w:r>
          <w:r>
            <w:fldChar w:fldCharType="end"/>
          </w:r>
          <w:r>
            <w:fldChar w:fldCharType="end"/>
          </w:r>
        </w:p>
        <w:p w14:paraId="6F4D1026">
          <w:pPr>
            <w:pStyle w:val="15"/>
            <w:tabs>
              <w:tab w:val="right" w:leader="dot" w:pos="8306"/>
            </w:tabs>
          </w:pPr>
          <w:r>
            <w:fldChar w:fldCharType="begin"/>
          </w:r>
          <w:r>
            <w:instrText xml:space="preserve"> HYPERLINK \l _Toc28233 </w:instrText>
          </w:r>
          <w:r>
            <w:fldChar w:fldCharType="separate"/>
          </w:r>
          <w:r>
            <w:rPr>
              <w:rFonts w:hint="eastAsia"/>
            </w:rPr>
            <w:t xml:space="preserve">§11 </w:t>
          </w:r>
          <w:r>
            <w:t>重大事件揭示</w:t>
          </w:r>
          <w:r>
            <w:tab/>
          </w:r>
          <w:r>
            <w:fldChar w:fldCharType="begin"/>
          </w:r>
          <w:r>
            <w:instrText xml:space="preserve"> PAGEREF _Toc28233 \h </w:instrText>
          </w:r>
          <w:r>
            <w:fldChar w:fldCharType="separate"/>
          </w:r>
          <w:r>
            <w:t>49</w:t>
          </w:r>
          <w:r>
            <w:fldChar w:fldCharType="end"/>
          </w:r>
          <w:r>
            <w:fldChar w:fldCharType="end"/>
          </w:r>
        </w:p>
        <w:p w14:paraId="7416D55A">
          <w:pPr>
            <w:pStyle w:val="17"/>
            <w:tabs>
              <w:tab w:val="right" w:leader="dot" w:pos="8306"/>
            </w:tabs>
          </w:pPr>
          <w:r>
            <w:fldChar w:fldCharType="begin"/>
          </w:r>
          <w:r>
            <w:instrText xml:space="preserve"> HYPERLINK \l _Toc17616 </w:instrText>
          </w:r>
          <w:r>
            <w:fldChar w:fldCharType="separate"/>
          </w:r>
          <w:r>
            <w:rPr>
              <w:rFonts w:hint="eastAsia"/>
            </w:rPr>
            <w:t xml:space="preserve">11.1 </w:t>
          </w:r>
          <w:r>
            <w:t>基金份额持有人大会决议</w:t>
          </w:r>
          <w:r>
            <w:tab/>
          </w:r>
          <w:r>
            <w:fldChar w:fldCharType="begin"/>
          </w:r>
          <w:r>
            <w:instrText xml:space="preserve"> PAGEREF _Toc17616 \h </w:instrText>
          </w:r>
          <w:r>
            <w:fldChar w:fldCharType="separate"/>
          </w:r>
          <w:r>
            <w:t>49</w:t>
          </w:r>
          <w:r>
            <w:fldChar w:fldCharType="end"/>
          </w:r>
          <w:r>
            <w:fldChar w:fldCharType="end"/>
          </w:r>
        </w:p>
        <w:p w14:paraId="10F80D28">
          <w:pPr>
            <w:pStyle w:val="17"/>
            <w:tabs>
              <w:tab w:val="right" w:leader="dot" w:pos="8306"/>
            </w:tabs>
          </w:pPr>
          <w:r>
            <w:fldChar w:fldCharType="begin"/>
          </w:r>
          <w:r>
            <w:instrText xml:space="preserve"> HYPERLINK \l _Toc1382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_Toc1382 \h </w:instrText>
          </w:r>
          <w:r>
            <w:fldChar w:fldCharType="separate"/>
          </w:r>
          <w:r>
            <w:t>49</w:t>
          </w:r>
          <w:r>
            <w:fldChar w:fldCharType="end"/>
          </w:r>
          <w:r>
            <w:fldChar w:fldCharType="end"/>
          </w:r>
        </w:p>
        <w:p w14:paraId="3D24FA22">
          <w:pPr>
            <w:pStyle w:val="17"/>
            <w:tabs>
              <w:tab w:val="right" w:leader="dot" w:pos="8306"/>
            </w:tabs>
          </w:pPr>
          <w:r>
            <w:fldChar w:fldCharType="begin"/>
          </w:r>
          <w:r>
            <w:instrText xml:space="preserve"> HYPERLINK \l _Toc4630 </w:instrText>
          </w:r>
          <w:r>
            <w:fldChar w:fldCharType="separate"/>
          </w:r>
          <w:r>
            <w:rPr>
              <w:rFonts w:hint="eastAsia"/>
            </w:rPr>
            <w:t xml:space="preserve">11.3 </w:t>
          </w:r>
          <w:r>
            <w:t>涉及基金管理人、基金财产、基金托管业务的诉讼</w:t>
          </w:r>
          <w:r>
            <w:tab/>
          </w:r>
          <w:r>
            <w:fldChar w:fldCharType="begin"/>
          </w:r>
          <w:r>
            <w:instrText xml:space="preserve"> PAGEREF _Toc4630 \h </w:instrText>
          </w:r>
          <w:r>
            <w:fldChar w:fldCharType="separate"/>
          </w:r>
          <w:r>
            <w:t>49</w:t>
          </w:r>
          <w:r>
            <w:fldChar w:fldCharType="end"/>
          </w:r>
          <w:r>
            <w:fldChar w:fldCharType="end"/>
          </w:r>
        </w:p>
        <w:p w14:paraId="3AD6F20E">
          <w:pPr>
            <w:pStyle w:val="17"/>
            <w:tabs>
              <w:tab w:val="right" w:leader="dot" w:pos="8306"/>
            </w:tabs>
          </w:pPr>
          <w:r>
            <w:fldChar w:fldCharType="begin"/>
          </w:r>
          <w:r>
            <w:instrText xml:space="preserve"> HYPERLINK \l _Toc28640 </w:instrText>
          </w:r>
          <w:r>
            <w:fldChar w:fldCharType="separate"/>
          </w:r>
          <w:r>
            <w:rPr>
              <w:rFonts w:hint="eastAsia"/>
            </w:rPr>
            <w:t xml:space="preserve">11.4 </w:t>
          </w:r>
          <w:r>
            <w:t>基金投资策略的改变</w:t>
          </w:r>
          <w:r>
            <w:tab/>
          </w:r>
          <w:r>
            <w:fldChar w:fldCharType="begin"/>
          </w:r>
          <w:r>
            <w:instrText xml:space="preserve"> PAGEREF _Toc28640 \h </w:instrText>
          </w:r>
          <w:r>
            <w:fldChar w:fldCharType="separate"/>
          </w:r>
          <w:r>
            <w:t>49</w:t>
          </w:r>
          <w:r>
            <w:fldChar w:fldCharType="end"/>
          </w:r>
          <w:r>
            <w:fldChar w:fldCharType="end"/>
          </w:r>
        </w:p>
        <w:p w14:paraId="3F61492F">
          <w:pPr>
            <w:pStyle w:val="17"/>
            <w:tabs>
              <w:tab w:val="right" w:leader="dot" w:pos="8306"/>
            </w:tabs>
          </w:pPr>
          <w:r>
            <w:fldChar w:fldCharType="begin"/>
          </w:r>
          <w:r>
            <w:instrText xml:space="preserve"> HYPERLINK \l _Toc15717 </w:instrText>
          </w:r>
          <w:r>
            <w:fldChar w:fldCharType="separate"/>
          </w:r>
          <w:r>
            <w:rPr>
              <w:rFonts w:hint="eastAsia"/>
            </w:rPr>
            <w:t xml:space="preserve">11.5 </w:t>
          </w:r>
          <w:r>
            <w:t>为基金进行审计的会计师事务所情况</w:t>
          </w:r>
          <w:r>
            <w:tab/>
          </w:r>
          <w:r>
            <w:fldChar w:fldCharType="begin"/>
          </w:r>
          <w:r>
            <w:instrText xml:space="preserve"> PAGEREF _Toc15717 \h </w:instrText>
          </w:r>
          <w:r>
            <w:fldChar w:fldCharType="separate"/>
          </w:r>
          <w:r>
            <w:t>50</w:t>
          </w:r>
          <w:r>
            <w:fldChar w:fldCharType="end"/>
          </w:r>
          <w:r>
            <w:fldChar w:fldCharType="end"/>
          </w:r>
        </w:p>
        <w:p w14:paraId="54EAEF50">
          <w:pPr>
            <w:pStyle w:val="17"/>
            <w:tabs>
              <w:tab w:val="right" w:leader="dot" w:pos="8306"/>
            </w:tabs>
          </w:pPr>
          <w:r>
            <w:fldChar w:fldCharType="begin"/>
          </w:r>
          <w:r>
            <w:instrText xml:space="preserve"> HYPERLINK \l _Toc2269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_Toc2269 \h </w:instrText>
          </w:r>
          <w:r>
            <w:fldChar w:fldCharType="separate"/>
          </w:r>
          <w:r>
            <w:t>50</w:t>
          </w:r>
          <w:r>
            <w:fldChar w:fldCharType="end"/>
          </w:r>
          <w:r>
            <w:fldChar w:fldCharType="end"/>
          </w:r>
        </w:p>
        <w:p w14:paraId="2A40749B">
          <w:pPr>
            <w:pStyle w:val="17"/>
            <w:tabs>
              <w:tab w:val="right" w:leader="dot" w:pos="8306"/>
            </w:tabs>
          </w:pPr>
          <w:r>
            <w:fldChar w:fldCharType="begin"/>
          </w:r>
          <w:r>
            <w:instrText xml:space="preserve"> HYPERLINK \l _Toc4171 </w:instrText>
          </w:r>
          <w:r>
            <w:fldChar w:fldCharType="separate"/>
          </w:r>
          <w:r>
            <w:rPr>
              <w:rFonts w:hint="eastAsia"/>
            </w:rPr>
            <w:t xml:space="preserve">11.7 </w:t>
          </w:r>
          <w:r>
            <w:t>基金租用证券公司交易单元的有关情况</w:t>
          </w:r>
          <w:r>
            <w:tab/>
          </w:r>
          <w:r>
            <w:fldChar w:fldCharType="begin"/>
          </w:r>
          <w:r>
            <w:instrText xml:space="preserve"> PAGEREF _Toc4171 \h </w:instrText>
          </w:r>
          <w:r>
            <w:fldChar w:fldCharType="separate"/>
          </w:r>
          <w:r>
            <w:t>51</w:t>
          </w:r>
          <w:r>
            <w:fldChar w:fldCharType="end"/>
          </w:r>
          <w:r>
            <w:fldChar w:fldCharType="end"/>
          </w:r>
        </w:p>
        <w:p w14:paraId="6830C775">
          <w:pPr>
            <w:pStyle w:val="17"/>
            <w:tabs>
              <w:tab w:val="right" w:leader="dot" w:pos="8306"/>
            </w:tabs>
          </w:pPr>
          <w:r>
            <w:fldChar w:fldCharType="begin"/>
          </w:r>
          <w:r>
            <w:instrText xml:space="preserve"> HYPERLINK \l _Toc27312 </w:instrText>
          </w:r>
          <w:r>
            <w:fldChar w:fldCharType="separate"/>
          </w:r>
          <w:r>
            <w:rPr>
              <w:rFonts w:hint="eastAsia"/>
            </w:rPr>
            <w:t xml:space="preserve">11.8 </w:t>
          </w:r>
          <w:r>
            <w:t>其他重大事件</w:t>
          </w:r>
          <w:r>
            <w:tab/>
          </w:r>
          <w:r>
            <w:fldChar w:fldCharType="begin"/>
          </w:r>
          <w:r>
            <w:instrText xml:space="preserve"> PAGEREF _Toc27312 \h </w:instrText>
          </w:r>
          <w:r>
            <w:fldChar w:fldCharType="separate"/>
          </w:r>
          <w:r>
            <w:t>52</w:t>
          </w:r>
          <w:r>
            <w:fldChar w:fldCharType="end"/>
          </w:r>
          <w:r>
            <w:fldChar w:fldCharType="end"/>
          </w:r>
        </w:p>
        <w:p w14:paraId="3A75E422">
          <w:pPr>
            <w:pStyle w:val="15"/>
            <w:tabs>
              <w:tab w:val="right" w:leader="dot" w:pos="8306"/>
            </w:tabs>
          </w:pPr>
          <w:r>
            <w:fldChar w:fldCharType="begin"/>
          </w:r>
          <w:r>
            <w:instrText xml:space="preserve"> HYPERLINK \l _Toc16100 </w:instrText>
          </w:r>
          <w:r>
            <w:fldChar w:fldCharType="separate"/>
          </w:r>
          <w:r>
            <w:rPr>
              <w:rFonts w:hint="eastAsia"/>
            </w:rPr>
            <w:t xml:space="preserve">§12 </w:t>
          </w:r>
          <w:r>
            <w:t>影响投资者决策的其他重要信息</w:t>
          </w:r>
          <w:r>
            <w:tab/>
          </w:r>
          <w:r>
            <w:fldChar w:fldCharType="begin"/>
          </w:r>
          <w:r>
            <w:instrText xml:space="preserve"> PAGEREF _Toc16100 \h </w:instrText>
          </w:r>
          <w:r>
            <w:fldChar w:fldCharType="separate"/>
          </w:r>
          <w:r>
            <w:t>53</w:t>
          </w:r>
          <w:r>
            <w:fldChar w:fldCharType="end"/>
          </w:r>
          <w:r>
            <w:fldChar w:fldCharType="end"/>
          </w:r>
        </w:p>
        <w:p w14:paraId="161D2718">
          <w:pPr>
            <w:pStyle w:val="17"/>
            <w:tabs>
              <w:tab w:val="right" w:leader="dot" w:pos="8306"/>
            </w:tabs>
          </w:pPr>
          <w:r>
            <w:fldChar w:fldCharType="begin"/>
          </w:r>
          <w:r>
            <w:instrText xml:space="preserve"> HYPERLINK \l _Toc14283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_Toc14283 \h </w:instrText>
          </w:r>
          <w:r>
            <w:fldChar w:fldCharType="separate"/>
          </w:r>
          <w:r>
            <w:t>53</w:t>
          </w:r>
          <w:r>
            <w:fldChar w:fldCharType="end"/>
          </w:r>
          <w:r>
            <w:fldChar w:fldCharType="end"/>
          </w:r>
        </w:p>
        <w:p w14:paraId="2530CC54">
          <w:pPr>
            <w:pStyle w:val="17"/>
            <w:tabs>
              <w:tab w:val="right" w:leader="dot" w:pos="8306"/>
            </w:tabs>
          </w:pPr>
          <w:r>
            <w:fldChar w:fldCharType="begin"/>
          </w:r>
          <w:r>
            <w:instrText xml:space="preserve"> HYPERLINK \l _Toc19836 </w:instrText>
          </w:r>
          <w:r>
            <w:fldChar w:fldCharType="separate"/>
          </w:r>
          <w:r>
            <w:rPr>
              <w:rFonts w:hint="eastAsia"/>
            </w:rPr>
            <w:t xml:space="preserve">12.2 </w:t>
          </w:r>
          <w:r>
            <w:t>影响投资者决策的其他重要信息</w:t>
          </w:r>
          <w:r>
            <w:tab/>
          </w:r>
          <w:r>
            <w:fldChar w:fldCharType="begin"/>
          </w:r>
          <w:r>
            <w:instrText xml:space="preserve"> PAGEREF _Toc19836 \h </w:instrText>
          </w:r>
          <w:r>
            <w:fldChar w:fldCharType="separate"/>
          </w:r>
          <w:r>
            <w:t>54</w:t>
          </w:r>
          <w:r>
            <w:fldChar w:fldCharType="end"/>
          </w:r>
          <w:r>
            <w:fldChar w:fldCharType="end"/>
          </w:r>
        </w:p>
        <w:p w14:paraId="4CF429EE">
          <w:pPr>
            <w:pStyle w:val="15"/>
            <w:tabs>
              <w:tab w:val="right" w:leader="dot" w:pos="8306"/>
            </w:tabs>
          </w:pPr>
          <w:r>
            <w:fldChar w:fldCharType="begin"/>
          </w:r>
          <w:r>
            <w:instrText xml:space="preserve"> HYPERLINK \l _Toc10345 </w:instrText>
          </w:r>
          <w:r>
            <w:fldChar w:fldCharType="separate"/>
          </w:r>
          <w:r>
            <w:rPr>
              <w:rFonts w:hint="eastAsia"/>
            </w:rPr>
            <w:t xml:space="preserve">§13 </w:t>
          </w:r>
          <w:r>
            <w:t>备查文件目录</w:t>
          </w:r>
          <w:r>
            <w:tab/>
          </w:r>
          <w:r>
            <w:fldChar w:fldCharType="begin"/>
          </w:r>
          <w:r>
            <w:instrText xml:space="preserve"> PAGEREF _Toc10345 \h </w:instrText>
          </w:r>
          <w:r>
            <w:fldChar w:fldCharType="separate"/>
          </w:r>
          <w:r>
            <w:t>54</w:t>
          </w:r>
          <w:r>
            <w:fldChar w:fldCharType="end"/>
          </w:r>
          <w:r>
            <w:fldChar w:fldCharType="end"/>
          </w:r>
        </w:p>
        <w:p w14:paraId="3B02E162">
          <w:pPr>
            <w:pStyle w:val="17"/>
            <w:tabs>
              <w:tab w:val="right" w:leader="dot" w:pos="8306"/>
            </w:tabs>
          </w:pPr>
          <w:r>
            <w:fldChar w:fldCharType="begin"/>
          </w:r>
          <w:r>
            <w:instrText xml:space="preserve"> HYPERLINK \l _Toc11285 </w:instrText>
          </w:r>
          <w:r>
            <w:fldChar w:fldCharType="separate"/>
          </w:r>
          <w:r>
            <w:rPr>
              <w:rFonts w:hint="eastAsia"/>
            </w:rPr>
            <w:t xml:space="preserve">13.1 </w:t>
          </w:r>
          <w:r>
            <w:t>备查文件目录</w:t>
          </w:r>
          <w:r>
            <w:tab/>
          </w:r>
          <w:r>
            <w:fldChar w:fldCharType="begin"/>
          </w:r>
          <w:r>
            <w:instrText xml:space="preserve"> PAGEREF _Toc11285 \h </w:instrText>
          </w:r>
          <w:r>
            <w:fldChar w:fldCharType="separate"/>
          </w:r>
          <w:r>
            <w:t>54</w:t>
          </w:r>
          <w:r>
            <w:fldChar w:fldCharType="end"/>
          </w:r>
          <w:r>
            <w:fldChar w:fldCharType="end"/>
          </w:r>
        </w:p>
        <w:p w14:paraId="22E9EF5D">
          <w:pPr>
            <w:pStyle w:val="17"/>
            <w:tabs>
              <w:tab w:val="right" w:leader="dot" w:pos="8306"/>
            </w:tabs>
          </w:pPr>
          <w:r>
            <w:fldChar w:fldCharType="begin"/>
          </w:r>
          <w:r>
            <w:instrText xml:space="preserve"> HYPERLINK \l _Toc27244 </w:instrText>
          </w:r>
          <w:r>
            <w:fldChar w:fldCharType="separate"/>
          </w:r>
          <w:r>
            <w:rPr>
              <w:rFonts w:hint="eastAsia"/>
            </w:rPr>
            <w:t xml:space="preserve">13.2 </w:t>
          </w:r>
          <w:r>
            <w:t>存放地点</w:t>
          </w:r>
          <w:r>
            <w:tab/>
          </w:r>
          <w:r>
            <w:fldChar w:fldCharType="begin"/>
          </w:r>
          <w:r>
            <w:instrText xml:space="preserve"> PAGEREF _Toc27244 \h </w:instrText>
          </w:r>
          <w:r>
            <w:fldChar w:fldCharType="separate"/>
          </w:r>
          <w:r>
            <w:t>54</w:t>
          </w:r>
          <w:r>
            <w:fldChar w:fldCharType="end"/>
          </w:r>
          <w:r>
            <w:fldChar w:fldCharType="end"/>
          </w:r>
        </w:p>
        <w:p w14:paraId="422DC6D9">
          <w:pPr>
            <w:pStyle w:val="17"/>
            <w:tabs>
              <w:tab w:val="right" w:leader="dot" w:pos="8306"/>
            </w:tabs>
          </w:pPr>
          <w:r>
            <w:fldChar w:fldCharType="begin"/>
          </w:r>
          <w:r>
            <w:instrText xml:space="preserve"> HYPERLINK \l _Toc32584 </w:instrText>
          </w:r>
          <w:r>
            <w:fldChar w:fldCharType="separate"/>
          </w:r>
          <w:r>
            <w:rPr>
              <w:rFonts w:hint="eastAsia"/>
            </w:rPr>
            <w:t xml:space="preserve">13.3 </w:t>
          </w:r>
          <w:r>
            <w:t>查阅方式</w:t>
          </w:r>
          <w:r>
            <w:tab/>
          </w:r>
          <w:r>
            <w:fldChar w:fldCharType="begin"/>
          </w:r>
          <w:r>
            <w:instrText xml:space="preserve"> PAGEREF _Toc32584 \h </w:instrText>
          </w:r>
          <w:r>
            <w:fldChar w:fldCharType="separate"/>
          </w:r>
          <w:r>
            <w:t>54</w:t>
          </w:r>
          <w:r>
            <w:fldChar w:fldCharType="end"/>
          </w:r>
          <w:r>
            <w:fldChar w:fldCharType="end"/>
          </w:r>
        </w:p>
        <w:p w14:paraId="551218D5">
          <w:r>
            <w:fldChar w:fldCharType="end"/>
          </w:r>
        </w:p>
      </w:sdtContent>
    </w:sdt>
    <w:p w14:paraId="041FFECB">
      <w:pPr>
        <w:pStyle w:val="33"/>
        <w:pageBreakBefore/>
      </w:pPr>
      <w:bookmarkStart w:id="5" w:name="_Toc23575"/>
      <w:r>
        <w:t>基金简介</w:t>
      </w:r>
      <w:bookmarkEnd w:id="5"/>
    </w:p>
    <w:p w14:paraId="47FEAE41">
      <w:pPr>
        <w:pStyle w:val="30"/>
      </w:pPr>
      <w:bookmarkStart w:id="6" w:name="_Toc6001"/>
      <w:r>
        <w:t>基金基本情况</w:t>
      </w:r>
      <w:bookmarkEnd w:id="6"/>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22ED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997735">
            <w:r>
              <w:rPr>
                <w:rFonts w:hint="eastAsia"/>
              </w:rPr>
              <w:t>基金名称</w:t>
            </w:r>
          </w:p>
        </w:tc>
        <w:tc>
          <w:tcPr>
            <w:tcW w:w="4590" w:type="dxa"/>
            <w:vAlign w:val="center"/>
          </w:tcPr>
          <w:p w14:paraId="3A6C1912">
            <w:r>
              <w:rPr>
                <w:rFonts w:hint="eastAsia"/>
              </w:rPr>
              <w:t>南方恒庆一年定期开放债券型证券投资基金</w:t>
            </w:r>
          </w:p>
        </w:tc>
      </w:tr>
      <w:tr w14:paraId="4157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A720BD">
            <w:r>
              <w:rPr>
                <w:rFonts w:hint="eastAsia"/>
              </w:rPr>
              <w:t>基金简称</w:t>
            </w:r>
          </w:p>
        </w:tc>
        <w:tc>
          <w:tcPr>
            <w:tcW w:w="4590" w:type="dxa"/>
            <w:vAlign w:val="center"/>
          </w:tcPr>
          <w:p w14:paraId="53BCB344">
            <w:r>
              <w:rPr>
                <w:rFonts w:hint="eastAsia"/>
              </w:rPr>
              <w:t>南方恒庆一年定开债券</w:t>
            </w:r>
          </w:p>
        </w:tc>
      </w:tr>
      <w:tr w14:paraId="2A4C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AEE39F6">
            <w:r>
              <w:rPr>
                <w:rFonts w:hint="eastAsia"/>
              </w:rPr>
              <w:t>基金主代码</w:t>
            </w:r>
          </w:p>
        </w:tc>
        <w:tc>
          <w:tcPr>
            <w:tcW w:w="4590" w:type="dxa"/>
            <w:vAlign w:val="center"/>
          </w:tcPr>
          <w:p w14:paraId="5657FA52">
            <w:r>
              <w:rPr>
                <w:rFonts w:hint="eastAsia"/>
              </w:rPr>
              <w:t>007161</w:t>
            </w:r>
          </w:p>
        </w:tc>
      </w:tr>
      <w:tr w14:paraId="11EE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DAE029C">
            <w:r>
              <w:rPr>
                <w:rFonts w:hint="eastAsia"/>
              </w:rPr>
              <w:t>交易代码</w:t>
            </w:r>
          </w:p>
        </w:tc>
        <w:tc>
          <w:tcPr>
            <w:tcW w:w="4590" w:type="dxa"/>
            <w:vAlign w:val="center"/>
          </w:tcPr>
          <w:p w14:paraId="34C7AD2A">
            <w:r>
              <w:rPr>
                <w:rFonts w:hint="eastAsia"/>
              </w:rPr>
              <w:t>007161</w:t>
            </w:r>
          </w:p>
        </w:tc>
      </w:tr>
      <w:tr w14:paraId="0825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AC6664">
            <w:r>
              <w:rPr>
                <w:rFonts w:hint="eastAsia"/>
              </w:rPr>
              <w:t>基金运作方式</w:t>
            </w:r>
          </w:p>
        </w:tc>
        <w:tc>
          <w:tcPr>
            <w:tcW w:w="4590" w:type="dxa"/>
            <w:vAlign w:val="center"/>
          </w:tcPr>
          <w:p w14:paraId="6ABE566F">
            <w:r>
              <w:rPr>
                <w:rFonts w:hint="eastAsia"/>
              </w:rPr>
              <w:t>契约型开放式</w:t>
            </w:r>
          </w:p>
        </w:tc>
      </w:tr>
      <w:tr w14:paraId="1EBB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233A4E">
            <w:r>
              <w:rPr>
                <w:rFonts w:hint="eastAsia"/>
              </w:rPr>
              <w:t>基金合同生效日</w:t>
            </w:r>
          </w:p>
        </w:tc>
        <w:tc>
          <w:tcPr>
            <w:tcW w:w="4590" w:type="dxa"/>
            <w:vAlign w:val="center"/>
          </w:tcPr>
          <w:p w14:paraId="11B6F467">
            <w:r>
              <w:rPr>
                <w:rFonts w:hint="eastAsia"/>
              </w:rPr>
              <w:t>2019年5月21日</w:t>
            </w:r>
          </w:p>
        </w:tc>
      </w:tr>
      <w:tr w14:paraId="122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36DD2B">
            <w:r>
              <w:rPr>
                <w:rFonts w:hint="eastAsia"/>
              </w:rPr>
              <w:t>基金管理人</w:t>
            </w:r>
          </w:p>
        </w:tc>
        <w:tc>
          <w:tcPr>
            <w:tcW w:w="4590" w:type="dxa"/>
            <w:vAlign w:val="center"/>
          </w:tcPr>
          <w:p w14:paraId="47F06D0E">
            <w:r>
              <w:rPr>
                <w:rFonts w:hint="eastAsia"/>
              </w:rPr>
              <w:t>南方基金管理股份有限公司</w:t>
            </w:r>
          </w:p>
        </w:tc>
      </w:tr>
      <w:tr w14:paraId="4AB1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B26B4CA">
            <w:r>
              <w:rPr>
                <w:rFonts w:hint="eastAsia"/>
              </w:rPr>
              <w:t>基金托管人</w:t>
            </w:r>
          </w:p>
        </w:tc>
        <w:tc>
          <w:tcPr>
            <w:tcW w:w="4590" w:type="dxa"/>
            <w:vAlign w:val="center"/>
          </w:tcPr>
          <w:p w14:paraId="346F331F">
            <w:r>
              <w:rPr>
                <w:rFonts w:hint="eastAsia"/>
              </w:rPr>
              <w:t>交通银行股份有限公司</w:t>
            </w:r>
          </w:p>
        </w:tc>
      </w:tr>
      <w:tr w14:paraId="2E9B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132F30A">
            <w:r>
              <w:rPr>
                <w:rFonts w:hint="eastAsia"/>
              </w:rPr>
              <w:t>报告期末基金份额总额</w:t>
            </w:r>
          </w:p>
        </w:tc>
        <w:tc>
          <w:tcPr>
            <w:tcW w:w="4590" w:type="dxa"/>
            <w:vAlign w:val="center"/>
          </w:tcPr>
          <w:p w14:paraId="7245C914">
            <w:r>
              <w:rPr>
                <w:rFonts w:hint="eastAsia"/>
              </w:rPr>
              <w:t>33,451,303.63份</w:t>
            </w:r>
          </w:p>
        </w:tc>
      </w:tr>
      <w:tr w14:paraId="736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EE47C34">
            <w:r>
              <w:rPr>
                <w:rFonts w:hint="eastAsia"/>
              </w:rPr>
              <w:t>基金合同存续期</w:t>
            </w:r>
          </w:p>
        </w:tc>
        <w:tc>
          <w:tcPr>
            <w:tcW w:w="4590" w:type="dxa"/>
            <w:vAlign w:val="center"/>
          </w:tcPr>
          <w:p w14:paraId="78C8134E">
            <w:r>
              <w:rPr>
                <w:rFonts w:hint="eastAsia"/>
              </w:rPr>
              <w:t>不定期</w:t>
            </w:r>
          </w:p>
        </w:tc>
      </w:tr>
    </w:tbl>
    <w:p w14:paraId="2F424F94">
      <w:pPr>
        <w:pStyle w:val="54"/>
        <w:rPr>
          <w:rFonts w:hint="eastAsia"/>
        </w:rPr>
      </w:pPr>
      <w:r>
        <w:rPr>
          <w:rFonts w:hint="eastAsia"/>
        </w:rPr>
        <w:t>注：1、南方恒庆已于2020年5月16日发布《关于南方恒庆一年定期开放债券型证券投资基金第一个封闭期到期后暂停运作、不开放申购及转换转入等安排的公告》，基金管理人决定本基金第一个封闭期到期后暂停运作，暂不开放申购及转换转入业务。本基金A类和C类基金份额将于本期封闭期结束之日的下一个工作日（即2020年5月21日）全部自动赎回。</w:t>
      </w:r>
    </w:p>
    <w:p w14:paraId="77C0F267">
      <w:pPr>
        <w:pStyle w:val="54"/>
        <w:rPr>
          <w:rFonts w:hint="eastAsia"/>
        </w:rPr>
      </w:pPr>
      <w:r>
        <w:tab/>
      </w:r>
      <w:r>
        <w:rPr>
          <w:rFonts w:hint="eastAsia"/>
        </w:rPr>
        <w:t>2、南方恒庆已于2020年8月22日发布《关于南方恒庆一年定期开放债券型证券投资基金重启运作并开放申购、转换转入业务的公告》，基金管理人决定自2020年8月25日起重启本基金的运作并开放申购、转换转入业务。A类份额于2020年8月27日重启，C类份额无持有人。</w:t>
      </w:r>
    </w:p>
    <w:p w14:paraId="5E91758C">
      <w:pPr>
        <w:pStyle w:val="54"/>
        <w:rPr>
          <w:rFonts w:hint="eastAsia"/>
        </w:rPr>
      </w:pPr>
      <w:r>
        <w:tab/>
      </w:r>
      <w:r>
        <w:rPr>
          <w:rFonts w:hint="eastAsia"/>
        </w:rPr>
        <w:t>3、南方恒庆已于2021年9月3日发布《关于南方恒庆一年定期开放债券型证券投资基金第二个封闭期到期后暂停运作、不开放申购及转换转入等安排的公告》，基金管理人决定本基金第二个封闭期到期后暂停运作，暂不开放申购及转换转入业务。本基金A类和C类基金份额将于本期封闭期结束之日的下一个工作日（即2021年9月8日）全部自动赎回。</w:t>
      </w:r>
    </w:p>
    <w:p w14:paraId="572206FE">
      <w:pPr>
        <w:pStyle w:val="54"/>
        <w:rPr>
          <w:rFonts w:hint="eastAsia"/>
        </w:rPr>
      </w:pPr>
      <w:r>
        <w:tab/>
      </w:r>
      <w:r>
        <w:rPr>
          <w:rFonts w:hint="eastAsia"/>
        </w:rPr>
        <w:t>4、南方恒庆已于2022年1月21日发布《关于南方恒庆一年定期开放债券型证券投资基金减少C类基金份额并修改基金合同的公告》，基金管理人决定于2022年1月26日起对该基金减少C类基金份额。</w:t>
      </w:r>
    </w:p>
    <w:p w14:paraId="7703BB7A">
      <w:pPr>
        <w:pStyle w:val="54"/>
        <w:rPr>
          <w:rFonts w:hint="eastAsia"/>
        </w:rPr>
      </w:pPr>
      <w:r>
        <w:tab/>
      </w:r>
      <w:r>
        <w:rPr>
          <w:rFonts w:hint="eastAsia"/>
        </w:rPr>
        <w:t>5、南方恒庆已于2022年11月25日发布《关于南方恒庆一年定期开放债券型证券投资基金重启运作并开放申购、转换转入业务的公告》，基金管理人决定自2022年11月28日起重启本基金的运作并开放申购、转换转入业务。</w:t>
      </w:r>
    </w:p>
    <w:p w14:paraId="07CDFEFA">
      <w:pPr>
        <w:pStyle w:val="30"/>
      </w:pPr>
      <w:bookmarkStart w:id="7" w:name="_Toc26947"/>
      <w:r>
        <w:t>基金产品说明</w:t>
      </w:r>
      <w:bookmarkEnd w:id="7"/>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D80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355607">
            <w:r>
              <w:rPr>
                <w:rFonts w:hint="eastAsia"/>
              </w:rPr>
              <w:t>投资目标</w:t>
            </w:r>
          </w:p>
        </w:tc>
        <w:tc>
          <w:tcPr>
            <w:tcW w:w="6644" w:type="dxa"/>
            <w:vAlign w:val="center"/>
          </w:tcPr>
          <w:p w14:paraId="7775148C">
            <w:pPr>
              <w:jc w:val="both"/>
            </w:pPr>
            <w:r>
              <w:rPr>
                <w:rFonts w:hint="eastAsia"/>
              </w:rPr>
              <w:t>本基金封闭期内采取买入持有到期投资策略，投资于剩余期限（或回售期限）不超过基金剩余封闭期的固定收益类工具，力求基金资产的稳健增值。</w:t>
            </w:r>
          </w:p>
        </w:tc>
      </w:tr>
      <w:tr w14:paraId="6930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D66BD">
            <w:r>
              <w:rPr>
                <w:rFonts w:hint="eastAsia"/>
              </w:rPr>
              <w:t>投资策略</w:t>
            </w:r>
          </w:p>
        </w:tc>
        <w:tc>
          <w:tcPr>
            <w:tcW w:w="6644" w:type="dxa"/>
            <w:vAlign w:val="center"/>
          </w:tcPr>
          <w:p w14:paraId="10B9E465">
            <w:pPr>
              <w:jc w:val="both"/>
            </w:pPr>
            <w:r>
              <w:rPr>
                <w:rFonts w:hint="eastAsia"/>
              </w:rPr>
              <w:t>本基金由于封闭期内采用买入持有到期投资策略，因此，个券精选是本基金投资策略的重要组成部分。信用债券相对央票、国债等利率产品的信用利差是本基金获取较高投资收益的来源。本基金将在南方基金内部信用评级的基础上和内部信用风险控制的框架下，根据对宏观经济形势、发行人公司所在行业状况、以及公司自身在行业内的竞争力、公司财务状况和现金流状况、公司治理等信息，进一步结合债券发行具体条款对债券进行分析，评估信用风险溢价，发掘具备相对价值的个券。</w:t>
            </w:r>
          </w:p>
        </w:tc>
      </w:tr>
      <w:tr w14:paraId="0908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FE104">
            <w:r>
              <w:rPr>
                <w:rFonts w:hint="eastAsia"/>
              </w:rPr>
              <w:t>业绩比较基准</w:t>
            </w:r>
          </w:p>
        </w:tc>
        <w:tc>
          <w:tcPr>
            <w:tcW w:w="6644" w:type="dxa"/>
            <w:vAlign w:val="center"/>
          </w:tcPr>
          <w:p w14:paraId="7224AFB9">
            <w:pPr>
              <w:jc w:val="both"/>
              <w:rPr>
                <w:rFonts w:hint="eastAsia"/>
              </w:rPr>
            </w:pPr>
            <w:r>
              <w:rPr>
                <w:rFonts w:hint="eastAsia"/>
              </w:rPr>
              <w:t>在每个封闭期，本基金的业绩比较基准为该封闭期起始日公布的一年期定期存款利率（税后）+1.5%。
</w:t>
            </w:r>
            <w:r>
              <w:rPr>
                <w:rFonts w:hint="eastAsia"/>
              </w:rPr>
              <w:br w:type="textWrapping"/>
            </w:r>
            <w:r>
              <w:rPr>
                <w:rFonts w:hint="eastAsia"/>
              </w:rPr>
              <w:t>一年期定期存款利率采用每个封闭期起始日中国人民银行公布的金融机构人民币一年期存款基准利率。</w:t>
            </w:r>
          </w:p>
        </w:tc>
      </w:tr>
      <w:tr w14:paraId="039F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9B993">
            <w:r>
              <w:rPr>
                <w:rFonts w:hint="eastAsia"/>
              </w:rPr>
              <w:t>风险收益特征</w:t>
            </w:r>
          </w:p>
        </w:tc>
        <w:tc>
          <w:tcPr>
            <w:tcW w:w="6644" w:type="dxa"/>
            <w:vAlign w:val="center"/>
          </w:tcPr>
          <w:p w14:paraId="424CDE8B">
            <w:r>
              <w:rPr>
                <w:rFonts w:hint="eastAsia"/>
              </w:rPr>
              <w:t>本基金为债券型基金，一般而言，其长期平均风险和预期收益率低于股票型基金、混合型基金，高于货币市场基金。</w:t>
            </w:r>
          </w:p>
        </w:tc>
      </w:tr>
    </w:tbl>
    <w:p w14:paraId="39428AEB">
      <w:pPr>
        <w:pStyle w:val="30"/>
      </w:pPr>
      <w:bookmarkStart w:id="8" w:name="_Toc17308"/>
      <w:r>
        <w:t>基金管理人和基金托管人</w:t>
      </w:r>
      <w:bookmarkEnd w:id="8"/>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367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DDBC7D">
            <w:r>
              <w:rPr>
                <w:rFonts w:hint="eastAsia"/>
              </w:rPr>
              <w:t>项目</w:t>
            </w:r>
          </w:p>
        </w:tc>
        <w:tc>
          <w:tcPr>
            <w:tcW w:w="2270" w:type="dxa"/>
            <w:vAlign w:val="center"/>
          </w:tcPr>
          <w:p w14:paraId="786C64EA">
            <w:r>
              <w:rPr>
                <w:rFonts w:hint="eastAsia"/>
              </w:rPr>
              <w:t>基金管理人</w:t>
            </w:r>
          </w:p>
        </w:tc>
        <w:tc>
          <w:tcPr>
            <w:tcW w:w="2990" w:type="dxa"/>
            <w:vAlign w:val="center"/>
          </w:tcPr>
          <w:p w14:paraId="48F66DAD">
            <w:r>
              <w:rPr>
                <w:rFonts w:hint="eastAsia"/>
              </w:rPr>
              <w:t>基金托管人</w:t>
            </w:r>
          </w:p>
        </w:tc>
      </w:tr>
      <w:tr w14:paraId="5031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37A4F5">
            <w:r>
              <w:rPr>
                <w:rFonts w:hint="eastAsia"/>
              </w:rPr>
              <w:t>名称</w:t>
            </w:r>
          </w:p>
        </w:tc>
        <w:tc>
          <w:tcPr>
            <w:tcW w:w="2270" w:type="dxa"/>
            <w:vAlign w:val="center"/>
          </w:tcPr>
          <w:p w14:paraId="745A0A97">
            <w:r>
              <w:rPr>
                <w:rFonts w:hint="eastAsia"/>
              </w:rPr>
              <w:t>南方基金管理股份有限公司</w:t>
            </w:r>
          </w:p>
        </w:tc>
        <w:tc>
          <w:tcPr>
            <w:tcW w:w="2990" w:type="dxa"/>
            <w:vAlign w:val="center"/>
          </w:tcPr>
          <w:p w14:paraId="1C2AC9F7">
            <w:r>
              <w:rPr>
                <w:rFonts w:hint="eastAsia"/>
              </w:rPr>
              <w:t>交通银行股份有限公司</w:t>
            </w:r>
          </w:p>
        </w:tc>
      </w:tr>
      <w:tr w14:paraId="377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8CD737">
            <w:r>
              <w:rPr>
                <w:rFonts w:hint="eastAsia"/>
              </w:rPr>
              <w:t>信息披露负责人</w:t>
            </w:r>
          </w:p>
        </w:tc>
        <w:tc>
          <w:tcPr>
            <w:tcW w:w="1384" w:type="dxa"/>
            <w:vAlign w:val="center"/>
          </w:tcPr>
          <w:p w14:paraId="3E7BB668">
            <w:r>
              <w:rPr>
                <w:rFonts w:hint="eastAsia"/>
              </w:rPr>
              <w:t>姓名</w:t>
            </w:r>
          </w:p>
        </w:tc>
        <w:tc>
          <w:tcPr>
            <w:tcW w:w="2270" w:type="dxa"/>
            <w:vAlign w:val="center"/>
          </w:tcPr>
          <w:p w14:paraId="62D39085">
            <w:r>
              <w:rPr>
                <w:rFonts w:hint="eastAsia"/>
              </w:rPr>
              <w:t>鲍文革</w:t>
            </w:r>
          </w:p>
        </w:tc>
        <w:tc>
          <w:tcPr>
            <w:tcW w:w="2990" w:type="dxa"/>
            <w:vAlign w:val="center"/>
          </w:tcPr>
          <w:p w14:paraId="66859246">
            <w:r>
              <w:rPr>
                <w:rFonts w:hint="eastAsia"/>
              </w:rPr>
              <w:t>方圆</w:t>
            </w:r>
          </w:p>
        </w:tc>
      </w:tr>
      <w:tr w14:paraId="09AC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0F55B7"/>
        </w:tc>
        <w:tc>
          <w:tcPr>
            <w:tcW w:w="1384" w:type="dxa"/>
            <w:vAlign w:val="center"/>
          </w:tcPr>
          <w:p w14:paraId="4D10FD03">
            <w:r>
              <w:rPr>
                <w:rFonts w:hint="eastAsia"/>
              </w:rPr>
              <w:t>联系电话</w:t>
            </w:r>
          </w:p>
        </w:tc>
        <w:tc>
          <w:tcPr>
            <w:tcW w:w="2270" w:type="dxa"/>
            <w:vAlign w:val="center"/>
          </w:tcPr>
          <w:p w14:paraId="08ACD282">
            <w:r>
              <w:rPr>
                <w:rFonts w:hint="eastAsia"/>
              </w:rPr>
              <w:t>0755-82763888</w:t>
            </w:r>
          </w:p>
        </w:tc>
        <w:tc>
          <w:tcPr>
            <w:tcW w:w="2990" w:type="dxa"/>
            <w:vAlign w:val="center"/>
          </w:tcPr>
          <w:p w14:paraId="5D44F71B">
            <w:r>
              <w:rPr>
                <w:rFonts w:hint="eastAsia"/>
              </w:rPr>
              <w:t>95559</w:t>
            </w:r>
          </w:p>
        </w:tc>
      </w:tr>
      <w:tr w14:paraId="6AC4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6760E3"/>
        </w:tc>
        <w:tc>
          <w:tcPr>
            <w:tcW w:w="1384" w:type="dxa"/>
            <w:vAlign w:val="center"/>
          </w:tcPr>
          <w:p w14:paraId="2FE19C52">
            <w:r>
              <w:rPr>
                <w:rFonts w:hint="eastAsia"/>
              </w:rPr>
              <w:t>电子邮箱</w:t>
            </w:r>
          </w:p>
        </w:tc>
        <w:tc>
          <w:tcPr>
            <w:tcW w:w="2270" w:type="dxa"/>
            <w:vAlign w:val="center"/>
          </w:tcPr>
          <w:p w14:paraId="50A07339">
            <w:r>
              <w:rPr>
                <w:rFonts w:hint="eastAsia"/>
              </w:rPr>
              <w:t>manager@southernfund.com</w:t>
            </w:r>
          </w:p>
        </w:tc>
        <w:tc>
          <w:tcPr>
            <w:tcW w:w="2990" w:type="dxa"/>
            <w:vAlign w:val="center"/>
          </w:tcPr>
          <w:p w14:paraId="1FDAC5D4">
            <w:r>
              <w:rPr>
                <w:rFonts w:hint="eastAsia"/>
              </w:rPr>
              <w:t>fangy_20@bankcomm.com</w:t>
            </w:r>
          </w:p>
        </w:tc>
      </w:tr>
      <w:tr w14:paraId="065F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AE27C8">
            <w:r>
              <w:rPr>
                <w:rFonts w:hint="eastAsia"/>
              </w:rPr>
              <w:t>客户服务电话</w:t>
            </w:r>
          </w:p>
        </w:tc>
        <w:tc>
          <w:tcPr>
            <w:tcW w:w="2270" w:type="dxa"/>
            <w:vAlign w:val="center"/>
          </w:tcPr>
          <w:p w14:paraId="0FAAB853">
            <w:r>
              <w:rPr>
                <w:rFonts w:hint="eastAsia"/>
              </w:rPr>
              <w:t>400-889-8899</w:t>
            </w:r>
          </w:p>
        </w:tc>
        <w:tc>
          <w:tcPr>
            <w:tcW w:w="2990" w:type="dxa"/>
            <w:vAlign w:val="center"/>
          </w:tcPr>
          <w:p w14:paraId="46715104">
            <w:r>
              <w:rPr>
                <w:rFonts w:hint="eastAsia"/>
              </w:rPr>
              <w:t>95559</w:t>
            </w:r>
          </w:p>
        </w:tc>
      </w:tr>
      <w:tr w14:paraId="7190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A8846F">
            <w:r>
              <w:rPr>
                <w:rFonts w:hint="eastAsia"/>
              </w:rPr>
              <w:t>传真</w:t>
            </w:r>
          </w:p>
        </w:tc>
        <w:tc>
          <w:tcPr>
            <w:tcW w:w="2270" w:type="dxa"/>
            <w:vAlign w:val="center"/>
          </w:tcPr>
          <w:p w14:paraId="4C2BE07E">
            <w:r>
              <w:rPr>
                <w:rFonts w:hint="eastAsia"/>
              </w:rPr>
              <w:t>0755-82763889</w:t>
            </w:r>
          </w:p>
        </w:tc>
        <w:tc>
          <w:tcPr>
            <w:tcW w:w="2990" w:type="dxa"/>
            <w:vAlign w:val="center"/>
          </w:tcPr>
          <w:p w14:paraId="06981C1E">
            <w:r>
              <w:rPr>
                <w:rFonts w:hint="eastAsia"/>
              </w:rPr>
              <w:t>021-62701216</w:t>
            </w:r>
          </w:p>
        </w:tc>
      </w:tr>
      <w:tr w14:paraId="5F91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6F7634">
            <w:r>
              <w:rPr>
                <w:rFonts w:hint="eastAsia"/>
              </w:rPr>
              <w:t>注册地址</w:t>
            </w:r>
          </w:p>
        </w:tc>
        <w:tc>
          <w:tcPr>
            <w:tcW w:w="2270" w:type="dxa"/>
            <w:vAlign w:val="center"/>
          </w:tcPr>
          <w:p w14:paraId="5004F012">
            <w:r>
              <w:rPr>
                <w:rFonts w:hint="eastAsia"/>
              </w:rPr>
              <w:t>深圳市福田区莲花街道益田路5999号基金大厦32-42楼</w:t>
            </w:r>
          </w:p>
        </w:tc>
        <w:tc>
          <w:tcPr>
            <w:tcW w:w="2990" w:type="dxa"/>
            <w:vAlign w:val="center"/>
          </w:tcPr>
          <w:p w14:paraId="3E1A8B6A">
            <w:r>
              <w:rPr>
                <w:rFonts w:hint="eastAsia"/>
              </w:rPr>
              <w:t>中国（上海）自由贸易试验区银城中路188号</w:t>
            </w:r>
          </w:p>
        </w:tc>
      </w:tr>
      <w:tr w14:paraId="68F6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DCA7E5">
            <w:r>
              <w:rPr>
                <w:rFonts w:hint="eastAsia"/>
              </w:rPr>
              <w:t>办公地址</w:t>
            </w:r>
          </w:p>
        </w:tc>
        <w:tc>
          <w:tcPr>
            <w:tcW w:w="2270" w:type="dxa"/>
            <w:vAlign w:val="center"/>
          </w:tcPr>
          <w:p w14:paraId="1A0B6A19">
            <w:r>
              <w:rPr>
                <w:rFonts w:hint="eastAsia"/>
              </w:rPr>
              <w:t>深圳市福田区莲花街道益田路5999号基金大厦32-42楼</w:t>
            </w:r>
          </w:p>
        </w:tc>
        <w:tc>
          <w:tcPr>
            <w:tcW w:w="2990" w:type="dxa"/>
            <w:vAlign w:val="center"/>
          </w:tcPr>
          <w:p w14:paraId="4F560289">
            <w:r>
              <w:rPr>
                <w:rFonts w:hint="eastAsia"/>
              </w:rPr>
              <w:t>中国（上海）长宁区仙霞路18号</w:t>
            </w:r>
          </w:p>
        </w:tc>
      </w:tr>
      <w:tr w14:paraId="020E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F9D0F8">
            <w:r>
              <w:rPr>
                <w:rFonts w:hint="eastAsia"/>
              </w:rPr>
              <w:t>邮政编码</w:t>
            </w:r>
          </w:p>
        </w:tc>
        <w:tc>
          <w:tcPr>
            <w:tcW w:w="2270" w:type="dxa"/>
            <w:vAlign w:val="center"/>
          </w:tcPr>
          <w:p w14:paraId="15D3A445">
            <w:r>
              <w:rPr>
                <w:rFonts w:hint="eastAsia"/>
              </w:rPr>
              <w:t>518017</w:t>
            </w:r>
          </w:p>
        </w:tc>
        <w:tc>
          <w:tcPr>
            <w:tcW w:w="2990" w:type="dxa"/>
            <w:vAlign w:val="center"/>
          </w:tcPr>
          <w:p w14:paraId="38D48B69">
            <w:r>
              <w:rPr>
                <w:rFonts w:hint="eastAsia"/>
              </w:rPr>
              <w:t>200336</w:t>
            </w:r>
          </w:p>
        </w:tc>
      </w:tr>
      <w:tr w14:paraId="4875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DAF27A">
            <w:r>
              <w:rPr>
                <w:rFonts w:hint="eastAsia"/>
              </w:rPr>
              <w:t>法定代表人</w:t>
            </w:r>
          </w:p>
        </w:tc>
        <w:tc>
          <w:tcPr>
            <w:tcW w:w="2270" w:type="dxa"/>
            <w:vAlign w:val="center"/>
          </w:tcPr>
          <w:p w14:paraId="2155CB05">
            <w:r>
              <w:rPr>
                <w:rFonts w:hint="eastAsia"/>
              </w:rPr>
              <w:t>周易</w:t>
            </w:r>
          </w:p>
        </w:tc>
        <w:tc>
          <w:tcPr>
            <w:tcW w:w="2990" w:type="dxa"/>
            <w:vAlign w:val="center"/>
          </w:tcPr>
          <w:p w14:paraId="2548542D">
            <w:r>
              <w:rPr>
                <w:rFonts w:hint="eastAsia"/>
              </w:rPr>
              <w:t>任德奇</w:t>
            </w:r>
          </w:p>
        </w:tc>
      </w:tr>
    </w:tbl>
    <w:p w14:paraId="4DD36A65">
      <w:pPr>
        <w:pStyle w:val="30"/>
      </w:pPr>
      <w:bookmarkStart w:id="9" w:name="_Toc29396"/>
      <w:r>
        <w:t>信息披露方式</w:t>
      </w:r>
      <w:bookmarkEnd w:id="9"/>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A8D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629F2">
            <w:r>
              <w:rPr>
                <w:rFonts w:hint="eastAsia"/>
              </w:rPr>
              <w:t>本基金选定的信息披露报纸名称</w:t>
            </w:r>
          </w:p>
        </w:tc>
        <w:tc>
          <w:tcPr>
            <w:tcW w:w="3322" w:type="dxa"/>
            <w:vAlign w:val="center"/>
          </w:tcPr>
          <w:p w14:paraId="37F7FBF0">
            <w:r>
              <w:rPr>
                <w:rFonts w:hint="eastAsia"/>
              </w:rPr>
              <w:t>中国证券报</w:t>
            </w:r>
          </w:p>
        </w:tc>
      </w:tr>
      <w:tr w14:paraId="0831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ED9902">
            <w:r>
              <w:rPr>
                <w:rFonts w:hint="eastAsia"/>
              </w:rPr>
              <w:t>登载基金年度报告正文的管理人互联网网址</w:t>
            </w:r>
          </w:p>
        </w:tc>
        <w:tc>
          <w:tcPr>
            <w:tcW w:w="3322" w:type="dxa"/>
            <w:vAlign w:val="center"/>
          </w:tcPr>
          <w:p w14:paraId="6CC5C296">
            <w:r>
              <w:rPr>
                <w:rFonts w:hint="eastAsia"/>
              </w:rPr>
              <w:t>http://www.nffund.com</w:t>
            </w:r>
          </w:p>
        </w:tc>
      </w:tr>
      <w:tr w14:paraId="236D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F95ABA">
            <w:r>
              <w:rPr>
                <w:rFonts w:hint="eastAsia"/>
              </w:rPr>
              <w:t>基金年度报告备置地点</w:t>
            </w:r>
          </w:p>
        </w:tc>
        <w:tc>
          <w:tcPr>
            <w:tcW w:w="3322" w:type="dxa"/>
            <w:vAlign w:val="center"/>
          </w:tcPr>
          <w:p w14:paraId="2900F1F2">
            <w:r>
              <w:rPr>
                <w:rFonts w:hint="eastAsia"/>
              </w:rPr>
              <w:t>基金管理人、基金托管人的办公地址、基金上市交易的证券交易所（如有）</w:t>
            </w:r>
          </w:p>
        </w:tc>
      </w:tr>
    </w:tbl>
    <w:p w14:paraId="0D263EBB">
      <w:pPr>
        <w:pStyle w:val="30"/>
      </w:pPr>
      <w:bookmarkStart w:id="10" w:name="_Toc24920"/>
      <w:r>
        <w:t>其他相关资料</w:t>
      </w:r>
      <w:bookmarkEnd w:id="10"/>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44B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9B67EA2">
            <w:pPr>
              <w:jc w:val="center"/>
            </w:pPr>
            <w:r>
              <w:rPr>
                <w:rFonts w:hint="eastAsia"/>
                <w:b/>
              </w:rPr>
              <w:t>项目</w:t>
            </w:r>
          </w:p>
        </w:tc>
        <w:tc>
          <w:tcPr>
            <w:tcW w:w="2907" w:type="dxa"/>
            <w:shd w:val="clear" w:color="auto" w:fill="BFBFBF"/>
            <w:vAlign w:val="center"/>
          </w:tcPr>
          <w:p w14:paraId="58A18CE1">
            <w:pPr>
              <w:jc w:val="center"/>
            </w:pPr>
            <w:r>
              <w:rPr>
                <w:rFonts w:hint="eastAsia"/>
                <w:b/>
              </w:rPr>
              <w:t>名称</w:t>
            </w:r>
          </w:p>
        </w:tc>
        <w:tc>
          <w:tcPr>
            <w:tcW w:w="3876" w:type="dxa"/>
            <w:shd w:val="clear" w:color="auto" w:fill="BFBFBF"/>
            <w:vAlign w:val="center"/>
          </w:tcPr>
          <w:p w14:paraId="49A09F8A">
            <w:pPr>
              <w:jc w:val="center"/>
            </w:pPr>
            <w:r>
              <w:rPr>
                <w:rFonts w:hint="eastAsia"/>
                <w:b/>
              </w:rPr>
              <w:t>办公地址</w:t>
            </w:r>
          </w:p>
        </w:tc>
      </w:tr>
      <w:tr w14:paraId="7C6A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086F96F">
            <w:r>
              <w:rPr>
                <w:rFonts w:hint="eastAsia"/>
              </w:rPr>
              <w:t>会计师事务所</w:t>
            </w:r>
          </w:p>
        </w:tc>
        <w:tc>
          <w:tcPr>
            <w:tcW w:w="2907" w:type="dxa"/>
            <w:vAlign w:val="center"/>
          </w:tcPr>
          <w:p w14:paraId="3511E999">
            <w:r>
              <w:rPr>
                <w:rFonts w:hint="eastAsia"/>
              </w:rPr>
              <w:t>容诚会计师事务所（特殊普通合伙）</w:t>
            </w:r>
          </w:p>
        </w:tc>
        <w:tc>
          <w:tcPr>
            <w:tcW w:w="3876" w:type="dxa"/>
            <w:vAlign w:val="center"/>
          </w:tcPr>
          <w:p w14:paraId="1B8194EC">
            <w:r>
              <w:rPr>
                <w:rFonts w:hint="eastAsia"/>
              </w:rPr>
              <w:t>北京市西城区阜成门外大街22号1幢10层1001-1至1001-26</w:t>
            </w:r>
          </w:p>
        </w:tc>
      </w:tr>
      <w:tr w14:paraId="4E9F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5C97634">
            <w:r>
              <w:rPr>
                <w:rFonts w:hint="eastAsia"/>
              </w:rPr>
              <w:t>注册登记机构</w:t>
            </w:r>
          </w:p>
        </w:tc>
        <w:tc>
          <w:tcPr>
            <w:tcW w:w="2907" w:type="dxa"/>
            <w:vAlign w:val="center"/>
          </w:tcPr>
          <w:p w14:paraId="246B8644">
            <w:r>
              <w:rPr>
                <w:rFonts w:hint="eastAsia"/>
              </w:rPr>
              <w:t>南方基金管理股份有限公司</w:t>
            </w:r>
          </w:p>
        </w:tc>
        <w:tc>
          <w:tcPr>
            <w:tcW w:w="3876" w:type="dxa"/>
            <w:vAlign w:val="center"/>
          </w:tcPr>
          <w:p w14:paraId="4D401C17">
            <w:r>
              <w:rPr>
                <w:rFonts w:hint="eastAsia"/>
              </w:rPr>
              <w:t>深圳市福田区莲花街道益田路5999号基金大厦32-42楼</w:t>
            </w:r>
          </w:p>
        </w:tc>
      </w:tr>
    </w:tbl>
    <w:p w14:paraId="39CA3902">
      <w:pPr>
        <w:pStyle w:val="33"/>
        <w:pageBreakBefore/>
      </w:pPr>
      <w:bookmarkStart w:id="11" w:name="_Toc15476"/>
      <w:r>
        <w:t>主要财务指标、基金净值表现及利润分配情况</w:t>
      </w:r>
      <w:bookmarkEnd w:id="11"/>
    </w:p>
    <w:p w14:paraId="6749F66B">
      <w:pPr>
        <w:pStyle w:val="30"/>
      </w:pPr>
      <w:bookmarkStart w:id="12" w:name="_Toc9623"/>
      <w:r>
        <w:t>主要会计数据和财务指标</w:t>
      </w:r>
      <w:bookmarkEnd w:id="12"/>
    </w:p>
    <w:p w14:paraId="7D273224">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362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10C19F">
            <w:r>
              <w:rPr>
                <w:rFonts w:hint="eastAsia"/>
              </w:rPr>
              <w:t>3.1.1 期间数据和指标</w:t>
            </w:r>
          </w:p>
        </w:tc>
        <w:tc>
          <w:tcPr>
            <w:tcW w:w="1771" w:type="dxa"/>
            <w:vAlign w:val="center"/>
          </w:tcPr>
          <w:p w14:paraId="10E1810D">
            <w:r>
              <w:rPr>
                <w:rFonts w:hint="eastAsia"/>
              </w:rPr>
              <w:t>2025年</w:t>
            </w:r>
          </w:p>
        </w:tc>
        <w:tc>
          <w:tcPr>
            <w:tcW w:w="1949" w:type="dxa"/>
            <w:vAlign w:val="center"/>
          </w:tcPr>
          <w:p w14:paraId="5D612293">
            <w:r>
              <w:rPr>
                <w:rFonts w:hint="eastAsia"/>
              </w:rPr>
              <w:t>2024年</w:t>
            </w:r>
          </w:p>
        </w:tc>
        <w:tc>
          <w:tcPr>
            <w:tcW w:w="1827" w:type="dxa"/>
            <w:vAlign w:val="center"/>
          </w:tcPr>
          <w:p w14:paraId="63B03BCB">
            <w:r>
              <w:rPr>
                <w:rFonts w:hint="eastAsia"/>
              </w:rPr>
              <w:t>2023年</w:t>
            </w:r>
          </w:p>
        </w:tc>
      </w:tr>
      <w:tr w14:paraId="407F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8F9929">
            <w:r>
              <w:rPr>
                <w:rFonts w:hint="eastAsia"/>
              </w:rPr>
              <w:t>本期已实现收益</w:t>
            </w:r>
          </w:p>
        </w:tc>
        <w:tc>
          <w:tcPr>
            <w:tcW w:w="1771" w:type="dxa"/>
            <w:vAlign w:val="center"/>
          </w:tcPr>
          <w:p w14:paraId="3E53608F">
            <w:pPr>
              <w:jc w:val="right"/>
            </w:pPr>
            <w:r>
              <w:rPr>
                <w:rFonts w:hint="eastAsia"/>
              </w:rPr>
              <w:t>64,761,013.95</w:t>
            </w:r>
          </w:p>
        </w:tc>
        <w:tc>
          <w:tcPr>
            <w:tcW w:w="1949" w:type="dxa"/>
            <w:vAlign w:val="center"/>
          </w:tcPr>
          <w:p w14:paraId="1CAD94F3">
            <w:pPr>
              <w:jc w:val="right"/>
            </w:pPr>
            <w:r>
              <w:rPr>
                <w:rFonts w:hint="eastAsia"/>
              </w:rPr>
              <w:t>187,477,031.64</w:t>
            </w:r>
          </w:p>
        </w:tc>
        <w:tc>
          <w:tcPr>
            <w:tcW w:w="1827" w:type="dxa"/>
            <w:vAlign w:val="center"/>
          </w:tcPr>
          <w:p w14:paraId="71A59330">
            <w:pPr>
              <w:jc w:val="right"/>
            </w:pPr>
            <w:r>
              <w:rPr>
                <w:rFonts w:hint="eastAsia"/>
              </w:rPr>
              <w:t>179,786,511.73</w:t>
            </w:r>
          </w:p>
        </w:tc>
      </w:tr>
      <w:tr w14:paraId="4E7B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347966">
            <w:r>
              <w:rPr>
                <w:rFonts w:hint="eastAsia"/>
              </w:rPr>
              <w:t>本期利润</w:t>
            </w:r>
          </w:p>
        </w:tc>
        <w:tc>
          <w:tcPr>
            <w:tcW w:w="1771" w:type="dxa"/>
            <w:vAlign w:val="center"/>
          </w:tcPr>
          <w:p w14:paraId="089FC74E">
            <w:pPr>
              <w:jc w:val="right"/>
            </w:pPr>
            <w:r>
              <w:rPr>
                <w:rFonts w:hint="eastAsia"/>
              </w:rPr>
              <w:t>64,761,013.95</w:t>
            </w:r>
          </w:p>
        </w:tc>
        <w:tc>
          <w:tcPr>
            <w:tcW w:w="1949" w:type="dxa"/>
            <w:vAlign w:val="center"/>
          </w:tcPr>
          <w:p w14:paraId="3B5ED8AD">
            <w:pPr>
              <w:jc w:val="right"/>
            </w:pPr>
            <w:r>
              <w:rPr>
                <w:rFonts w:hint="eastAsia"/>
              </w:rPr>
              <w:t>187,477,031.64</w:t>
            </w:r>
          </w:p>
        </w:tc>
        <w:tc>
          <w:tcPr>
            <w:tcW w:w="1827" w:type="dxa"/>
            <w:vAlign w:val="center"/>
          </w:tcPr>
          <w:p w14:paraId="38A7D87F">
            <w:pPr>
              <w:jc w:val="right"/>
            </w:pPr>
            <w:r>
              <w:rPr>
                <w:rFonts w:hint="eastAsia"/>
              </w:rPr>
              <w:t>179,786,511.73</w:t>
            </w:r>
          </w:p>
        </w:tc>
      </w:tr>
      <w:tr w14:paraId="2DC3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16494B">
            <w:r>
              <w:rPr>
                <w:rFonts w:hint="eastAsia"/>
              </w:rPr>
              <w:t>加权平均基金份额本期利润</w:t>
            </w:r>
          </w:p>
        </w:tc>
        <w:tc>
          <w:tcPr>
            <w:tcW w:w="1771" w:type="dxa"/>
            <w:vAlign w:val="center"/>
          </w:tcPr>
          <w:p w14:paraId="1D30A8C8">
            <w:pPr>
              <w:jc w:val="right"/>
            </w:pPr>
            <w:r>
              <w:rPr>
                <w:rFonts w:hint="eastAsia"/>
              </w:rPr>
              <w:t>0.0146</w:t>
            </w:r>
          </w:p>
        </w:tc>
        <w:tc>
          <w:tcPr>
            <w:tcW w:w="1949" w:type="dxa"/>
            <w:vAlign w:val="center"/>
          </w:tcPr>
          <w:p w14:paraId="699F96E3">
            <w:pPr>
              <w:jc w:val="right"/>
            </w:pPr>
            <w:r>
              <w:rPr>
                <w:rFonts w:hint="eastAsia"/>
              </w:rPr>
              <w:t>0.0240</w:t>
            </w:r>
          </w:p>
        </w:tc>
        <w:tc>
          <w:tcPr>
            <w:tcW w:w="1827" w:type="dxa"/>
            <w:vAlign w:val="center"/>
          </w:tcPr>
          <w:p w14:paraId="42901735">
            <w:pPr>
              <w:jc w:val="right"/>
            </w:pPr>
            <w:r>
              <w:rPr>
                <w:rFonts w:hint="eastAsia"/>
              </w:rPr>
              <w:t>0.0236</w:t>
            </w:r>
          </w:p>
        </w:tc>
      </w:tr>
      <w:tr w14:paraId="43FA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BAB61D">
            <w:r>
              <w:rPr>
                <w:rFonts w:hint="eastAsia"/>
              </w:rPr>
              <w:t>本期加权平均净值利润率</w:t>
            </w:r>
          </w:p>
        </w:tc>
        <w:tc>
          <w:tcPr>
            <w:tcW w:w="1771" w:type="dxa"/>
            <w:vAlign w:val="center"/>
          </w:tcPr>
          <w:p w14:paraId="59C63F3F">
            <w:pPr>
              <w:jc w:val="right"/>
            </w:pPr>
            <w:r>
              <w:rPr>
                <w:rFonts w:hint="eastAsia"/>
              </w:rPr>
              <w:t>1.41%</w:t>
            </w:r>
          </w:p>
        </w:tc>
        <w:tc>
          <w:tcPr>
            <w:tcW w:w="1949" w:type="dxa"/>
            <w:vAlign w:val="center"/>
          </w:tcPr>
          <w:p w14:paraId="37077119">
            <w:pPr>
              <w:jc w:val="right"/>
            </w:pPr>
            <w:r>
              <w:rPr>
                <w:rFonts w:hint="eastAsia"/>
              </w:rPr>
              <w:t>2.37%</w:t>
            </w:r>
          </w:p>
        </w:tc>
        <w:tc>
          <w:tcPr>
            <w:tcW w:w="1827" w:type="dxa"/>
            <w:vAlign w:val="center"/>
          </w:tcPr>
          <w:p w14:paraId="65309228">
            <w:pPr>
              <w:jc w:val="right"/>
            </w:pPr>
            <w:r>
              <w:rPr>
                <w:rFonts w:hint="eastAsia"/>
              </w:rPr>
              <w:t>2.34%</w:t>
            </w:r>
          </w:p>
        </w:tc>
      </w:tr>
      <w:tr w14:paraId="4644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F81B5">
            <w:r>
              <w:rPr>
                <w:rFonts w:hint="eastAsia"/>
              </w:rPr>
              <w:t>本期基金份额净值增长率</w:t>
            </w:r>
          </w:p>
        </w:tc>
        <w:tc>
          <w:tcPr>
            <w:tcW w:w="1771" w:type="dxa"/>
            <w:vAlign w:val="center"/>
          </w:tcPr>
          <w:p w14:paraId="261AE86B">
            <w:pPr>
              <w:jc w:val="right"/>
            </w:pPr>
            <w:r>
              <w:rPr>
                <w:rFonts w:hint="eastAsia"/>
              </w:rPr>
              <w:t>2.82%</w:t>
            </w:r>
          </w:p>
        </w:tc>
        <w:tc>
          <w:tcPr>
            <w:tcW w:w="1949" w:type="dxa"/>
            <w:vAlign w:val="center"/>
          </w:tcPr>
          <w:p w14:paraId="03CDD9A1">
            <w:pPr>
              <w:jc w:val="right"/>
            </w:pPr>
            <w:r>
              <w:rPr>
                <w:rFonts w:hint="eastAsia"/>
              </w:rPr>
              <w:t>2.36%</w:t>
            </w:r>
          </w:p>
        </w:tc>
        <w:tc>
          <w:tcPr>
            <w:tcW w:w="1827" w:type="dxa"/>
            <w:vAlign w:val="center"/>
          </w:tcPr>
          <w:p w14:paraId="14605850">
            <w:pPr>
              <w:jc w:val="right"/>
            </w:pPr>
            <w:r>
              <w:rPr>
                <w:rFonts w:hint="eastAsia"/>
              </w:rPr>
              <w:t>2.36%</w:t>
            </w:r>
          </w:p>
        </w:tc>
      </w:tr>
      <w:tr w14:paraId="2B87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4019D7">
            <w:r>
              <w:rPr>
                <w:rFonts w:hint="eastAsia"/>
              </w:rPr>
              <w:t>3.1.2 期末数据和指标</w:t>
            </w:r>
          </w:p>
        </w:tc>
        <w:tc>
          <w:tcPr>
            <w:tcW w:w="1771" w:type="dxa"/>
            <w:vAlign w:val="center"/>
          </w:tcPr>
          <w:p w14:paraId="352A73E8">
            <w:r>
              <w:rPr>
                <w:rFonts w:hint="eastAsia"/>
              </w:rPr>
              <w:t>2025年末</w:t>
            </w:r>
          </w:p>
        </w:tc>
        <w:tc>
          <w:tcPr>
            <w:tcW w:w="1949" w:type="dxa"/>
            <w:vAlign w:val="center"/>
          </w:tcPr>
          <w:p w14:paraId="1D55C315">
            <w:r>
              <w:rPr>
                <w:rFonts w:hint="eastAsia"/>
              </w:rPr>
              <w:t>2024年末</w:t>
            </w:r>
          </w:p>
        </w:tc>
        <w:tc>
          <w:tcPr>
            <w:tcW w:w="1827" w:type="dxa"/>
            <w:vAlign w:val="center"/>
          </w:tcPr>
          <w:p w14:paraId="76C4F23B">
            <w:r>
              <w:rPr>
                <w:rFonts w:hint="eastAsia"/>
              </w:rPr>
              <w:t>2023年末</w:t>
            </w:r>
          </w:p>
        </w:tc>
      </w:tr>
      <w:tr w14:paraId="7903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7EB96A">
            <w:r>
              <w:rPr>
                <w:rFonts w:hint="eastAsia"/>
              </w:rPr>
              <w:t>期末可供分配利润</w:t>
            </w:r>
          </w:p>
        </w:tc>
        <w:tc>
          <w:tcPr>
            <w:tcW w:w="1771" w:type="dxa"/>
            <w:vAlign w:val="center"/>
          </w:tcPr>
          <w:p w14:paraId="39754238">
            <w:pPr>
              <w:jc w:val="right"/>
            </w:pPr>
            <w:r>
              <w:rPr>
                <w:rFonts w:hint="eastAsia"/>
              </w:rPr>
              <w:t>1,404,600.90</w:t>
            </w:r>
          </w:p>
        </w:tc>
        <w:tc>
          <w:tcPr>
            <w:tcW w:w="1949" w:type="dxa"/>
            <w:vAlign w:val="center"/>
          </w:tcPr>
          <w:p w14:paraId="0F5986F0">
            <w:pPr>
              <w:jc w:val="right"/>
            </w:pPr>
            <w:r>
              <w:rPr>
                <w:rFonts w:hint="eastAsia"/>
              </w:rPr>
              <w:t>117,826,347.77</w:t>
            </w:r>
          </w:p>
        </w:tc>
        <w:tc>
          <w:tcPr>
            <w:tcW w:w="1827" w:type="dxa"/>
            <w:vAlign w:val="center"/>
          </w:tcPr>
          <w:p w14:paraId="36A5AE79">
            <w:pPr>
              <w:jc w:val="right"/>
            </w:pPr>
            <w:r>
              <w:rPr>
                <w:rFonts w:hint="eastAsia"/>
              </w:rPr>
              <w:t>19,499,357.77</w:t>
            </w:r>
          </w:p>
        </w:tc>
      </w:tr>
      <w:tr w14:paraId="1C14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3BFE94">
            <w:r>
              <w:rPr>
                <w:rFonts w:hint="eastAsia"/>
              </w:rPr>
              <w:t>期末可供分配基金份额利润</w:t>
            </w:r>
          </w:p>
        </w:tc>
        <w:tc>
          <w:tcPr>
            <w:tcW w:w="1771" w:type="dxa"/>
            <w:vAlign w:val="center"/>
          </w:tcPr>
          <w:p w14:paraId="58C530C8">
            <w:pPr>
              <w:jc w:val="right"/>
            </w:pPr>
            <w:r>
              <w:rPr>
                <w:rFonts w:hint="eastAsia"/>
              </w:rPr>
              <w:t>0.0419</w:t>
            </w:r>
          </w:p>
        </w:tc>
        <w:tc>
          <w:tcPr>
            <w:tcW w:w="1949" w:type="dxa"/>
            <w:vAlign w:val="center"/>
          </w:tcPr>
          <w:p w14:paraId="2BC6AA1F">
            <w:pPr>
              <w:jc w:val="right"/>
            </w:pPr>
            <w:r>
              <w:rPr>
                <w:rFonts w:hint="eastAsia"/>
              </w:rPr>
              <w:t>0.0261</w:t>
            </w:r>
          </w:p>
        </w:tc>
        <w:tc>
          <w:tcPr>
            <w:tcW w:w="1827" w:type="dxa"/>
            <w:vAlign w:val="center"/>
          </w:tcPr>
          <w:p w14:paraId="4B379D21">
            <w:pPr>
              <w:jc w:val="right"/>
            </w:pPr>
            <w:r>
              <w:rPr>
                <w:rFonts w:hint="eastAsia"/>
              </w:rPr>
              <w:t>0.0024</w:t>
            </w:r>
          </w:p>
        </w:tc>
      </w:tr>
      <w:tr w14:paraId="2912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E614B9">
            <w:r>
              <w:rPr>
                <w:rFonts w:hint="eastAsia"/>
              </w:rPr>
              <w:t>期末基金资产净值</w:t>
            </w:r>
          </w:p>
        </w:tc>
        <w:tc>
          <w:tcPr>
            <w:tcW w:w="1771" w:type="dxa"/>
            <w:vAlign w:val="center"/>
          </w:tcPr>
          <w:p w14:paraId="0641E769">
            <w:pPr>
              <w:jc w:val="right"/>
            </w:pPr>
            <w:r>
              <w:rPr>
                <w:rFonts w:hint="eastAsia"/>
              </w:rPr>
              <w:t>34,855,904.53</w:t>
            </w:r>
          </w:p>
        </w:tc>
        <w:tc>
          <w:tcPr>
            <w:tcW w:w="1949" w:type="dxa"/>
            <w:vAlign w:val="center"/>
          </w:tcPr>
          <w:p w14:paraId="4F2F7353">
            <w:pPr>
              <w:jc w:val="right"/>
            </w:pPr>
            <w:r>
              <w:rPr>
                <w:rFonts w:hint="eastAsia"/>
              </w:rPr>
              <w:t>4,629,544,563.12</w:t>
            </w:r>
          </w:p>
        </w:tc>
        <w:tc>
          <w:tcPr>
            <w:tcW w:w="1827" w:type="dxa"/>
            <w:vAlign w:val="center"/>
          </w:tcPr>
          <w:p w14:paraId="50CB24C3">
            <w:pPr>
              <w:jc w:val="right"/>
            </w:pPr>
            <w:r>
              <w:rPr>
                <w:rFonts w:hint="eastAsia"/>
              </w:rPr>
              <w:t>8,002,026,205.82</w:t>
            </w:r>
          </w:p>
        </w:tc>
      </w:tr>
      <w:tr w14:paraId="7E38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7F01D5">
            <w:r>
              <w:rPr>
                <w:rFonts w:hint="eastAsia"/>
              </w:rPr>
              <w:t>期末基金份额净值</w:t>
            </w:r>
          </w:p>
        </w:tc>
        <w:tc>
          <w:tcPr>
            <w:tcW w:w="1771" w:type="dxa"/>
            <w:vAlign w:val="center"/>
          </w:tcPr>
          <w:p w14:paraId="0C196107">
            <w:pPr>
              <w:jc w:val="right"/>
            </w:pPr>
            <w:r>
              <w:rPr>
                <w:rFonts w:hint="eastAsia"/>
              </w:rPr>
              <w:t>1.0420</w:t>
            </w:r>
          </w:p>
        </w:tc>
        <w:tc>
          <w:tcPr>
            <w:tcW w:w="1949" w:type="dxa"/>
            <w:vAlign w:val="center"/>
          </w:tcPr>
          <w:p w14:paraId="3A3113D7">
            <w:pPr>
              <w:jc w:val="right"/>
            </w:pPr>
            <w:r>
              <w:rPr>
                <w:rFonts w:hint="eastAsia"/>
              </w:rPr>
              <w:t>1.0261</w:t>
            </w:r>
          </w:p>
        </w:tc>
        <w:tc>
          <w:tcPr>
            <w:tcW w:w="1827" w:type="dxa"/>
            <w:vAlign w:val="center"/>
          </w:tcPr>
          <w:p w14:paraId="27846535">
            <w:pPr>
              <w:jc w:val="right"/>
            </w:pPr>
            <w:r>
              <w:rPr>
                <w:rFonts w:hint="eastAsia"/>
              </w:rPr>
              <w:t>1.0024</w:t>
            </w:r>
          </w:p>
        </w:tc>
      </w:tr>
      <w:tr w14:paraId="3BE7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2ADD0">
            <w:r>
              <w:rPr>
                <w:rFonts w:hint="eastAsia"/>
              </w:rPr>
              <w:t>3.1.3 累计期末指标</w:t>
            </w:r>
          </w:p>
        </w:tc>
        <w:tc>
          <w:tcPr>
            <w:tcW w:w="1771" w:type="dxa"/>
            <w:vAlign w:val="center"/>
          </w:tcPr>
          <w:p w14:paraId="35B71B5D">
            <w:r>
              <w:rPr>
                <w:rFonts w:hint="eastAsia"/>
              </w:rPr>
              <w:t>2025年末</w:t>
            </w:r>
          </w:p>
        </w:tc>
        <w:tc>
          <w:tcPr>
            <w:tcW w:w="1949" w:type="dxa"/>
            <w:vAlign w:val="center"/>
          </w:tcPr>
          <w:p w14:paraId="254BD14B">
            <w:r>
              <w:rPr>
                <w:rFonts w:hint="eastAsia"/>
              </w:rPr>
              <w:t>2024年末</w:t>
            </w:r>
          </w:p>
        </w:tc>
        <w:tc>
          <w:tcPr>
            <w:tcW w:w="1827" w:type="dxa"/>
            <w:vAlign w:val="center"/>
          </w:tcPr>
          <w:p w14:paraId="55133F43">
            <w:r>
              <w:rPr>
                <w:rFonts w:hint="eastAsia"/>
              </w:rPr>
              <w:t>2023年末</w:t>
            </w:r>
          </w:p>
        </w:tc>
      </w:tr>
      <w:tr w14:paraId="605D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6DEF0A">
            <w:r>
              <w:rPr>
                <w:rFonts w:hint="eastAsia"/>
              </w:rPr>
              <w:t>基金份额累计净值增长率</w:t>
            </w:r>
          </w:p>
        </w:tc>
        <w:tc>
          <w:tcPr>
            <w:tcW w:w="1771" w:type="dxa"/>
            <w:vAlign w:val="center"/>
          </w:tcPr>
          <w:p w14:paraId="45A8F29A">
            <w:pPr>
              <w:jc w:val="right"/>
            </w:pPr>
            <w:r>
              <w:rPr>
                <w:rFonts w:hint="eastAsia"/>
              </w:rPr>
              <w:t>14.85%</w:t>
            </w:r>
          </w:p>
        </w:tc>
        <w:tc>
          <w:tcPr>
            <w:tcW w:w="1949" w:type="dxa"/>
            <w:vAlign w:val="center"/>
          </w:tcPr>
          <w:p w14:paraId="4A681E6D">
            <w:pPr>
              <w:jc w:val="right"/>
            </w:pPr>
            <w:r>
              <w:rPr>
                <w:rFonts w:hint="eastAsia"/>
              </w:rPr>
              <w:t>11.70%</w:t>
            </w:r>
          </w:p>
        </w:tc>
        <w:tc>
          <w:tcPr>
            <w:tcW w:w="1827" w:type="dxa"/>
            <w:vAlign w:val="center"/>
          </w:tcPr>
          <w:p w14:paraId="697886D8">
            <w:pPr>
              <w:jc w:val="right"/>
            </w:pPr>
            <w:r>
              <w:rPr>
                <w:rFonts w:hint="eastAsia"/>
              </w:rPr>
              <w:t>9.12%</w:t>
            </w:r>
          </w:p>
        </w:tc>
      </w:tr>
    </w:tbl>
    <w:p w14:paraId="08926FBB">
      <w:pPr>
        <w:pStyle w:val="54"/>
        <w:rPr>
          <w:rFonts w:hint="eastAsia"/>
        </w:rPr>
      </w:pPr>
      <w:r>
        <w:rPr>
          <w:rFonts w:hint="eastAsia"/>
        </w:rPr>
        <w:t>注：基金业绩指标不包括持有人认（申）购或交易基金的各项费用，计入费用后实际收益水平要低于所列数字；</w:t>
      </w:r>
    </w:p>
    <w:p w14:paraId="0CBF288B">
      <w:pPr>
        <w:pStyle w:val="54"/>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14:paraId="2AD5C16C">
      <w:pPr>
        <w:pStyle w:val="54"/>
        <w:rPr>
          <w:rFonts w:hint="eastAsia"/>
        </w:rPr>
      </w:pPr>
      <w:r>
        <w:tab/>
      </w:r>
      <w:r>
        <w:rPr>
          <w:rFonts w:hint="eastAsia"/>
        </w:rPr>
        <w:t>对期末可供分配利润，采用期末资产负债表中未分配利润与未分配利润中已实现部分的孰低数。</w:t>
      </w:r>
    </w:p>
    <w:p w14:paraId="59C0437B">
      <w:pPr>
        <w:pStyle w:val="30"/>
      </w:pPr>
      <w:bookmarkStart w:id="13" w:name="_Toc28541"/>
      <w:r>
        <w:t>基金净值表现</w:t>
      </w:r>
      <w:bookmarkEnd w:id="13"/>
      <w:r>
        <w:t xml:space="preserve"> </w:t>
      </w:r>
    </w:p>
    <w:p w14:paraId="23E0AFD6">
      <w:pPr>
        <w:pStyle w:val="35"/>
      </w:pPr>
      <w:bookmarkStart w:id="14" w:name="_Toc14"/>
      <w:r>
        <w:t xml:space="preserve">基金份额净值增长率及其与同期业绩比较基准收益率的比较 </w:t>
      </w:r>
      <w:bookmarkEnd w:id="14"/>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9F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41F3E3D">
            <w:pPr>
              <w:jc w:val="center"/>
            </w:pPr>
            <w:r>
              <w:rPr>
                <w:rFonts w:hint="eastAsia"/>
                <w:b/>
              </w:rPr>
              <w:t>阶段</w:t>
            </w:r>
          </w:p>
        </w:tc>
        <w:tc>
          <w:tcPr>
            <w:tcW w:w="1101" w:type="dxa"/>
            <w:shd w:val="clear" w:color="auto" w:fill="BFBFBF"/>
            <w:vAlign w:val="center"/>
          </w:tcPr>
          <w:p w14:paraId="6CB475E5">
            <w:pPr>
              <w:jc w:val="center"/>
            </w:pPr>
            <w:r>
              <w:rPr>
                <w:rFonts w:hint="eastAsia"/>
                <w:b/>
              </w:rPr>
              <w:t>份额净值增长率①</w:t>
            </w:r>
          </w:p>
        </w:tc>
        <w:tc>
          <w:tcPr>
            <w:tcW w:w="1101" w:type="dxa"/>
            <w:shd w:val="clear" w:color="auto" w:fill="BFBFBF"/>
            <w:vAlign w:val="center"/>
          </w:tcPr>
          <w:p w14:paraId="4B3A859C">
            <w:pPr>
              <w:jc w:val="center"/>
            </w:pPr>
            <w:r>
              <w:rPr>
                <w:rFonts w:hint="eastAsia"/>
                <w:b/>
              </w:rPr>
              <w:t>份额净值增长率标准差②</w:t>
            </w:r>
          </w:p>
        </w:tc>
        <w:tc>
          <w:tcPr>
            <w:tcW w:w="1101" w:type="dxa"/>
            <w:shd w:val="clear" w:color="auto" w:fill="BFBFBF"/>
            <w:vAlign w:val="center"/>
          </w:tcPr>
          <w:p w14:paraId="130D3338">
            <w:pPr>
              <w:jc w:val="center"/>
            </w:pPr>
            <w:r>
              <w:rPr>
                <w:rFonts w:hint="eastAsia"/>
                <w:b/>
              </w:rPr>
              <w:t>业绩比较基准收益率③</w:t>
            </w:r>
          </w:p>
        </w:tc>
        <w:tc>
          <w:tcPr>
            <w:tcW w:w="1207" w:type="dxa"/>
            <w:shd w:val="clear" w:color="auto" w:fill="BFBFBF"/>
            <w:vAlign w:val="center"/>
          </w:tcPr>
          <w:p w14:paraId="71638898">
            <w:pPr>
              <w:jc w:val="center"/>
            </w:pPr>
            <w:r>
              <w:rPr>
                <w:rFonts w:hint="eastAsia"/>
                <w:b/>
              </w:rPr>
              <w:t>业绩比较基准收益率标准差④</w:t>
            </w:r>
          </w:p>
        </w:tc>
        <w:tc>
          <w:tcPr>
            <w:tcW w:w="1251" w:type="dxa"/>
            <w:shd w:val="clear" w:color="auto" w:fill="BFBFBF"/>
            <w:vAlign w:val="center"/>
          </w:tcPr>
          <w:p w14:paraId="237747FE">
            <w:pPr>
              <w:jc w:val="center"/>
            </w:pPr>
            <w:r>
              <w:rPr>
                <w:rFonts w:hint="eastAsia"/>
                <w:b/>
              </w:rPr>
              <w:t>①-③</w:t>
            </w:r>
          </w:p>
        </w:tc>
        <w:tc>
          <w:tcPr>
            <w:tcW w:w="1218" w:type="dxa"/>
            <w:shd w:val="clear" w:color="auto" w:fill="BFBFBF"/>
            <w:vAlign w:val="center"/>
          </w:tcPr>
          <w:p w14:paraId="1831C89C">
            <w:pPr>
              <w:jc w:val="center"/>
            </w:pPr>
            <w:r>
              <w:rPr>
                <w:rFonts w:hint="eastAsia"/>
                <w:b/>
              </w:rPr>
              <w:t>②-④</w:t>
            </w:r>
          </w:p>
        </w:tc>
      </w:tr>
      <w:tr w14:paraId="42EB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24D97A">
            <w:r>
              <w:rPr>
                <w:rFonts w:hint="eastAsia"/>
              </w:rPr>
              <w:t>过去三个月</w:t>
            </w:r>
          </w:p>
        </w:tc>
        <w:tc>
          <w:tcPr>
            <w:tcW w:w="1101" w:type="dxa"/>
            <w:vAlign w:val="center"/>
          </w:tcPr>
          <w:p w14:paraId="13332928">
            <w:pPr>
              <w:jc w:val="right"/>
            </w:pPr>
            <w:r>
              <w:rPr>
                <w:rFonts w:hint="eastAsia"/>
              </w:rPr>
              <w:t>2.05%</w:t>
            </w:r>
          </w:p>
        </w:tc>
        <w:tc>
          <w:tcPr>
            <w:tcW w:w="1101" w:type="dxa"/>
            <w:vAlign w:val="center"/>
          </w:tcPr>
          <w:p w14:paraId="0F8A4609">
            <w:pPr>
              <w:jc w:val="right"/>
            </w:pPr>
            <w:r>
              <w:rPr>
                <w:rFonts w:hint="eastAsia"/>
              </w:rPr>
              <w:t>0.13%</w:t>
            </w:r>
          </w:p>
        </w:tc>
        <w:tc>
          <w:tcPr>
            <w:tcW w:w="1101" w:type="dxa"/>
            <w:vAlign w:val="center"/>
          </w:tcPr>
          <w:p w14:paraId="2136786E">
            <w:pPr>
              <w:jc w:val="right"/>
            </w:pPr>
            <w:r>
              <w:rPr>
                <w:rFonts w:hint="eastAsia"/>
              </w:rPr>
              <w:t>0.66%</w:t>
            </w:r>
          </w:p>
        </w:tc>
        <w:tc>
          <w:tcPr>
            <w:tcW w:w="1207" w:type="dxa"/>
            <w:vAlign w:val="center"/>
          </w:tcPr>
          <w:p w14:paraId="3D7DF354">
            <w:pPr>
              <w:jc w:val="right"/>
            </w:pPr>
            <w:r>
              <w:rPr>
                <w:rFonts w:hint="eastAsia"/>
              </w:rPr>
              <w:t>0.01%</w:t>
            </w:r>
          </w:p>
        </w:tc>
        <w:tc>
          <w:tcPr>
            <w:tcW w:w="1251" w:type="dxa"/>
            <w:vAlign w:val="center"/>
          </w:tcPr>
          <w:p w14:paraId="6C58ED9E">
            <w:pPr>
              <w:jc w:val="right"/>
            </w:pPr>
            <w:r>
              <w:rPr>
                <w:rFonts w:hint="eastAsia"/>
              </w:rPr>
              <w:t>1.39%</w:t>
            </w:r>
          </w:p>
        </w:tc>
        <w:tc>
          <w:tcPr>
            <w:tcW w:w="1218" w:type="dxa"/>
            <w:vAlign w:val="center"/>
          </w:tcPr>
          <w:p w14:paraId="492BE36D">
            <w:pPr>
              <w:jc w:val="right"/>
            </w:pPr>
            <w:r>
              <w:rPr>
                <w:rFonts w:hint="eastAsia"/>
              </w:rPr>
              <w:t>0.12%</w:t>
            </w:r>
          </w:p>
        </w:tc>
      </w:tr>
      <w:tr w14:paraId="3448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AB074C">
            <w:r>
              <w:rPr>
                <w:rFonts w:hint="eastAsia"/>
              </w:rPr>
              <w:t>过去六个月</w:t>
            </w:r>
          </w:p>
        </w:tc>
        <w:tc>
          <w:tcPr>
            <w:tcW w:w="1101" w:type="dxa"/>
            <w:vAlign w:val="center"/>
          </w:tcPr>
          <w:p w14:paraId="27E12211">
            <w:pPr>
              <w:jc w:val="right"/>
            </w:pPr>
            <w:r>
              <w:rPr>
                <w:rFonts w:hint="eastAsia"/>
              </w:rPr>
              <w:t>2.34%</w:t>
            </w:r>
          </w:p>
        </w:tc>
        <w:tc>
          <w:tcPr>
            <w:tcW w:w="1101" w:type="dxa"/>
            <w:vAlign w:val="center"/>
          </w:tcPr>
          <w:p w14:paraId="687649A0">
            <w:pPr>
              <w:jc w:val="right"/>
            </w:pPr>
            <w:r>
              <w:rPr>
                <w:rFonts w:hint="eastAsia"/>
              </w:rPr>
              <w:t>0.09%</w:t>
            </w:r>
          </w:p>
        </w:tc>
        <w:tc>
          <w:tcPr>
            <w:tcW w:w="1101" w:type="dxa"/>
            <w:vAlign w:val="center"/>
          </w:tcPr>
          <w:p w14:paraId="28BA8D58">
            <w:pPr>
              <w:jc w:val="right"/>
            </w:pPr>
            <w:r>
              <w:rPr>
                <w:rFonts w:hint="eastAsia"/>
              </w:rPr>
              <w:t>1.33%</w:t>
            </w:r>
          </w:p>
        </w:tc>
        <w:tc>
          <w:tcPr>
            <w:tcW w:w="1207" w:type="dxa"/>
            <w:vAlign w:val="center"/>
          </w:tcPr>
          <w:p w14:paraId="5FF69E78">
            <w:pPr>
              <w:jc w:val="right"/>
            </w:pPr>
            <w:r>
              <w:rPr>
                <w:rFonts w:hint="eastAsia"/>
              </w:rPr>
              <w:t>0.01%</w:t>
            </w:r>
          </w:p>
        </w:tc>
        <w:tc>
          <w:tcPr>
            <w:tcW w:w="1251" w:type="dxa"/>
            <w:vAlign w:val="center"/>
          </w:tcPr>
          <w:p w14:paraId="2E512DD1">
            <w:pPr>
              <w:jc w:val="right"/>
            </w:pPr>
            <w:r>
              <w:rPr>
                <w:rFonts w:hint="eastAsia"/>
              </w:rPr>
              <w:t>1.01%</w:t>
            </w:r>
          </w:p>
        </w:tc>
        <w:tc>
          <w:tcPr>
            <w:tcW w:w="1218" w:type="dxa"/>
            <w:vAlign w:val="center"/>
          </w:tcPr>
          <w:p w14:paraId="7B5D1F60">
            <w:pPr>
              <w:jc w:val="right"/>
            </w:pPr>
            <w:r>
              <w:rPr>
                <w:rFonts w:hint="eastAsia"/>
              </w:rPr>
              <w:t>0.08%</w:t>
            </w:r>
          </w:p>
        </w:tc>
      </w:tr>
      <w:tr w14:paraId="46D3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A503FC">
            <w:r>
              <w:rPr>
                <w:rFonts w:hint="eastAsia"/>
              </w:rPr>
              <w:t>过去一年</w:t>
            </w:r>
          </w:p>
        </w:tc>
        <w:tc>
          <w:tcPr>
            <w:tcW w:w="1101" w:type="dxa"/>
            <w:vAlign w:val="center"/>
          </w:tcPr>
          <w:p w14:paraId="2D1F4CC6">
            <w:pPr>
              <w:jc w:val="right"/>
            </w:pPr>
            <w:r>
              <w:rPr>
                <w:rFonts w:hint="eastAsia"/>
              </w:rPr>
              <w:t>2.82%</w:t>
            </w:r>
          </w:p>
        </w:tc>
        <w:tc>
          <w:tcPr>
            <w:tcW w:w="1101" w:type="dxa"/>
            <w:vAlign w:val="center"/>
          </w:tcPr>
          <w:p w14:paraId="2AC5C855">
            <w:pPr>
              <w:jc w:val="right"/>
            </w:pPr>
            <w:r>
              <w:rPr>
                <w:rFonts w:hint="eastAsia"/>
              </w:rPr>
              <w:t>0.07%</w:t>
            </w:r>
          </w:p>
        </w:tc>
        <w:tc>
          <w:tcPr>
            <w:tcW w:w="1101" w:type="dxa"/>
            <w:vAlign w:val="center"/>
          </w:tcPr>
          <w:p w14:paraId="52B3D78F">
            <w:pPr>
              <w:jc w:val="right"/>
            </w:pPr>
            <w:r>
              <w:rPr>
                <w:rFonts w:hint="eastAsia"/>
              </w:rPr>
              <w:t>2.67%</w:t>
            </w:r>
          </w:p>
        </w:tc>
        <w:tc>
          <w:tcPr>
            <w:tcW w:w="1207" w:type="dxa"/>
            <w:vAlign w:val="center"/>
          </w:tcPr>
          <w:p w14:paraId="799164AC">
            <w:pPr>
              <w:jc w:val="right"/>
            </w:pPr>
            <w:r>
              <w:rPr>
                <w:rFonts w:hint="eastAsia"/>
              </w:rPr>
              <w:t>0.01%</w:t>
            </w:r>
          </w:p>
        </w:tc>
        <w:tc>
          <w:tcPr>
            <w:tcW w:w="1251" w:type="dxa"/>
            <w:vAlign w:val="center"/>
          </w:tcPr>
          <w:p w14:paraId="6A8198C9">
            <w:pPr>
              <w:jc w:val="right"/>
            </w:pPr>
            <w:r>
              <w:rPr>
                <w:rFonts w:hint="eastAsia"/>
              </w:rPr>
              <w:t>0.15%</w:t>
            </w:r>
          </w:p>
        </w:tc>
        <w:tc>
          <w:tcPr>
            <w:tcW w:w="1218" w:type="dxa"/>
            <w:vAlign w:val="center"/>
          </w:tcPr>
          <w:p w14:paraId="24C12218">
            <w:pPr>
              <w:jc w:val="right"/>
            </w:pPr>
            <w:r>
              <w:rPr>
                <w:rFonts w:hint="eastAsia"/>
              </w:rPr>
              <w:t>0.06%</w:t>
            </w:r>
          </w:p>
        </w:tc>
      </w:tr>
      <w:tr w14:paraId="2128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98C483">
            <w:r>
              <w:rPr>
                <w:rFonts w:hint="eastAsia"/>
              </w:rPr>
              <w:t>过去三年</w:t>
            </w:r>
          </w:p>
        </w:tc>
        <w:tc>
          <w:tcPr>
            <w:tcW w:w="1101" w:type="dxa"/>
            <w:vAlign w:val="center"/>
          </w:tcPr>
          <w:p w14:paraId="60BD1428">
            <w:pPr>
              <w:jc w:val="right"/>
            </w:pPr>
            <w:r>
              <w:rPr>
                <w:rFonts w:hint="eastAsia"/>
              </w:rPr>
              <w:t>7.73%</w:t>
            </w:r>
          </w:p>
        </w:tc>
        <w:tc>
          <w:tcPr>
            <w:tcW w:w="1101" w:type="dxa"/>
            <w:vAlign w:val="center"/>
          </w:tcPr>
          <w:p w14:paraId="18602D39">
            <w:pPr>
              <w:jc w:val="right"/>
            </w:pPr>
            <w:r>
              <w:rPr>
                <w:rFonts w:hint="eastAsia"/>
              </w:rPr>
              <w:t>0.04%</w:t>
            </w:r>
          </w:p>
        </w:tc>
        <w:tc>
          <w:tcPr>
            <w:tcW w:w="1101" w:type="dxa"/>
            <w:vAlign w:val="center"/>
          </w:tcPr>
          <w:p w14:paraId="7C22AF6E">
            <w:pPr>
              <w:jc w:val="right"/>
            </w:pPr>
            <w:r>
              <w:rPr>
                <w:rFonts w:hint="eastAsia"/>
              </w:rPr>
              <w:t>8.47%</w:t>
            </w:r>
          </w:p>
        </w:tc>
        <w:tc>
          <w:tcPr>
            <w:tcW w:w="1207" w:type="dxa"/>
            <w:vAlign w:val="center"/>
          </w:tcPr>
          <w:p w14:paraId="78351625">
            <w:pPr>
              <w:jc w:val="right"/>
            </w:pPr>
            <w:r>
              <w:rPr>
                <w:rFonts w:hint="eastAsia"/>
              </w:rPr>
              <w:t>0.01%</w:t>
            </w:r>
          </w:p>
        </w:tc>
        <w:tc>
          <w:tcPr>
            <w:tcW w:w="1251" w:type="dxa"/>
            <w:vAlign w:val="center"/>
          </w:tcPr>
          <w:p w14:paraId="6808B775">
            <w:pPr>
              <w:jc w:val="right"/>
            </w:pPr>
            <w:r>
              <w:rPr>
                <w:rFonts w:hint="eastAsia"/>
              </w:rPr>
              <w:t>-0.74%</w:t>
            </w:r>
          </w:p>
        </w:tc>
        <w:tc>
          <w:tcPr>
            <w:tcW w:w="1218" w:type="dxa"/>
            <w:vAlign w:val="center"/>
          </w:tcPr>
          <w:p w14:paraId="6529E9CB">
            <w:pPr>
              <w:jc w:val="right"/>
            </w:pPr>
            <w:r>
              <w:rPr>
                <w:rFonts w:hint="eastAsia"/>
              </w:rPr>
              <w:t>0.03%</w:t>
            </w:r>
          </w:p>
        </w:tc>
      </w:tr>
      <w:tr w14:paraId="498C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0518E8">
            <w:r>
              <w:rPr>
                <w:rFonts w:hint="eastAsia"/>
              </w:rPr>
              <w:t>过去五年</w:t>
            </w:r>
          </w:p>
        </w:tc>
        <w:tc>
          <w:tcPr>
            <w:tcW w:w="1101" w:type="dxa"/>
            <w:vAlign w:val="center"/>
          </w:tcPr>
          <w:p w14:paraId="5BD82266">
            <w:pPr>
              <w:jc w:val="right"/>
            </w:pPr>
            <w:r>
              <w:rPr>
                <w:rFonts w:hint="eastAsia"/>
              </w:rPr>
              <w:t>10.12%</w:t>
            </w:r>
          </w:p>
        </w:tc>
        <w:tc>
          <w:tcPr>
            <w:tcW w:w="1101" w:type="dxa"/>
            <w:vAlign w:val="center"/>
          </w:tcPr>
          <w:p w14:paraId="2E39317E">
            <w:pPr>
              <w:jc w:val="right"/>
            </w:pPr>
            <w:r>
              <w:rPr>
                <w:rFonts w:hint="eastAsia"/>
              </w:rPr>
              <w:t>0.04%</w:t>
            </w:r>
          </w:p>
        </w:tc>
        <w:tc>
          <w:tcPr>
            <w:tcW w:w="1101" w:type="dxa"/>
            <w:vAlign w:val="center"/>
          </w:tcPr>
          <w:p w14:paraId="410803D7">
            <w:pPr>
              <w:jc w:val="right"/>
            </w:pPr>
            <w:r>
              <w:rPr>
                <w:rFonts w:hint="eastAsia"/>
              </w:rPr>
              <w:t>10.90%</w:t>
            </w:r>
          </w:p>
        </w:tc>
        <w:tc>
          <w:tcPr>
            <w:tcW w:w="1207" w:type="dxa"/>
            <w:vAlign w:val="center"/>
          </w:tcPr>
          <w:p w14:paraId="0C7B2173">
            <w:pPr>
              <w:jc w:val="right"/>
            </w:pPr>
            <w:r>
              <w:rPr>
                <w:rFonts w:hint="eastAsia"/>
              </w:rPr>
              <w:t>0.01%</w:t>
            </w:r>
          </w:p>
        </w:tc>
        <w:tc>
          <w:tcPr>
            <w:tcW w:w="1251" w:type="dxa"/>
            <w:vAlign w:val="center"/>
          </w:tcPr>
          <w:p w14:paraId="0B7330F7">
            <w:pPr>
              <w:jc w:val="right"/>
            </w:pPr>
            <w:r>
              <w:rPr>
                <w:rFonts w:hint="eastAsia"/>
              </w:rPr>
              <w:t>-0.78%</w:t>
            </w:r>
          </w:p>
        </w:tc>
        <w:tc>
          <w:tcPr>
            <w:tcW w:w="1218" w:type="dxa"/>
            <w:vAlign w:val="center"/>
          </w:tcPr>
          <w:p w14:paraId="2756ED1F">
            <w:pPr>
              <w:jc w:val="right"/>
            </w:pPr>
            <w:r>
              <w:rPr>
                <w:rFonts w:hint="eastAsia"/>
              </w:rPr>
              <w:t>0.03%</w:t>
            </w:r>
          </w:p>
        </w:tc>
      </w:tr>
      <w:tr w14:paraId="44FA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F48E5E">
            <w:r>
              <w:rPr>
                <w:rFonts w:hint="eastAsia"/>
              </w:rPr>
              <w:t>自基金合同生效起至今</w:t>
            </w:r>
          </w:p>
        </w:tc>
        <w:tc>
          <w:tcPr>
            <w:tcW w:w="1101" w:type="dxa"/>
            <w:vAlign w:val="center"/>
          </w:tcPr>
          <w:p w14:paraId="59922CDB">
            <w:pPr>
              <w:jc w:val="right"/>
            </w:pPr>
            <w:r>
              <w:rPr>
                <w:rFonts w:hint="eastAsia"/>
              </w:rPr>
              <w:t>14.85%</w:t>
            </w:r>
          </w:p>
        </w:tc>
        <w:tc>
          <w:tcPr>
            <w:tcW w:w="1101" w:type="dxa"/>
            <w:vAlign w:val="center"/>
          </w:tcPr>
          <w:p w14:paraId="23D1D194">
            <w:pPr>
              <w:jc w:val="right"/>
            </w:pPr>
            <w:r>
              <w:rPr>
                <w:rFonts w:hint="eastAsia"/>
              </w:rPr>
              <w:t>0.03%</w:t>
            </w:r>
          </w:p>
        </w:tc>
        <w:tc>
          <w:tcPr>
            <w:tcW w:w="1101" w:type="dxa"/>
            <w:vAlign w:val="center"/>
          </w:tcPr>
          <w:p w14:paraId="77B7ADD2">
            <w:pPr>
              <w:jc w:val="right"/>
            </w:pPr>
            <w:r>
              <w:rPr>
                <w:rFonts w:hint="eastAsia"/>
              </w:rPr>
              <w:t>15.39%</w:t>
            </w:r>
          </w:p>
        </w:tc>
        <w:tc>
          <w:tcPr>
            <w:tcW w:w="1207" w:type="dxa"/>
            <w:vAlign w:val="center"/>
          </w:tcPr>
          <w:p w14:paraId="0130B5C3">
            <w:pPr>
              <w:jc w:val="right"/>
            </w:pPr>
            <w:r>
              <w:rPr>
                <w:rFonts w:hint="eastAsia"/>
              </w:rPr>
              <w:t>0.01%</w:t>
            </w:r>
          </w:p>
        </w:tc>
        <w:tc>
          <w:tcPr>
            <w:tcW w:w="1251" w:type="dxa"/>
            <w:vAlign w:val="center"/>
          </w:tcPr>
          <w:p w14:paraId="5C9FFDC0">
            <w:pPr>
              <w:jc w:val="right"/>
            </w:pPr>
            <w:r>
              <w:rPr>
                <w:rFonts w:hint="eastAsia"/>
              </w:rPr>
              <w:t>-0.54%</w:t>
            </w:r>
          </w:p>
        </w:tc>
        <w:tc>
          <w:tcPr>
            <w:tcW w:w="1218" w:type="dxa"/>
            <w:vAlign w:val="center"/>
          </w:tcPr>
          <w:p w14:paraId="5DDADC36">
            <w:pPr>
              <w:jc w:val="right"/>
            </w:pPr>
            <w:r>
              <w:rPr>
                <w:rFonts w:hint="eastAsia"/>
              </w:rPr>
              <w:t>0.02%</w:t>
            </w:r>
          </w:p>
        </w:tc>
      </w:tr>
    </w:tbl>
    <w:p w14:paraId="541C5E2E">
      <w:pPr>
        <w:pStyle w:val="54"/>
        <w:rPr>
          <w:rFonts w:hint="eastAsia"/>
        </w:rPr>
      </w:pPr>
      <w:r>
        <w:rPr>
          <w:rFonts w:hint="eastAsia"/>
        </w:rPr>
        <w:t>注：净值表现按实际存续期计算。</w:t>
      </w:r>
    </w:p>
    <w:p w14:paraId="55742608">
      <w:pPr>
        <w:pStyle w:val="35"/>
      </w:pPr>
      <w:bookmarkStart w:id="15" w:name="_Toc15"/>
      <w:r>
        <w:t>自基金合同生效以来基金份额累计净值增长率变动及其与同期业绩比较基准收益率变动的比较</w:t>
      </w:r>
      <w:bookmarkEnd w:id="15"/>
    </w:p>
    <w:p w14:paraId="378F47E3">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4A12D9BF">
      <w:pPr>
        <w:pStyle w:val="54"/>
        <w:rPr>
          <w:rFonts w:hint="eastAsia"/>
        </w:rPr>
      </w:pPr>
      <w:r>
        <w:rPr>
          <w:rFonts w:hint="eastAsia"/>
        </w:rPr>
        <w:t>注：净值表现按实际存续期计算。</w:t>
      </w:r>
    </w:p>
    <w:p w14:paraId="60032647">
      <w:pPr>
        <w:pStyle w:val="35"/>
      </w:pPr>
      <w:bookmarkStart w:id="16" w:name="_Toc16"/>
      <w:r>
        <w:t>过去五年以来基金每年净值增长率及其与同期业绩比较基准收益率的比较</w:t>
      </w:r>
      <w:bookmarkEnd w:id="16"/>
    </w:p>
    <w:p w14:paraId="2DA56293">
      <w:pPr>
        <w:jc w:val="center"/>
      </w:pPr>
      <w:r>
        <w:drawing>
          <wp:inline distT="0" distB="0" distL="114300" distR="114300">
            <wp:extent cx="5274310" cy="390017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00700"/>
                    </a:xfrm>
                    <a:prstGeom prst="rect">
                      <a:avLst/>
                    </a:prstGeom>
                  </pic:spPr>
                </pic:pic>
              </a:graphicData>
            </a:graphic>
          </wp:inline>
        </w:drawing>
      </w:r>
    </w:p>
    <w:p w14:paraId="35A4CA68">
      <w:pPr>
        <w:pStyle w:val="30"/>
      </w:pPr>
      <w:bookmarkStart w:id="17" w:name="_Toc25548"/>
      <w:r>
        <w:t>过去三年基金的利润分配情况</w:t>
      </w:r>
      <w:bookmarkEnd w:id="17"/>
    </w:p>
    <w:p w14:paraId="78BE8F5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2A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D991BC">
            <w:pPr>
              <w:jc w:val="center"/>
            </w:pPr>
            <w:r>
              <w:rPr>
                <w:rFonts w:hint="eastAsia"/>
                <w:b/>
              </w:rPr>
              <w:t>年度</w:t>
            </w:r>
          </w:p>
        </w:tc>
        <w:tc>
          <w:tcPr>
            <w:tcW w:w="1384" w:type="dxa"/>
            <w:shd w:val="clear" w:color="auto" w:fill="BFBFBF"/>
            <w:vAlign w:val="center"/>
          </w:tcPr>
          <w:p w14:paraId="69550528">
            <w:pPr>
              <w:jc w:val="center"/>
            </w:pPr>
            <w:r>
              <w:rPr>
                <w:rFonts w:hint="eastAsia"/>
                <w:b/>
              </w:rPr>
              <w:t>每10份基金份额分红数</w:t>
            </w:r>
          </w:p>
        </w:tc>
        <w:tc>
          <w:tcPr>
            <w:tcW w:w="1384" w:type="dxa"/>
            <w:shd w:val="clear" w:color="auto" w:fill="BFBFBF"/>
            <w:vAlign w:val="center"/>
          </w:tcPr>
          <w:p w14:paraId="5B8DB043">
            <w:pPr>
              <w:jc w:val="center"/>
            </w:pPr>
            <w:r>
              <w:rPr>
                <w:rFonts w:hint="eastAsia"/>
                <w:b/>
              </w:rPr>
              <w:t>现金形式发放总额</w:t>
            </w:r>
          </w:p>
        </w:tc>
        <w:tc>
          <w:tcPr>
            <w:tcW w:w="1384" w:type="dxa"/>
            <w:shd w:val="clear" w:color="auto" w:fill="BFBFBF"/>
            <w:vAlign w:val="center"/>
          </w:tcPr>
          <w:p w14:paraId="16693385">
            <w:pPr>
              <w:jc w:val="center"/>
            </w:pPr>
            <w:r>
              <w:rPr>
                <w:rFonts w:hint="eastAsia"/>
                <w:b/>
              </w:rPr>
              <w:t>再投资形式发放总额</w:t>
            </w:r>
          </w:p>
        </w:tc>
        <w:tc>
          <w:tcPr>
            <w:tcW w:w="1384" w:type="dxa"/>
            <w:shd w:val="clear" w:color="auto" w:fill="BFBFBF"/>
            <w:vAlign w:val="center"/>
          </w:tcPr>
          <w:p w14:paraId="265C9A04">
            <w:pPr>
              <w:jc w:val="center"/>
            </w:pPr>
            <w:r>
              <w:rPr>
                <w:rFonts w:hint="eastAsia"/>
                <w:b/>
              </w:rPr>
              <w:t>年度利润分配合计</w:t>
            </w:r>
          </w:p>
        </w:tc>
        <w:tc>
          <w:tcPr>
            <w:tcW w:w="1384" w:type="dxa"/>
            <w:shd w:val="clear" w:color="auto" w:fill="BFBFBF"/>
            <w:vAlign w:val="center"/>
          </w:tcPr>
          <w:p w14:paraId="3ACD5F21">
            <w:pPr>
              <w:jc w:val="center"/>
            </w:pPr>
            <w:r>
              <w:rPr>
                <w:rFonts w:hint="eastAsia"/>
                <w:b/>
              </w:rPr>
              <w:t>备注</w:t>
            </w:r>
          </w:p>
        </w:tc>
      </w:tr>
      <w:tr w14:paraId="72EB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FB3D2">
            <w:r>
              <w:rPr>
                <w:rFonts w:hint="eastAsia"/>
              </w:rPr>
              <w:t>2025年</w:t>
            </w:r>
          </w:p>
        </w:tc>
        <w:tc>
          <w:tcPr>
            <w:tcW w:w="1384" w:type="dxa"/>
            <w:vAlign w:val="center"/>
          </w:tcPr>
          <w:p w14:paraId="7ABF1C20">
            <w:pPr>
              <w:jc w:val="right"/>
            </w:pPr>
            <w:r>
              <w:rPr>
                <w:rFonts w:hint="eastAsia"/>
              </w:rPr>
              <w:t>0.1300</w:t>
            </w:r>
          </w:p>
        </w:tc>
        <w:tc>
          <w:tcPr>
            <w:tcW w:w="1384" w:type="dxa"/>
            <w:vAlign w:val="center"/>
          </w:tcPr>
          <w:p w14:paraId="72A5AB50">
            <w:pPr>
              <w:jc w:val="right"/>
            </w:pPr>
            <w:r>
              <w:rPr>
                <w:rFonts w:hint="eastAsia"/>
              </w:rPr>
              <w:t>435,801.59</w:t>
            </w:r>
          </w:p>
        </w:tc>
        <w:tc>
          <w:tcPr>
            <w:tcW w:w="1384" w:type="dxa"/>
            <w:vAlign w:val="center"/>
          </w:tcPr>
          <w:p w14:paraId="53AE6DD4">
            <w:pPr>
              <w:jc w:val="right"/>
            </w:pPr>
            <w:r>
              <w:rPr>
                <w:rFonts w:hint="eastAsia"/>
              </w:rPr>
              <w:t>-</w:t>
            </w:r>
          </w:p>
        </w:tc>
        <w:tc>
          <w:tcPr>
            <w:tcW w:w="1384" w:type="dxa"/>
            <w:vAlign w:val="center"/>
          </w:tcPr>
          <w:p w14:paraId="7365C583">
            <w:pPr>
              <w:jc w:val="right"/>
            </w:pPr>
            <w:r>
              <w:rPr>
                <w:rFonts w:hint="eastAsia"/>
              </w:rPr>
              <w:t>435,801.59</w:t>
            </w:r>
          </w:p>
        </w:tc>
        <w:tc>
          <w:tcPr>
            <w:tcW w:w="1384" w:type="dxa"/>
            <w:vAlign w:val="center"/>
          </w:tcPr>
          <w:p w14:paraId="137D3188">
            <w:pPr>
              <w:jc w:val="right"/>
            </w:pPr>
            <w:r>
              <w:rPr>
                <w:rFonts w:hint="eastAsia"/>
              </w:rPr>
              <w:t>-</w:t>
            </w:r>
          </w:p>
        </w:tc>
      </w:tr>
      <w:tr w14:paraId="3E00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392F0">
            <w:r>
              <w:rPr>
                <w:rFonts w:hint="eastAsia"/>
              </w:rPr>
              <w:t>2024年</w:t>
            </w:r>
          </w:p>
        </w:tc>
        <w:tc>
          <w:tcPr>
            <w:tcW w:w="1384" w:type="dxa"/>
            <w:vAlign w:val="center"/>
          </w:tcPr>
          <w:p w14:paraId="31423C81">
            <w:pPr>
              <w:jc w:val="right"/>
            </w:pPr>
            <w:r>
              <w:rPr>
                <w:rFonts w:hint="eastAsia"/>
              </w:rPr>
              <w:t>-</w:t>
            </w:r>
          </w:p>
        </w:tc>
        <w:tc>
          <w:tcPr>
            <w:tcW w:w="1384" w:type="dxa"/>
            <w:vAlign w:val="center"/>
          </w:tcPr>
          <w:p w14:paraId="4A344C24">
            <w:pPr>
              <w:jc w:val="right"/>
            </w:pPr>
            <w:r>
              <w:rPr>
                <w:rFonts w:hint="eastAsia"/>
              </w:rPr>
              <w:t>-</w:t>
            </w:r>
          </w:p>
        </w:tc>
        <w:tc>
          <w:tcPr>
            <w:tcW w:w="1384" w:type="dxa"/>
            <w:vAlign w:val="center"/>
          </w:tcPr>
          <w:p w14:paraId="7B2D2B86">
            <w:pPr>
              <w:jc w:val="right"/>
            </w:pPr>
            <w:r>
              <w:rPr>
                <w:rFonts w:hint="eastAsia"/>
              </w:rPr>
              <w:t>-</w:t>
            </w:r>
          </w:p>
        </w:tc>
        <w:tc>
          <w:tcPr>
            <w:tcW w:w="1384" w:type="dxa"/>
            <w:vAlign w:val="center"/>
          </w:tcPr>
          <w:p w14:paraId="0F3680AB">
            <w:pPr>
              <w:jc w:val="right"/>
            </w:pPr>
            <w:r>
              <w:rPr>
                <w:rFonts w:hint="eastAsia"/>
              </w:rPr>
              <w:t>-</w:t>
            </w:r>
          </w:p>
        </w:tc>
        <w:tc>
          <w:tcPr>
            <w:tcW w:w="1384" w:type="dxa"/>
            <w:vAlign w:val="center"/>
          </w:tcPr>
          <w:p w14:paraId="3A593F4B">
            <w:pPr>
              <w:jc w:val="right"/>
            </w:pPr>
            <w:r>
              <w:rPr>
                <w:rFonts w:hint="eastAsia"/>
              </w:rPr>
              <w:t>-</w:t>
            </w:r>
          </w:p>
        </w:tc>
      </w:tr>
      <w:tr w14:paraId="0C9B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84958">
            <w:r>
              <w:rPr>
                <w:rFonts w:hint="eastAsia"/>
              </w:rPr>
              <w:t>2023年</w:t>
            </w:r>
          </w:p>
        </w:tc>
        <w:tc>
          <w:tcPr>
            <w:tcW w:w="1384" w:type="dxa"/>
            <w:vAlign w:val="center"/>
          </w:tcPr>
          <w:p w14:paraId="4ADFE993">
            <w:pPr>
              <w:jc w:val="right"/>
            </w:pPr>
            <w:r>
              <w:rPr>
                <w:rFonts w:hint="eastAsia"/>
              </w:rPr>
              <w:t>0.2280</w:t>
            </w:r>
          </w:p>
        </w:tc>
        <w:tc>
          <w:tcPr>
            <w:tcW w:w="1384" w:type="dxa"/>
            <w:vAlign w:val="center"/>
          </w:tcPr>
          <w:p w14:paraId="379AA0FA">
            <w:pPr>
              <w:jc w:val="right"/>
            </w:pPr>
            <w:r>
              <w:rPr>
                <w:rFonts w:hint="eastAsia"/>
              </w:rPr>
              <w:t>173,685,545.13</w:t>
            </w:r>
          </w:p>
        </w:tc>
        <w:tc>
          <w:tcPr>
            <w:tcW w:w="1384" w:type="dxa"/>
            <w:vAlign w:val="center"/>
          </w:tcPr>
          <w:p w14:paraId="0E35E6FE">
            <w:pPr>
              <w:jc w:val="right"/>
            </w:pPr>
            <w:r>
              <w:rPr>
                <w:rFonts w:hint="eastAsia"/>
              </w:rPr>
              <w:t>-</w:t>
            </w:r>
          </w:p>
        </w:tc>
        <w:tc>
          <w:tcPr>
            <w:tcW w:w="1384" w:type="dxa"/>
            <w:vAlign w:val="center"/>
          </w:tcPr>
          <w:p w14:paraId="06D3C047">
            <w:pPr>
              <w:jc w:val="right"/>
            </w:pPr>
            <w:r>
              <w:rPr>
                <w:rFonts w:hint="eastAsia"/>
              </w:rPr>
              <w:t>173,685,545.13</w:t>
            </w:r>
          </w:p>
        </w:tc>
        <w:tc>
          <w:tcPr>
            <w:tcW w:w="1384" w:type="dxa"/>
            <w:vAlign w:val="center"/>
          </w:tcPr>
          <w:p w14:paraId="147D16F3">
            <w:pPr>
              <w:jc w:val="right"/>
            </w:pPr>
            <w:r>
              <w:rPr>
                <w:rFonts w:hint="eastAsia"/>
              </w:rPr>
              <w:t>-</w:t>
            </w:r>
          </w:p>
        </w:tc>
      </w:tr>
      <w:tr w14:paraId="00FF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9E345">
            <w:r>
              <w:rPr>
                <w:rFonts w:hint="eastAsia"/>
              </w:rPr>
              <w:t>合计</w:t>
            </w:r>
          </w:p>
        </w:tc>
        <w:tc>
          <w:tcPr>
            <w:tcW w:w="1384" w:type="dxa"/>
            <w:vAlign w:val="center"/>
          </w:tcPr>
          <w:p w14:paraId="77961169">
            <w:pPr>
              <w:jc w:val="right"/>
            </w:pPr>
            <w:r>
              <w:rPr>
                <w:rFonts w:hint="eastAsia"/>
              </w:rPr>
              <w:t>0.3580</w:t>
            </w:r>
          </w:p>
        </w:tc>
        <w:tc>
          <w:tcPr>
            <w:tcW w:w="1384" w:type="dxa"/>
            <w:vAlign w:val="center"/>
          </w:tcPr>
          <w:p w14:paraId="3E39B7BB">
            <w:pPr>
              <w:jc w:val="right"/>
            </w:pPr>
            <w:r>
              <w:rPr>
                <w:rFonts w:hint="eastAsia"/>
              </w:rPr>
              <w:t>174,121,346.72</w:t>
            </w:r>
          </w:p>
        </w:tc>
        <w:tc>
          <w:tcPr>
            <w:tcW w:w="1384" w:type="dxa"/>
            <w:vAlign w:val="center"/>
          </w:tcPr>
          <w:p w14:paraId="680BAD7F">
            <w:pPr>
              <w:jc w:val="right"/>
            </w:pPr>
            <w:r>
              <w:rPr>
                <w:rFonts w:hint="eastAsia"/>
              </w:rPr>
              <w:t>-</w:t>
            </w:r>
          </w:p>
        </w:tc>
        <w:tc>
          <w:tcPr>
            <w:tcW w:w="1384" w:type="dxa"/>
            <w:vAlign w:val="center"/>
          </w:tcPr>
          <w:p w14:paraId="00017A70">
            <w:pPr>
              <w:jc w:val="right"/>
            </w:pPr>
            <w:r>
              <w:rPr>
                <w:rFonts w:hint="eastAsia"/>
              </w:rPr>
              <w:t>174,121,346.72</w:t>
            </w:r>
          </w:p>
        </w:tc>
        <w:tc>
          <w:tcPr>
            <w:tcW w:w="1384" w:type="dxa"/>
            <w:vAlign w:val="center"/>
          </w:tcPr>
          <w:p w14:paraId="2BE32601">
            <w:pPr>
              <w:jc w:val="right"/>
            </w:pPr>
            <w:r>
              <w:rPr>
                <w:rFonts w:hint="eastAsia"/>
              </w:rPr>
              <w:t>-</w:t>
            </w:r>
          </w:p>
        </w:tc>
      </w:tr>
    </w:tbl>
    <w:p w14:paraId="3066604A">
      <w:pPr>
        <w:pStyle w:val="33"/>
      </w:pPr>
      <w:bookmarkStart w:id="18" w:name="_Toc11021"/>
      <w:r>
        <w:t>管理人报告</w:t>
      </w:r>
      <w:bookmarkEnd w:id="18"/>
    </w:p>
    <w:p w14:paraId="18EAF9EC">
      <w:pPr>
        <w:pStyle w:val="30"/>
      </w:pPr>
      <w:bookmarkStart w:id="19" w:name="_Toc23087"/>
      <w:r>
        <w:t>基金管理人及基金经理情况</w:t>
      </w:r>
      <w:bookmarkEnd w:id="19"/>
    </w:p>
    <w:p w14:paraId="6A231588">
      <w:pPr>
        <w:pStyle w:val="35"/>
      </w:pPr>
      <w:bookmarkStart w:id="20" w:name="_Toc20"/>
      <w:r>
        <w:t>基金管理人及其管理基金的经验</w:t>
      </w:r>
      <w:bookmarkEnd w:id="20"/>
    </w:p>
    <w:p w14:paraId="136570B6">
      <w:pPr>
        <w:pStyle w:val="25"/>
        <w:rPr>
          <w:rFonts w:hint="eastAsia"/>
        </w:rPr>
      </w:pPr>
      <w:r>
        <w:rPr>
          <w:rFonts w:hint="eastAsia"/>
        </w:rPr>
        <w:t>1998年3月6日，经中国证监会批准，南方基金管理有限公司作为国内首批规范的基金管理公司正式成立，成为我国“新基金时代”的起始标志。</w:t>
      </w:r>
    </w:p>
    <w:p w14:paraId="3D002540">
      <w:pPr>
        <w:pStyle w:val="25"/>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1804E9F">
      <w:pPr>
        <w:pStyle w:val="25"/>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DEAC3C8">
      <w:pPr>
        <w:pStyle w:val="35"/>
      </w:pPr>
      <w:bookmarkStart w:id="21" w:name="_Toc21"/>
      <w:r>
        <w:t xml:space="preserve">基金经理（或基金经理小组）及基金经理助理简介 </w:t>
      </w:r>
      <w:bookmarkEnd w:id="21"/>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EA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2009A2CF">
            <w:pPr>
              <w:jc w:val="center"/>
            </w:pPr>
            <w:r>
              <w:rPr>
                <w:rFonts w:hint="eastAsia"/>
                <w:b/>
              </w:rPr>
              <w:t>姓名</w:t>
            </w:r>
          </w:p>
        </w:tc>
        <w:tc>
          <w:tcPr>
            <w:tcW w:w="830" w:type="dxa"/>
            <w:vMerge w:val="restart"/>
            <w:shd w:val="clear" w:color="auto" w:fill="BFBFBF"/>
            <w:vAlign w:val="center"/>
          </w:tcPr>
          <w:p w14:paraId="63C87F6C">
            <w:pPr>
              <w:jc w:val="center"/>
            </w:pPr>
            <w:r>
              <w:rPr>
                <w:rFonts w:hint="eastAsia"/>
                <w:b/>
              </w:rPr>
              <w:t>职务</w:t>
            </w:r>
          </w:p>
        </w:tc>
        <w:tc>
          <w:tcPr>
            <w:tcW w:w="1090" w:type="dxa"/>
            <w:gridSpan w:val="2"/>
            <w:shd w:val="clear" w:color="auto" w:fill="BFBFBF"/>
            <w:vAlign w:val="center"/>
          </w:tcPr>
          <w:p w14:paraId="4A42E7FA">
            <w:pPr>
              <w:jc w:val="center"/>
            </w:pPr>
            <w:r>
              <w:rPr>
                <w:rFonts w:hint="eastAsia"/>
                <w:b/>
              </w:rPr>
              <w:t>任本基金的基金经理（助理）期限</w:t>
            </w:r>
          </w:p>
        </w:tc>
        <w:tc>
          <w:tcPr>
            <w:tcW w:w="686" w:type="dxa"/>
            <w:vMerge w:val="restart"/>
            <w:shd w:val="clear" w:color="auto" w:fill="BFBFBF"/>
            <w:vAlign w:val="center"/>
          </w:tcPr>
          <w:p w14:paraId="052C8DC5">
            <w:pPr>
              <w:jc w:val="center"/>
            </w:pPr>
            <w:r>
              <w:rPr>
                <w:rFonts w:hint="eastAsia"/>
                <w:b/>
              </w:rPr>
              <w:t>证券从业年限</w:t>
            </w:r>
          </w:p>
        </w:tc>
        <w:tc>
          <w:tcPr>
            <w:tcW w:w="3765" w:type="dxa"/>
            <w:vMerge w:val="restart"/>
            <w:shd w:val="clear" w:color="auto" w:fill="BFBFBF"/>
            <w:vAlign w:val="center"/>
          </w:tcPr>
          <w:p w14:paraId="56D98AE3">
            <w:pPr>
              <w:jc w:val="center"/>
            </w:pPr>
            <w:r>
              <w:rPr>
                <w:rFonts w:hint="eastAsia"/>
                <w:b/>
              </w:rPr>
              <w:t>说明</w:t>
            </w:r>
          </w:p>
        </w:tc>
      </w:tr>
      <w:tr w14:paraId="0AA9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CFCE17C"/>
        </w:tc>
        <w:tc>
          <w:tcPr>
            <w:tcW w:w="830" w:type="dxa"/>
            <w:vMerge w:val="continue"/>
            <w:vAlign w:val="center"/>
          </w:tcPr>
          <w:p w14:paraId="7E97B1CF"/>
        </w:tc>
        <w:tc>
          <w:tcPr>
            <w:tcW w:w="1090" w:type="dxa"/>
            <w:shd w:val="clear" w:color="auto" w:fill="BFBFBF"/>
            <w:vAlign w:val="center"/>
          </w:tcPr>
          <w:p w14:paraId="7012E63B">
            <w:pPr>
              <w:jc w:val="center"/>
            </w:pPr>
            <w:r>
              <w:rPr>
                <w:rFonts w:hint="eastAsia"/>
                <w:b/>
              </w:rPr>
              <w:t>任职日期</w:t>
            </w:r>
          </w:p>
        </w:tc>
        <w:tc>
          <w:tcPr>
            <w:tcW w:w="1090" w:type="dxa"/>
            <w:shd w:val="clear" w:color="auto" w:fill="BFBFBF"/>
            <w:vAlign w:val="center"/>
          </w:tcPr>
          <w:p w14:paraId="4F3D7525">
            <w:pPr>
              <w:jc w:val="center"/>
            </w:pPr>
            <w:r>
              <w:rPr>
                <w:rFonts w:hint="eastAsia"/>
                <w:b/>
              </w:rPr>
              <w:t>离任日期</w:t>
            </w:r>
          </w:p>
        </w:tc>
        <w:tc>
          <w:tcPr>
            <w:tcW w:w="686" w:type="dxa"/>
            <w:vMerge w:val="continue"/>
            <w:vAlign w:val="center"/>
          </w:tcPr>
          <w:p w14:paraId="0F497D78"/>
        </w:tc>
        <w:tc>
          <w:tcPr>
            <w:tcW w:w="3765" w:type="dxa"/>
            <w:vMerge w:val="continue"/>
            <w:vAlign w:val="center"/>
          </w:tcPr>
          <w:p w14:paraId="1748C875"/>
        </w:tc>
      </w:tr>
      <w:tr w14:paraId="7C80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F7E596">
            <w:r>
              <w:rPr>
                <w:rFonts w:hint="eastAsia"/>
              </w:rPr>
              <w:t>黄河</w:t>
            </w:r>
          </w:p>
        </w:tc>
        <w:tc>
          <w:tcPr>
            <w:tcW w:w="830" w:type="dxa"/>
            <w:vAlign w:val="center"/>
          </w:tcPr>
          <w:p w14:paraId="11C6EB03">
            <w:r>
              <w:rPr>
                <w:rFonts w:hint="eastAsia"/>
              </w:rPr>
              <w:t>本基金基金经理</w:t>
            </w:r>
          </w:p>
        </w:tc>
        <w:tc>
          <w:tcPr>
            <w:tcW w:w="1090" w:type="dxa"/>
            <w:vAlign w:val="center"/>
          </w:tcPr>
          <w:p w14:paraId="01AB6C7F">
            <w:r>
              <w:rPr>
                <w:rFonts w:hint="eastAsia"/>
              </w:rPr>
              <w:t>2020年4月29日</w:t>
            </w:r>
          </w:p>
        </w:tc>
        <w:tc>
          <w:tcPr>
            <w:tcW w:w="1090" w:type="dxa"/>
            <w:vAlign w:val="center"/>
          </w:tcPr>
          <w:p w14:paraId="7C88E66E">
            <w:pPr>
              <w:jc w:val="right"/>
            </w:pPr>
            <w:r>
              <w:rPr>
                <w:rFonts w:hint="eastAsia"/>
              </w:rPr>
              <w:t>-</w:t>
            </w:r>
          </w:p>
        </w:tc>
        <w:tc>
          <w:tcPr>
            <w:tcW w:w="686" w:type="dxa"/>
            <w:vAlign w:val="center"/>
          </w:tcPr>
          <w:p w14:paraId="32533155">
            <w:r>
              <w:rPr>
                <w:rFonts w:hint="eastAsia"/>
              </w:rPr>
              <w:t>15年</w:t>
            </w:r>
          </w:p>
        </w:tc>
        <w:tc>
          <w:tcPr>
            <w:tcW w:w="3765" w:type="dxa"/>
            <w:vAlign w:val="center"/>
          </w:tcPr>
          <w:p w14:paraId="24F52C31">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bl>
    <w:p w14:paraId="7E4EF72E">
      <w:pPr>
        <w:pStyle w:val="54"/>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2CB43D1">
      <w:pPr>
        <w:pStyle w:val="54"/>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22ABB42">
      <w:pPr>
        <w:pStyle w:val="35"/>
      </w:pPr>
      <w:bookmarkStart w:id="22" w:name="_Toc22"/>
      <w:r>
        <w:t>基金经理薪酬机制</w:t>
      </w:r>
      <w:bookmarkEnd w:id="22"/>
    </w:p>
    <w:p w14:paraId="6B243FB5">
      <w:pPr>
        <w:pStyle w:val="25"/>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180755E">
      <w:pPr>
        <w:pStyle w:val="30"/>
      </w:pPr>
      <w:bookmarkStart w:id="23" w:name="_Toc10693"/>
      <w:r>
        <w:t>管理人对报告期内本基金运作遵规守信情况的说明</w:t>
      </w:r>
      <w:bookmarkEnd w:id="23"/>
      <w:r>
        <w:t xml:space="preserve"> </w:t>
      </w:r>
    </w:p>
    <w:p w14:paraId="493AFF26">
      <w:pPr>
        <w:pStyle w:val="25"/>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4B09CF0">
      <w:pPr>
        <w:pStyle w:val="30"/>
      </w:pPr>
      <w:bookmarkStart w:id="24" w:name="_Toc8452"/>
      <w:r>
        <w:t>管理人对报告期内公平交易情况的专项说明</w:t>
      </w:r>
      <w:bookmarkEnd w:id="24"/>
    </w:p>
    <w:p w14:paraId="3A7F9CE2">
      <w:pPr>
        <w:pStyle w:val="35"/>
      </w:pPr>
      <w:bookmarkStart w:id="25" w:name="_Toc25"/>
      <w:r>
        <w:t>公平交易制度和控制方法</w:t>
      </w:r>
      <w:bookmarkEnd w:id="25"/>
    </w:p>
    <w:p w14:paraId="0499D22E">
      <w:pPr>
        <w:pStyle w:val="25"/>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E56058C">
      <w:pPr>
        <w:pStyle w:val="35"/>
      </w:pPr>
      <w:bookmarkStart w:id="26" w:name="_Toc26"/>
      <w:r>
        <w:t>公平交易制度的执行情况</w:t>
      </w:r>
      <w:bookmarkEnd w:id="26"/>
    </w:p>
    <w:p w14:paraId="3CAA4AD5">
      <w:pPr>
        <w:pStyle w:val="25"/>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E67001A">
      <w:pPr>
        <w:pStyle w:val="25"/>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D56A826">
      <w:pPr>
        <w:pStyle w:val="42"/>
      </w:pPr>
      <w:bookmarkStart w:id="27" w:name="_Toc27"/>
      <w:r>
        <w:t>增加执行的基金经理公平交易制度执行情况及公平交易管理情况</w:t>
      </w:r>
      <w:bookmarkEnd w:id="27"/>
    </w:p>
    <w:p w14:paraId="18D695B0">
      <w:pPr>
        <w:pStyle w:val="25"/>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F28E54E">
      <w:pPr>
        <w:pStyle w:val="35"/>
      </w:pPr>
      <w:bookmarkStart w:id="28" w:name="_Toc28"/>
      <w:r>
        <w:t>异常交易行为的专项说明</w:t>
      </w:r>
      <w:bookmarkEnd w:id="28"/>
    </w:p>
    <w:p w14:paraId="390B4281">
      <w:pPr>
        <w:pStyle w:val="25"/>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BFBDF13">
      <w:pPr>
        <w:pStyle w:val="30"/>
      </w:pPr>
      <w:bookmarkStart w:id="29" w:name="_Toc21107"/>
      <w:r>
        <w:t>管理人对报告期内基金的投资策略和业绩表现的说明</w:t>
      </w:r>
      <w:bookmarkEnd w:id="29"/>
    </w:p>
    <w:p w14:paraId="6B285CED">
      <w:pPr>
        <w:pStyle w:val="35"/>
      </w:pPr>
      <w:bookmarkStart w:id="30" w:name="_Toc30"/>
      <w:r>
        <w:t>报告期内基金投资策略和运作分析</w:t>
      </w:r>
      <w:bookmarkEnd w:id="30"/>
    </w:p>
    <w:p w14:paraId="7416E390">
      <w:pPr>
        <w:pStyle w:val="25"/>
        <w:rPr>
          <w:rFonts w:hint="eastAsia"/>
        </w:rPr>
      </w:pPr>
      <w:r>
        <w:rPr>
          <w:rFonts w:hint="eastAsia"/>
        </w:rPr>
        <w:t>全年宏观经济整体运行平稳，展现出较强韧性，GDP实现5%增长目标，新旧动能转换加速。政策层面，财政政策积极发力，超长期特别国债与地方债协同扩容；货币政策保持适度宽松，央行下调公开市场操作逆回购利率一次，幅度为10BP，下调存款准备金率一次，幅度为0.5%，央行通过买断式逆回购及国债买卖等工具灵活调节流动性，资金面呈现“前紧后松”格局。市场层面，2025年利率债收益率上行。其中，1年国债收益率上行25BP、1年国开收益率上行35BP，10年国债、10年国开收益率分别上行17BP、27BP。信用债整体表现优于同期限国开债。</w:t>
      </w:r>
    </w:p>
    <w:p w14:paraId="27333FF7">
      <w:pPr>
        <w:pStyle w:val="25"/>
        <w:rPr>
          <w:rFonts w:hint="eastAsia"/>
        </w:rPr>
      </w:pPr>
      <w:r>
        <w:rPr>
          <w:rFonts w:hint="eastAsia"/>
        </w:rPr>
        <w:t>投资运作上，组合以持有短期金融债为主，获取相对稳定的投资回报。</w:t>
      </w:r>
    </w:p>
    <w:p w14:paraId="181B2CED">
      <w:pPr>
        <w:pStyle w:val="35"/>
      </w:pPr>
      <w:bookmarkStart w:id="31" w:name="_Toc31"/>
      <w:r>
        <w:t>报告期内基金的业绩表现</w:t>
      </w:r>
      <w:bookmarkEnd w:id="31"/>
    </w:p>
    <w:p w14:paraId="10C7886E">
      <w:pPr>
        <w:pStyle w:val="25"/>
        <w:rPr>
          <w:rFonts w:hint="eastAsia"/>
        </w:rPr>
      </w:pPr>
      <w:r>
        <w:rPr>
          <w:rFonts w:hint="eastAsia"/>
        </w:rPr>
        <w:t>截至报告期末，本基金份额净值为1.0420元，报告期内，份额净值增长率为2.82%，同期业绩基准增长率为2.67%。</w:t>
      </w:r>
    </w:p>
    <w:p w14:paraId="63B7057C">
      <w:pPr>
        <w:pStyle w:val="30"/>
      </w:pPr>
      <w:bookmarkStart w:id="32" w:name="_Toc23820"/>
      <w:r>
        <w:t>管理人对宏观经济、证券市场及行业走势的简要展望</w:t>
      </w:r>
      <w:bookmarkEnd w:id="32"/>
    </w:p>
    <w:p w14:paraId="03866669">
      <w:pPr>
        <w:pStyle w:val="25"/>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收益率短期可能有所波动，但目前流动性水平依然充裕，配置需求仍在，同时利率曲线较为平坦，短端利率债有一定配置价值。</w:t>
      </w:r>
    </w:p>
    <w:p w14:paraId="742ACFAE">
      <w:pPr>
        <w:pStyle w:val="30"/>
      </w:pPr>
      <w:bookmarkStart w:id="33" w:name="_Toc29507"/>
      <w:r>
        <w:t>管理人内部有关本基金的监察稽核工作情况</w:t>
      </w:r>
      <w:bookmarkEnd w:id="33"/>
      <w:r>
        <w:t xml:space="preserve"> </w:t>
      </w:r>
    </w:p>
    <w:p w14:paraId="28A2F06D">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B319F8A">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B9056A0">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A772338">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BF1CB52">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F9DFAA6">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2DFC758">
      <w:pPr>
        <w:pStyle w:val="30"/>
      </w:pPr>
      <w:bookmarkStart w:id="34" w:name="_Toc5770"/>
      <w:r>
        <w:t>管理人对报告期内基金估值程序等事项的说明</w:t>
      </w:r>
      <w:bookmarkEnd w:id="34"/>
    </w:p>
    <w:p w14:paraId="0F8EEB5B">
      <w:pPr>
        <w:pStyle w:val="25"/>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8E28C30">
      <w:pPr>
        <w:pStyle w:val="30"/>
      </w:pPr>
      <w:bookmarkStart w:id="35" w:name="_Toc8992"/>
      <w:r>
        <w:t>管理人对报告期内基金利润分配情况的说明</w:t>
      </w:r>
      <w:bookmarkEnd w:id="35"/>
      <w:r>
        <w:t xml:space="preserve"> </w:t>
      </w:r>
    </w:p>
    <w:p w14:paraId="584F2E71">
      <w:pPr>
        <w:pStyle w:val="25"/>
        <w:rPr>
          <w:rFonts w:hint="eastAsia"/>
        </w:rPr>
      </w:pPr>
      <w:r>
        <w:rPr>
          <w:rFonts w:hint="eastAsia"/>
        </w:rPr>
        <w:t>本报告期内本基金进行了收益分配，符合法律法规和基金合同约定。具体如下：</w:t>
      </w:r>
    </w:p>
    <w:p w14:paraId="3007C552">
      <w:pPr>
        <w:pStyle w:val="25"/>
        <w:rPr>
          <w:rFonts w:hint="eastAsia"/>
        </w:rPr>
      </w:pPr>
      <w:r>
        <w:rPr>
          <w:rFonts w:hint="eastAsia"/>
        </w:rPr>
        <w:t>权益登记日2025年12月30日，每10份基金份额分红数0.1300。</w:t>
      </w:r>
    </w:p>
    <w:p w14:paraId="50E356FD">
      <w:pPr>
        <w:pStyle w:val="30"/>
      </w:pPr>
      <w:bookmarkStart w:id="36" w:name="_Toc24973"/>
      <w:r>
        <w:t>报告期内基金持有人数或基金资产净值预警说明</w:t>
      </w:r>
      <w:bookmarkEnd w:id="36"/>
    </w:p>
    <w:p w14:paraId="296022D3">
      <w:pPr>
        <w:pStyle w:val="25"/>
        <w:rPr>
          <w:rFonts w:hint="eastAsia"/>
        </w:rPr>
      </w:pPr>
      <w:r>
        <w:rPr>
          <w:rFonts w:hint="eastAsia"/>
        </w:rPr>
        <w:t>报告期内，本基金未出现连续二十个交易日基金份额持有人数量不满二百人或者基金资产净值低于五千万元的情形。</w:t>
      </w:r>
    </w:p>
    <w:p w14:paraId="027C4CFF">
      <w:pPr>
        <w:pStyle w:val="33"/>
      </w:pPr>
      <w:bookmarkStart w:id="37" w:name="_Toc25451"/>
      <w:r>
        <w:t>托管人报告</w:t>
      </w:r>
      <w:bookmarkEnd w:id="37"/>
    </w:p>
    <w:p w14:paraId="3AA350A4">
      <w:pPr>
        <w:pStyle w:val="30"/>
      </w:pPr>
      <w:bookmarkStart w:id="38" w:name="_Toc10581"/>
      <w:r>
        <w:t>报告期内本基金托管人遵规守信情况声明</w:t>
      </w:r>
      <w:bookmarkEnd w:id="38"/>
    </w:p>
    <w:p w14:paraId="0796B561">
      <w:pPr>
        <w:pStyle w:val="25"/>
        <w:rPr>
          <w:rFonts w:hint="eastAsia"/>
        </w:rPr>
      </w:pPr>
      <w:r>
        <w:rPr>
          <w:rFonts w:hint="eastAsia"/>
        </w:rPr>
        <w:t>本报告期内，基金托管人在南方恒庆一年定期开放债券型证券投资基金的托管过程中，严格遵守了《证券投资基金法》及其他有关法律法规、基金合同、托管协议，尽职尽责地履行了托管人应尽的义务，不存在任何损害基金持有人利益的行为。</w:t>
      </w:r>
    </w:p>
    <w:p w14:paraId="22C63594">
      <w:pPr>
        <w:pStyle w:val="30"/>
      </w:pPr>
      <w:bookmarkStart w:id="39" w:name="_Toc11323"/>
      <w:r>
        <w:t>托管人对报告期内本基金投资运作遵规守信、净值计算、利润分配等情况的说明</w:t>
      </w:r>
      <w:bookmarkEnd w:id="39"/>
      <w:r>
        <w:t xml:space="preserve"> </w:t>
      </w:r>
    </w:p>
    <w:p w14:paraId="30CB8C87">
      <w:pPr>
        <w:pStyle w:val="25"/>
        <w:rPr>
          <w:rFonts w:hint="eastAsia"/>
        </w:rPr>
      </w:pPr>
      <w:r>
        <w:rPr>
          <w:rFonts w:hint="eastAsia"/>
        </w:rPr>
        <w:t>本报告期内，南方基金管理股份有限公司在南方恒庆一年定期开放债券型证券投资基金投资运作、基金资产净值的计算、基金份额申购赎回价格的计算、基金费用开支、基金收益分配等问题上，托管人未发现损害基金持有人利益的行为。</w:t>
      </w:r>
    </w:p>
    <w:p w14:paraId="28086538">
      <w:pPr>
        <w:pStyle w:val="30"/>
      </w:pPr>
      <w:bookmarkStart w:id="40" w:name="_Toc16396"/>
      <w:r>
        <w:t>托管人对本年度报告中财务信息等内容的真实、准确和完整发表意见</w:t>
      </w:r>
      <w:bookmarkEnd w:id="40"/>
    </w:p>
    <w:p w14:paraId="07871A16">
      <w:pPr>
        <w:pStyle w:val="25"/>
        <w:rPr>
          <w:rFonts w:hint="eastAsia"/>
        </w:rPr>
      </w:pPr>
      <w:r>
        <w:rPr>
          <w:rFonts w:hint="eastAsia"/>
        </w:rPr>
        <w:t>本报告期内，由南方基金管理股份有限公司编制并经托管人复核审查的有关南方恒庆一年定期开放债券型证券投资基金的年度报告中财务指标、净值表现、收益分配情况、财务会计报告相关内容、投资组合报告等内容真实、准确、完整。</w:t>
      </w:r>
    </w:p>
    <w:p w14:paraId="3AC4EBD5">
      <w:pPr>
        <w:pStyle w:val="33"/>
      </w:pPr>
      <w:bookmarkStart w:id="41" w:name="_Toc8125"/>
      <w:r>
        <w:t>审计报告</w:t>
      </w:r>
      <w:bookmarkEnd w:id="41"/>
    </w:p>
    <w:p w14:paraId="4D84BDF2">
      <w:pPr>
        <w:pStyle w:val="30"/>
      </w:pPr>
      <w:bookmarkStart w:id="42" w:name="_Toc7473"/>
      <w:r>
        <w:t>审计报告基本信息</w:t>
      </w:r>
      <w:bookmarkEnd w:id="4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7E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17A2A3">
            <w:r>
              <w:rPr>
                <w:rFonts w:hint="eastAsia"/>
              </w:rPr>
              <w:t>财务报表是否经过审计</w:t>
            </w:r>
          </w:p>
        </w:tc>
        <w:tc>
          <w:tcPr>
            <w:tcW w:w="4153" w:type="dxa"/>
            <w:vAlign w:val="center"/>
          </w:tcPr>
          <w:p w14:paraId="4C7A604B">
            <w:r>
              <w:rPr>
                <w:rFonts w:hint="eastAsia"/>
              </w:rPr>
              <w:t>是</w:t>
            </w:r>
          </w:p>
        </w:tc>
      </w:tr>
      <w:tr w14:paraId="636B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D7CB32">
            <w:r>
              <w:rPr>
                <w:rFonts w:hint="eastAsia"/>
              </w:rPr>
              <w:t>审计意见类型</w:t>
            </w:r>
          </w:p>
        </w:tc>
        <w:tc>
          <w:tcPr>
            <w:tcW w:w="4153" w:type="dxa"/>
            <w:vAlign w:val="center"/>
          </w:tcPr>
          <w:p w14:paraId="4AC637EB">
            <w:r>
              <w:rPr>
                <w:rFonts w:hint="eastAsia"/>
              </w:rPr>
              <w:t>标准无保留意见</w:t>
            </w:r>
          </w:p>
        </w:tc>
      </w:tr>
      <w:tr w14:paraId="241A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8FF56C">
            <w:r>
              <w:rPr>
                <w:rFonts w:hint="eastAsia"/>
              </w:rPr>
              <w:t>审计报告编号</w:t>
            </w:r>
          </w:p>
        </w:tc>
        <w:tc>
          <w:tcPr>
            <w:tcW w:w="4153" w:type="dxa"/>
            <w:vAlign w:val="center"/>
          </w:tcPr>
          <w:p w14:paraId="40FC9545">
            <w:r>
              <w:rPr>
                <w:rFonts w:hint="eastAsia"/>
              </w:rPr>
              <w:t>容诚审字[2026]200Z0776号</w:t>
            </w:r>
          </w:p>
        </w:tc>
      </w:tr>
    </w:tbl>
    <w:p w14:paraId="0F6CA4E8">
      <w:pPr>
        <w:pStyle w:val="30"/>
      </w:pPr>
      <w:bookmarkStart w:id="43" w:name="_Toc17772"/>
      <w:r>
        <w:t>审计报告的基本内容</w:t>
      </w:r>
      <w:bookmarkEnd w:id="4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3B8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FB1FC2E">
            <w:pPr>
              <w:jc w:val="center"/>
            </w:pPr>
            <w:r>
              <w:rPr>
                <w:rFonts w:hint="eastAsia"/>
                <w:b/>
              </w:rPr>
              <w:t>审计报告标题</w:t>
            </w:r>
          </w:p>
        </w:tc>
        <w:tc>
          <w:tcPr>
            <w:tcW w:w="2491" w:type="dxa"/>
            <w:gridSpan w:val="2"/>
            <w:shd w:val="clear" w:color="auto" w:fill="BFBFBF"/>
            <w:vAlign w:val="center"/>
          </w:tcPr>
          <w:p w14:paraId="3AD8FD16">
            <w:pPr>
              <w:jc w:val="center"/>
            </w:pPr>
            <w:r>
              <w:rPr>
                <w:rFonts w:hint="eastAsia"/>
                <w:b/>
              </w:rPr>
              <w:t>审计报告</w:t>
            </w:r>
          </w:p>
        </w:tc>
      </w:tr>
      <w:tr w14:paraId="7023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1D552D">
            <w:r>
              <w:rPr>
                <w:rFonts w:hint="eastAsia"/>
              </w:rPr>
              <w:t>审计报告收件人</w:t>
            </w:r>
          </w:p>
        </w:tc>
        <w:tc>
          <w:tcPr>
            <w:tcW w:w="2491" w:type="dxa"/>
            <w:gridSpan w:val="2"/>
            <w:vAlign w:val="center"/>
          </w:tcPr>
          <w:p w14:paraId="69AA4CC4">
            <w:r>
              <w:rPr>
                <w:rFonts w:hint="eastAsia"/>
              </w:rPr>
              <w:t>南方恒庆一年定期开放债券型证券投资基金全体基金份额持有人</w:t>
            </w:r>
          </w:p>
        </w:tc>
      </w:tr>
      <w:tr w14:paraId="69F6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005997">
            <w:r>
              <w:rPr>
                <w:rFonts w:hint="eastAsia"/>
              </w:rPr>
              <w:t>审计意见</w:t>
            </w:r>
          </w:p>
        </w:tc>
        <w:tc>
          <w:tcPr>
            <w:tcW w:w="2491" w:type="dxa"/>
            <w:gridSpan w:val="2"/>
            <w:vAlign w:val="center"/>
          </w:tcPr>
          <w:p w14:paraId="6BC8BC0C">
            <w:pPr>
              <w:jc w:val="both"/>
              <w:rPr>
                <w:rFonts w:hint="eastAsia"/>
              </w:rPr>
            </w:pPr>
            <w:r>
              <w:rPr>
                <w:rFonts w:hint="eastAsia"/>
              </w:rPr>
              <w:t>我们审计了南方恒庆一年定期开放债券型证券投资基金（以下简称“南方恒庆一年定期开放债券基金”）财务报表，包括2025年12月31日的资产负债表，2025年度的利润表、净资产变动表以及相关财务报表附注。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恒庆一年定期开放债券基金2025年12月31日的财务状况以及2025年度的经营成果和净资产变动情况。</w:t>
            </w:r>
          </w:p>
        </w:tc>
      </w:tr>
      <w:tr w14:paraId="05D1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0F9E93">
            <w:r>
              <w:rPr>
                <w:rFonts w:hint="eastAsia"/>
              </w:rPr>
              <w:t>形成审计意见的基础</w:t>
            </w:r>
          </w:p>
        </w:tc>
        <w:tc>
          <w:tcPr>
            <w:tcW w:w="2491" w:type="dxa"/>
            <w:gridSpan w:val="2"/>
            <w:vAlign w:val="center"/>
          </w:tcPr>
          <w:p w14:paraId="47E343D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恒庆一年定期开放债券基金，并遵守了独立性准则中适用于公众利益实体财务报表审计的规定，同时履行了职业道德方面的其他责任。我们相信，我们获取的审计证据是充分、适当的，为发表审计意见提供了基础。</w:t>
            </w:r>
          </w:p>
        </w:tc>
      </w:tr>
      <w:tr w14:paraId="08D4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593897">
            <w:r>
              <w:rPr>
                <w:rFonts w:hint="eastAsia"/>
              </w:rPr>
              <w:t>强调事项</w:t>
            </w:r>
          </w:p>
        </w:tc>
        <w:tc>
          <w:tcPr>
            <w:tcW w:w="2491" w:type="dxa"/>
            <w:gridSpan w:val="2"/>
            <w:vAlign w:val="center"/>
          </w:tcPr>
          <w:p w14:paraId="7D40B485">
            <w:pPr>
              <w:jc w:val="right"/>
            </w:pPr>
            <w:r>
              <w:rPr>
                <w:rFonts w:hint="eastAsia"/>
              </w:rPr>
              <w:t>-</w:t>
            </w:r>
          </w:p>
        </w:tc>
      </w:tr>
      <w:tr w14:paraId="1978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B0E328">
            <w:r>
              <w:rPr>
                <w:rFonts w:hint="eastAsia"/>
              </w:rPr>
              <w:t>其他事项</w:t>
            </w:r>
          </w:p>
        </w:tc>
        <w:tc>
          <w:tcPr>
            <w:tcW w:w="2491" w:type="dxa"/>
            <w:gridSpan w:val="2"/>
            <w:vAlign w:val="center"/>
          </w:tcPr>
          <w:p w14:paraId="6905ABDE">
            <w:pPr>
              <w:jc w:val="right"/>
            </w:pPr>
            <w:r>
              <w:rPr>
                <w:rFonts w:hint="eastAsia"/>
              </w:rPr>
              <w:t>-</w:t>
            </w:r>
          </w:p>
        </w:tc>
      </w:tr>
      <w:tr w14:paraId="4E6B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3ABC06">
            <w:r>
              <w:rPr>
                <w:rFonts w:hint="eastAsia"/>
              </w:rPr>
              <w:t>其他信息</w:t>
            </w:r>
          </w:p>
        </w:tc>
        <w:tc>
          <w:tcPr>
            <w:tcW w:w="2491" w:type="dxa"/>
            <w:gridSpan w:val="2"/>
            <w:vAlign w:val="center"/>
          </w:tcPr>
          <w:p w14:paraId="1CD08CFC">
            <w:pPr>
              <w:jc w:val="both"/>
              <w:rPr>
                <w:rFonts w:hint="eastAsia"/>
              </w:rPr>
            </w:pPr>
            <w:r>
              <w:rPr>
                <w:rFonts w:hint="eastAsia"/>
              </w:rPr>
              <w:t>南方恒庆一年定期开放债券基金的基金管理人南方基金管理股份有限公司（以下简称“基金管理人”）管理层对其他信息负责。其他信息包括南方恒庆一年定期开放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ABF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F1ECAC">
            <w:r>
              <w:rPr>
                <w:rFonts w:hint="eastAsia"/>
              </w:rPr>
              <w:t>管理层和治理层对财务报表的责任</w:t>
            </w:r>
          </w:p>
        </w:tc>
        <w:tc>
          <w:tcPr>
            <w:tcW w:w="2491" w:type="dxa"/>
            <w:gridSpan w:val="2"/>
            <w:vAlign w:val="center"/>
          </w:tcPr>
          <w:p w14:paraId="00320B6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恒庆一年定期开放债券基金的持续经营能力，披露与持续经营相关的事项（如适用），并运用持续经营假设，除非基金管理人管理层计划清算南方恒庆一年定期开放债券基金、终止运营或别无其他现实的选择。
</w:t>
            </w:r>
            <w:r>
              <w:rPr>
                <w:rFonts w:hint="eastAsia"/>
              </w:rPr>
              <w:br w:type="textWrapping"/>
            </w:r>
            <w:r>
              <w:rPr>
                <w:rFonts w:hint="eastAsia"/>
              </w:rPr>
              <w:t>基金管理人治理层负责监督南方恒庆一年定期开放债券基金的财务报告过程。</w:t>
            </w:r>
          </w:p>
        </w:tc>
      </w:tr>
      <w:tr w14:paraId="311B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821A17">
            <w:r>
              <w:rPr>
                <w:rFonts w:hint="eastAsia"/>
              </w:rPr>
              <w:t>注册会计师对财务报表审计的责任</w:t>
            </w:r>
          </w:p>
        </w:tc>
        <w:tc>
          <w:tcPr>
            <w:tcW w:w="2491" w:type="dxa"/>
            <w:gridSpan w:val="2"/>
            <w:vAlign w:val="center"/>
          </w:tcPr>
          <w:p w14:paraId="59BA084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恒庆一年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庆一年定期开放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768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7CBFB6">
            <w:r>
              <w:rPr>
                <w:rFonts w:hint="eastAsia"/>
              </w:rPr>
              <w:t>会计师事务所的名称</w:t>
            </w:r>
          </w:p>
        </w:tc>
        <w:tc>
          <w:tcPr>
            <w:tcW w:w="2491" w:type="dxa"/>
            <w:gridSpan w:val="2"/>
            <w:vAlign w:val="center"/>
          </w:tcPr>
          <w:p w14:paraId="753D7F21">
            <w:r>
              <w:rPr>
                <w:rFonts w:hint="eastAsia"/>
              </w:rPr>
              <w:t>容诚会计师事务所（特殊普通合伙）</w:t>
            </w:r>
          </w:p>
        </w:tc>
      </w:tr>
      <w:tr w14:paraId="5FB6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A42BD2">
            <w:r>
              <w:rPr>
                <w:rFonts w:hint="eastAsia"/>
              </w:rPr>
              <w:t>注册会计师的姓名</w:t>
            </w:r>
          </w:p>
        </w:tc>
        <w:tc>
          <w:tcPr>
            <w:tcW w:w="2491" w:type="dxa"/>
            <w:vAlign w:val="center"/>
          </w:tcPr>
          <w:p w14:paraId="358BED38">
            <w:r>
              <w:rPr>
                <w:rFonts w:hint="eastAsia"/>
              </w:rPr>
              <w:t>陈熹</w:t>
            </w:r>
          </w:p>
        </w:tc>
        <w:tc>
          <w:tcPr>
            <w:tcW w:w="2768" w:type="dxa"/>
            <w:vAlign w:val="center"/>
          </w:tcPr>
          <w:p w14:paraId="6311D723">
            <w:r>
              <w:rPr>
                <w:rFonts w:hint="eastAsia"/>
              </w:rPr>
              <w:t>成磊</w:t>
            </w:r>
          </w:p>
        </w:tc>
      </w:tr>
      <w:tr w14:paraId="6D95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74B03F">
            <w:r>
              <w:rPr>
                <w:rFonts w:hint="eastAsia"/>
              </w:rPr>
              <w:t>会计师事务所的地址</w:t>
            </w:r>
          </w:p>
        </w:tc>
        <w:tc>
          <w:tcPr>
            <w:tcW w:w="2491" w:type="dxa"/>
            <w:gridSpan w:val="2"/>
            <w:vAlign w:val="center"/>
          </w:tcPr>
          <w:p w14:paraId="3916937B">
            <w:r>
              <w:rPr>
                <w:rFonts w:hint="eastAsia"/>
              </w:rPr>
              <w:t>北京市西城区阜成门外大街22号1幢10层1001-1至1001-26</w:t>
            </w:r>
          </w:p>
        </w:tc>
      </w:tr>
      <w:tr w14:paraId="28CA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64F099">
            <w:r>
              <w:rPr>
                <w:rFonts w:hint="eastAsia"/>
              </w:rPr>
              <w:t>审计报告日期</w:t>
            </w:r>
          </w:p>
        </w:tc>
        <w:tc>
          <w:tcPr>
            <w:tcW w:w="2491" w:type="dxa"/>
            <w:gridSpan w:val="2"/>
            <w:vAlign w:val="center"/>
          </w:tcPr>
          <w:p w14:paraId="619CBF52">
            <w:r>
              <w:rPr>
                <w:rFonts w:hint="eastAsia"/>
              </w:rPr>
              <w:t>2026年3月27日</w:t>
            </w:r>
          </w:p>
        </w:tc>
      </w:tr>
    </w:tbl>
    <w:p w14:paraId="0BA8F8E8">
      <w:pPr>
        <w:pStyle w:val="33"/>
      </w:pPr>
      <w:bookmarkStart w:id="44" w:name="_Toc18531"/>
      <w:r>
        <w:t>年度财务报表</w:t>
      </w:r>
      <w:bookmarkEnd w:id="44"/>
      <w:r>
        <w:t xml:space="preserve"> </w:t>
      </w:r>
    </w:p>
    <w:p w14:paraId="6575C75C">
      <w:pPr>
        <w:pStyle w:val="30"/>
      </w:pPr>
      <w:bookmarkStart w:id="45" w:name="_Toc29756"/>
      <w:r>
        <w:t>资产负债表</w:t>
      </w:r>
      <w:bookmarkEnd w:id="45"/>
    </w:p>
    <w:p w14:paraId="567F6D31">
      <w:pPr>
        <w:pStyle w:val="25"/>
        <w:rPr>
          <w:rFonts w:hint="eastAsia"/>
        </w:rPr>
      </w:pPr>
      <w:r>
        <w:rPr>
          <w:rFonts w:hint="eastAsia"/>
        </w:rPr>
        <w:t>会计主体：南方恒庆一年定期开放债券型证券投资基金</w:t>
      </w:r>
    </w:p>
    <w:p w14:paraId="210DDBE1">
      <w:pPr>
        <w:pStyle w:val="25"/>
        <w:rPr>
          <w:rFonts w:hint="eastAsia"/>
        </w:rPr>
      </w:pPr>
      <w:r>
        <w:rPr>
          <w:rFonts w:hint="eastAsia"/>
        </w:rPr>
        <w:t>报告截止日：2025年12月31日</w:t>
      </w:r>
    </w:p>
    <w:p w14:paraId="6949BDF9">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7D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9E9BB">
            <w:r>
              <w:rPr>
                <w:rFonts w:hint="eastAsia"/>
              </w:rPr>
              <w:t>资产</w:t>
            </w:r>
          </w:p>
        </w:tc>
        <w:tc>
          <w:tcPr>
            <w:tcW w:w="1262" w:type="dxa"/>
            <w:vAlign w:val="center"/>
          </w:tcPr>
          <w:p w14:paraId="219A04BD">
            <w:r>
              <w:rPr>
                <w:rFonts w:hint="eastAsia"/>
              </w:rPr>
              <w:t>附注号</w:t>
            </w:r>
          </w:p>
        </w:tc>
        <w:tc>
          <w:tcPr>
            <w:tcW w:w="2289" w:type="dxa"/>
            <w:vAlign w:val="center"/>
          </w:tcPr>
          <w:p w14:paraId="2C2418BA">
            <w:r>
              <w:rPr>
                <w:rFonts w:hint="eastAsia"/>
              </w:rPr>
              <w:t>本期末2025年12月31日</w:t>
            </w:r>
          </w:p>
        </w:tc>
        <w:tc>
          <w:tcPr>
            <w:tcW w:w="2295" w:type="dxa"/>
            <w:vAlign w:val="center"/>
          </w:tcPr>
          <w:p w14:paraId="71257C58">
            <w:r>
              <w:rPr>
                <w:rFonts w:hint="eastAsia"/>
              </w:rPr>
              <w:t>上年度末2024年12月31日</w:t>
            </w:r>
          </w:p>
        </w:tc>
      </w:tr>
      <w:tr w14:paraId="389E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D9DD6">
            <w:r>
              <w:rPr>
                <w:rFonts w:hint="eastAsia"/>
              </w:rPr>
              <w:t>资产：</w:t>
            </w:r>
          </w:p>
        </w:tc>
        <w:tc>
          <w:tcPr>
            <w:tcW w:w="1262" w:type="dxa"/>
            <w:vAlign w:val="center"/>
          </w:tcPr>
          <w:p w14:paraId="3C0619D1"/>
        </w:tc>
        <w:tc>
          <w:tcPr>
            <w:tcW w:w="2289" w:type="dxa"/>
            <w:vAlign w:val="center"/>
          </w:tcPr>
          <w:p w14:paraId="025E223B"/>
        </w:tc>
        <w:tc>
          <w:tcPr>
            <w:tcW w:w="2295" w:type="dxa"/>
            <w:vAlign w:val="center"/>
          </w:tcPr>
          <w:p w14:paraId="41DC9540"/>
        </w:tc>
      </w:tr>
      <w:tr w14:paraId="3A39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74A706">
            <w:r>
              <w:rPr>
                <w:rFonts w:hint="eastAsia"/>
              </w:rPr>
              <w:t>货币资金</w:t>
            </w:r>
          </w:p>
        </w:tc>
        <w:tc>
          <w:tcPr>
            <w:tcW w:w="1262" w:type="dxa"/>
            <w:vAlign w:val="center"/>
          </w:tcPr>
          <w:p w14:paraId="73CCB4C1">
            <w:r>
              <w:rPr>
                <w:rFonts w:hint="eastAsia"/>
              </w:rPr>
              <w:t>7.4.7.1</w:t>
            </w:r>
          </w:p>
        </w:tc>
        <w:tc>
          <w:tcPr>
            <w:tcW w:w="2289" w:type="dxa"/>
            <w:vAlign w:val="center"/>
          </w:tcPr>
          <w:p w14:paraId="5C80E94A">
            <w:pPr>
              <w:jc w:val="right"/>
            </w:pPr>
            <w:r>
              <w:rPr>
                <w:rFonts w:hint="eastAsia"/>
              </w:rPr>
              <w:t>5,872,599.25</w:t>
            </w:r>
          </w:p>
        </w:tc>
        <w:tc>
          <w:tcPr>
            <w:tcW w:w="2295" w:type="dxa"/>
            <w:vAlign w:val="center"/>
          </w:tcPr>
          <w:p w14:paraId="6627143C">
            <w:pPr>
              <w:jc w:val="right"/>
            </w:pPr>
            <w:r>
              <w:rPr>
                <w:rFonts w:hint="eastAsia"/>
              </w:rPr>
              <w:t>920,828,437.11</w:t>
            </w:r>
          </w:p>
        </w:tc>
      </w:tr>
      <w:tr w14:paraId="527B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8BCAE">
            <w:r>
              <w:rPr>
                <w:rFonts w:hint="eastAsia"/>
              </w:rPr>
              <w:t>结算备付金</w:t>
            </w:r>
          </w:p>
        </w:tc>
        <w:tc>
          <w:tcPr>
            <w:tcW w:w="1262" w:type="dxa"/>
            <w:vAlign w:val="center"/>
          </w:tcPr>
          <w:p w14:paraId="6B54D6E9"/>
        </w:tc>
        <w:tc>
          <w:tcPr>
            <w:tcW w:w="2289" w:type="dxa"/>
            <w:vAlign w:val="center"/>
          </w:tcPr>
          <w:p w14:paraId="43CA2196">
            <w:pPr>
              <w:jc w:val="right"/>
            </w:pPr>
            <w:r>
              <w:rPr>
                <w:rFonts w:hint="eastAsia"/>
              </w:rPr>
              <w:t>-</w:t>
            </w:r>
          </w:p>
        </w:tc>
        <w:tc>
          <w:tcPr>
            <w:tcW w:w="2295" w:type="dxa"/>
            <w:vAlign w:val="center"/>
          </w:tcPr>
          <w:p w14:paraId="02ABF97C">
            <w:pPr>
              <w:jc w:val="right"/>
            </w:pPr>
            <w:r>
              <w:rPr>
                <w:rFonts w:hint="eastAsia"/>
              </w:rPr>
              <w:t>-</w:t>
            </w:r>
          </w:p>
        </w:tc>
      </w:tr>
      <w:tr w14:paraId="4192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AB032">
            <w:r>
              <w:rPr>
                <w:rFonts w:hint="eastAsia"/>
              </w:rPr>
              <w:t>存出保证金</w:t>
            </w:r>
          </w:p>
        </w:tc>
        <w:tc>
          <w:tcPr>
            <w:tcW w:w="1262" w:type="dxa"/>
            <w:vAlign w:val="center"/>
          </w:tcPr>
          <w:p w14:paraId="65F40C8D"/>
        </w:tc>
        <w:tc>
          <w:tcPr>
            <w:tcW w:w="2289" w:type="dxa"/>
            <w:vAlign w:val="center"/>
          </w:tcPr>
          <w:p w14:paraId="2CC3F263">
            <w:pPr>
              <w:jc w:val="right"/>
            </w:pPr>
            <w:r>
              <w:rPr>
                <w:rFonts w:hint="eastAsia"/>
              </w:rPr>
              <w:t>-</w:t>
            </w:r>
          </w:p>
        </w:tc>
        <w:tc>
          <w:tcPr>
            <w:tcW w:w="2295" w:type="dxa"/>
            <w:vAlign w:val="center"/>
          </w:tcPr>
          <w:p w14:paraId="063B54A9">
            <w:pPr>
              <w:jc w:val="right"/>
            </w:pPr>
            <w:r>
              <w:rPr>
                <w:rFonts w:hint="eastAsia"/>
              </w:rPr>
              <w:t>-</w:t>
            </w:r>
          </w:p>
        </w:tc>
      </w:tr>
      <w:tr w14:paraId="7BEE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386A0">
            <w:r>
              <w:rPr>
                <w:rFonts w:hint="eastAsia"/>
              </w:rPr>
              <w:t>交易性金融资产</w:t>
            </w:r>
          </w:p>
        </w:tc>
        <w:tc>
          <w:tcPr>
            <w:tcW w:w="1262" w:type="dxa"/>
            <w:vAlign w:val="center"/>
          </w:tcPr>
          <w:p w14:paraId="4982419B">
            <w:r>
              <w:rPr>
                <w:rFonts w:hint="eastAsia"/>
              </w:rPr>
              <w:t>7.4.7.2</w:t>
            </w:r>
          </w:p>
        </w:tc>
        <w:tc>
          <w:tcPr>
            <w:tcW w:w="2289" w:type="dxa"/>
            <w:vAlign w:val="center"/>
          </w:tcPr>
          <w:p w14:paraId="3C0F9418">
            <w:pPr>
              <w:jc w:val="right"/>
            </w:pPr>
            <w:r>
              <w:rPr>
                <w:rFonts w:hint="eastAsia"/>
              </w:rPr>
              <w:t>-</w:t>
            </w:r>
          </w:p>
        </w:tc>
        <w:tc>
          <w:tcPr>
            <w:tcW w:w="2295" w:type="dxa"/>
            <w:vAlign w:val="center"/>
          </w:tcPr>
          <w:p w14:paraId="6AA7036D">
            <w:pPr>
              <w:jc w:val="right"/>
            </w:pPr>
            <w:r>
              <w:rPr>
                <w:rFonts w:hint="eastAsia"/>
              </w:rPr>
              <w:t>-</w:t>
            </w:r>
          </w:p>
        </w:tc>
      </w:tr>
      <w:tr w14:paraId="5BA6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D9443">
            <w:r>
              <w:rPr>
                <w:rFonts w:hint="eastAsia"/>
              </w:rPr>
              <w:t>其中：股票投资</w:t>
            </w:r>
          </w:p>
        </w:tc>
        <w:tc>
          <w:tcPr>
            <w:tcW w:w="1262" w:type="dxa"/>
            <w:vAlign w:val="center"/>
          </w:tcPr>
          <w:p w14:paraId="6EECA784"/>
        </w:tc>
        <w:tc>
          <w:tcPr>
            <w:tcW w:w="2289" w:type="dxa"/>
            <w:vAlign w:val="center"/>
          </w:tcPr>
          <w:p w14:paraId="48512FAB">
            <w:pPr>
              <w:jc w:val="right"/>
            </w:pPr>
            <w:r>
              <w:rPr>
                <w:rFonts w:hint="eastAsia"/>
              </w:rPr>
              <w:t>-</w:t>
            </w:r>
          </w:p>
        </w:tc>
        <w:tc>
          <w:tcPr>
            <w:tcW w:w="2295" w:type="dxa"/>
            <w:vAlign w:val="center"/>
          </w:tcPr>
          <w:p w14:paraId="7D752531">
            <w:pPr>
              <w:jc w:val="right"/>
            </w:pPr>
            <w:r>
              <w:rPr>
                <w:rFonts w:hint="eastAsia"/>
              </w:rPr>
              <w:t>-</w:t>
            </w:r>
          </w:p>
        </w:tc>
      </w:tr>
      <w:tr w14:paraId="68A0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30F9E">
            <w:r>
              <w:rPr>
                <w:rFonts w:hint="eastAsia"/>
              </w:rPr>
              <w:t xml:space="preserve">      基金投资</w:t>
            </w:r>
          </w:p>
        </w:tc>
        <w:tc>
          <w:tcPr>
            <w:tcW w:w="1262" w:type="dxa"/>
            <w:vAlign w:val="center"/>
          </w:tcPr>
          <w:p w14:paraId="644E30F1"/>
        </w:tc>
        <w:tc>
          <w:tcPr>
            <w:tcW w:w="2289" w:type="dxa"/>
            <w:vAlign w:val="center"/>
          </w:tcPr>
          <w:p w14:paraId="22BEE868">
            <w:pPr>
              <w:jc w:val="right"/>
            </w:pPr>
            <w:r>
              <w:rPr>
                <w:rFonts w:hint="eastAsia"/>
              </w:rPr>
              <w:t>-</w:t>
            </w:r>
          </w:p>
        </w:tc>
        <w:tc>
          <w:tcPr>
            <w:tcW w:w="2295" w:type="dxa"/>
            <w:vAlign w:val="center"/>
          </w:tcPr>
          <w:p w14:paraId="1C37C282">
            <w:pPr>
              <w:jc w:val="right"/>
            </w:pPr>
            <w:r>
              <w:rPr>
                <w:rFonts w:hint="eastAsia"/>
              </w:rPr>
              <w:t>-</w:t>
            </w:r>
          </w:p>
        </w:tc>
      </w:tr>
      <w:tr w14:paraId="0DAB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59095">
            <w:r>
              <w:rPr>
                <w:rFonts w:hint="eastAsia"/>
              </w:rPr>
              <w:t xml:space="preserve">      债券投资</w:t>
            </w:r>
          </w:p>
        </w:tc>
        <w:tc>
          <w:tcPr>
            <w:tcW w:w="1262" w:type="dxa"/>
            <w:vAlign w:val="center"/>
          </w:tcPr>
          <w:p w14:paraId="58DD48DC"/>
        </w:tc>
        <w:tc>
          <w:tcPr>
            <w:tcW w:w="2289" w:type="dxa"/>
            <w:vAlign w:val="center"/>
          </w:tcPr>
          <w:p w14:paraId="7F59390E">
            <w:pPr>
              <w:jc w:val="right"/>
            </w:pPr>
            <w:r>
              <w:rPr>
                <w:rFonts w:hint="eastAsia"/>
              </w:rPr>
              <w:t>-</w:t>
            </w:r>
          </w:p>
        </w:tc>
        <w:tc>
          <w:tcPr>
            <w:tcW w:w="2295" w:type="dxa"/>
            <w:vAlign w:val="center"/>
          </w:tcPr>
          <w:p w14:paraId="5C1C98B0">
            <w:pPr>
              <w:jc w:val="right"/>
            </w:pPr>
            <w:r>
              <w:rPr>
                <w:rFonts w:hint="eastAsia"/>
              </w:rPr>
              <w:t>-</w:t>
            </w:r>
          </w:p>
        </w:tc>
      </w:tr>
      <w:tr w14:paraId="0559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07CE1">
            <w:r>
              <w:rPr>
                <w:rFonts w:hint="eastAsia"/>
              </w:rPr>
              <w:t xml:space="preserve">      资产支持证券投资</w:t>
            </w:r>
          </w:p>
        </w:tc>
        <w:tc>
          <w:tcPr>
            <w:tcW w:w="1262" w:type="dxa"/>
            <w:vAlign w:val="center"/>
          </w:tcPr>
          <w:p w14:paraId="3B9D81AA"/>
        </w:tc>
        <w:tc>
          <w:tcPr>
            <w:tcW w:w="2289" w:type="dxa"/>
            <w:vAlign w:val="center"/>
          </w:tcPr>
          <w:p w14:paraId="1B22D95B">
            <w:pPr>
              <w:jc w:val="right"/>
            </w:pPr>
            <w:r>
              <w:rPr>
                <w:rFonts w:hint="eastAsia"/>
              </w:rPr>
              <w:t>-</w:t>
            </w:r>
          </w:p>
        </w:tc>
        <w:tc>
          <w:tcPr>
            <w:tcW w:w="2295" w:type="dxa"/>
            <w:vAlign w:val="center"/>
          </w:tcPr>
          <w:p w14:paraId="78BC5055">
            <w:pPr>
              <w:jc w:val="right"/>
            </w:pPr>
            <w:r>
              <w:rPr>
                <w:rFonts w:hint="eastAsia"/>
              </w:rPr>
              <w:t>-</w:t>
            </w:r>
          </w:p>
        </w:tc>
      </w:tr>
      <w:tr w14:paraId="35C9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D6526">
            <w:r>
              <w:rPr>
                <w:rFonts w:hint="eastAsia"/>
              </w:rPr>
              <w:t xml:space="preserve">      贵金属投资</w:t>
            </w:r>
          </w:p>
        </w:tc>
        <w:tc>
          <w:tcPr>
            <w:tcW w:w="1262" w:type="dxa"/>
            <w:vAlign w:val="center"/>
          </w:tcPr>
          <w:p w14:paraId="53A2C06A"/>
        </w:tc>
        <w:tc>
          <w:tcPr>
            <w:tcW w:w="2289" w:type="dxa"/>
            <w:vAlign w:val="center"/>
          </w:tcPr>
          <w:p w14:paraId="2ACC8772">
            <w:pPr>
              <w:jc w:val="right"/>
            </w:pPr>
            <w:r>
              <w:rPr>
                <w:rFonts w:hint="eastAsia"/>
              </w:rPr>
              <w:t>-</w:t>
            </w:r>
          </w:p>
        </w:tc>
        <w:tc>
          <w:tcPr>
            <w:tcW w:w="2295" w:type="dxa"/>
            <w:vAlign w:val="center"/>
          </w:tcPr>
          <w:p w14:paraId="05B705D5">
            <w:pPr>
              <w:jc w:val="right"/>
            </w:pPr>
            <w:r>
              <w:rPr>
                <w:rFonts w:hint="eastAsia"/>
              </w:rPr>
              <w:t>-</w:t>
            </w:r>
          </w:p>
        </w:tc>
      </w:tr>
      <w:tr w14:paraId="25FE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D2D39">
            <w:r>
              <w:rPr>
                <w:rFonts w:hint="eastAsia"/>
              </w:rPr>
              <w:t xml:space="preserve">      其他投资</w:t>
            </w:r>
          </w:p>
        </w:tc>
        <w:tc>
          <w:tcPr>
            <w:tcW w:w="1262" w:type="dxa"/>
            <w:vAlign w:val="center"/>
          </w:tcPr>
          <w:p w14:paraId="0C1B3F26"/>
        </w:tc>
        <w:tc>
          <w:tcPr>
            <w:tcW w:w="2289" w:type="dxa"/>
            <w:vAlign w:val="center"/>
          </w:tcPr>
          <w:p w14:paraId="2FE36C47">
            <w:pPr>
              <w:jc w:val="right"/>
            </w:pPr>
            <w:r>
              <w:rPr>
                <w:rFonts w:hint="eastAsia"/>
              </w:rPr>
              <w:t>-</w:t>
            </w:r>
          </w:p>
        </w:tc>
        <w:tc>
          <w:tcPr>
            <w:tcW w:w="2295" w:type="dxa"/>
            <w:vAlign w:val="center"/>
          </w:tcPr>
          <w:p w14:paraId="797FD16A">
            <w:pPr>
              <w:jc w:val="right"/>
            </w:pPr>
            <w:r>
              <w:rPr>
                <w:rFonts w:hint="eastAsia"/>
              </w:rPr>
              <w:t>-</w:t>
            </w:r>
          </w:p>
        </w:tc>
      </w:tr>
      <w:tr w14:paraId="26A7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59234">
            <w:r>
              <w:rPr>
                <w:rFonts w:hint="eastAsia"/>
              </w:rPr>
              <w:t>衍生金融资产</w:t>
            </w:r>
          </w:p>
        </w:tc>
        <w:tc>
          <w:tcPr>
            <w:tcW w:w="1262" w:type="dxa"/>
            <w:vAlign w:val="center"/>
          </w:tcPr>
          <w:p w14:paraId="3505C422">
            <w:r>
              <w:rPr>
                <w:rFonts w:hint="eastAsia"/>
              </w:rPr>
              <w:t>7.4.7.3</w:t>
            </w:r>
          </w:p>
        </w:tc>
        <w:tc>
          <w:tcPr>
            <w:tcW w:w="2289" w:type="dxa"/>
            <w:vAlign w:val="center"/>
          </w:tcPr>
          <w:p w14:paraId="73FD88DB">
            <w:pPr>
              <w:jc w:val="right"/>
            </w:pPr>
            <w:r>
              <w:rPr>
                <w:rFonts w:hint="eastAsia"/>
              </w:rPr>
              <w:t>-</w:t>
            </w:r>
          </w:p>
        </w:tc>
        <w:tc>
          <w:tcPr>
            <w:tcW w:w="2295" w:type="dxa"/>
            <w:vAlign w:val="center"/>
          </w:tcPr>
          <w:p w14:paraId="5AFBCDC9">
            <w:pPr>
              <w:jc w:val="right"/>
            </w:pPr>
            <w:r>
              <w:rPr>
                <w:rFonts w:hint="eastAsia"/>
              </w:rPr>
              <w:t>-</w:t>
            </w:r>
          </w:p>
        </w:tc>
      </w:tr>
      <w:tr w14:paraId="32B7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2A936">
            <w:r>
              <w:rPr>
                <w:rFonts w:hint="eastAsia"/>
              </w:rPr>
              <w:t>买入返售金融资产</w:t>
            </w:r>
          </w:p>
        </w:tc>
        <w:tc>
          <w:tcPr>
            <w:tcW w:w="1262" w:type="dxa"/>
            <w:vAlign w:val="center"/>
          </w:tcPr>
          <w:p w14:paraId="5B34ED4D">
            <w:r>
              <w:rPr>
                <w:rFonts w:hint="eastAsia"/>
              </w:rPr>
              <w:t>7.4.7.4</w:t>
            </w:r>
          </w:p>
        </w:tc>
        <w:tc>
          <w:tcPr>
            <w:tcW w:w="2289" w:type="dxa"/>
            <w:vAlign w:val="center"/>
          </w:tcPr>
          <w:p w14:paraId="0D81B33E">
            <w:pPr>
              <w:jc w:val="right"/>
            </w:pPr>
            <w:r>
              <w:rPr>
                <w:rFonts w:hint="eastAsia"/>
              </w:rPr>
              <w:t>30,003,791.44</w:t>
            </w:r>
          </w:p>
        </w:tc>
        <w:tc>
          <w:tcPr>
            <w:tcW w:w="2295" w:type="dxa"/>
            <w:vAlign w:val="center"/>
          </w:tcPr>
          <w:p w14:paraId="11576245">
            <w:pPr>
              <w:jc w:val="right"/>
            </w:pPr>
            <w:r>
              <w:rPr>
                <w:rFonts w:hint="eastAsia"/>
              </w:rPr>
              <w:t>552,042,723.22</w:t>
            </w:r>
          </w:p>
        </w:tc>
      </w:tr>
      <w:tr w14:paraId="305C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B0C5B">
            <w:r>
              <w:rPr>
                <w:rFonts w:hint="eastAsia"/>
              </w:rPr>
              <w:t>债权投资</w:t>
            </w:r>
          </w:p>
        </w:tc>
        <w:tc>
          <w:tcPr>
            <w:tcW w:w="1262" w:type="dxa"/>
            <w:vAlign w:val="center"/>
          </w:tcPr>
          <w:p w14:paraId="6BB366C9">
            <w:r>
              <w:rPr>
                <w:rFonts w:hint="eastAsia"/>
              </w:rPr>
              <w:t>7.4.7.5</w:t>
            </w:r>
          </w:p>
        </w:tc>
        <w:tc>
          <w:tcPr>
            <w:tcW w:w="2289" w:type="dxa"/>
            <w:vAlign w:val="center"/>
          </w:tcPr>
          <w:p w14:paraId="6A1547DE">
            <w:pPr>
              <w:jc w:val="right"/>
            </w:pPr>
            <w:r>
              <w:rPr>
                <w:rFonts w:hint="eastAsia"/>
              </w:rPr>
              <w:t>-</w:t>
            </w:r>
          </w:p>
        </w:tc>
        <w:tc>
          <w:tcPr>
            <w:tcW w:w="2295" w:type="dxa"/>
            <w:vAlign w:val="center"/>
          </w:tcPr>
          <w:p w14:paraId="2983F757">
            <w:pPr>
              <w:jc w:val="right"/>
            </w:pPr>
            <w:r>
              <w:rPr>
                <w:rFonts w:hint="eastAsia"/>
              </w:rPr>
              <w:t>3,209,036,570.99</w:t>
            </w:r>
          </w:p>
        </w:tc>
      </w:tr>
      <w:tr w14:paraId="5EB6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F58CF">
            <w:r>
              <w:rPr>
                <w:rFonts w:hint="eastAsia"/>
              </w:rPr>
              <w:t>其中：债券投资</w:t>
            </w:r>
          </w:p>
        </w:tc>
        <w:tc>
          <w:tcPr>
            <w:tcW w:w="1262" w:type="dxa"/>
            <w:vAlign w:val="center"/>
          </w:tcPr>
          <w:p w14:paraId="6BB8BDC7"/>
        </w:tc>
        <w:tc>
          <w:tcPr>
            <w:tcW w:w="2289" w:type="dxa"/>
            <w:vAlign w:val="center"/>
          </w:tcPr>
          <w:p w14:paraId="6B188441">
            <w:pPr>
              <w:jc w:val="right"/>
            </w:pPr>
            <w:r>
              <w:rPr>
                <w:rFonts w:hint="eastAsia"/>
              </w:rPr>
              <w:t>-</w:t>
            </w:r>
          </w:p>
        </w:tc>
        <w:tc>
          <w:tcPr>
            <w:tcW w:w="2295" w:type="dxa"/>
            <w:vAlign w:val="center"/>
          </w:tcPr>
          <w:p w14:paraId="15FB162D">
            <w:pPr>
              <w:jc w:val="right"/>
            </w:pPr>
            <w:r>
              <w:rPr>
                <w:rFonts w:hint="eastAsia"/>
              </w:rPr>
              <w:t>3,209,036,570.99</w:t>
            </w:r>
          </w:p>
        </w:tc>
      </w:tr>
      <w:tr w14:paraId="5BB3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F9DEC">
            <w:r>
              <w:rPr>
                <w:rFonts w:hint="eastAsia"/>
              </w:rPr>
              <w:t xml:space="preserve">      资产支持证券投资</w:t>
            </w:r>
          </w:p>
        </w:tc>
        <w:tc>
          <w:tcPr>
            <w:tcW w:w="1262" w:type="dxa"/>
            <w:vAlign w:val="center"/>
          </w:tcPr>
          <w:p w14:paraId="0D3B293C"/>
        </w:tc>
        <w:tc>
          <w:tcPr>
            <w:tcW w:w="2289" w:type="dxa"/>
            <w:vAlign w:val="center"/>
          </w:tcPr>
          <w:p w14:paraId="25DEB220">
            <w:pPr>
              <w:jc w:val="right"/>
            </w:pPr>
            <w:r>
              <w:rPr>
                <w:rFonts w:hint="eastAsia"/>
              </w:rPr>
              <w:t>-</w:t>
            </w:r>
          </w:p>
        </w:tc>
        <w:tc>
          <w:tcPr>
            <w:tcW w:w="2295" w:type="dxa"/>
            <w:vAlign w:val="center"/>
          </w:tcPr>
          <w:p w14:paraId="0BB76A81">
            <w:pPr>
              <w:jc w:val="right"/>
            </w:pPr>
            <w:r>
              <w:rPr>
                <w:rFonts w:hint="eastAsia"/>
              </w:rPr>
              <w:t>-</w:t>
            </w:r>
          </w:p>
        </w:tc>
      </w:tr>
      <w:tr w14:paraId="1A77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3163E">
            <w:r>
              <w:rPr>
                <w:rFonts w:hint="eastAsia"/>
              </w:rPr>
              <w:t xml:space="preserve">      其他投资</w:t>
            </w:r>
          </w:p>
        </w:tc>
        <w:tc>
          <w:tcPr>
            <w:tcW w:w="1262" w:type="dxa"/>
            <w:vAlign w:val="center"/>
          </w:tcPr>
          <w:p w14:paraId="23BD61C1"/>
        </w:tc>
        <w:tc>
          <w:tcPr>
            <w:tcW w:w="2289" w:type="dxa"/>
            <w:vAlign w:val="center"/>
          </w:tcPr>
          <w:p w14:paraId="53D923A1">
            <w:pPr>
              <w:jc w:val="right"/>
            </w:pPr>
            <w:r>
              <w:rPr>
                <w:rFonts w:hint="eastAsia"/>
              </w:rPr>
              <w:t>-</w:t>
            </w:r>
          </w:p>
        </w:tc>
        <w:tc>
          <w:tcPr>
            <w:tcW w:w="2295" w:type="dxa"/>
            <w:vAlign w:val="center"/>
          </w:tcPr>
          <w:p w14:paraId="65A6FFC1">
            <w:pPr>
              <w:jc w:val="right"/>
            </w:pPr>
            <w:r>
              <w:rPr>
                <w:rFonts w:hint="eastAsia"/>
              </w:rPr>
              <w:t>-</w:t>
            </w:r>
          </w:p>
        </w:tc>
      </w:tr>
      <w:tr w14:paraId="3EDC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698C4">
            <w:r>
              <w:rPr>
                <w:rFonts w:hint="eastAsia"/>
              </w:rPr>
              <w:t>其他债权投资</w:t>
            </w:r>
          </w:p>
        </w:tc>
        <w:tc>
          <w:tcPr>
            <w:tcW w:w="1262" w:type="dxa"/>
            <w:vAlign w:val="center"/>
          </w:tcPr>
          <w:p w14:paraId="016D9E68"/>
        </w:tc>
        <w:tc>
          <w:tcPr>
            <w:tcW w:w="2289" w:type="dxa"/>
            <w:vAlign w:val="center"/>
          </w:tcPr>
          <w:p w14:paraId="012526C2">
            <w:pPr>
              <w:jc w:val="right"/>
            </w:pPr>
            <w:r>
              <w:rPr>
                <w:rFonts w:hint="eastAsia"/>
              </w:rPr>
              <w:t>-</w:t>
            </w:r>
          </w:p>
        </w:tc>
        <w:tc>
          <w:tcPr>
            <w:tcW w:w="2295" w:type="dxa"/>
            <w:vAlign w:val="center"/>
          </w:tcPr>
          <w:p w14:paraId="4AD52EA7">
            <w:pPr>
              <w:jc w:val="right"/>
            </w:pPr>
            <w:r>
              <w:rPr>
                <w:rFonts w:hint="eastAsia"/>
              </w:rPr>
              <w:t>-</w:t>
            </w:r>
          </w:p>
        </w:tc>
      </w:tr>
      <w:tr w14:paraId="0F67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2C59B">
            <w:r>
              <w:rPr>
                <w:rFonts w:hint="eastAsia"/>
              </w:rPr>
              <w:t>其他权益工具投资</w:t>
            </w:r>
          </w:p>
        </w:tc>
        <w:tc>
          <w:tcPr>
            <w:tcW w:w="1262" w:type="dxa"/>
            <w:vAlign w:val="center"/>
          </w:tcPr>
          <w:p w14:paraId="02656313"/>
        </w:tc>
        <w:tc>
          <w:tcPr>
            <w:tcW w:w="2289" w:type="dxa"/>
            <w:vAlign w:val="center"/>
          </w:tcPr>
          <w:p w14:paraId="07DCF2A2">
            <w:pPr>
              <w:jc w:val="right"/>
            </w:pPr>
            <w:r>
              <w:rPr>
                <w:rFonts w:hint="eastAsia"/>
              </w:rPr>
              <w:t>-</w:t>
            </w:r>
          </w:p>
        </w:tc>
        <w:tc>
          <w:tcPr>
            <w:tcW w:w="2295" w:type="dxa"/>
            <w:vAlign w:val="center"/>
          </w:tcPr>
          <w:p w14:paraId="0A4562ED">
            <w:pPr>
              <w:jc w:val="right"/>
            </w:pPr>
            <w:r>
              <w:rPr>
                <w:rFonts w:hint="eastAsia"/>
              </w:rPr>
              <w:t>-</w:t>
            </w:r>
          </w:p>
        </w:tc>
      </w:tr>
      <w:tr w14:paraId="5BB6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71BB8">
            <w:r>
              <w:rPr>
                <w:rFonts w:hint="eastAsia"/>
              </w:rPr>
              <w:t>应收清算款</w:t>
            </w:r>
          </w:p>
        </w:tc>
        <w:tc>
          <w:tcPr>
            <w:tcW w:w="1262" w:type="dxa"/>
            <w:vAlign w:val="center"/>
          </w:tcPr>
          <w:p w14:paraId="32B46828"/>
        </w:tc>
        <w:tc>
          <w:tcPr>
            <w:tcW w:w="2289" w:type="dxa"/>
            <w:vAlign w:val="center"/>
          </w:tcPr>
          <w:p w14:paraId="5DE6A593">
            <w:pPr>
              <w:jc w:val="right"/>
            </w:pPr>
            <w:r>
              <w:rPr>
                <w:rFonts w:hint="eastAsia"/>
              </w:rPr>
              <w:t>-</w:t>
            </w:r>
          </w:p>
        </w:tc>
        <w:tc>
          <w:tcPr>
            <w:tcW w:w="2295" w:type="dxa"/>
            <w:vAlign w:val="center"/>
          </w:tcPr>
          <w:p w14:paraId="64EBCB27">
            <w:pPr>
              <w:jc w:val="right"/>
            </w:pPr>
            <w:r>
              <w:rPr>
                <w:rFonts w:hint="eastAsia"/>
              </w:rPr>
              <w:t>-</w:t>
            </w:r>
          </w:p>
        </w:tc>
      </w:tr>
      <w:tr w14:paraId="505D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40F6C">
            <w:r>
              <w:rPr>
                <w:rFonts w:hint="eastAsia"/>
              </w:rPr>
              <w:t>应收股利</w:t>
            </w:r>
          </w:p>
        </w:tc>
        <w:tc>
          <w:tcPr>
            <w:tcW w:w="1262" w:type="dxa"/>
            <w:vAlign w:val="center"/>
          </w:tcPr>
          <w:p w14:paraId="36950699"/>
        </w:tc>
        <w:tc>
          <w:tcPr>
            <w:tcW w:w="2289" w:type="dxa"/>
            <w:vAlign w:val="center"/>
          </w:tcPr>
          <w:p w14:paraId="700E46C4">
            <w:pPr>
              <w:jc w:val="right"/>
            </w:pPr>
            <w:r>
              <w:rPr>
                <w:rFonts w:hint="eastAsia"/>
              </w:rPr>
              <w:t>-</w:t>
            </w:r>
          </w:p>
        </w:tc>
        <w:tc>
          <w:tcPr>
            <w:tcW w:w="2295" w:type="dxa"/>
            <w:vAlign w:val="center"/>
          </w:tcPr>
          <w:p w14:paraId="50F2C2E7">
            <w:pPr>
              <w:jc w:val="right"/>
            </w:pPr>
            <w:r>
              <w:rPr>
                <w:rFonts w:hint="eastAsia"/>
              </w:rPr>
              <w:t>-</w:t>
            </w:r>
          </w:p>
        </w:tc>
      </w:tr>
      <w:tr w14:paraId="4930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AB42F">
            <w:r>
              <w:rPr>
                <w:rFonts w:hint="eastAsia"/>
              </w:rPr>
              <w:t>应收申购款</w:t>
            </w:r>
          </w:p>
        </w:tc>
        <w:tc>
          <w:tcPr>
            <w:tcW w:w="1262" w:type="dxa"/>
            <w:vAlign w:val="center"/>
          </w:tcPr>
          <w:p w14:paraId="754574CD"/>
        </w:tc>
        <w:tc>
          <w:tcPr>
            <w:tcW w:w="2289" w:type="dxa"/>
            <w:vAlign w:val="center"/>
          </w:tcPr>
          <w:p w14:paraId="7DA7DCB2">
            <w:pPr>
              <w:jc w:val="right"/>
            </w:pPr>
            <w:r>
              <w:rPr>
                <w:rFonts w:hint="eastAsia"/>
              </w:rPr>
              <w:t>609.92</w:t>
            </w:r>
          </w:p>
        </w:tc>
        <w:tc>
          <w:tcPr>
            <w:tcW w:w="2295" w:type="dxa"/>
            <w:vAlign w:val="center"/>
          </w:tcPr>
          <w:p w14:paraId="3B6CC592">
            <w:pPr>
              <w:jc w:val="right"/>
            </w:pPr>
            <w:r>
              <w:rPr>
                <w:rFonts w:hint="eastAsia"/>
              </w:rPr>
              <w:t>-</w:t>
            </w:r>
          </w:p>
        </w:tc>
      </w:tr>
      <w:tr w14:paraId="32B0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3CA65">
            <w:r>
              <w:rPr>
                <w:rFonts w:hint="eastAsia"/>
              </w:rPr>
              <w:t>递延所得税资产</w:t>
            </w:r>
          </w:p>
        </w:tc>
        <w:tc>
          <w:tcPr>
            <w:tcW w:w="1262" w:type="dxa"/>
            <w:vAlign w:val="center"/>
          </w:tcPr>
          <w:p w14:paraId="56AC1E7E"/>
        </w:tc>
        <w:tc>
          <w:tcPr>
            <w:tcW w:w="2289" w:type="dxa"/>
            <w:vAlign w:val="center"/>
          </w:tcPr>
          <w:p w14:paraId="25C424A0">
            <w:pPr>
              <w:jc w:val="right"/>
            </w:pPr>
            <w:r>
              <w:rPr>
                <w:rFonts w:hint="eastAsia"/>
              </w:rPr>
              <w:t>-</w:t>
            </w:r>
          </w:p>
        </w:tc>
        <w:tc>
          <w:tcPr>
            <w:tcW w:w="2295" w:type="dxa"/>
            <w:vAlign w:val="center"/>
          </w:tcPr>
          <w:p w14:paraId="635EB2C5">
            <w:pPr>
              <w:jc w:val="right"/>
            </w:pPr>
            <w:r>
              <w:rPr>
                <w:rFonts w:hint="eastAsia"/>
              </w:rPr>
              <w:t>-</w:t>
            </w:r>
          </w:p>
        </w:tc>
      </w:tr>
      <w:tr w14:paraId="410A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AC41C">
            <w:r>
              <w:rPr>
                <w:rFonts w:hint="eastAsia"/>
              </w:rPr>
              <w:t>其他资产</w:t>
            </w:r>
          </w:p>
        </w:tc>
        <w:tc>
          <w:tcPr>
            <w:tcW w:w="1262" w:type="dxa"/>
            <w:vAlign w:val="center"/>
          </w:tcPr>
          <w:p w14:paraId="0F47606D">
            <w:r>
              <w:rPr>
                <w:rFonts w:hint="eastAsia"/>
              </w:rPr>
              <w:t>7.4.7.6</w:t>
            </w:r>
          </w:p>
        </w:tc>
        <w:tc>
          <w:tcPr>
            <w:tcW w:w="2289" w:type="dxa"/>
            <w:vAlign w:val="center"/>
          </w:tcPr>
          <w:p w14:paraId="7B006FBD">
            <w:pPr>
              <w:jc w:val="right"/>
            </w:pPr>
            <w:r>
              <w:rPr>
                <w:rFonts w:hint="eastAsia"/>
              </w:rPr>
              <w:t>-</w:t>
            </w:r>
          </w:p>
        </w:tc>
        <w:tc>
          <w:tcPr>
            <w:tcW w:w="2295" w:type="dxa"/>
            <w:vAlign w:val="center"/>
          </w:tcPr>
          <w:p w14:paraId="1E50B9F7">
            <w:pPr>
              <w:jc w:val="right"/>
            </w:pPr>
            <w:r>
              <w:rPr>
                <w:rFonts w:hint="eastAsia"/>
              </w:rPr>
              <w:t>-</w:t>
            </w:r>
          </w:p>
        </w:tc>
      </w:tr>
      <w:tr w14:paraId="2C76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48E52">
            <w:r>
              <w:rPr>
                <w:rFonts w:hint="eastAsia"/>
              </w:rPr>
              <w:t>资产总计</w:t>
            </w:r>
          </w:p>
        </w:tc>
        <w:tc>
          <w:tcPr>
            <w:tcW w:w="1262" w:type="dxa"/>
            <w:vAlign w:val="center"/>
          </w:tcPr>
          <w:p w14:paraId="7B7858D2"/>
        </w:tc>
        <w:tc>
          <w:tcPr>
            <w:tcW w:w="2289" w:type="dxa"/>
            <w:vAlign w:val="center"/>
          </w:tcPr>
          <w:p w14:paraId="20461FCF">
            <w:pPr>
              <w:jc w:val="right"/>
            </w:pPr>
            <w:r>
              <w:rPr>
                <w:rFonts w:hint="eastAsia"/>
              </w:rPr>
              <w:t>35,877,000.61</w:t>
            </w:r>
          </w:p>
        </w:tc>
        <w:tc>
          <w:tcPr>
            <w:tcW w:w="2295" w:type="dxa"/>
            <w:vAlign w:val="center"/>
          </w:tcPr>
          <w:p w14:paraId="46FF29FF">
            <w:pPr>
              <w:jc w:val="right"/>
            </w:pPr>
            <w:r>
              <w:rPr>
                <w:rFonts w:hint="eastAsia"/>
              </w:rPr>
              <w:t>4,681,907,731.32</w:t>
            </w:r>
          </w:p>
        </w:tc>
      </w:tr>
      <w:tr w14:paraId="6270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AB3AE">
            <w:r>
              <w:rPr>
                <w:rFonts w:hint="eastAsia"/>
              </w:rPr>
              <w:t>负债和净资产</w:t>
            </w:r>
          </w:p>
        </w:tc>
        <w:tc>
          <w:tcPr>
            <w:tcW w:w="1262" w:type="dxa"/>
            <w:vAlign w:val="center"/>
          </w:tcPr>
          <w:p w14:paraId="5BEBEAAF">
            <w:r>
              <w:rPr>
                <w:rFonts w:hint="eastAsia"/>
              </w:rPr>
              <w:t>附注号</w:t>
            </w:r>
          </w:p>
        </w:tc>
        <w:tc>
          <w:tcPr>
            <w:tcW w:w="2289" w:type="dxa"/>
            <w:vAlign w:val="center"/>
          </w:tcPr>
          <w:p w14:paraId="08E49521">
            <w:r>
              <w:rPr>
                <w:rFonts w:hint="eastAsia"/>
              </w:rPr>
              <w:t>本期末2025年12月31日</w:t>
            </w:r>
          </w:p>
        </w:tc>
        <w:tc>
          <w:tcPr>
            <w:tcW w:w="2295" w:type="dxa"/>
            <w:vAlign w:val="center"/>
          </w:tcPr>
          <w:p w14:paraId="1A6B8BFF">
            <w:r>
              <w:rPr>
                <w:rFonts w:hint="eastAsia"/>
              </w:rPr>
              <w:t>上年度末2024年12月31日</w:t>
            </w:r>
          </w:p>
        </w:tc>
      </w:tr>
      <w:tr w14:paraId="06EC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809E2">
            <w:r>
              <w:rPr>
                <w:rFonts w:hint="eastAsia"/>
              </w:rPr>
              <w:t>负债：</w:t>
            </w:r>
          </w:p>
        </w:tc>
        <w:tc>
          <w:tcPr>
            <w:tcW w:w="1262" w:type="dxa"/>
            <w:vAlign w:val="center"/>
          </w:tcPr>
          <w:p w14:paraId="196501BF"/>
        </w:tc>
        <w:tc>
          <w:tcPr>
            <w:tcW w:w="2289" w:type="dxa"/>
            <w:vAlign w:val="center"/>
          </w:tcPr>
          <w:p w14:paraId="07EA68C9"/>
        </w:tc>
        <w:tc>
          <w:tcPr>
            <w:tcW w:w="2295" w:type="dxa"/>
            <w:vAlign w:val="center"/>
          </w:tcPr>
          <w:p w14:paraId="6ACB881D"/>
        </w:tc>
      </w:tr>
      <w:tr w14:paraId="352F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7E20C">
            <w:r>
              <w:rPr>
                <w:rFonts w:hint="eastAsia"/>
              </w:rPr>
              <w:t>短期借款</w:t>
            </w:r>
          </w:p>
        </w:tc>
        <w:tc>
          <w:tcPr>
            <w:tcW w:w="1262" w:type="dxa"/>
            <w:vAlign w:val="center"/>
          </w:tcPr>
          <w:p w14:paraId="4E0B61D1"/>
        </w:tc>
        <w:tc>
          <w:tcPr>
            <w:tcW w:w="2289" w:type="dxa"/>
            <w:vAlign w:val="center"/>
          </w:tcPr>
          <w:p w14:paraId="37F1560E">
            <w:pPr>
              <w:jc w:val="right"/>
            </w:pPr>
            <w:r>
              <w:rPr>
                <w:rFonts w:hint="eastAsia"/>
              </w:rPr>
              <w:t>-</w:t>
            </w:r>
          </w:p>
        </w:tc>
        <w:tc>
          <w:tcPr>
            <w:tcW w:w="2295" w:type="dxa"/>
            <w:vAlign w:val="center"/>
          </w:tcPr>
          <w:p w14:paraId="1F2229F0">
            <w:pPr>
              <w:jc w:val="right"/>
            </w:pPr>
            <w:r>
              <w:rPr>
                <w:rFonts w:hint="eastAsia"/>
              </w:rPr>
              <w:t>-</w:t>
            </w:r>
          </w:p>
        </w:tc>
      </w:tr>
      <w:tr w14:paraId="39F3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0609D">
            <w:r>
              <w:rPr>
                <w:rFonts w:hint="eastAsia"/>
              </w:rPr>
              <w:t>交易性金融负债</w:t>
            </w:r>
          </w:p>
        </w:tc>
        <w:tc>
          <w:tcPr>
            <w:tcW w:w="1262" w:type="dxa"/>
            <w:vAlign w:val="center"/>
          </w:tcPr>
          <w:p w14:paraId="4D30D5F9"/>
        </w:tc>
        <w:tc>
          <w:tcPr>
            <w:tcW w:w="2289" w:type="dxa"/>
            <w:vAlign w:val="center"/>
          </w:tcPr>
          <w:p w14:paraId="7B64E09B">
            <w:pPr>
              <w:jc w:val="right"/>
            </w:pPr>
            <w:r>
              <w:rPr>
                <w:rFonts w:hint="eastAsia"/>
              </w:rPr>
              <w:t>-</w:t>
            </w:r>
          </w:p>
        </w:tc>
        <w:tc>
          <w:tcPr>
            <w:tcW w:w="2295" w:type="dxa"/>
            <w:vAlign w:val="center"/>
          </w:tcPr>
          <w:p w14:paraId="60A69725">
            <w:pPr>
              <w:jc w:val="right"/>
            </w:pPr>
            <w:r>
              <w:rPr>
                <w:rFonts w:hint="eastAsia"/>
              </w:rPr>
              <w:t>-</w:t>
            </w:r>
          </w:p>
        </w:tc>
      </w:tr>
      <w:tr w14:paraId="4F32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57384">
            <w:r>
              <w:rPr>
                <w:rFonts w:hint="eastAsia"/>
              </w:rPr>
              <w:t>衍生金融负债</w:t>
            </w:r>
          </w:p>
        </w:tc>
        <w:tc>
          <w:tcPr>
            <w:tcW w:w="1262" w:type="dxa"/>
            <w:vAlign w:val="center"/>
          </w:tcPr>
          <w:p w14:paraId="62723D37">
            <w:r>
              <w:rPr>
                <w:rFonts w:hint="eastAsia"/>
              </w:rPr>
              <w:t>7.4.7.3</w:t>
            </w:r>
          </w:p>
        </w:tc>
        <w:tc>
          <w:tcPr>
            <w:tcW w:w="2289" w:type="dxa"/>
            <w:vAlign w:val="center"/>
          </w:tcPr>
          <w:p w14:paraId="1636D778">
            <w:pPr>
              <w:jc w:val="right"/>
            </w:pPr>
            <w:r>
              <w:rPr>
                <w:rFonts w:hint="eastAsia"/>
              </w:rPr>
              <w:t>-</w:t>
            </w:r>
          </w:p>
        </w:tc>
        <w:tc>
          <w:tcPr>
            <w:tcW w:w="2295" w:type="dxa"/>
            <w:vAlign w:val="center"/>
          </w:tcPr>
          <w:p w14:paraId="0635B457">
            <w:pPr>
              <w:jc w:val="right"/>
            </w:pPr>
            <w:r>
              <w:rPr>
                <w:rFonts w:hint="eastAsia"/>
              </w:rPr>
              <w:t>-</w:t>
            </w:r>
          </w:p>
        </w:tc>
      </w:tr>
      <w:tr w14:paraId="1FA7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30376">
            <w:r>
              <w:rPr>
                <w:rFonts w:hint="eastAsia"/>
              </w:rPr>
              <w:t>卖出回购金融资产款</w:t>
            </w:r>
          </w:p>
        </w:tc>
        <w:tc>
          <w:tcPr>
            <w:tcW w:w="1262" w:type="dxa"/>
            <w:vAlign w:val="center"/>
          </w:tcPr>
          <w:p w14:paraId="62218AAD"/>
        </w:tc>
        <w:tc>
          <w:tcPr>
            <w:tcW w:w="2289" w:type="dxa"/>
            <w:vAlign w:val="center"/>
          </w:tcPr>
          <w:p w14:paraId="2A2977D8">
            <w:pPr>
              <w:jc w:val="right"/>
            </w:pPr>
            <w:r>
              <w:rPr>
                <w:rFonts w:hint="eastAsia"/>
              </w:rPr>
              <w:t>-</w:t>
            </w:r>
          </w:p>
        </w:tc>
        <w:tc>
          <w:tcPr>
            <w:tcW w:w="2295" w:type="dxa"/>
            <w:vAlign w:val="center"/>
          </w:tcPr>
          <w:p w14:paraId="53A21EEC">
            <w:pPr>
              <w:jc w:val="right"/>
            </w:pPr>
            <w:r>
              <w:rPr>
                <w:rFonts w:hint="eastAsia"/>
              </w:rPr>
              <w:t>51,006,920.80</w:t>
            </w:r>
          </w:p>
        </w:tc>
      </w:tr>
      <w:tr w14:paraId="4F7D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7E2B9">
            <w:r>
              <w:rPr>
                <w:rFonts w:hint="eastAsia"/>
              </w:rPr>
              <w:t>应付清算款</w:t>
            </w:r>
          </w:p>
        </w:tc>
        <w:tc>
          <w:tcPr>
            <w:tcW w:w="1262" w:type="dxa"/>
            <w:vAlign w:val="center"/>
          </w:tcPr>
          <w:p w14:paraId="38AA5A9D"/>
        </w:tc>
        <w:tc>
          <w:tcPr>
            <w:tcW w:w="2289" w:type="dxa"/>
            <w:vAlign w:val="center"/>
          </w:tcPr>
          <w:p w14:paraId="1471E7DC">
            <w:pPr>
              <w:jc w:val="right"/>
            </w:pPr>
            <w:r>
              <w:rPr>
                <w:rFonts w:hint="eastAsia"/>
              </w:rPr>
              <w:t>-</w:t>
            </w:r>
          </w:p>
        </w:tc>
        <w:tc>
          <w:tcPr>
            <w:tcW w:w="2295" w:type="dxa"/>
            <w:vAlign w:val="center"/>
          </w:tcPr>
          <w:p w14:paraId="44FC9F73">
            <w:pPr>
              <w:jc w:val="right"/>
            </w:pPr>
            <w:r>
              <w:rPr>
                <w:rFonts w:hint="eastAsia"/>
              </w:rPr>
              <w:t>-</w:t>
            </w:r>
          </w:p>
        </w:tc>
      </w:tr>
      <w:tr w14:paraId="20F4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80F29">
            <w:r>
              <w:rPr>
                <w:rFonts w:hint="eastAsia"/>
              </w:rPr>
              <w:t>应付赎回款</w:t>
            </w:r>
          </w:p>
        </w:tc>
        <w:tc>
          <w:tcPr>
            <w:tcW w:w="1262" w:type="dxa"/>
            <w:vAlign w:val="center"/>
          </w:tcPr>
          <w:p w14:paraId="3FA70746"/>
        </w:tc>
        <w:tc>
          <w:tcPr>
            <w:tcW w:w="2289" w:type="dxa"/>
            <w:vAlign w:val="center"/>
          </w:tcPr>
          <w:p w14:paraId="6887037E">
            <w:pPr>
              <w:jc w:val="right"/>
            </w:pPr>
            <w:r>
              <w:rPr>
                <w:rFonts w:hint="eastAsia"/>
              </w:rPr>
              <w:t>93,061.42</w:t>
            </w:r>
          </w:p>
        </w:tc>
        <w:tc>
          <w:tcPr>
            <w:tcW w:w="2295" w:type="dxa"/>
            <w:vAlign w:val="center"/>
          </w:tcPr>
          <w:p w14:paraId="4B71BFC9">
            <w:pPr>
              <w:jc w:val="right"/>
            </w:pPr>
            <w:r>
              <w:rPr>
                <w:rFonts w:hint="eastAsia"/>
              </w:rPr>
              <w:t>-</w:t>
            </w:r>
          </w:p>
        </w:tc>
      </w:tr>
      <w:tr w14:paraId="1C7C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5AC60">
            <w:r>
              <w:rPr>
                <w:rFonts w:hint="eastAsia"/>
              </w:rPr>
              <w:t>应付管理人报酬</w:t>
            </w:r>
          </w:p>
        </w:tc>
        <w:tc>
          <w:tcPr>
            <w:tcW w:w="1262" w:type="dxa"/>
            <w:vAlign w:val="center"/>
          </w:tcPr>
          <w:p w14:paraId="1D619621"/>
        </w:tc>
        <w:tc>
          <w:tcPr>
            <w:tcW w:w="2289" w:type="dxa"/>
            <w:vAlign w:val="center"/>
          </w:tcPr>
          <w:p w14:paraId="28CB1E87">
            <w:pPr>
              <w:jc w:val="right"/>
            </w:pPr>
            <w:r>
              <w:rPr>
                <w:rFonts w:hint="eastAsia"/>
              </w:rPr>
              <w:t>481,917.11</w:t>
            </w:r>
          </w:p>
        </w:tc>
        <w:tc>
          <w:tcPr>
            <w:tcW w:w="2295" w:type="dxa"/>
            <w:vAlign w:val="center"/>
          </w:tcPr>
          <w:p w14:paraId="035EA2C8">
            <w:pPr>
              <w:jc w:val="right"/>
            </w:pPr>
            <w:r>
              <w:rPr>
                <w:rFonts w:hint="eastAsia"/>
              </w:rPr>
              <w:t>772,704.66</w:t>
            </w:r>
          </w:p>
        </w:tc>
      </w:tr>
      <w:tr w14:paraId="54D7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78822">
            <w:r>
              <w:rPr>
                <w:rFonts w:hint="eastAsia"/>
              </w:rPr>
              <w:t>应付托管费</w:t>
            </w:r>
          </w:p>
        </w:tc>
        <w:tc>
          <w:tcPr>
            <w:tcW w:w="1262" w:type="dxa"/>
            <w:vAlign w:val="center"/>
          </w:tcPr>
          <w:p w14:paraId="7E01A8F8"/>
        </w:tc>
        <w:tc>
          <w:tcPr>
            <w:tcW w:w="2289" w:type="dxa"/>
            <w:vAlign w:val="center"/>
          </w:tcPr>
          <w:p w14:paraId="1BFE793F">
            <w:pPr>
              <w:jc w:val="right"/>
            </w:pPr>
            <w:r>
              <w:rPr>
                <w:rFonts w:hint="eastAsia"/>
              </w:rPr>
              <w:t>160,639.07</w:t>
            </w:r>
          </w:p>
        </w:tc>
        <w:tc>
          <w:tcPr>
            <w:tcW w:w="2295" w:type="dxa"/>
            <w:vAlign w:val="center"/>
          </w:tcPr>
          <w:p w14:paraId="75790088">
            <w:pPr>
              <w:jc w:val="right"/>
            </w:pPr>
            <w:r>
              <w:rPr>
                <w:rFonts w:hint="eastAsia"/>
              </w:rPr>
              <w:t>257,568.21</w:t>
            </w:r>
          </w:p>
        </w:tc>
      </w:tr>
      <w:tr w14:paraId="0B71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2A411">
            <w:r>
              <w:rPr>
                <w:rFonts w:hint="eastAsia"/>
              </w:rPr>
              <w:t>应付销售服务费</w:t>
            </w:r>
          </w:p>
        </w:tc>
        <w:tc>
          <w:tcPr>
            <w:tcW w:w="1262" w:type="dxa"/>
            <w:vAlign w:val="center"/>
          </w:tcPr>
          <w:p w14:paraId="4F8CF330"/>
        </w:tc>
        <w:tc>
          <w:tcPr>
            <w:tcW w:w="2289" w:type="dxa"/>
            <w:vAlign w:val="center"/>
          </w:tcPr>
          <w:p w14:paraId="54412FAD">
            <w:pPr>
              <w:jc w:val="right"/>
            </w:pPr>
            <w:r>
              <w:rPr>
                <w:rFonts w:hint="eastAsia"/>
              </w:rPr>
              <w:t>-</w:t>
            </w:r>
          </w:p>
        </w:tc>
        <w:tc>
          <w:tcPr>
            <w:tcW w:w="2295" w:type="dxa"/>
            <w:vAlign w:val="center"/>
          </w:tcPr>
          <w:p w14:paraId="0EE94C49">
            <w:pPr>
              <w:jc w:val="right"/>
            </w:pPr>
            <w:r>
              <w:rPr>
                <w:rFonts w:hint="eastAsia"/>
              </w:rPr>
              <w:t>-</w:t>
            </w:r>
          </w:p>
        </w:tc>
      </w:tr>
      <w:tr w14:paraId="5A24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25ED3">
            <w:r>
              <w:rPr>
                <w:rFonts w:hint="eastAsia"/>
              </w:rPr>
              <w:t>应付投资顾问费</w:t>
            </w:r>
          </w:p>
        </w:tc>
        <w:tc>
          <w:tcPr>
            <w:tcW w:w="1262" w:type="dxa"/>
            <w:vAlign w:val="center"/>
          </w:tcPr>
          <w:p w14:paraId="4C041E43"/>
        </w:tc>
        <w:tc>
          <w:tcPr>
            <w:tcW w:w="2289" w:type="dxa"/>
            <w:vAlign w:val="center"/>
          </w:tcPr>
          <w:p w14:paraId="61A8A76F">
            <w:pPr>
              <w:jc w:val="right"/>
            </w:pPr>
            <w:r>
              <w:rPr>
                <w:rFonts w:hint="eastAsia"/>
              </w:rPr>
              <w:t>-</w:t>
            </w:r>
          </w:p>
        </w:tc>
        <w:tc>
          <w:tcPr>
            <w:tcW w:w="2295" w:type="dxa"/>
            <w:vAlign w:val="center"/>
          </w:tcPr>
          <w:p w14:paraId="462D4FC6">
            <w:pPr>
              <w:jc w:val="right"/>
            </w:pPr>
            <w:r>
              <w:rPr>
                <w:rFonts w:hint="eastAsia"/>
              </w:rPr>
              <w:t>-</w:t>
            </w:r>
          </w:p>
        </w:tc>
      </w:tr>
      <w:tr w14:paraId="2A8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8509A">
            <w:r>
              <w:rPr>
                <w:rFonts w:hint="eastAsia"/>
              </w:rPr>
              <w:t>应交税费</w:t>
            </w:r>
          </w:p>
        </w:tc>
        <w:tc>
          <w:tcPr>
            <w:tcW w:w="1262" w:type="dxa"/>
            <w:vAlign w:val="center"/>
          </w:tcPr>
          <w:p w14:paraId="1C199528"/>
        </w:tc>
        <w:tc>
          <w:tcPr>
            <w:tcW w:w="2289" w:type="dxa"/>
            <w:vAlign w:val="center"/>
          </w:tcPr>
          <w:p w14:paraId="43101385">
            <w:pPr>
              <w:jc w:val="right"/>
            </w:pPr>
            <w:r>
              <w:rPr>
                <w:rFonts w:hint="eastAsia"/>
              </w:rPr>
              <w:t>-</w:t>
            </w:r>
          </w:p>
        </w:tc>
        <w:tc>
          <w:tcPr>
            <w:tcW w:w="2295" w:type="dxa"/>
            <w:vAlign w:val="center"/>
          </w:tcPr>
          <w:p w14:paraId="6804A11B">
            <w:pPr>
              <w:jc w:val="right"/>
            </w:pPr>
            <w:r>
              <w:rPr>
                <w:rFonts w:hint="eastAsia"/>
              </w:rPr>
              <w:t>-</w:t>
            </w:r>
          </w:p>
        </w:tc>
      </w:tr>
      <w:tr w14:paraId="0FF5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22567">
            <w:r>
              <w:rPr>
                <w:rFonts w:hint="eastAsia"/>
              </w:rPr>
              <w:t>应付利润</w:t>
            </w:r>
          </w:p>
        </w:tc>
        <w:tc>
          <w:tcPr>
            <w:tcW w:w="1262" w:type="dxa"/>
            <w:vAlign w:val="center"/>
          </w:tcPr>
          <w:p w14:paraId="77E90626"/>
        </w:tc>
        <w:tc>
          <w:tcPr>
            <w:tcW w:w="2289" w:type="dxa"/>
            <w:vAlign w:val="center"/>
          </w:tcPr>
          <w:p w14:paraId="13C231A4">
            <w:pPr>
              <w:jc w:val="right"/>
            </w:pPr>
            <w:r>
              <w:rPr>
                <w:rFonts w:hint="eastAsia"/>
              </w:rPr>
              <w:t>-</w:t>
            </w:r>
          </w:p>
        </w:tc>
        <w:tc>
          <w:tcPr>
            <w:tcW w:w="2295" w:type="dxa"/>
            <w:vAlign w:val="center"/>
          </w:tcPr>
          <w:p w14:paraId="784E3623">
            <w:pPr>
              <w:jc w:val="right"/>
            </w:pPr>
            <w:r>
              <w:rPr>
                <w:rFonts w:hint="eastAsia"/>
              </w:rPr>
              <w:t>-</w:t>
            </w:r>
          </w:p>
        </w:tc>
      </w:tr>
      <w:tr w14:paraId="747A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7A58C">
            <w:r>
              <w:rPr>
                <w:rFonts w:hint="eastAsia"/>
              </w:rPr>
              <w:t>递延所得税负债</w:t>
            </w:r>
          </w:p>
        </w:tc>
        <w:tc>
          <w:tcPr>
            <w:tcW w:w="1262" w:type="dxa"/>
            <w:vAlign w:val="center"/>
          </w:tcPr>
          <w:p w14:paraId="0BC868EF"/>
        </w:tc>
        <w:tc>
          <w:tcPr>
            <w:tcW w:w="2289" w:type="dxa"/>
            <w:vAlign w:val="center"/>
          </w:tcPr>
          <w:p w14:paraId="082E588D">
            <w:pPr>
              <w:jc w:val="right"/>
            </w:pPr>
            <w:r>
              <w:rPr>
                <w:rFonts w:hint="eastAsia"/>
              </w:rPr>
              <w:t>-</w:t>
            </w:r>
          </w:p>
        </w:tc>
        <w:tc>
          <w:tcPr>
            <w:tcW w:w="2295" w:type="dxa"/>
            <w:vAlign w:val="center"/>
          </w:tcPr>
          <w:p w14:paraId="1970E005">
            <w:pPr>
              <w:jc w:val="right"/>
            </w:pPr>
            <w:r>
              <w:rPr>
                <w:rFonts w:hint="eastAsia"/>
              </w:rPr>
              <w:t>-</w:t>
            </w:r>
          </w:p>
        </w:tc>
      </w:tr>
      <w:tr w14:paraId="7F32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B8075">
            <w:r>
              <w:rPr>
                <w:rFonts w:hint="eastAsia"/>
              </w:rPr>
              <w:t>其他负债</w:t>
            </w:r>
          </w:p>
        </w:tc>
        <w:tc>
          <w:tcPr>
            <w:tcW w:w="1262" w:type="dxa"/>
            <w:vAlign w:val="center"/>
          </w:tcPr>
          <w:p w14:paraId="5D38E02B">
            <w:r>
              <w:rPr>
                <w:rFonts w:hint="eastAsia"/>
              </w:rPr>
              <w:t>7.4.7.7</w:t>
            </w:r>
          </w:p>
        </w:tc>
        <w:tc>
          <w:tcPr>
            <w:tcW w:w="2289" w:type="dxa"/>
            <w:vAlign w:val="center"/>
          </w:tcPr>
          <w:p w14:paraId="40F75B6A">
            <w:pPr>
              <w:jc w:val="right"/>
            </w:pPr>
            <w:r>
              <w:rPr>
                <w:rFonts w:hint="eastAsia"/>
              </w:rPr>
              <w:t>285,478.48</w:t>
            </w:r>
          </w:p>
        </w:tc>
        <w:tc>
          <w:tcPr>
            <w:tcW w:w="2295" w:type="dxa"/>
            <w:vAlign w:val="center"/>
          </w:tcPr>
          <w:p w14:paraId="40125292">
            <w:pPr>
              <w:jc w:val="right"/>
            </w:pPr>
            <w:r>
              <w:rPr>
                <w:rFonts w:hint="eastAsia"/>
              </w:rPr>
              <w:t>325,974.53</w:t>
            </w:r>
          </w:p>
        </w:tc>
      </w:tr>
      <w:tr w14:paraId="55FC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28CB9">
            <w:r>
              <w:rPr>
                <w:rFonts w:hint="eastAsia"/>
              </w:rPr>
              <w:t>负债合计</w:t>
            </w:r>
          </w:p>
        </w:tc>
        <w:tc>
          <w:tcPr>
            <w:tcW w:w="1262" w:type="dxa"/>
            <w:vAlign w:val="center"/>
          </w:tcPr>
          <w:p w14:paraId="69D99926"/>
        </w:tc>
        <w:tc>
          <w:tcPr>
            <w:tcW w:w="2289" w:type="dxa"/>
            <w:vAlign w:val="center"/>
          </w:tcPr>
          <w:p w14:paraId="5BB646A2">
            <w:pPr>
              <w:jc w:val="right"/>
            </w:pPr>
            <w:r>
              <w:rPr>
                <w:rFonts w:hint="eastAsia"/>
              </w:rPr>
              <w:t>1,021,096.08</w:t>
            </w:r>
          </w:p>
        </w:tc>
        <w:tc>
          <w:tcPr>
            <w:tcW w:w="2295" w:type="dxa"/>
            <w:vAlign w:val="center"/>
          </w:tcPr>
          <w:p w14:paraId="58DB5BD1">
            <w:pPr>
              <w:jc w:val="right"/>
            </w:pPr>
            <w:r>
              <w:rPr>
                <w:rFonts w:hint="eastAsia"/>
              </w:rPr>
              <w:t>52,363,168.20</w:t>
            </w:r>
          </w:p>
        </w:tc>
      </w:tr>
      <w:tr w14:paraId="04E6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090EB">
            <w:r>
              <w:rPr>
                <w:rFonts w:hint="eastAsia"/>
              </w:rPr>
              <w:t>净资产：</w:t>
            </w:r>
          </w:p>
        </w:tc>
        <w:tc>
          <w:tcPr>
            <w:tcW w:w="1262" w:type="dxa"/>
            <w:vAlign w:val="center"/>
          </w:tcPr>
          <w:p w14:paraId="10FB6EF5"/>
        </w:tc>
        <w:tc>
          <w:tcPr>
            <w:tcW w:w="2289" w:type="dxa"/>
            <w:vAlign w:val="center"/>
          </w:tcPr>
          <w:p w14:paraId="36C19B6C"/>
        </w:tc>
        <w:tc>
          <w:tcPr>
            <w:tcW w:w="2295" w:type="dxa"/>
            <w:vAlign w:val="center"/>
          </w:tcPr>
          <w:p w14:paraId="77FBAAEC"/>
        </w:tc>
      </w:tr>
      <w:tr w14:paraId="3711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BADD3">
            <w:r>
              <w:rPr>
                <w:rFonts w:hint="eastAsia"/>
              </w:rPr>
              <w:t>实收基金</w:t>
            </w:r>
          </w:p>
        </w:tc>
        <w:tc>
          <w:tcPr>
            <w:tcW w:w="1262" w:type="dxa"/>
            <w:vAlign w:val="center"/>
          </w:tcPr>
          <w:p w14:paraId="2184ED79">
            <w:r>
              <w:rPr>
                <w:rFonts w:hint="eastAsia"/>
              </w:rPr>
              <w:t>7.4.7.8</w:t>
            </w:r>
          </w:p>
        </w:tc>
        <w:tc>
          <w:tcPr>
            <w:tcW w:w="2289" w:type="dxa"/>
            <w:vAlign w:val="center"/>
          </w:tcPr>
          <w:p w14:paraId="2F598553">
            <w:pPr>
              <w:jc w:val="right"/>
            </w:pPr>
            <w:r>
              <w:rPr>
                <w:rFonts w:hint="eastAsia"/>
              </w:rPr>
              <w:t>33,451,303.63</w:t>
            </w:r>
          </w:p>
        </w:tc>
        <w:tc>
          <w:tcPr>
            <w:tcW w:w="2295" w:type="dxa"/>
            <w:vAlign w:val="center"/>
          </w:tcPr>
          <w:p w14:paraId="6979604F">
            <w:pPr>
              <w:jc w:val="right"/>
            </w:pPr>
            <w:r>
              <w:rPr>
                <w:rFonts w:hint="eastAsia"/>
              </w:rPr>
              <w:t>4,511,718,215.35</w:t>
            </w:r>
          </w:p>
        </w:tc>
      </w:tr>
      <w:tr w14:paraId="6D68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2C3AA">
            <w:r>
              <w:rPr>
                <w:rFonts w:hint="eastAsia"/>
              </w:rPr>
              <w:t>其他综合收益</w:t>
            </w:r>
          </w:p>
        </w:tc>
        <w:tc>
          <w:tcPr>
            <w:tcW w:w="1262" w:type="dxa"/>
            <w:vAlign w:val="center"/>
          </w:tcPr>
          <w:p w14:paraId="1B256E22"/>
        </w:tc>
        <w:tc>
          <w:tcPr>
            <w:tcW w:w="2289" w:type="dxa"/>
            <w:vAlign w:val="center"/>
          </w:tcPr>
          <w:p w14:paraId="56722BE2">
            <w:pPr>
              <w:jc w:val="right"/>
            </w:pPr>
            <w:r>
              <w:rPr>
                <w:rFonts w:hint="eastAsia"/>
              </w:rPr>
              <w:t>-</w:t>
            </w:r>
          </w:p>
        </w:tc>
        <w:tc>
          <w:tcPr>
            <w:tcW w:w="2295" w:type="dxa"/>
            <w:vAlign w:val="center"/>
          </w:tcPr>
          <w:p w14:paraId="18253A30">
            <w:pPr>
              <w:jc w:val="right"/>
            </w:pPr>
            <w:r>
              <w:rPr>
                <w:rFonts w:hint="eastAsia"/>
              </w:rPr>
              <w:t>-</w:t>
            </w:r>
          </w:p>
        </w:tc>
      </w:tr>
      <w:tr w14:paraId="11D4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953EB">
            <w:r>
              <w:rPr>
                <w:rFonts w:hint="eastAsia"/>
              </w:rPr>
              <w:t>未分配利润</w:t>
            </w:r>
          </w:p>
        </w:tc>
        <w:tc>
          <w:tcPr>
            <w:tcW w:w="1262" w:type="dxa"/>
            <w:vAlign w:val="center"/>
          </w:tcPr>
          <w:p w14:paraId="0797C55D">
            <w:r>
              <w:rPr>
                <w:rFonts w:hint="eastAsia"/>
              </w:rPr>
              <w:t>7.4.7.9</w:t>
            </w:r>
          </w:p>
        </w:tc>
        <w:tc>
          <w:tcPr>
            <w:tcW w:w="2289" w:type="dxa"/>
            <w:vAlign w:val="center"/>
          </w:tcPr>
          <w:p w14:paraId="336B8018">
            <w:pPr>
              <w:jc w:val="right"/>
            </w:pPr>
            <w:r>
              <w:rPr>
                <w:rFonts w:hint="eastAsia"/>
              </w:rPr>
              <w:t>1,404,600.90</w:t>
            </w:r>
          </w:p>
        </w:tc>
        <w:tc>
          <w:tcPr>
            <w:tcW w:w="2295" w:type="dxa"/>
            <w:vAlign w:val="center"/>
          </w:tcPr>
          <w:p w14:paraId="6A662D77">
            <w:pPr>
              <w:jc w:val="right"/>
            </w:pPr>
            <w:r>
              <w:rPr>
                <w:rFonts w:hint="eastAsia"/>
              </w:rPr>
              <w:t>117,826,347.77</w:t>
            </w:r>
          </w:p>
        </w:tc>
      </w:tr>
      <w:tr w14:paraId="6CE3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807C0">
            <w:r>
              <w:rPr>
                <w:rFonts w:hint="eastAsia"/>
              </w:rPr>
              <w:t>净资产合计</w:t>
            </w:r>
          </w:p>
        </w:tc>
        <w:tc>
          <w:tcPr>
            <w:tcW w:w="1262" w:type="dxa"/>
            <w:vAlign w:val="center"/>
          </w:tcPr>
          <w:p w14:paraId="714AD623"/>
        </w:tc>
        <w:tc>
          <w:tcPr>
            <w:tcW w:w="2289" w:type="dxa"/>
            <w:vAlign w:val="center"/>
          </w:tcPr>
          <w:p w14:paraId="2B2691F3">
            <w:pPr>
              <w:jc w:val="right"/>
            </w:pPr>
            <w:r>
              <w:rPr>
                <w:rFonts w:hint="eastAsia"/>
              </w:rPr>
              <w:t>34,855,904.53</w:t>
            </w:r>
          </w:p>
        </w:tc>
        <w:tc>
          <w:tcPr>
            <w:tcW w:w="2295" w:type="dxa"/>
            <w:vAlign w:val="center"/>
          </w:tcPr>
          <w:p w14:paraId="32E8B173">
            <w:pPr>
              <w:jc w:val="right"/>
            </w:pPr>
            <w:r>
              <w:rPr>
                <w:rFonts w:hint="eastAsia"/>
              </w:rPr>
              <w:t>4,629,544,563.12</w:t>
            </w:r>
          </w:p>
        </w:tc>
      </w:tr>
      <w:tr w14:paraId="03FD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7B5B3">
            <w:r>
              <w:rPr>
                <w:rFonts w:hint="eastAsia"/>
              </w:rPr>
              <w:t>负债和净资产总计</w:t>
            </w:r>
          </w:p>
        </w:tc>
        <w:tc>
          <w:tcPr>
            <w:tcW w:w="1262" w:type="dxa"/>
            <w:vAlign w:val="center"/>
          </w:tcPr>
          <w:p w14:paraId="5F4C028E"/>
        </w:tc>
        <w:tc>
          <w:tcPr>
            <w:tcW w:w="2289" w:type="dxa"/>
            <w:vAlign w:val="center"/>
          </w:tcPr>
          <w:p w14:paraId="37850A4F">
            <w:pPr>
              <w:jc w:val="right"/>
            </w:pPr>
            <w:r>
              <w:rPr>
                <w:rFonts w:hint="eastAsia"/>
              </w:rPr>
              <w:t>35,877,000.61</w:t>
            </w:r>
          </w:p>
        </w:tc>
        <w:tc>
          <w:tcPr>
            <w:tcW w:w="2295" w:type="dxa"/>
            <w:vAlign w:val="center"/>
          </w:tcPr>
          <w:p w14:paraId="3F628E3B">
            <w:pPr>
              <w:jc w:val="right"/>
            </w:pPr>
            <w:r>
              <w:rPr>
                <w:rFonts w:hint="eastAsia"/>
              </w:rPr>
              <w:t>4,681,907,731.32</w:t>
            </w:r>
          </w:p>
        </w:tc>
      </w:tr>
    </w:tbl>
    <w:p w14:paraId="0FACA53C">
      <w:pPr>
        <w:pStyle w:val="54"/>
        <w:rPr>
          <w:rFonts w:hint="eastAsia"/>
        </w:rPr>
      </w:pPr>
      <w:r>
        <w:rPr>
          <w:rFonts w:hint="eastAsia"/>
        </w:rPr>
        <w:t>注：报告截止日2025年12月31日，基金份额净值1.0420元，基金份额总额33,451,303.63份。</w:t>
      </w:r>
    </w:p>
    <w:p w14:paraId="3371BD9F">
      <w:pPr>
        <w:pStyle w:val="30"/>
      </w:pPr>
      <w:bookmarkStart w:id="46" w:name="_Toc7016"/>
      <w:r>
        <w:t>利润表</w:t>
      </w:r>
      <w:bookmarkEnd w:id="46"/>
    </w:p>
    <w:p w14:paraId="6978A719">
      <w:pPr>
        <w:pStyle w:val="25"/>
        <w:rPr>
          <w:rFonts w:hint="eastAsia"/>
        </w:rPr>
      </w:pPr>
      <w:r>
        <w:rPr>
          <w:rFonts w:hint="eastAsia"/>
        </w:rPr>
        <w:t>会计主体：南方恒庆一年定期开放债券型证券投资基金</w:t>
      </w:r>
    </w:p>
    <w:p w14:paraId="4C731F02">
      <w:pPr>
        <w:pStyle w:val="25"/>
        <w:rPr>
          <w:rFonts w:hint="eastAsia"/>
        </w:rPr>
      </w:pPr>
      <w:r>
        <w:rPr>
          <w:rFonts w:hint="eastAsia"/>
        </w:rPr>
        <w:t>本报告期：2025年1月1日至2025年12月31日</w:t>
      </w:r>
    </w:p>
    <w:p w14:paraId="761A3D9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032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9079DBD">
            <w:pPr>
              <w:jc w:val="center"/>
            </w:pPr>
            <w:r>
              <w:rPr>
                <w:rFonts w:hint="eastAsia"/>
                <w:b/>
              </w:rPr>
              <w:t>项目</w:t>
            </w:r>
          </w:p>
        </w:tc>
        <w:tc>
          <w:tcPr>
            <w:tcW w:w="1262" w:type="dxa"/>
            <w:shd w:val="clear" w:color="auto" w:fill="BFBFBF"/>
            <w:vAlign w:val="center"/>
          </w:tcPr>
          <w:p w14:paraId="02FC9C3C">
            <w:pPr>
              <w:jc w:val="center"/>
            </w:pPr>
            <w:r>
              <w:rPr>
                <w:rFonts w:hint="eastAsia"/>
                <w:b/>
              </w:rPr>
              <w:t>附注号</w:t>
            </w:r>
          </w:p>
        </w:tc>
        <w:tc>
          <w:tcPr>
            <w:tcW w:w="2289" w:type="dxa"/>
            <w:shd w:val="clear" w:color="auto" w:fill="BFBFBF"/>
            <w:vAlign w:val="center"/>
          </w:tcPr>
          <w:p w14:paraId="23D3576A">
            <w:pPr>
              <w:jc w:val="center"/>
            </w:pPr>
            <w:r>
              <w:rPr>
                <w:rFonts w:hint="eastAsia"/>
                <w:b/>
              </w:rPr>
              <w:t>本期2025年1月1日至2025年12月31日</w:t>
            </w:r>
          </w:p>
        </w:tc>
        <w:tc>
          <w:tcPr>
            <w:tcW w:w="2295" w:type="dxa"/>
            <w:shd w:val="clear" w:color="auto" w:fill="BFBFBF"/>
            <w:vAlign w:val="center"/>
          </w:tcPr>
          <w:p w14:paraId="2379092F">
            <w:pPr>
              <w:jc w:val="center"/>
            </w:pPr>
            <w:r>
              <w:rPr>
                <w:rFonts w:hint="eastAsia"/>
                <w:b/>
              </w:rPr>
              <w:t>上年度可比期间2024年1月1日至2024年12月31日</w:t>
            </w:r>
          </w:p>
        </w:tc>
      </w:tr>
      <w:tr w14:paraId="5C54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1E212">
            <w:r>
              <w:rPr>
                <w:rFonts w:hint="eastAsia"/>
              </w:rPr>
              <w:t>一、营业总收入</w:t>
            </w:r>
          </w:p>
        </w:tc>
        <w:tc>
          <w:tcPr>
            <w:tcW w:w="1262" w:type="dxa"/>
            <w:vAlign w:val="center"/>
          </w:tcPr>
          <w:p w14:paraId="1B56CE28"/>
        </w:tc>
        <w:tc>
          <w:tcPr>
            <w:tcW w:w="2289" w:type="dxa"/>
            <w:vAlign w:val="center"/>
          </w:tcPr>
          <w:p w14:paraId="2091F187">
            <w:pPr>
              <w:jc w:val="right"/>
            </w:pPr>
            <w:r>
              <w:rPr>
                <w:rFonts w:hint="eastAsia"/>
              </w:rPr>
              <w:t>74,614,027.18</w:t>
            </w:r>
          </w:p>
        </w:tc>
        <w:tc>
          <w:tcPr>
            <w:tcW w:w="2295" w:type="dxa"/>
            <w:vAlign w:val="center"/>
          </w:tcPr>
          <w:p w14:paraId="72EA9E43">
            <w:pPr>
              <w:jc w:val="right"/>
            </w:pPr>
            <w:r>
              <w:rPr>
                <w:rFonts w:hint="eastAsia"/>
              </w:rPr>
              <w:t>212,981,314.56</w:t>
            </w:r>
          </w:p>
        </w:tc>
      </w:tr>
      <w:tr w14:paraId="77B6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00043">
            <w:r>
              <w:rPr>
                <w:rFonts w:hint="eastAsia"/>
              </w:rPr>
              <w:t>1.利息收入</w:t>
            </w:r>
          </w:p>
        </w:tc>
        <w:tc>
          <w:tcPr>
            <w:tcW w:w="1262" w:type="dxa"/>
            <w:vAlign w:val="center"/>
          </w:tcPr>
          <w:p w14:paraId="1657CB3D"/>
        </w:tc>
        <w:tc>
          <w:tcPr>
            <w:tcW w:w="2289" w:type="dxa"/>
            <w:vAlign w:val="center"/>
          </w:tcPr>
          <w:p w14:paraId="250AC3A0">
            <w:pPr>
              <w:jc w:val="right"/>
            </w:pPr>
            <w:r>
              <w:rPr>
                <w:rFonts w:hint="eastAsia"/>
              </w:rPr>
              <w:t>74,614,014.12</w:t>
            </w:r>
          </w:p>
        </w:tc>
        <w:tc>
          <w:tcPr>
            <w:tcW w:w="2295" w:type="dxa"/>
            <w:vAlign w:val="center"/>
          </w:tcPr>
          <w:p w14:paraId="5889651E">
            <w:pPr>
              <w:jc w:val="right"/>
            </w:pPr>
            <w:r>
              <w:rPr>
                <w:rFonts w:hint="eastAsia"/>
              </w:rPr>
              <w:t>212,981,298.21</w:t>
            </w:r>
          </w:p>
        </w:tc>
      </w:tr>
      <w:tr w14:paraId="6078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4AE60">
            <w:r>
              <w:rPr>
                <w:rFonts w:hint="eastAsia"/>
              </w:rPr>
              <w:t>其中：存款利息收入</w:t>
            </w:r>
          </w:p>
        </w:tc>
        <w:tc>
          <w:tcPr>
            <w:tcW w:w="1262" w:type="dxa"/>
            <w:vAlign w:val="center"/>
          </w:tcPr>
          <w:p w14:paraId="62E73A8C">
            <w:r>
              <w:rPr>
                <w:rFonts w:hint="eastAsia"/>
              </w:rPr>
              <w:t>7.4.7.10</w:t>
            </w:r>
          </w:p>
        </w:tc>
        <w:tc>
          <w:tcPr>
            <w:tcW w:w="2289" w:type="dxa"/>
            <w:vAlign w:val="center"/>
          </w:tcPr>
          <w:p w14:paraId="2DA4AB8D">
            <w:pPr>
              <w:jc w:val="right"/>
            </w:pPr>
            <w:r>
              <w:rPr>
                <w:rFonts w:hint="eastAsia"/>
              </w:rPr>
              <w:t>16,796,150.30</w:t>
            </w:r>
          </w:p>
        </w:tc>
        <w:tc>
          <w:tcPr>
            <w:tcW w:w="2295" w:type="dxa"/>
            <w:vAlign w:val="center"/>
          </w:tcPr>
          <w:p w14:paraId="28097C6F">
            <w:pPr>
              <w:jc w:val="right"/>
            </w:pPr>
            <w:r>
              <w:rPr>
                <w:rFonts w:hint="eastAsia"/>
              </w:rPr>
              <w:t>17,994,110.66</w:t>
            </w:r>
          </w:p>
        </w:tc>
      </w:tr>
      <w:tr w14:paraId="4959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3AC6B">
            <w:r>
              <w:rPr>
                <w:rFonts w:hint="eastAsia"/>
              </w:rPr>
              <w:t xml:space="preserve">      债券利息收入</w:t>
            </w:r>
          </w:p>
        </w:tc>
        <w:tc>
          <w:tcPr>
            <w:tcW w:w="1262" w:type="dxa"/>
            <w:vAlign w:val="center"/>
          </w:tcPr>
          <w:p w14:paraId="2ABEE421"/>
        </w:tc>
        <w:tc>
          <w:tcPr>
            <w:tcW w:w="2289" w:type="dxa"/>
            <w:vAlign w:val="center"/>
          </w:tcPr>
          <w:p w14:paraId="6621B87C">
            <w:pPr>
              <w:jc w:val="right"/>
            </w:pPr>
            <w:r>
              <w:rPr>
                <w:rFonts w:hint="eastAsia"/>
              </w:rPr>
              <w:t>53,559,817.09</w:t>
            </w:r>
          </w:p>
        </w:tc>
        <w:tc>
          <w:tcPr>
            <w:tcW w:w="2295" w:type="dxa"/>
            <w:vAlign w:val="center"/>
          </w:tcPr>
          <w:p w14:paraId="5FA76853">
            <w:pPr>
              <w:jc w:val="right"/>
            </w:pPr>
            <w:r>
              <w:rPr>
                <w:rFonts w:hint="eastAsia"/>
              </w:rPr>
              <w:t>187,936,484.90</w:t>
            </w:r>
          </w:p>
        </w:tc>
      </w:tr>
      <w:tr w14:paraId="0EDE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7FA81">
            <w:r>
              <w:rPr>
                <w:rFonts w:hint="eastAsia"/>
              </w:rPr>
              <w:t xml:space="preserve">      资产支持证券利息收入</w:t>
            </w:r>
          </w:p>
        </w:tc>
        <w:tc>
          <w:tcPr>
            <w:tcW w:w="1262" w:type="dxa"/>
            <w:vAlign w:val="center"/>
          </w:tcPr>
          <w:p w14:paraId="4E921EE8"/>
        </w:tc>
        <w:tc>
          <w:tcPr>
            <w:tcW w:w="2289" w:type="dxa"/>
            <w:vAlign w:val="center"/>
          </w:tcPr>
          <w:p w14:paraId="698407DC">
            <w:pPr>
              <w:jc w:val="right"/>
            </w:pPr>
            <w:r>
              <w:rPr>
                <w:rFonts w:hint="eastAsia"/>
              </w:rPr>
              <w:t>-</w:t>
            </w:r>
          </w:p>
        </w:tc>
        <w:tc>
          <w:tcPr>
            <w:tcW w:w="2295" w:type="dxa"/>
            <w:vAlign w:val="center"/>
          </w:tcPr>
          <w:p w14:paraId="4CDDF66F">
            <w:pPr>
              <w:jc w:val="right"/>
            </w:pPr>
            <w:r>
              <w:rPr>
                <w:rFonts w:hint="eastAsia"/>
              </w:rPr>
              <w:t>-</w:t>
            </w:r>
          </w:p>
        </w:tc>
      </w:tr>
      <w:tr w14:paraId="71B4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11B2A">
            <w:r>
              <w:rPr>
                <w:rFonts w:hint="eastAsia"/>
              </w:rPr>
              <w:t xml:space="preserve">      买入返售金融资产收入</w:t>
            </w:r>
          </w:p>
        </w:tc>
        <w:tc>
          <w:tcPr>
            <w:tcW w:w="1262" w:type="dxa"/>
            <w:vAlign w:val="center"/>
          </w:tcPr>
          <w:p w14:paraId="0670C3D5"/>
        </w:tc>
        <w:tc>
          <w:tcPr>
            <w:tcW w:w="2289" w:type="dxa"/>
            <w:vAlign w:val="center"/>
          </w:tcPr>
          <w:p w14:paraId="2E5A1C1B">
            <w:pPr>
              <w:jc w:val="right"/>
            </w:pPr>
            <w:r>
              <w:rPr>
                <w:rFonts w:hint="eastAsia"/>
              </w:rPr>
              <w:t>4,258,046.73</w:t>
            </w:r>
          </w:p>
        </w:tc>
        <w:tc>
          <w:tcPr>
            <w:tcW w:w="2295" w:type="dxa"/>
            <w:vAlign w:val="center"/>
          </w:tcPr>
          <w:p w14:paraId="21CA13E2">
            <w:pPr>
              <w:jc w:val="right"/>
            </w:pPr>
            <w:r>
              <w:rPr>
                <w:rFonts w:hint="eastAsia"/>
              </w:rPr>
              <w:t>7,050,702.65</w:t>
            </w:r>
          </w:p>
        </w:tc>
      </w:tr>
      <w:tr w14:paraId="2CF6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45F98">
            <w:r>
              <w:rPr>
                <w:rFonts w:hint="eastAsia"/>
              </w:rPr>
              <w:t xml:space="preserve">      其他利息收入</w:t>
            </w:r>
          </w:p>
        </w:tc>
        <w:tc>
          <w:tcPr>
            <w:tcW w:w="1262" w:type="dxa"/>
            <w:vAlign w:val="center"/>
          </w:tcPr>
          <w:p w14:paraId="048F8D26"/>
        </w:tc>
        <w:tc>
          <w:tcPr>
            <w:tcW w:w="2289" w:type="dxa"/>
            <w:vAlign w:val="center"/>
          </w:tcPr>
          <w:p w14:paraId="066ED8A2">
            <w:pPr>
              <w:jc w:val="right"/>
            </w:pPr>
            <w:r>
              <w:rPr>
                <w:rFonts w:hint="eastAsia"/>
              </w:rPr>
              <w:t>-</w:t>
            </w:r>
          </w:p>
        </w:tc>
        <w:tc>
          <w:tcPr>
            <w:tcW w:w="2295" w:type="dxa"/>
            <w:vAlign w:val="center"/>
          </w:tcPr>
          <w:p w14:paraId="605862D2">
            <w:pPr>
              <w:jc w:val="right"/>
            </w:pPr>
            <w:r>
              <w:rPr>
                <w:rFonts w:hint="eastAsia"/>
              </w:rPr>
              <w:t>-</w:t>
            </w:r>
          </w:p>
        </w:tc>
      </w:tr>
      <w:tr w14:paraId="5B21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0BDC1">
            <w:r>
              <w:rPr>
                <w:rFonts w:hint="eastAsia"/>
              </w:rPr>
              <w:t>2.投资收益（损失以“-”填列）</w:t>
            </w:r>
          </w:p>
        </w:tc>
        <w:tc>
          <w:tcPr>
            <w:tcW w:w="1262" w:type="dxa"/>
            <w:vAlign w:val="center"/>
          </w:tcPr>
          <w:p w14:paraId="1413A63C"/>
        </w:tc>
        <w:tc>
          <w:tcPr>
            <w:tcW w:w="2289" w:type="dxa"/>
            <w:vAlign w:val="center"/>
          </w:tcPr>
          <w:p w14:paraId="0AA4926E">
            <w:pPr>
              <w:jc w:val="right"/>
            </w:pPr>
            <w:r>
              <w:rPr>
                <w:rFonts w:hint="eastAsia"/>
              </w:rPr>
              <w:t>-</w:t>
            </w:r>
          </w:p>
        </w:tc>
        <w:tc>
          <w:tcPr>
            <w:tcW w:w="2295" w:type="dxa"/>
            <w:vAlign w:val="center"/>
          </w:tcPr>
          <w:p w14:paraId="22BCC89E">
            <w:pPr>
              <w:jc w:val="right"/>
            </w:pPr>
            <w:r>
              <w:rPr>
                <w:rFonts w:hint="eastAsia"/>
              </w:rPr>
              <w:t>-</w:t>
            </w:r>
          </w:p>
        </w:tc>
      </w:tr>
      <w:tr w14:paraId="6FC6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303E7">
            <w:r>
              <w:rPr>
                <w:rFonts w:hint="eastAsia"/>
              </w:rPr>
              <w:t>其中：股票投资收益</w:t>
            </w:r>
          </w:p>
        </w:tc>
        <w:tc>
          <w:tcPr>
            <w:tcW w:w="1262" w:type="dxa"/>
            <w:vAlign w:val="center"/>
          </w:tcPr>
          <w:p w14:paraId="618154B2">
            <w:r>
              <w:rPr>
                <w:rFonts w:hint="eastAsia"/>
              </w:rPr>
              <w:t>7.4.7.11</w:t>
            </w:r>
          </w:p>
        </w:tc>
        <w:tc>
          <w:tcPr>
            <w:tcW w:w="2289" w:type="dxa"/>
            <w:vAlign w:val="center"/>
          </w:tcPr>
          <w:p w14:paraId="3F533B0A">
            <w:pPr>
              <w:jc w:val="right"/>
            </w:pPr>
            <w:r>
              <w:rPr>
                <w:rFonts w:hint="eastAsia"/>
              </w:rPr>
              <w:t>-</w:t>
            </w:r>
          </w:p>
        </w:tc>
        <w:tc>
          <w:tcPr>
            <w:tcW w:w="2295" w:type="dxa"/>
            <w:vAlign w:val="center"/>
          </w:tcPr>
          <w:p w14:paraId="6B64F605">
            <w:pPr>
              <w:jc w:val="right"/>
            </w:pPr>
            <w:r>
              <w:rPr>
                <w:rFonts w:hint="eastAsia"/>
              </w:rPr>
              <w:t>-</w:t>
            </w:r>
          </w:p>
        </w:tc>
      </w:tr>
      <w:tr w14:paraId="08AA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80C8D">
            <w:r>
              <w:rPr>
                <w:rFonts w:hint="eastAsia"/>
              </w:rPr>
              <w:t xml:space="preserve">      基金投资收益</w:t>
            </w:r>
          </w:p>
        </w:tc>
        <w:tc>
          <w:tcPr>
            <w:tcW w:w="1262" w:type="dxa"/>
            <w:vAlign w:val="center"/>
          </w:tcPr>
          <w:p w14:paraId="49404A29">
            <w:r>
              <w:rPr>
                <w:rFonts w:hint="eastAsia"/>
              </w:rPr>
              <w:t>7.4.7.12</w:t>
            </w:r>
          </w:p>
        </w:tc>
        <w:tc>
          <w:tcPr>
            <w:tcW w:w="2289" w:type="dxa"/>
            <w:vAlign w:val="center"/>
          </w:tcPr>
          <w:p w14:paraId="26D34A22">
            <w:pPr>
              <w:jc w:val="right"/>
            </w:pPr>
            <w:r>
              <w:rPr>
                <w:rFonts w:hint="eastAsia"/>
              </w:rPr>
              <w:t>-</w:t>
            </w:r>
          </w:p>
        </w:tc>
        <w:tc>
          <w:tcPr>
            <w:tcW w:w="2295" w:type="dxa"/>
            <w:vAlign w:val="center"/>
          </w:tcPr>
          <w:p w14:paraId="0EEC6CAC">
            <w:pPr>
              <w:jc w:val="right"/>
            </w:pPr>
            <w:r>
              <w:rPr>
                <w:rFonts w:hint="eastAsia"/>
              </w:rPr>
              <w:t>-</w:t>
            </w:r>
          </w:p>
        </w:tc>
      </w:tr>
      <w:tr w14:paraId="4683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54B91">
            <w:r>
              <w:rPr>
                <w:rFonts w:hint="eastAsia"/>
              </w:rPr>
              <w:t xml:space="preserve">      债券投资收益</w:t>
            </w:r>
          </w:p>
        </w:tc>
        <w:tc>
          <w:tcPr>
            <w:tcW w:w="1262" w:type="dxa"/>
            <w:vAlign w:val="center"/>
          </w:tcPr>
          <w:p w14:paraId="5A4AF1EE">
            <w:r>
              <w:rPr>
                <w:rFonts w:hint="eastAsia"/>
              </w:rPr>
              <w:t>7.4.7.13</w:t>
            </w:r>
          </w:p>
        </w:tc>
        <w:tc>
          <w:tcPr>
            <w:tcW w:w="2289" w:type="dxa"/>
            <w:vAlign w:val="center"/>
          </w:tcPr>
          <w:p w14:paraId="46A24C26">
            <w:pPr>
              <w:jc w:val="right"/>
            </w:pPr>
            <w:r>
              <w:rPr>
                <w:rFonts w:hint="eastAsia"/>
              </w:rPr>
              <w:t>-</w:t>
            </w:r>
          </w:p>
        </w:tc>
        <w:tc>
          <w:tcPr>
            <w:tcW w:w="2295" w:type="dxa"/>
            <w:vAlign w:val="center"/>
          </w:tcPr>
          <w:p w14:paraId="46E98EBB">
            <w:pPr>
              <w:jc w:val="right"/>
            </w:pPr>
            <w:r>
              <w:rPr>
                <w:rFonts w:hint="eastAsia"/>
              </w:rPr>
              <w:t>-</w:t>
            </w:r>
          </w:p>
        </w:tc>
      </w:tr>
      <w:tr w14:paraId="7A21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18BA9">
            <w:r>
              <w:rPr>
                <w:rFonts w:hint="eastAsia"/>
              </w:rPr>
              <w:t xml:space="preserve">      资产支持证券投资收益</w:t>
            </w:r>
          </w:p>
        </w:tc>
        <w:tc>
          <w:tcPr>
            <w:tcW w:w="1262" w:type="dxa"/>
            <w:vAlign w:val="center"/>
          </w:tcPr>
          <w:p w14:paraId="69C1BE55">
            <w:r>
              <w:rPr>
                <w:rFonts w:hint="eastAsia"/>
              </w:rPr>
              <w:t>7.4.7.14</w:t>
            </w:r>
          </w:p>
        </w:tc>
        <w:tc>
          <w:tcPr>
            <w:tcW w:w="2289" w:type="dxa"/>
            <w:vAlign w:val="center"/>
          </w:tcPr>
          <w:p w14:paraId="488D9B8C">
            <w:pPr>
              <w:jc w:val="right"/>
            </w:pPr>
            <w:r>
              <w:rPr>
                <w:rFonts w:hint="eastAsia"/>
              </w:rPr>
              <w:t>-</w:t>
            </w:r>
          </w:p>
        </w:tc>
        <w:tc>
          <w:tcPr>
            <w:tcW w:w="2295" w:type="dxa"/>
            <w:vAlign w:val="center"/>
          </w:tcPr>
          <w:p w14:paraId="35FA3E6B">
            <w:pPr>
              <w:jc w:val="right"/>
            </w:pPr>
            <w:r>
              <w:rPr>
                <w:rFonts w:hint="eastAsia"/>
              </w:rPr>
              <w:t>-</w:t>
            </w:r>
          </w:p>
        </w:tc>
      </w:tr>
      <w:tr w14:paraId="1AC2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41C37">
            <w:r>
              <w:rPr>
                <w:rFonts w:hint="eastAsia"/>
              </w:rPr>
              <w:t xml:space="preserve">      贵金属投资收益</w:t>
            </w:r>
          </w:p>
        </w:tc>
        <w:tc>
          <w:tcPr>
            <w:tcW w:w="1262" w:type="dxa"/>
            <w:vAlign w:val="center"/>
          </w:tcPr>
          <w:p w14:paraId="29A1ABF7"/>
        </w:tc>
        <w:tc>
          <w:tcPr>
            <w:tcW w:w="2289" w:type="dxa"/>
            <w:vAlign w:val="center"/>
          </w:tcPr>
          <w:p w14:paraId="6AF1DF8B">
            <w:pPr>
              <w:jc w:val="right"/>
            </w:pPr>
            <w:r>
              <w:rPr>
                <w:rFonts w:hint="eastAsia"/>
              </w:rPr>
              <w:t>-</w:t>
            </w:r>
          </w:p>
        </w:tc>
        <w:tc>
          <w:tcPr>
            <w:tcW w:w="2295" w:type="dxa"/>
            <w:vAlign w:val="center"/>
          </w:tcPr>
          <w:p w14:paraId="6C44B5F9">
            <w:pPr>
              <w:jc w:val="right"/>
            </w:pPr>
            <w:r>
              <w:rPr>
                <w:rFonts w:hint="eastAsia"/>
              </w:rPr>
              <w:t>-</w:t>
            </w:r>
          </w:p>
        </w:tc>
      </w:tr>
      <w:tr w14:paraId="55C6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8494C">
            <w:r>
              <w:rPr>
                <w:rFonts w:hint="eastAsia"/>
              </w:rPr>
              <w:t xml:space="preserve">      衍生工具收益</w:t>
            </w:r>
          </w:p>
        </w:tc>
        <w:tc>
          <w:tcPr>
            <w:tcW w:w="1262" w:type="dxa"/>
            <w:vAlign w:val="center"/>
          </w:tcPr>
          <w:p w14:paraId="719C1F42">
            <w:r>
              <w:rPr>
                <w:rFonts w:hint="eastAsia"/>
              </w:rPr>
              <w:t>7.4.7.15</w:t>
            </w:r>
          </w:p>
        </w:tc>
        <w:tc>
          <w:tcPr>
            <w:tcW w:w="2289" w:type="dxa"/>
            <w:vAlign w:val="center"/>
          </w:tcPr>
          <w:p w14:paraId="595DF99C">
            <w:pPr>
              <w:jc w:val="right"/>
            </w:pPr>
            <w:r>
              <w:rPr>
                <w:rFonts w:hint="eastAsia"/>
              </w:rPr>
              <w:t>-</w:t>
            </w:r>
          </w:p>
        </w:tc>
        <w:tc>
          <w:tcPr>
            <w:tcW w:w="2295" w:type="dxa"/>
            <w:vAlign w:val="center"/>
          </w:tcPr>
          <w:p w14:paraId="57D3D266">
            <w:pPr>
              <w:jc w:val="right"/>
            </w:pPr>
            <w:r>
              <w:rPr>
                <w:rFonts w:hint="eastAsia"/>
              </w:rPr>
              <w:t>-</w:t>
            </w:r>
          </w:p>
        </w:tc>
      </w:tr>
      <w:tr w14:paraId="3E41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4D461">
            <w:r>
              <w:rPr>
                <w:rFonts w:hint="eastAsia"/>
              </w:rPr>
              <w:t xml:space="preserve">      股利收益</w:t>
            </w:r>
          </w:p>
        </w:tc>
        <w:tc>
          <w:tcPr>
            <w:tcW w:w="1262" w:type="dxa"/>
            <w:vAlign w:val="center"/>
          </w:tcPr>
          <w:p w14:paraId="61B0307A">
            <w:r>
              <w:rPr>
                <w:rFonts w:hint="eastAsia"/>
              </w:rPr>
              <w:t>7.4.7.16</w:t>
            </w:r>
          </w:p>
        </w:tc>
        <w:tc>
          <w:tcPr>
            <w:tcW w:w="2289" w:type="dxa"/>
            <w:vAlign w:val="center"/>
          </w:tcPr>
          <w:p w14:paraId="0191A82B">
            <w:pPr>
              <w:jc w:val="right"/>
            </w:pPr>
            <w:r>
              <w:rPr>
                <w:rFonts w:hint="eastAsia"/>
              </w:rPr>
              <w:t>-</w:t>
            </w:r>
          </w:p>
        </w:tc>
        <w:tc>
          <w:tcPr>
            <w:tcW w:w="2295" w:type="dxa"/>
            <w:vAlign w:val="center"/>
          </w:tcPr>
          <w:p w14:paraId="72EB9993">
            <w:pPr>
              <w:jc w:val="right"/>
            </w:pPr>
            <w:r>
              <w:rPr>
                <w:rFonts w:hint="eastAsia"/>
              </w:rPr>
              <w:t>-</w:t>
            </w:r>
          </w:p>
        </w:tc>
      </w:tr>
      <w:tr w14:paraId="5463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6B236">
            <w:r>
              <w:rPr>
                <w:rFonts w:hint="eastAsia"/>
              </w:rPr>
              <w:t xml:space="preserve">      以摊余成本计量的金融资产终止确认产生的收益</w:t>
            </w:r>
          </w:p>
        </w:tc>
        <w:tc>
          <w:tcPr>
            <w:tcW w:w="1262" w:type="dxa"/>
            <w:vAlign w:val="center"/>
          </w:tcPr>
          <w:p w14:paraId="4F7D0A8C"/>
        </w:tc>
        <w:tc>
          <w:tcPr>
            <w:tcW w:w="2289" w:type="dxa"/>
            <w:vAlign w:val="center"/>
          </w:tcPr>
          <w:p w14:paraId="59921B6B">
            <w:pPr>
              <w:jc w:val="right"/>
            </w:pPr>
            <w:r>
              <w:rPr>
                <w:rFonts w:hint="eastAsia"/>
              </w:rPr>
              <w:t>-</w:t>
            </w:r>
          </w:p>
        </w:tc>
        <w:tc>
          <w:tcPr>
            <w:tcW w:w="2295" w:type="dxa"/>
            <w:vAlign w:val="center"/>
          </w:tcPr>
          <w:p w14:paraId="74E46442">
            <w:pPr>
              <w:jc w:val="right"/>
            </w:pPr>
            <w:r>
              <w:rPr>
                <w:rFonts w:hint="eastAsia"/>
              </w:rPr>
              <w:t>-</w:t>
            </w:r>
          </w:p>
        </w:tc>
      </w:tr>
      <w:tr w14:paraId="078E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A73D7">
            <w:r>
              <w:rPr>
                <w:rFonts w:hint="eastAsia"/>
              </w:rPr>
              <w:t xml:space="preserve">      其他投资收益</w:t>
            </w:r>
          </w:p>
        </w:tc>
        <w:tc>
          <w:tcPr>
            <w:tcW w:w="1262" w:type="dxa"/>
            <w:vAlign w:val="center"/>
          </w:tcPr>
          <w:p w14:paraId="07339E06"/>
        </w:tc>
        <w:tc>
          <w:tcPr>
            <w:tcW w:w="2289" w:type="dxa"/>
            <w:vAlign w:val="center"/>
          </w:tcPr>
          <w:p w14:paraId="434F8159">
            <w:pPr>
              <w:jc w:val="right"/>
            </w:pPr>
            <w:r>
              <w:rPr>
                <w:rFonts w:hint="eastAsia"/>
              </w:rPr>
              <w:t>-</w:t>
            </w:r>
          </w:p>
        </w:tc>
        <w:tc>
          <w:tcPr>
            <w:tcW w:w="2295" w:type="dxa"/>
            <w:vAlign w:val="center"/>
          </w:tcPr>
          <w:p w14:paraId="5DF855C3">
            <w:pPr>
              <w:jc w:val="right"/>
            </w:pPr>
            <w:r>
              <w:rPr>
                <w:rFonts w:hint="eastAsia"/>
              </w:rPr>
              <w:t>-</w:t>
            </w:r>
          </w:p>
        </w:tc>
      </w:tr>
      <w:tr w14:paraId="4CF2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15844">
            <w:r>
              <w:rPr>
                <w:rFonts w:hint="eastAsia"/>
              </w:rPr>
              <w:t>3.公允价值变动收益（损失以“-”号填列）</w:t>
            </w:r>
          </w:p>
        </w:tc>
        <w:tc>
          <w:tcPr>
            <w:tcW w:w="1262" w:type="dxa"/>
            <w:vAlign w:val="center"/>
          </w:tcPr>
          <w:p w14:paraId="0247B682">
            <w:r>
              <w:rPr>
                <w:rFonts w:hint="eastAsia"/>
              </w:rPr>
              <w:t>7.4.7.17</w:t>
            </w:r>
          </w:p>
        </w:tc>
        <w:tc>
          <w:tcPr>
            <w:tcW w:w="2289" w:type="dxa"/>
            <w:vAlign w:val="center"/>
          </w:tcPr>
          <w:p w14:paraId="169AEE13">
            <w:pPr>
              <w:jc w:val="right"/>
            </w:pPr>
            <w:r>
              <w:rPr>
                <w:rFonts w:hint="eastAsia"/>
              </w:rPr>
              <w:t>-</w:t>
            </w:r>
          </w:p>
        </w:tc>
        <w:tc>
          <w:tcPr>
            <w:tcW w:w="2295" w:type="dxa"/>
            <w:vAlign w:val="center"/>
          </w:tcPr>
          <w:p w14:paraId="78399848">
            <w:pPr>
              <w:jc w:val="right"/>
            </w:pPr>
            <w:r>
              <w:rPr>
                <w:rFonts w:hint="eastAsia"/>
              </w:rPr>
              <w:t>-</w:t>
            </w:r>
          </w:p>
        </w:tc>
      </w:tr>
      <w:tr w14:paraId="408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D245F">
            <w:r>
              <w:rPr>
                <w:rFonts w:hint="eastAsia"/>
              </w:rPr>
              <w:t>4.汇兑收益（损失以“－”号填列）</w:t>
            </w:r>
          </w:p>
        </w:tc>
        <w:tc>
          <w:tcPr>
            <w:tcW w:w="1262" w:type="dxa"/>
            <w:vAlign w:val="center"/>
          </w:tcPr>
          <w:p w14:paraId="5CB47E4C"/>
        </w:tc>
        <w:tc>
          <w:tcPr>
            <w:tcW w:w="2289" w:type="dxa"/>
            <w:vAlign w:val="center"/>
          </w:tcPr>
          <w:p w14:paraId="071E21F7">
            <w:pPr>
              <w:jc w:val="right"/>
            </w:pPr>
            <w:r>
              <w:rPr>
                <w:rFonts w:hint="eastAsia"/>
              </w:rPr>
              <w:t>-</w:t>
            </w:r>
          </w:p>
        </w:tc>
        <w:tc>
          <w:tcPr>
            <w:tcW w:w="2295" w:type="dxa"/>
            <w:vAlign w:val="center"/>
          </w:tcPr>
          <w:p w14:paraId="4F9221EE">
            <w:pPr>
              <w:jc w:val="right"/>
            </w:pPr>
            <w:r>
              <w:rPr>
                <w:rFonts w:hint="eastAsia"/>
              </w:rPr>
              <w:t>-</w:t>
            </w:r>
          </w:p>
        </w:tc>
      </w:tr>
      <w:tr w14:paraId="6CCB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002F1">
            <w:r>
              <w:rPr>
                <w:rFonts w:hint="eastAsia"/>
              </w:rPr>
              <w:t>5.其他收入（损失以“-”号填列）</w:t>
            </w:r>
          </w:p>
        </w:tc>
        <w:tc>
          <w:tcPr>
            <w:tcW w:w="1262" w:type="dxa"/>
            <w:vAlign w:val="center"/>
          </w:tcPr>
          <w:p w14:paraId="115D0B1E">
            <w:r>
              <w:rPr>
                <w:rFonts w:hint="eastAsia"/>
              </w:rPr>
              <w:t>7.4.7.18</w:t>
            </w:r>
          </w:p>
        </w:tc>
        <w:tc>
          <w:tcPr>
            <w:tcW w:w="2289" w:type="dxa"/>
            <w:vAlign w:val="center"/>
          </w:tcPr>
          <w:p w14:paraId="23F748F6">
            <w:pPr>
              <w:jc w:val="right"/>
            </w:pPr>
            <w:r>
              <w:rPr>
                <w:rFonts w:hint="eastAsia"/>
              </w:rPr>
              <w:t>13.06</w:t>
            </w:r>
          </w:p>
        </w:tc>
        <w:tc>
          <w:tcPr>
            <w:tcW w:w="2295" w:type="dxa"/>
            <w:vAlign w:val="center"/>
          </w:tcPr>
          <w:p w14:paraId="0772451D">
            <w:pPr>
              <w:jc w:val="right"/>
            </w:pPr>
            <w:r>
              <w:rPr>
                <w:rFonts w:hint="eastAsia"/>
              </w:rPr>
              <w:t>16.35</w:t>
            </w:r>
          </w:p>
        </w:tc>
      </w:tr>
      <w:tr w14:paraId="1942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C95AC">
            <w:r>
              <w:rPr>
                <w:rFonts w:hint="eastAsia"/>
              </w:rPr>
              <w:t>减：二、营业总支出</w:t>
            </w:r>
          </w:p>
        </w:tc>
        <w:tc>
          <w:tcPr>
            <w:tcW w:w="1262" w:type="dxa"/>
            <w:vAlign w:val="center"/>
          </w:tcPr>
          <w:p w14:paraId="05D92F3C"/>
        </w:tc>
        <w:tc>
          <w:tcPr>
            <w:tcW w:w="2289" w:type="dxa"/>
            <w:vAlign w:val="center"/>
          </w:tcPr>
          <w:p w14:paraId="4408106B">
            <w:pPr>
              <w:jc w:val="right"/>
            </w:pPr>
            <w:r>
              <w:rPr>
                <w:rFonts w:hint="eastAsia"/>
              </w:rPr>
              <w:t>9,853,013.23</w:t>
            </w:r>
          </w:p>
        </w:tc>
        <w:tc>
          <w:tcPr>
            <w:tcW w:w="2295" w:type="dxa"/>
            <w:vAlign w:val="center"/>
          </w:tcPr>
          <w:p w14:paraId="5FA3EE21">
            <w:pPr>
              <w:jc w:val="right"/>
            </w:pPr>
            <w:r>
              <w:rPr>
                <w:rFonts w:hint="eastAsia"/>
              </w:rPr>
              <w:t>25,504,282.92</w:t>
            </w:r>
          </w:p>
        </w:tc>
      </w:tr>
      <w:tr w14:paraId="0EE3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C1476">
            <w:r>
              <w:rPr>
                <w:rFonts w:hint="eastAsia"/>
              </w:rPr>
              <w:t>1.管理人报酬</w:t>
            </w:r>
          </w:p>
        </w:tc>
        <w:tc>
          <w:tcPr>
            <w:tcW w:w="1262" w:type="dxa"/>
            <w:vAlign w:val="center"/>
          </w:tcPr>
          <w:p w14:paraId="135EFC5E">
            <w:r>
              <w:rPr>
                <w:rFonts w:hint="eastAsia"/>
              </w:rPr>
              <w:t>7.4.10.2.1</w:t>
            </w:r>
          </w:p>
        </w:tc>
        <w:tc>
          <w:tcPr>
            <w:tcW w:w="2289" w:type="dxa"/>
            <w:vAlign w:val="center"/>
          </w:tcPr>
          <w:p w14:paraId="53FE0A17">
            <w:pPr>
              <w:jc w:val="right"/>
            </w:pPr>
            <w:r>
              <w:rPr>
                <w:rFonts w:hint="eastAsia"/>
              </w:rPr>
              <w:t>6,865,726.97</w:t>
            </w:r>
          </w:p>
        </w:tc>
        <w:tc>
          <w:tcPr>
            <w:tcW w:w="2295" w:type="dxa"/>
            <w:vAlign w:val="center"/>
          </w:tcPr>
          <w:p w14:paraId="213ACDFB">
            <w:pPr>
              <w:jc w:val="right"/>
            </w:pPr>
            <w:r>
              <w:rPr>
                <w:rFonts w:hint="eastAsia"/>
              </w:rPr>
              <w:t>11,872,631.08</w:t>
            </w:r>
          </w:p>
        </w:tc>
      </w:tr>
      <w:tr w14:paraId="20AE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AE654">
            <w:r>
              <w:rPr>
                <w:rFonts w:hint="eastAsia"/>
              </w:rPr>
              <w:t>其中：暂估管理人报酬</w:t>
            </w:r>
          </w:p>
        </w:tc>
        <w:tc>
          <w:tcPr>
            <w:tcW w:w="1262" w:type="dxa"/>
            <w:vAlign w:val="center"/>
          </w:tcPr>
          <w:p w14:paraId="7D4397E3"/>
        </w:tc>
        <w:tc>
          <w:tcPr>
            <w:tcW w:w="2289" w:type="dxa"/>
            <w:vAlign w:val="center"/>
          </w:tcPr>
          <w:p w14:paraId="56C8A8B4">
            <w:pPr>
              <w:jc w:val="right"/>
            </w:pPr>
            <w:r>
              <w:rPr>
                <w:rFonts w:hint="eastAsia"/>
              </w:rPr>
              <w:t>-</w:t>
            </w:r>
          </w:p>
        </w:tc>
        <w:tc>
          <w:tcPr>
            <w:tcW w:w="2295" w:type="dxa"/>
            <w:vAlign w:val="center"/>
          </w:tcPr>
          <w:p w14:paraId="70CA2981">
            <w:pPr>
              <w:jc w:val="right"/>
            </w:pPr>
            <w:r>
              <w:rPr>
                <w:rFonts w:hint="eastAsia"/>
              </w:rPr>
              <w:t>-</w:t>
            </w:r>
          </w:p>
        </w:tc>
      </w:tr>
      <w:tr w14:paraId="39CD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1DD2D">
            <w:r>
              <w:rPr>
                <w:rFonts w:hint="eastAsia"/>
              </w:rPr>
              <w:t>2.托管费</w:t>
            </w:r>
          </w:p>
        </w:tc>
        <w:tc>
          <w:tcPr>
            <w:tcW w:w="1262" w:type="dxa"/>
            <w:vAlign w:val="center"/>
          </w:tcPr>
          <w:p w14:paraId="2B86D12C">
            <w:r>
              <w:rPr>
                <w:rFonts w:hint="eastAsia"/>
              </w:rPr>
              <w:t>7.4.10.2.2</w:t>
            </w:r>
          </w:p>
        </w:tc>
        <w:tc>
          <w:tcPr>
            <w:tcW w:w="2289" w:type="dxa"/>
            <w:vAlign w:val="center"/>
          </w:tcPr>
          <w:p w14:paraId="6A4EB18F">
            <w:pPr>
              <w:jc w:val="right"/>
            </w:pPr>
            <w:r>
              <w:rPr>
                <w:rFonts w:hint="eastAsia"/>
              </w:rPr>
              <w:t>2,288,575.73</w:t>
            </w:r>
          </w:p>
        </w:tc>
        <w:tc>
          <w:tcPr>
            <w:tcW w:w="2295" w:type="dxa"/>
            <w:vAlign w:val="center"/>
          </w:tcPr>
          <w:p w14:paraId="060D63EE">
            <w:pPr>
              <w:jc w:val="right"/>
            </w:pPr>
            <w:r>
              <w:rPr>
                <w:rFonts w:hint="eastAsia"/>
              </w:rPr>
              <w:t>3,957,543.60</w:t>
            </w:r>
          </w:p>
        </w:tc>
      </w:tr>
      <w:tr w14:paraId="7D83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B3175">
            <w:r>
              <w:rPr>
                <w:rFonts w:hint="eastAsia"/>
              </w:rPr>
              <w:t>3.销售服务费</w:t>
            </w:r>
          </w:p>
        </w:tc>
        <w:tc>
          <w:tcPr>
            <w:tcW w:w="1262" w:type="dxa"/>
            <w:vAlign w:val="center"/>
          </w:tcPr>
          <w:p w14:paraId="36BBE905">
            <w:r>
              <w:rPr>
                <w:rFonts w:hint="eastAsia"/>
              </w:rPr>
              <w:t>7.4.10.2.3</w:t>
            </w:r>
          </w:p>
        </w:tc>
        <w:tc>
          <w:tcPr>
            <w:tcW w:w="2289" w:type="dxa"/>
            <w:vAlign w:val="center"/>
          </w:tcPr>
          <w:p w14:paraId="22312550">
            <w:pPr>
              <w:jc w:val="right"/>
            </w:pPr>
            <w:r>
              <w:rPr>
                <w:rFonts w:hint="eastAsia"/>
              </w:rPr>
              <w:t>-</w:t>
            </w:r>
          </w:p>
        </w:tc>
        <w:tc>
          <w:tcPr>
            <w:tcW w:w="2295" w:type="dxa"/>
            <w:vAlign w:val="center"/>
          </w:tcPr>
          <w:p w14:paraId="1985CBCA">
            <w:pPr>
              <w:jc w:val="right"/>
            </w:pPr>
            <w:r>
              <w:rPr>
                <w:rFonts w:hint="eastAsia"/>
              </w:rPr>
              <w:t>-</w:t>
            </w:r>
          </w:p>
        </w:tc>
      </w:tr>
      <w:tr w14:paraId="0070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A09A2">
            <w:r>
              <w:rPr>
                <w:rFonts w:hint="eastAsia"/>
              </w:rPr>
              <w:t>4.投资顾问费</w:t>
            </w:r>
          </w:p>
        </w:tc>
        <w:tc>
          <w:tcPr>
            <w:tcW w:w="1262" w:type="dxa"/>
            <w:vAlign w:val="center"/>
          </w:tcPr>
          <w:p w14:paraId="286FF807"/>
        </w:tc>
        <w:tc>
          <w:tcPr>
            <w:tcW w:w="2289" w:type="dxa"/>
            <w:vAlign w:val="center"/>
          </w:tcPr>
          <w:p w14:paraId="50823651">
            <w:pPr>
              <w:jc w:val="right"/>
            </w:pPr>
            <w:r>
              <w:rPr>
                <w:rFonts w:hint="eastAsia"/>
              </w:rPr>
              <w:t>-</w:t>
            </w:r>
          </w:p>
        </w:tc>
        <w:tc>
          <w:tcPr>
            <w:tcW w:w="2295" w:type="dxa"/>
            <w:vAlign w:val="center"/>
          </w:tcPr>
          <w:p w14:paraId="14346F49">
            <w:pPr>
              <w:jc w:val="right"/>
            </w:pPr>
            <w:r>
              <w:rPr>
                <w:rFonts w:hint="eastAsia"/>
              </w:rPr>
              <w:t>-</w:t>
            </w:r>
          </w:p>
        </w:tc>
      </w:tr>
      <w:tr w14:paraId="63D4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88E7B">
            <w:r>
              <w:rPr>
                <w:rFonts w:hint="eastAsia"/>
              </w:rPr>
              <w:t>5.利息支出</w:t>
            </w:r>
          </w:p>
        </w:tc>
        <w:tc>
          <w:tcPr>
            <w:tcW w:w="1262" w:type="dxa"/>
            <w:vAlign w:val="center"/>
          </w:tcPr>
          <w:p w14:paraId="3F415D0E"/>
        </w:tc>
        <w:tc>
          <w:tcPr>
            <w:tcW w:w="2289" w:type="dxa"/>
            <w:vAlign w:val="center"/>
          </w:tcPr>
          <w:p w14:paraId="57F8FE11">
            <w:pPr>
              <w:jc w:val="right"/>
            </w:pPr>
            <w:r>
              <w:rPr>
                <w:rFonts w:hint="eastAsia"/>
              </w:rPr>
              <w:t>1,285,262.66</w:t>
            </w:r>
          </w:p>
        </w:tc>
        <w:tc>
          <w:tcPr>
            <w:tcW w:w="2295" w:type="dxa"/>
            <w:vAlign w:val="center"/>
          </w:tcPr>
          <w:p w14:paraId="1A59E6A1">
            <w:pPr>
              <w:jc w:val="right"/>
            </w:pPr>
            <w:r>
              <w:rPr>
                <w:rFonts w:hint="eastAsia"/>
              </w:rPr>
              <w:t>9,361,084.86</w:t>
            </w:r>
          </w:p>
        </w:tc>
      </w:tr>
      <w:tr w14:paraId="5A5A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50625">
            <w:r>
              <w:rPr>
                <w:rFonts w:hint="eastAsia"/>
              </w:rPr>
              <w:t>其中：卖出回购金融资产支出</w:t>
            </w:r>
          </w:p>
        </w:tc>
        <w:tc>
          <w:tcPr>
            <w:tcW w:w="1262" w:type="dxa"/>
            <w:vAlign w:val="center"/>
          </w:tcPr>
          <w:p w14:paraId="192D9B5E"/>
        </w:tc>
        <w:tc>
          <w:tcPr>
            <w:tcW w:w="2289" w:type="dxa"/>
            <w:vAlign w:val="center"/>
          </w:tcPr>
          <w:p w14:paraId="5FE7635B">
            <w:pPr>
              <w:jc w:val="right"/>
            </w:pPr>
            <w:r>
              <w:rPr>
                <w:rFonts w:hint="eastAsia"/>
              </w:rPr>
              <w:t>1,285,262.66</w:t>
            </w:r>
          </w:p>
        </w:tc>
        <w:tc>
          <w:tcPr>
            <w:tcW w:w="2295" w:type="dxa"/>
            <w:vAlign w:val="center"/>
          </w:tcPr>
          <w:p w14:paraId="6D029AAB">
            <w:pPr>
              <w:jc w:val="right"/>
            </w:pPr>
            <w:r>
              <w:rPr>
                <w:rFonts w:hint="eastAsia"/>
              </w:rPr>
              <w:t>9,361,084.86</w:t>
            </w:r>
          </w:p>
        </w:tc>
      </w:tr>
      <w:tr w14:paraId="55A8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58ADB">
            <w:r>
              <w:rPr>
                <w:rFonts w:hint="eastAsia"/>
              </w:rPr>
              <w:t>6.信用减值损失</w:t>
            </w:r>
          </w:p>
        </w:tc>
        <w:tc>
          <w:tcPr>
            <w:tcW w:w="1262" w:type="dxa"/>
            <w:vAlign w:val="center"/>
          </w:tcPr>
          <w:p w14:paraId="7297CFF2">
            <w:r>
              <w:rPr>
                <w:rFonts w:hint="eastAsia"/>
              </w:rPr>
              <w:t>7.4.7.19</w:t>
            </w:r>
          </w:p>
        </w:tc>
        <w:tc>
          <w:tcPr>
            <w:tcW w:w="2289" w:type="dxa"/>
            <w:vAlign w:val="center"/>
          </w:tcPr>
          <w:p w14:paraId="44AF1933">
            <w:pPr>
              <w:jc w:val="right"/>
            </w:pPr>
            <w:r>
              <w:rPr>
                <w:rFonts w:hint="eastAsia"/>
              </w:rPr>
              <w:t>-868,418.15</w:t>
            </w:r>
          </w:p>
        </w:tc>
        <w:tc>
          <w:tcPr>
            <w:tcW w:w="2295" w:type="dxa"/>
            <w:vAlign w:val="center"/>
          </w:tcPr>
          <w:p w14:paraId="09DCC12F">
            <w:pPr>
              <w:jc w:val="right"/>
            </w:pPr>
            <w:r>
              <w:rPr>
                <w:rFonts w:hint="eastAsia"/>
              </w:rPr>
              <w:t>56,279.56</w:t>
            </w:r>
          </w:p>
        </w:tc>
      </w:tr>
      <w:tr w14:paraId="19A0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79E7C">
            <w:r>
              <w:rPr>
                <w:rFonts w:hint="eastAsia"/>
              </w:rPr>
              <w:t>7.税金及附加</w:t>
            </w:r>
          </w:p>
        </w:tc>
        <w:tc>
          <w:tcPr>
            <w:tcW w:w="1262" w:type="dxa"/>
            <w:vAlign w:val="center"/>
          </w:tcPr>
          <w:p w14:paraId="49F0BDB1"/>
        </w:tc>
        <w:tc>
          <w:tcPr>
            <w:tcW w:w="2289" w:type="dxa"/>
            <w:vAlign w:val="center"/>
          </w:tcPr>
          <w:p w14:paraId="701870BE">
            <w:pPr>
              <w:jc w:val="right"/>
            </w:pPr>
            <w:r>
              <w:rPr>
                <w:rFonts w:hint="eastAsia"/>
              </w:rPr>
              <w:t>-</w:t>
            </w:r>
          </w:p>
        </w:tc>
        <w:tc>
          <w:tcPr>
            <w:tcW w:w="2295" w:type="dxa"/>
            <w:vAlign w:val="center"/>
          </w:tcPr>
          <w:p w14:paraId="1C2B99BE">
            <w:pPr>
              <w:jc w:val="right"/>
            </w:pPr>
            <w:r>
              <w:rPr>
                <w:rFonts w:hint="eastAsia"/>
              </w:rPr>
              <w:t>-</w:t>
            </w:r>
          </w:p>
        </w:tc>
      </w:tr>
      <w:tr w14:paraId="37D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7A6E1">
            <w:r>
              <w:rPr>
                <w:rFonts w:hint="eastAsia"/>
              </w:rPr>
              <w:t>8.其他费用</w:t>
            </w:r>
          </w:p>
        </w:tc>
        <w:tc>
          <w:tcPr>
            <w:tcW w:w="1262" w:type="dxa"/>
            <w:vAlign w:val="center"/>
          </w:tcPr>
          <w:p w14:paraId="626C9FDE">
            <w:r>
              <w:rPr>
                <w:rFonts w:hint="eastAsia"/>
              </w:rPr>
              <w:t>7.4.7.20</w:t>
            </w:r>
          </w:p>
        </w:tc>
        <w:tc>
          <w:tcPr>
            <w:tcW w:w="2289" w:type="dxa"/>
            <w:vAlign w:val="center"/>
          </w:tcPr>
          <w:p w14:paraId="6410BCDB">
            <w:pPr>
              <w:jc w:val="right"/>
            </w:pPr>
            <w:r>
              <w:rPr>
                <w:rFonts w:hint="eastAsia"/>
              </w:rPr>
              <w:t>281,866.02</w:t>
            </w:r>
          </w:p>
        </w:tc>
        <w:tc>
          <w:tcPr>
            <w:tcW w:w="2295" w:type="dxa"/>
            <w:vAlign w:val="center"/>
          </w:tcPr>
          <w:p w14:paraId="3CBCC209">
            <w:pPr>
              <w:jc w:val="right"/>
            </w:pPr>
            <w:r>
              <w:rPr>
                <w:rFonts w:hint="eastAsia"/>
              </w:rPr>
              <w:t>256,743.82</w:t>
            </w:r>
          </w:p>
        </w:tc>
      </w:tr>
      <w:tr w14:paraId="0776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325EC">
            <w:r>
              <w:rPr>
                <w:rFonts w:hint="eastAsia"/>
              </w:rPr>
              <w:t>三、利润总额（亏损总额以“-”号填列）</w:t>
            </w:r>
          </w:p>
        </w:tc>
        <w:tc>
          <w:tcPr>
            <w:tcW w:w="1262" w:type="dxa"/>
            <w:vAlign w:val="center"/>
          </w:tcPr>
          <w:p w14:paraId="6D3BD7A1"/>
        </w:tc>
        <w:tc>
          <w:tcPr>
            <w:tcW w:w="2289" w:type="dxa"/>
            <w:vAlign w:val="center"/>
          </w:tcPr>
          <w:p w14:paraId="79BC73EC">
            <w:pPr>
              <w:jc w:val="right"/>
            </w:pPr>
            <w:r>
              <w:rPr>
                <w:rFonts w:hint="eastAsia"/>
              </w:rPr>
              <w:t>64,761,013.95</w:t>
            </w:r>
          </w:p>
        </w:tc>
        <w:tc>
          <w:tcPr>
            <w:tcW w:w="2295" w:type="dxa"/>
            <w:vAlign w:val="center"/>
          </w:tcPr>
          <w:p w14:paraId="3CCE9B11">
            <w:pPr>
              <w:jc w:val="right"/>
            </w:pPr>
            <w:r>
              <w:rPr>
                <w:rFonts w:hint="eastAsia"/>
              </w:rPr>
              <w:t>187,477,031.64</w:t>
            </w:r>
          </w:p>
        </w:tc>
      </w:tr>
      <w:tr w14:paraId="6B3C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53FDC">
            <w:r>
              <w:rPr>
                <w:rFonts w:hint="eastAsia"/>
              </w:rPr>
              <w:t>减：所得税费用</w:t>
            </w:r>
          </w:p>
        </w:tc>
        <w:tc>
          <w:tcPr>
            <w:tcW w:w="1262" w:type="dxa"/>
            <w:vAlign w:val="center"/>
          </w:tcPr>
          <w:p w14:paraId="7F47A283"/>
        </w:tc>
        <w:tc>
          <w:tcPr>
            <w:tcW w:w="2289" w:type="dxa"/>
            <w:vAlign w:val="center"/>
          </w:tcPr>
          <w:p w14:paraId="0112050B">
            <w:pPr>
              <w:jc w:val="right"/>
            </w:pPr>
            <w:r>
              <w:rPr>
                <w:rFonts w:hint="eastAsia"/>
              </w:rPr>
              <w:t>-</w:t>
            </w:r>
          </w:p>
        </w:tc>
        <w:tc>
          <w:tcPr>
            <w:tcW w:w="2295" w:type="dxa"/>
            <w:vAlign w:val="center"/>
          </w:tcPr>
          <w:p w14:paraId="18B82797">
            <w:pPr>
              <w:jc w:val="right"/>
            </w:pPr>
            <w:r>
              <w:rPr>
                <w:rFonts w:hint="eastAsia"/>
              </w:rPr>
              <w:t>-</w:t>
            </w:r>
          </w:p>
        </w:tc>
      </w:tr>
      <w:tr w14:paraId="6306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5E1B7">
            <w:r>
              <w:rPr>
                <w:rFonts w:hint="eastAsia"/>
              </w:rPr>
              <w:t>四、净利润（净亏损以“-”号填列）</w:t>
            </w:r>
          </w:p>
        </w:tc>
        <w:tc>
          <w:tcPr>
            <w:tcW w:w="1262" w:type="dxa"/>
            <w:vAlign w:val="center"/>
          </w:tcPr>
          <w:p w14:paraId="4546DEDF"/>
        </w:tc>
        <w:tc>
          <w:tcPr>
            <w:tcW w:w="2289" w:type="dxa"/>
            <w:vAlign w:val="center"/>
          </w:tcPr>
          <w:p w14:paraId="2B507436">
            <w:pPr>
              <w:jc w:val="right"/>
            </w:pPr>
            <w:r>
              <w:rPr>
                <w:rFonts w:hint="eastAsia"/>
              </w:rPr>
              <w:t>64,761,013.95</w:t>
            </w:r>
          </w:p>
        </w:tc>
        <w:tc>
          <w:tcPr>
            <w:tcW w:w="2295" w:type="dxa"/>
            <w:vAlign w:val="center"/>
          </w:tcPr>
          <w:p w14:paraId="7378B23C">
            <w:pPr>
              <w:jc w:val="right"/>
            </w:pPr>
            <w:r>
              <w:rPr>
                <w:rFonts w:hint="eastAsia"/>
              </w:rPr>
              <w:t>187,477,031.64</w:t>
            </w:r>
          </w:p>
        </w:tc>
      </w:tr>
      <w:tr w14:paraId="382E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C9501">
            <w:r>
              <w:rPr>
                <w:rFonts w:hint="eastAsia"/>
              </w:rPr>
              <w:t>五、其他综合收益的税后净额</w:t>
            </w:r>
          </w:p>
        </w:tc>
        <w:tc>
          <w:tcPr>
            <w:tcW w:w="1262" w:type="dxa"/>
            <w:vAlign w:val="center"/>
          </w:tcPr>
          <w:p w14:paraId="7D51F10F"/>
        </w:tc>
        <w:tc>
          <w:tcPr>
            <w:tcW w:w="2289" w:type="dxa"/>
            <w:vAlign w:val="center"/>
          </w:tcPr>
          <w:p w14:paraId="41D956E8">
            <w:pPr>
              <w:jc w:val="right"/>
            </w:pPr>
            <w:r>
              <w:rPr>
                <w:rFonts w:hint="eastAsia"/>
              </w:rPr>
              <w:t>-</w:t>
            </w:r>
          </w:p>
        </w:tc>
        <w:tc>
          <w:tcPr>
            <w:tcW w:w="2295" w:type="dxa"/>
            <w:vAlign w:val="center"/>
          </w:tcPr>
          <w:p w14:paraId="072D1B49">
            <w:pPr>
              <w:jc w:val="right"/>
            </w:pPr>
            <w:r>
              <w:rPr>
                <w:rFonts w:hint="eastAsia"/>
              </w:rPr>
              <w:t>-</w:t>
            </w:r>
          </w:p>
        </w:tc>
      </w:tr>
      <w:tr w14:paraId="4CF1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2A094">
            <w:r>
              <w:rPr>
                <w:rFonts w:hint="eastAsia"/>
              </w:rPr>
              <w:t>六、综合收益总额</w:t>
            </w:r>
          </w:p>
        </w:tc>
        <w:tc>
          <w:tcPr>
            <w:tcW w:w="1262" w:type="dxa"/>
            <w:vAlign w:val="center"/>
          </w:tcPr>
          <w:p w14:paraId="191F45CF"/>
        </w:tc>
        <w:tc>
          <w:tcPr>
            <w:tcW w:w="2289" w:type="dxa"/>
            <w:vAlign w:val="center"/>
          </w:tcPr>
          <w:p w14:paraId="16C36FB0">
            <w:pPr>
              <w:jc w:val="right"/>
            </w:pPr>
            <w:r>
              <w:rPr>
                <w:rFonts w:hint="eastAsia"/>
              </w:rPr>
              <w:t>64,761,013.95</w:t>
            </w:r>
          </w:p>
        </w:tc>
        <w:tc>
          <w:tcPr>
            <w:tcW w:w="2295" w:type="dxa"/>
            <w:vAlign w:val="center"/>
          </w:tcPr>
          <w:p w14:paraId="0DE94CE0">
            <w:pPr>
              <w:jc w:val="right"/>
            </w:pPr>
            <w:r>
              <w:rPr>
                <w:rFonts w:hint="eastAsia"/>
              </w:rPr>
              <w:t>187,477,031.64</w:t>
            </w:r>
          </w:p>
        </w:tc>
      </w:tr>
    </w:tbl>
    <w:p w14:paraId="1489C221">
      <w:pPr>
        <w:pStyle w:val="30"/>
      </w:pPr>
      <w:bookmarkStart w:id="47" w:name="_Toc2798"/>
      <w:r>
        <w:t>净资产变动表</w:t>
      </w:r>
      <w:bookmarkEnd w:id="47"/>
    </w:p>
    <w:p w14:paraId="5D3CC350">
      <w:pPr>
        <w:pStyle w:val="25"/>
        <w:rPr>
          <w:rFonts w:hint="eastAsia"/>
        </w:rPr>
      </w:pPr>
      <w:r>
        <w:rPr>
          <w:rFonts w:hint="eastAsia"/>
        </w:rPr>
        <w:t>会计主体：南方恒庆一年定期开放债券型证券投资基金</w:t>
      </w:r>
    </w:p>
    <w:p w14:paraId="26464991">
      <w:pPr>
        <w:pStyle w:val="25"/>
        <w:rPr>
          <w:rFonts w:hint="eastAsia"/>
        </w:rPr>
      </w:pPr>
      <w:r>
        <w:rPr>
          <w:rFonts w:hint="eastAsia"/>
        </w:rPr>
        <w:t>本报告期：2025年1月1日至2025年12月31日</w:t>
      </w:r>
    </w:p>
    <w:p w14:paraId="07001603">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7B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2E1676">
            <w:r>
              <w:rPr>
                <w:rFonts w:hint="eastAsia"/>
              </w:rPr>
              <w:t>项目</w:t>
            </w:r>
          </w:p>
        </w:tc>
        <w:tc>
          <w:tcPr>
            <w:tcW w:w="1661" w:type="dxa"/>
            <w:gridSpan w:val="4"/>
            <w:vAlign w:val="center"/>
          </w:tcPr>
          <w:p w14:paraId="571CE271">
            <w:r>
              <w:rPr>
                <w:rFonts w:hint="eastAsia"/>
              </w:rPr>
              <w:t>本期2025年1月1日至2025年12月31日</w:t>
            </w:r>
          </w:p>
        </w:tc>
      </w:tr>
      <w:tr w14:paraId="7504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36CA77"/>
        </w:tc>
        <w:tc>
          <w:tcPr>
            <w:tcW w:w="1661" w:type="dxa"/>
            <w:vAlign w:val="center"/>
          </w:tcPr>
          <w:p w14:paraId="4F7EEB45">
            <w:r>
              <w:rPr>
                <w:rFonts w:hint="eastAsia"/>
              </w:rPr>
              <w:t>实收基金</w:t>
            </w:r>
          </w:p>
        </w:tc>
        <w:tc>
          <w:tcPr>
            <w:tcW w:w="1661" w:type="dxa"/>
            <w:vAlign w:val="center"/>
          </w:tcPr>
          <w:p w14:paraId="28DE689B">
            <w:r>
              <w:rPr>
                <w:rFonts w:hint="eastAsia"/>
              </w:rPr>
              <w:t>其他综合收益</w:t>
            </w:r>
          </w:p>
        </w:tc>
        <w:tc>
          <w:tcPr>
            <w:tcW w:w="1661" w:type="dxa"/>
            <w:vAlign w:val="center"/>
          </w:tcPr>
          <w:p w14:paraId="1F6233FB">
            <w:r>
              <w:rPr>
                <w:rFonts w:hint="eastAsia"/>
              </w:rPr>
              <w:t>未分配利润</w:t>
            </w:r>
          </w:p>
        </w:tc>
        <w:tc>
          <w:tcPr>
            <w:tcW w:w="1661" w:type="dxa"/>
            <w:vAlign w:val="center"/>
          </w:tcPr>
          <w:p w14:paraId="4A1ABF18">
            <w:r>
              <w:rPr>
                <w:rFonts w:hint="eastAsia"/>
              </w:rPr>
              <w:t>净资产合计</w:t>
            </w:r>
          </w:p>
        </w:tc>
      </w:tr>
      <w:tr w14:paraId="43B7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75D5B3">
            <w:r>
              <w:rPr>
                <w:rFonts w:hint="eastAsia"/>
              </w:rPr>
              <w:t>一、上期期末净资产</w:t>
            </w:r>
          </w:p>
        </w:tc>
        <w:tc>
          <w:tcPr>
            <w:tcW w:w="1661" w:type="dxa"/>
            <w:vAlign w:val="center"/>
          </w:tcPr>
          <w:p w14:paraId="4C7DDB68">
            <w:pPr>
              <w:jc w:val="right"/>
            </w:pPr>
            <w:r>
              <w:rPr>
                <w:rFonts w:hint="eastAsia"/>
              </w:rPr>
              <w:t>4,511,718,215.35</w:t>
            </w:r>
          </w:p>
        </w:tc>
        <w:tc>
          <w:tcPr>
            <w:tcW w:w="1661" w:type="dxa"/>
            <w:vAlign w:val="center"/>
          </w:tcPr>
          <w:p w14:paraId="77538D49">
            <w:pPr>
              <w:jc w:val="right"/>
            </w:pPr>
            <w:r>
              <w:rPr>
                <w:rFonts w:hint="eastAsia"/>
              </w:rPr>
              <w:t>-</w:t>
            </w:r>
          </w:p>
        </w:tc>
        <w:tc>
          <w:tcPr>
            <w:tcW w:w="1661" w:type="dxa"/>
            <w:vAlign w:val="center"/>
          </w:tcPr>
          <w:p w14:paraId="3E63E6CD">
            <w:pPr>
              <w:jc w:val="right"/>
            </w:pPr>
            <w:r>
              <w:rPr>
                <w:rFonts w:hint="eastAsia"/>
              </w:rPr>
              <w:t>117,826,347.77</w:t>
            </w:r>
          </w:p>
        </w:tc>
        <w:tc>
          <w:tcPr>
            <w:tcW w:w="1661" w:type="dxa"/>
            <w:vAlign w:val="center"/>
          </w:tcPr>
          <w:p w14:paraId="5F59CFDC">
            <w:pPr>
              <w:jc w:val="right"/>
            </w:pPr>
            <w:r>
              <w:rPr>
                <w:rFonts w:hint="eastAsia"/>
              </w:rPr>
              <w:t>4,629,544,563.12</w:t>
            </w:r>
          </w:p>
        </w:tc>
      </w:tr>
      <w:tr w14:paraId="1296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5FDC33">
            <w:r>
              <w:rPr>
                <w:rFonts w:hint="eastAsia"/>
              </w:rPr>
              <w:t>加：会计政策变更</w:t>
            </w:r>
          </w:p>
        </w:tc>
        <w:tc>
          <w:tcPr>
            <w:tcW w:w="1661" w:type="dxa"/>
            <w:vAlign w:val="center"/>
          </w:tcPr>
          <w:p w14:paraId="510D0EF1">
            <w:pPr>
              <w:jc w:val="right"/>
            </w:pPr>
            <w:r>
              <w:rPr>
                <w:rFonts w:hint="eastAsia"/>
              </w:rPr>
              <w:t>-</w:t>
            </w:r>
          </w:p>
        </w:tc>
        <w:tc>
          <w:tcPr>
            <w:tcW w:w="1661" w:type="dxa"/>
            <w:vAlign w:val="center"/>
          </w:tcPr>
          <w:p w14:paraId="583E635E">
            <w:pPr>
              <w:jc w:val="right"/>
            </w:pPr>
            <w:r>
              <w:rPr>
                <w:rFonts w:hint="eastAsia"/>
              </w:rPr>
              <w:t>-</w:t>
            </w:r>
          </w:p>
        </w:tc>
        <w:tc>
          <w:tcPr>
            <w:tcW w:w="1661" w:type="dxa"/>
            <w:vAlign w:val="center"/>
          </w:tcPr>
          <w:p w14:paraId="14E69338">
            <w:pPr>
              <w:jc w:val="right"/>
            </w:pPr>
            <w:r>
              <w:rPr>
                <w:rFonts w:hint="eastAsia"/>
              </w:rPr>
              <w:t>-</w:t>
            </w:r>
          </w:p>
        </w:tc>
        <w:tc>
          <w:tcPr>
            <w:tcW w:w="1661" w:type="dxa"/>
            <w:vAlign w:val="center"/>
          </w:tcPr>
          <w:p w14:paraId="3D1BFD68">
            <w:pPr>
              <w:jc w:val="right"/>
            </w:pPr>
            <w:r>
              <w:rPr>
                <w:rFonts w:hint="eastAsia"/>
              </w:rPr>
              <w:t>-</w:t>
            </w:r>
          </w:p>
        </w:tc>
      </w:tr>
      <w:tr w14:paraId="0913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A0460F">
            <w:r>
              <w:rPr>
                <w:rFonts w:hint="eastAsia"/>
              </w:rPr>
              <w:t xml:space="preserve">    前期差错更正</w:t>
            </w:r>
          </w:p>
        </w:tc>
        <w:tc>
          <w:tcPr>
            <w:tcW w:w="1661" w:type="dxa"/>
            <w:vAlign w:val="center"/>
          </w:tcPr>
          <w:p w14:paraId="423F78A2">
            <w:pPr>
              <w:jc w:val="right"/>
            </w:pPr>
            <w:r>
              <w:rPr>
                <w:rFonts w:hint="eastAsia"/>
              </w:rPr>
              <w:t>-</w:t>
            </w:r>
          </w:p>
        </w:tc>
        <w:tc>
          <w:tcPr>
            <w:tcW w:w="1661" w:type="dxa"/>
            <w:vAlign w:val="center"/>
          </w:tcPr>
          <w:p w14:paraId="528D8C9A">
            <w:pPr>
              <w:jc w:val="right"/>
            </w:pPr>
            <w:r>
              <w:rPr>
                <w:rFonts w:hint="eastAsia"/>
              </w:rPr>
              <w:t>-</w:t>
            </w:r>
          </w:p>
        </w:tc>
        <w:tc>
          <w:tcPr>
            <w:tcW w:w="1661" w:type="dxa"/>
            <w:vAlign w:val="center"/>
          </w:tcPr>
          <w:p w14:paraId="5D588D95">
            <w:pPr>
              <w:jc w:val="right"/>
            </w:pPr>
            <w:r>
              <w:rPr>
                <w:rFonts w:hint="eastAsia"/>
              </w:rPr>
              <w:t>-</w:t>
            </w:r>
          </w:p>
        </w:tc>
        <w:tc>
          <w:tcPr>
            <w:tcW w:w="1661" w:type="dxa"/>
            <w:vAlign w:val="center"/>
          </w:tcPr>
          <w:p w14:paraId="7C37D021">
            <w:pPr>
              <w:jc w:val="right"/>
            </w:pPr>
            <w:r>
              <w:rPr>
                <w:rFonts w:hint="eastAsia"/>
              </w:rPr>
              <w:t>-</w:t>
            </w:r>
          </w:p>
        </w:tc>
      </w:tr>
      <w:tr w14:paraId="3F11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571EB">
            <w:r>
              <w:rPr>
                <w:rFonts w:hint="eastAsia"/>
              </w:rPr>
              <w:t xml:space="preserve">    其他</w:t>
            </w:r>
          </w:p>
        </w:tc>
        <w:tc>
          <w:tcPr>
            <w:tcW w:w="1661" w:type="dxa"/>
            <w:vAlign w:val="center"/>
          </w:tcPr>
          <w:p w14:paraId="068B9B59">
            <w:pPr>
              <w:jc w:val="right"/>
            </w:pPr>
            <w:r>
              <w:rPr>
                <w:rFonts w:hint="eastAsia"/>
              </w:rPr>
              <w:t>-</w:t>
            </w:r>
          </w:p>
        </w:tc>
        <w:tc>
          <w:tcPr>
            <w:tcW w:w="1661" w:type="dxa"/>
            <w:vAlign w:val="center"/>
          </w:tcPr>
          <w:p w14:paraId="15E79B0A">
            <w:pPr>
              <w:jc w:val="right"/>
            </w:pPr>
            <w:r>
              <w:rPr>
                <w:rFonts w:hint="eastAsia"/>
              </w:rPr>
              <w:t>-</w:t>
            </w:r>
          </w:p>
        </w:tc>
        <w:tc>
          <w:tcPr>
            <w:tcW w:w="1661" w:type="dxa"/>
            <w:vAlign w:val="center"/>
          </w:tcPr>
          <w:p w14:paraId="35E3F68F">
            <w:pPr>
              <w:jc w:val="right"/>
            </w:pPr>
            <w:r>
              <w:rPr>
                <w:rFonts w:hint="eastAsia"/>
              </w:rPr>
              <w:t>-</w:t>
            </w:r>
          </w:p>
        </w:tc>
        <w:tc>
          <w:tcPr>
            <w:tcW w:w="1661" w:type="dxa"/>
            <w:vAlign w:val="center"/>
          </w:tcPr>
          <w:p w14:paraId="098A8634">
            <w:pPr>
              <w:jc w:val="right"/>
            </w:pPr>
            <w:r>
              <w:rPr>
                <w:rFonts w:hint="eastAsia"/>
              </w:rPr>
              <w:t>-</w:t>
            </w:r>
          </w:p>
        </w:tc>
      </w:tr>
      <w:tr w14:paraId="0F6F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039332">
            <w:r>
              <w:rPr>
                <w:rFonts w:hint="eastAsia"/>
              </w:rPr>
              <w:t>二、本期期初净资产</w:t>
            </w:r>
          </w:p>
        </w:tc>
        <w:tc>
          <w:tcPr>
            <w:tcW w:w="1661" w:type="dxa"/>
            <w:vAlign w:val="center"/>
          </w:tcPr>
          <w:p w14:paraId="348F5BC1">
            <w:pPr>
              <w:jc w:val="right"/>
            </w:pPr>
            <w:r>
              <w:rPr>
                <w:rFonts w:hint="eastAsia"/>
              </w:rPr>
              <w:t>4,511,718,215.35</w:t>
            </w:r>
          </w:p>
        </w:tc>
        <w:tc>
          <w:tcPr>
            <w:tcW w:w="1661" w:type="dxa"/>
            <w:vAlign w:val="center"/>
          </w:tcPr>
          <w:p w14:paraId="6CE47FC4">
            <w:pPr>
              <w:jc w:val="right"/>
            </w:pPr>
            <w:r>
              <w:rPr>
                <w:rFonts w:hint="eastAsia"/>
              </w:rPr>
              <w:t>-</w:t>
            </w:r>
          </w:p>
        </w:tc>
        <w:tc>
          <w:tcPr>
            <w:tcW w:w="1661" w:type="dxa"/>
            <w:vAlign w:val="center"/>
          </w:tcPr>
          <w:p w14:paraId="3F703E3D">
            <w:pPr>
              <w:jc w:val="right"/>
            </w:pPr>
            <w:r>
              <w:rPr>
                <w:rFonts w:hint="eastAsia"/>
              </w:rPr>
              <w:t>117,826,347.77</w:t>
            </w:r>
          </w:p>
        </w:tc>
        <w:tc>
          <w:tcPr>
            <w:tcW w:w="1661" w:type="dxa"/>
            <w:vAlign w:val="center"/>
          </w:tcPr>
          <w:p w14:paraId="7019A39F">
            <w:pPr>
              <w:jc w:val="right"/>
            </w:pPr>
            <w:r>
              <w:rPr>
                <w:rFonts w:hint="eastAsia"/>
              </w:rPr>
              <w:t>4,629,544,563.12</w:t>
            </w:r>
          </w:p>
        </w:tc>
      </w:tr>
      <w:tr w14:paraId="16FB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0DA6D">
            <w:r>
              <w:rPr>
                <w:rFonts w:hint="eastAsia"/>
              </w:rPr>
              <w:t>三、本期增减变动额（减少以“-”号填列）</w:t>
            </w:r>
          </w:p>
        </w:tc>
        <w:tc>
          <w:tcPr>
            <w:tcW w:w="1661" w:type="dxa"/>
            <w:vAlign w:val="center"/>
          </w:tcPr>
          <w:p w14:paraId="6064782B">
            <w:pPr>
              <w:jc w:val="right"/>
            </w:pPr>
            <w:r>
              <w:rPr>
                <w:rFonts w:hint="eastAsia"/>
              </w:rPr>
              <w:t>-4,478,266,911.72</w:t>
            </w:r>
          </w:p>
        </w:tc>
        <w:tc>
          <w:tcPr>
            <w:tcW w:w="1661" w:type="dxa"/>
            <w:vAlign w:val="center"/>
          </w:tcPr>
          <w:p w14:paraId="0E66D805">
            <w:pPr>
              <w:jc w:val="right"/>
            </w:pPr>
            <w:r>
              <w:rPr>
                <w:rFonts w:hint="eastAsia"/>
              </w:rPr>
              <w:t>-</w:t>
            </w:r>
          </w:p>
        </w:tc>
        <w:tc>
          <w:tcPr>
            <w:tcW w:w="1661" w:type="dxa"/>
            <w:vAlign w:val="center"/>
          </w:tcPr>
          <w:p w14:paraId="15C43E74">
            <w:pPr>
              <w:jc w:val="right"/>
            </w:pPr>
            <w:r>
              <w:rPr>
                <w:rFonts w:hint="eastAsia"/>
              </w:rPr>
              <w:t>-116,421,746.87</w:t>
            </w:r>
          </w:p>
        </w:tc>
        <w:tc>
          <w:tcPr>
            <w:tcW w:w="1661" w:type="dxa"/>
            <w:vAlign w:val="center"/>
          </w:tcPr>
          <w:p w14:paraId="3C921C1E">
            <w:pPr>
              <w:jc w:val="right"/>
            </w:pPr>
            <w:r>
              <w:rPr>
                <w:rFonts w:hint="eastAsia"/>
              </w:rPr>
              <w:t>-4,594,688,658.59</w:t>
            </w:r>
          </w:p>
        </w:tc>
      </w:tr>
      <w:tr w14:paraId="7B55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FE624">
            <w:r>
              <w:rPr>
                <w:rFonts w:hint="eastAsia"/>
              </w:rPr>
              <w:t>（一）、综合收益总额</w:t>
            </w:r>
          </w:p>
        </w:tc>
        <w:tc>
          <w:tcPr>
            <w:tcW w:w="1661" w:type="dxa"/>
            <w:vAlign w:val="center"/>
          </w:tcPr>
          <w:p w14:paraId="502EA80B">
            <w:pPr>
              <w:jc w:val="right"/>
            </w:pPr>
            <w:r>
              <w:rPr>
                <w:rFonts w:hint="eastAsia"/>
              </w:rPr>
              <w:t>-</w:t>
            </w:r>
          </w:p>
        </w:tc>
        <w:tc>
          <w:tcPr>
            <w:tcW w:w="1661" w:type="dxa"/>
            <w:vAlign w:val="center"/>
          </w:tcPr>
          <w:p w14:paraId="3053CD58">
            <w:pPr>
              <w:jc w:val="right"/>
            </w:pPr>
            <w:r>
              <w:rPr>
                <w:rFonts w:hint="eastAsia"/>
              </w:rPr>
              <w:t>-</w:t>
            </w:r>
          </w:p>
        </w:tc>
        <w:tc>
          <w:tcPr>
            <w:tcW w:w="1661" w:type="dxa"/>
            <w:vAlign w:val="center"/>
          </w:tcPr>
          <w:p w14:paraId="76D964CF">
            <w:pPr>
              <w:jc w:val="right"/>
            </w:pPr>
            <w:r>
              <w:rPr>
                <w:rFonts w:hint="eastAsia"/>
              </w:rPr>
              <w:t>64,761,013.95</w:t>
            </w:r>
          </w:p>
        </w:tc>
        <w:tc>
          <w:tcPr>
            <w:tcW w:w="1661" w:type="dxa"/>
            <w:vAlign w:val="center"/>
          </w:tcPr>
          <w:p w14:paraId="3441986A">
            <w:pPr>
              <w:jc w:val="right"/>
            </w:pPr>
            <w:r>
              <w:rPr>
                <w:rFonts w:hint="eastAsia"/>
              </w:rPr>
              <w:t>64,761,013.95</w:t>
            </w:r>
          </w:p>
        </w:tc>
      </w:tr>
      <w:tr w14:paraId="454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F3E85">
            <w:r>
              <w:rPr>
                <w:rFonts w:hint="eastAsia"/>
              </w:rPr>
              <w:t>（二）、本期基金份额交易产生的净资产变动数（净资产减少以“-”号填列）</w:t>
            </w:r>
          </w:p>
        </w:tc>
        <w:tc>
          <w:tcPr>
            <w:tcW w:w="1661" w:type="dxa"/>
            <w:vAlign w:val="center"/>
          </w:tcPr>
          <w:p w14:paraId="2D103D49">
            <w:pPr>
              <w:jc w:val="right"/>
            </w:pPr>
            <w:r>
              <w:rPr>
                <w:rFonts w:hint="eastAsia"/>
              </w:rPr>
              <w:t>-4,478,266,911.72</w:t>
            </w:r>
          </w:p>
        </w:tc>
        <w:tc>
          <w:tcPr>
            <w:tcW w:w="1661" w:type="dxa"/>
            <w:vAlign w:val="center"/>
          </w:tcPr>
          <w:p w14:paraId="7CAE025E">
            <w:pPr>
              <w:jc w:val="right"/>
            </w:pPr>
            <w:r>
              <w:rPr>
                <w:rFonts w:hint="eastAsia"/>
              </w:rPr>
              <w:t>-</w:t>
            </w:r>
          </w:p>
        </w:tc>
        <w:tc>
          <w:tcPr>
            <w:tcW w:w="1661" w:type="dxa"/>
            <w:vAlign w:val="center"/>
          </w:tcPr>
          <w:p w14:paraId="79078D26">
            <w:pPr>
              <w:jc w:val="right"/>
            </w:pPr>
            <w:r>
              <w:rPr>
                <w:rFonts w:hint="eastAsia"/>
              </w:rPr>
              <w:t>-180,746,959.23</w:t>
            </w:r>
          </w:p>
        </w:tc>
        <w:tc>
          <w:tcPr>
            <w:tcW w:w="1661" w:type="dxa"/>
            <w:vAlign w:val="center"/>
          </w:tcPr>
          <w:p w14:paraId="3DCD54E6">
            <w:pPr>
              <w:jc w:val="right"/>
            </w:pPr>
            <w:r>
              <w:rPr>
                <w:rFonts w:hint="eastAsia"/>
              </w:rPr>
              <w:t>-4,659,013,870.95</w:t>
            </w:r>
          </w:p>
        </w:tc>
      </w:tr>
      <w:tr w14:paraId="01AC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496C1">
            <w:r>
              <w:rPr>
                <w:rFonts w:hint="eastAsia"/>
              </w:rPr>
              <w:t>其中：1.基金申购款</w:t>
            </w:r>
          </w:p>
        </w:tc>
        <w:tc>
          <w:tcPr>
            <w:tcW w:w="1661" w:type="dxa"/>
            <w:vAlign w:val="center"/>
          </w:tcPr>
          <w:p w14:paraId="508242CA">
            <w:pPr>
              <w:jc w:val="right"/>
            </w:pPr>
            <w:r>
              <w:rPr>
                <w:rFonts w:hint="eastAsia"/>
              </w:rPr>
              <w:t>8,010.20</w:t>
            </w:r>
          </w:p>
        </w:tc>
        <w:tc>
          <w:tcPr>
            <w:tcW w:w="1661" w:type="dxa"/>
            <w:vAlign w:val="center"/>
          </w:tcPr>
          <w:p w14:paraId="3CE251FF">
            <w:pPr>
              <w:jc w:val="right"/>
            </w:pPr>
            <w:r>
              <w:rPr>
                <w:rFonts w:hint="eastAsia"/>
              </w:rPr>
              <w:t>-</w:t>
            </w:r>
          </w:p>
        </w:tc>
        <w:tc>
          <w:tcPr>
            <w:tcW w:w="1661" w:type="dxa"/>
            <w:vAlign w:val="center"/>
          </w:tcPr>
          <w:p w14:paraId="3BE61DC6">
            <w:pPr>
              <w:jc w:val="right"/>
            </w:pPr>
            <w:r>
              <w:rPr>
                <w:rFonts w:hint="eastAsia"/>
              </w:rPr>
              <w:t>328.69</w:t>
            </w:r>
          </w:p>
        </w:tc>
        <w:tc>
          <w:tcPr>
            <w:tcW w:w="1661" w:type="dxa"/>
            <w:vAlign w:val="center"/>
          </w:tcPr>
          <w:p w14:paraId="4A2F11AE">
            <w:pPr>
              <w:jc w:val="right"/>
            </w:pPr>
            <w:r>
              <w:rPr>
                <w:rFonts w:hint="eastAsia"/>
              </w:rPr>
              <w:t>8,338.89</w:t>
            </w:r>
          </w:p>
        </w:tc>
      </w:tr>
      <w:tr w14:paraId="2EF6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4CCA3A">
            <w:r>
              <w:rPr>
                <w:rFonts w:hint="eastAsia"/>
              </w:rPr>
              <w:t xml:space="preserve">      2.基金赎回款</w:t>
            </w:r>
          </w:p>
        </w:tc>
        <w:tc>
          <w:tcPr>
            <w:tcW w:w="1661" w:type="dxa"/>
            <w:vAlign w:val="center"/>
          </w:tcPr>
          <w:p w14:paraId="4C62F6A7">
            <w:pPr>
              <w:jc w:val="right"/>
            </w:pPr>
            <w:r>
              <w:rPr>
                <w:rFonts w:hint="eastAsia"/>
              </w:rPr>
              <w:t>-4,478,274,921.92</w:t>
            </w:r>
          </w:p>
        </w:tc>
        <w:tc>
          <w:tcPr>
            <w:tcW w:w="1661" w:type="dxa"/>
            <w:vAlign w:val="center"/>
          </w:tcPr>
          <w:p w14:paraId="5974E3AA">
            <w:pPr>
              <w:jc w:val="right"/>
            </w:pPr>
            <w:r>
              <w:rPr>
                <w:rFonts w:hint="eastAsia"/>
              </w:rPr>
              <w:t>-</w:t>
            </w:r>
          </w:p>
        </w:tc>
        <w:tc>
          <w:tcPr>
            <w:tcW w:w="1661" w:type="dxa"/>
            <w:vAlign w:val="center"/>
          </w:tcPr>
          <w:p w14:paraId="214D1272">
            <w:pPr>
              <w:jc w:val="right"/>
            </w:pPr>
            <w:r>
              <w:rPr>
                <w:rFonts w:hint="eastAsia"/>
              </w:rPr>
              <w:t>-180,747,287.92</w:t>
            </w:r>
          </w:p>
        </w:tc>
        <w:tc>
          <w:tcPr>
            <w:tcW w:w="1661" w:type="dxa"/>
            <w:vAlign w:val="center"/>
          </w:tcPr>
          <w:p w14:paraId="0F9C6F58">
            <w:pPr>
              <w:jc w:val="right"/>
            </w:pPr>
            <w:r>
              <w:rPr>
                <w:rFonts w:hint="eastAsia"/>
              </w:rPr>
              <w:t>-4,659,022,209.84</w:t>
            </w:r>
          </w:p>
        </w:tc>
      </w:tr>
      <w:tr w14:paraId="0D28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3B4001">
            <w:r>
              <w:rPr>
                <w:rFonts w:hint="eastAsia"/>
              </w:rPr>
              <w:t>（三）、本期向基金份额持有人分配利润产生的净资产变动（净资产减少以“-”号填列）</w:t>
            </w:r>
          </w:p>
        </w:tc>
        <w:tc>
          <w:tcPr>
            <w:tcW w:w="1661" w:type="dxa"/>
            <w:vAlign w:val="center"/>
          </w:tcPr>
          <w:p w14:paraId="70F3B3FF">
            <w:pPr>
              <w:jc w:val="right"/>
            </w:pPr>
            <w:r>
              <w:rPr>
                <w:rFonts w:hint="eastAsia"/>
              </w:rPr>
              <w:t>-</w:t>
            </w:r>
          </w:p>
        </w:tc>
        <w:tc>
          <w:tcPr>
            <w:tcW w:w="1661" w:type="dxa"/>
            <w:vAlign w:val="center"/>
          </w:tcPr>
          <w:p w14:paraId="4AAF9577">
            <w:pPr>
              <w:jc w:val="right"/>
            </w:pPr>
            <w:r>
              <w:rPr>
                <w:rFonts w:hint="eastAsia"/>
              </w:rPr>
              <w:t>-</w:t>
            </w:r>
          </w:p>
        </w:tc>
        <w:tc>
          <w:tcPr>
            <w:tcW w:w="1661" w:type="dxa"/>
            <w:vAlign w:val="center"/>
          </w:tcPr>
          <w:p w14:paraId="56871374">
            <w:pPr>
              <w:jc w:val="right"/>
            </w:pPr>
            <w:r>
              <w:rPr>
                <w:rFonts w:hint="eastAsia"/>
              </w:rPr>
              <w:t>-435,801.59</w:t>
            </w:r>
          </w:p>
        </w:tc>
        <w:tc>
          <w:tcPr>
            <w:tcW w:w="1661" w:type="dxa"/>
            <w:vAlign w:val="center"/>
          </w:tcPr>
          <w:p w14:paraId="29A92485">
            <w:pPr>
              <w:jc w:val="right"/>
            </w:pPr>
            <w:r>
              <w:rPr>
                <w:rFonts w:hint="eastAsia"/>
              </w:rPr>
              <w:t>-435,801.59</w:t>
            </w:r>
          </w:p>
        </w:tc>
      </w:tr>
      <w:tr w14:paraId="2579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D8D7C">
            <w:r>
              <w:rPr>
                <w:rFonts w:hint="eastAsia"/>
              </w:rPr>
              <w:t>（四）、其他综合收益结转留存收益</w:t>
            </w:r>
          </w:p>
        </w:tc>
        <w:tc>
          <w:tcPr>
            <w:tcW w:w="1661" w:type="dxa"/>
            <w:vAlign w:val="center"/>
          </w:tcPr>
          <w:p w14:paraId="405A00A2">
            <w:pPr>
              <w:jc w:val="right"/>
            </w:pPr>
            <w:r>
              <w:rPr>
                <w:rFonts w:hint="eastAsia"/>
              </w:rPr>
              <w:t>-</w:t>
            </w:r>
          </w:p>
        </w:tc>
        <w:tc>
          <w:tcPr>
            <w:tcW w:w="1661" w:type="dxa"/>
            <w:vAlign w:val="center"/>
          </w:tcPr>
          <w:p w14:paraId="5AE9527B">
            <w:pPr>
              <w:jc w:val="right"/>
            </w:pPr>
            <w:r>
              <w:rPr>
                <w:rFonts w:hint="eastAsia"/>
              </w:rPr>
              <w:t>-</w:t>
            </w:r>
          </w:p>
        </w:tc>
        <w:tc>
          <w:tcPr>
            <w:tcW w:w="1661" w:type="dxa"/>
            <w:vAlign w:val="center"/>
          </w:tcPr>
          <w:p w14:paraId="370A4C85">
            <w:pPr>
              <w:jc w:val="right"/>
            </w:pPr>
            <w:r>
              <w:rPr>
                <w:rFonts w:hint="eastAsia"/>
              </w:rPr>
              <w:t>-</w:t>
            </w:r>
          </w:p>
        </w:tc>
        <w:tc>
          <w:tcPr>
            <w:tcW w:w="1661" w:type="dxa"/>
            <w:vAlign w:val="center"/>
          </w:tcPr>
          <w:p w14:paraId="10E2ED87">
            <w:pPr>
              <w:jc w:val="right"/>
            </w:pPr>
            <w:r>
              <w:rPr>
                <w:rFonts w:hint="eastAsia"/>
              </w:rPr>
              <w:t>-</w:t>
            </w:r>
          </w:p>
        </w:tc>
      </w:tr>
      <w:tr w14:paraId="30B5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8D7545">
            <w:r>
              <w:rPr>
                <w:rFonts w:hint="eastAsia"/>
              </w:rPr>
              <w:t>四、本期期末净资产</w:t>
            </w:r>
          </w:p>
        </w:tc>
        <w:tc>
          <w:tcPr>
            <w:tcW w:w="1661" w:type="dxa"/>
            <w:vAlign w:val="center"/>
          </w:tcPr>
          <w:p w14:paraId="65970452">
            <w:pPr>
              <w:jc w:val="right"/>
            </w:pPr>
            <w:r>
              <w:rPr>
                <w:rFonts w:hint="eastAsia"/>
              </w:rPr>
              <w:t>33,451,303.63</w:t>
            </w:r>
          </w:p>
        </w:tc>
        <w:tc>
          <w:tcPr>
            <w:tcW w:w="1661" w:type="dxa"/>
            <w:vAlign w:val="center"/>
          </w:tcPr>
          <w:p w14:paraId="52428366">
            <w:pPr>
              <w:jc w:val="right"/>
            </w:pPr>
            <w:r>
              <w:rPr>
                <w:rFonts w:hint="eastAsia"/>
              </w:rPr>
              <w:t>-</w:t>
            </w:r>
          </w:p>
        </w:tc>
        <w:tc>
          <w:tcPr>
            <w:tcW w:w="1661" w:type="dxa"/>
            <w:vAlign w:val="center"/>
          </w:tcPr>
          <w:p w14:paraId="67A7DCF6">
            <w:pPr>
              <w:jc w:val="right"/>
            </w:pPr>
            <w:r>
              <w:rPr>
                <w:rFonts w:hint="eastAsia"/>
              </w:rPr>
              <w:t>1,404,600.90</w:t>
            </w:r>
          </w:p>
        </w:tc>
        <w:tc>
          <w:tcPr>
            <w:tcW w:w="1661" w:type="dxa"/>
            <w:vAlign w:val="center"/>
          </w:tcPr>
          <w:p w14:paraId="21E0A8D5">
            <w:pPr>
              <w:jc w:val="right"/>
            </w:pPr>
            <w:r>
              <w:rPr>
                <w:rFonts w:hint="eastAsia"/>
              </w:rPr>
              <w:t>34,855,904.53</w:t>
            </w:r>
          </w:p>
        </w:tc>
      </w:tr>
      <w:tr w14:paraId="715E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3F5859">
            <w:r>
              <w:rPr>
                <w:rFonts w:hint="eastAsia"/>
              </w:rPr>
              <w:t>项目</w:t>
            </w:r>
          </w:p>
        </w:tc>
        <w:tc>
          <w:tcPr>
            <w:tcW w:w="1661" w:type="dxa"/>
            <w:gridSpan w:val="4"/>
            <w:vAlign w:val="center"/>
          </w:tcPr>
          <w:p w14:paraId="4FA70A5F">
            <w:r>
              <w:rPr>
                <w:rFonts w:hint="eastAsia"/>
              </w:rPr>
              <w:t>上年度可比期间2024年1月1日至2024年12月31日</w:t>
            </w:r>
          </w:p>
        </w:tc>
      </w:tr>
      <w:tr w14:paraId="6DAF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AF832B"/>
        </w:tc>
        <w:tc>
          <w:tcPr>
            <w:tcW w:w="1661" w:type="dxa"/>
            <w:vAlign w:val="center"/>
          </w:tcPr>
          <w:p w14:paraId="35A4EC3B">
            <w:r>
              <w:rPr>
                <w:rFonts w:hint="eastAsia"/>
              </w:rPr>
              <w:t>实收基金</w:t>
            </w:r>
          </w:p>
        </w:tc>
        <w:tc>
          <w:tcPr>
            <w:tcW w:w="1661" w:type="dxa"/>
            <w:vAlign w:val="center"/>
          </w:tcPr>
          <w:p w14:paraId="2A11E148">
            <w:r>
              <w:rPr>
                <w:rFonts w:hint="eastAsia"/>
              </w:rPr>
              <w:t>其他综合收益</w:t>
            </w:r>
          </w:p>
        </w:tc>
        <w:tc>
          <w:tcPr>
            <w:tcW w:w="1661" w:type="dxa"/>
            <w:vAlign w:val="center"/>
          </w:tcPr>
          <w:p w14:paraId="45E068DB">
            <w:r>
              <w:rPr>
                <w:rFonts w:hint="eastAsia"/>
              </w:rPr>
              <w:t>未分配利润</w:t>
            </w:r>
          </w:p>
        </w:tc>
        <w:tc>
          <w:tcPr>
            <w:tcW w:w="1661" w:type="dxa"/>
            <w:vAlign w:val="center"/>
          </w:tcPr>
          <w:p w14:paraId="424E0ED0">
            <w:r>
              <w:rPr>
                <w:rFonts w:hint="eastAsia"/>
              </w:rPr>
              <w:t>净资产合计</w:t>
            </w:r>
          </w:p>
        </w:tc>
      </w:tr>
      <w:tr w14:paraId="15AC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61111">
            <w:r>
              <w:rPr>
                <w:rFonts w:hint="eastAsia"/>
              </w:rPr>
              <w:t>一、上期期末净资产</w:t>
            </w:r>
          </w:p>
        </w:tc>
        <w:tc>
          <w:tcPr>
            <w:tcW w:w="1661" w:type="dxa"/>
            <w:vAlign w:val="center"/>
          </w:tcPr>
          <w:p w14:paraId="2F8759AD">
            <w:pPr>
              <w:jc w:val="right"/>
            </w:pPr>
            <w:r>
              <w:rPr>
                <w:rFonts w:hint="eastAsia"/>
              </w:rPr>
              <w:t>7,982,526,848.05</w:t>
            </w:r>
          </w:p>
        </w:tc>
        <w:tc>
          <w:tcPr>
            <w:tcW w:w="1661" w:type="dxa"/>
            <w:vAlign w:val="center"/>
          </w:tcPr>
          <w:p w14:paraId="7B640D19">
            <w:pPr>
              <w:jc w:val="right"/>
            </w:pPr>
            <w:r>
              <w:rPr>
                <w:rFonts w:hint="eastAsia"/>
              </w:rPr>
              <w:t>-</w:t>
            </w:r>
          </w:p>
        </w:tc>
        <w:tc>
          <w:tcPr>
            <w:tcW w:w="1661" w:type="dxa"/>
            <w:vAlign w:val="center"/>
          </w:tcPr>
          <w:p w14:paraId="0D4A645B">
            <w:pPr>
              <w:jc w:val="right"/>
            </w:pPr>
            <w:r>
              <w:rPr>
                <w:rFonts w:hint="eastAsia"/>
              </w:rPr>
              <w:t>19,499,357.77</w:t>
            </w:r>
          </w:p>
        </w:tc>
        <w:tc>
          <w:tcPr>
            <w:tcW w:w="1661" w:type="dxa"/>
            <w:vAlign w:val="center"/>
          </w:tcPr>
          <w:p w14:paraId="1F84FF0C">
            <w:pPr>
              <w:jc w:val="right"/>
            </w:pPr>
            <w:r>
              <w:rPr>
                <w:rFonts w:hint="eastAsia"/>
              </w:rPr>
              <w:t>8,002,026,205.82</w:t>
            </w:r>
          </w:p>
        </w:tc>
      </w:tr>
      <w:tr w14:paraId="7424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DCA13">
            <w:r>
              <w:rPr>
                <w:rFonts w:hint="eastAsia"/>
              </w:rPr>
              <w:t>加：会计政策变更</w:t>
            </w:r>
          </w:p>
        </w:tc>
        <w:tc>
          <w:tcPr>
            <w:tcW w:w="1661" w:type="dxa"/>
            <w:vAlign w:val="center"/>
          </w:tcPr>
          <w:p w14:paraId="75F4BF18">
            <w:pPr>
              <w:jc w:val="right"/>
            </w:pPr>
            <w:r>
              <w:rPr>
                <w:rFonts w:hint="eastAsia"/>
              </w:rPr>
              <w:t>-</w:t>
            </w:r>
          </w:p>
        </w:tc>
        <w:tc>
          <w:tcPr>
            <w:tcW w:w="1661" w:type="dxa"/>
            <w:vAlign w:val="center"/>
          </w:tcPr>
          <w:p w14:paraId="16239A25">
            <w:pPr>
              <w:jc w:val="right"/>
            </w:pPr>
            <w:r>
              <w:rPr>
                <w:rFonts w:hint="eastAsia"/>
              </w:rPr>
              <w:t>-</w:t>
            </w:r>
          </w:p>
        </w:tc>
        <w:tc>
          <w:tcPr>
            <w:tcW w:w="1661" w:type="dxa"/>
            <w:vAlign w:val="center"/>
          </w:tcPr>
          <w:p w14:paraId="1A8A0E1D">
            <w:pPr>
              <w:jc w:val="right"/>
            </w:pPr>
            <w:r>
              <w:rPr>
                <w:rFonts w:hint="eastAsia"/>
              </w:rPr>
              <w:t>-</w:t>
            </w:r>
          </w:p>
        </w:tc>
        <w:tc>
          <w:tcPr>
            <w:tcW w:w="1661" w:type="dxa"/>
            <w:vAlign w:val="center"/>
          </w:tcPr>
          <w:p w14:paraId="7EBB3B08">
            <w:pPr>
              <w:jc w:val="right"/>
            </w:pPr>
            <w:r>
              <w:rPr>
                <w:rFonts w:hint="eastAsia"/>
              </w:rPr>
              <w:t>-</w:t>
            </w:r>
          </w:p>
        </w:tc>
      </w:tr>
      <w:tr w14:paraId="6955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70542C">
            <w:r>
              <w:rPr>
                <w:rFonts w:hint="eastAsia"/>
              </w:rPr>
              <w:t xml:space="preserve">    前期差错更正</w:t>
            </w:r>
          </w:p>
        </w:tc>
        <w:tc>
          <w:tcPr>
            <w:tcW w:w="1661" w:type="dxa"/>
            <w:vAlign w:val="center"/>
          </w:tcPr>
          <w:p w14:paraId="500CDF26">
            <w:pPr>
              <w:jc w:val="right"/>
            </w:pPr>
            <w:r>
              <w:rPr>
                <w:rFonts w:hint="eastAsia"/>
              </w:rPr>
              <w:t>-</w:t>
            </w:r>
          </w:p>
        </w:tc>
        <w:tc>
          <w:tcPr>
            <w:tcW w:w="1661" w:type="dxa"/>
            <w:vAlign w:val="center"/>
          </w:tcPr>
          <w:p w14:paraId="6AD691C1">
            <w:pPr>
              <w:jc w:val="right"/>
            </w:pPr>
            <w:r>
              <w:rPr>
                <w:rFonts w:hint="eastAsia"/>
              </w:rPr>
              <w:t>-</w:t>
            </w:r>
          </w:p>
        </w:tc>
        <w:tc>
          <w:tcPr>
            <w:tcW w:w="1661" w:type="dxa"/>
            <w:vAlign w:val="center"/>
          </w:tcPr>
          <w:p w14:paraId="1397EC3C">
            <w:pPr>
              <w:jc w:val="right"/>
            </w:pPr>
            <w:r>
              <w:rPr>
                <w:rFonts w:hint="eastAsia"/>
              </w:rPr>
              <w:t>-</w:t>
            </w:r>
          </w:p>
        </w:tc>
        <w:tc>
          <w:tcPr>
            <w:tcW w:w="1661" w:type="dxa"/>
            <w:vAlign w:val="center"/>
          </w:tcPr>
          <w:p w14:paraId="17693765">
            <w:pPr>
              <w:jc w:val="right"/>
            </w:pPr>
            <w:r>
              <w:rPr>
                <w:rFonts w:hint="eastAsia"/>
              </w:rPr>
              <w:t>-</w:t>
            </w:r>
          </w:p>
        </w:tc>
      </w:tr>
      <w:tr w14:paraId="6335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4758F">
            <w:r>
              <w:rPr>
                <w:rFonts w:hint="eastAsia"/>
              </w:rPr>
              <w:t xml:space="preserve">    其他</w:t>
            </w:r>
          </w:p>
        </w:tc>
        <w:tc>
          <w:tcPr>
            <w:tcW w:w="1661" w:type="dxa"/>
            <w:vAlign w:val="center"/>
          </w:tcPr>
          <w:p w14:paraId="5C7C45F0">
            <w:pPr>
              <w:jc w:val="right"/>
            </w:pPr>
            <w:r>
              <w:rPr>
                <w:rFonts w:hint="eastAsia"/>
              </w:rPr>
              <w:t>-</w:t>
            </w:r>
          </w:p>
        </w:tc>
        <w:tc>
          <w:tcPr>
            <w:tcW w:w="1661" w:type="dxa"/>
            <w:vAlign w:val="center"/>
          </w:tcPr>
          <w:p w14:paraId="7000EFE1">
            <w:pPr>
              <w:jc w:val="right"/>
            </w:pPr>
            <w:r>
              <w:rPr>
                <w:rFonts w:hint="eastAsia"/>
              </w:rPr>
              <w:t>-</w:t>
            </w:r>
          </w:p>
        </w:tc>
        <w:tc>
          <w:tcPr>
            <w:tcW w:w="1661" w:type="dxa"/>
            <w:vAlign w:val="center"/>
          </w:tcPr>
          <w:p w14:paraId="6327F4CF">
            <w:pPr>
              <w:jc w:val="right"/>
            </w:pPr>
            <w:r>
              <w:rPr>
                <w:rFonts w:hint="eastAsia"/>
              </w:rPr>
              <w:t>-</w:t>
            </w:r>
          </w:p>
        </w:tc>
        <w:tc>
          <w:tcPr>
            <w:tcW w:w="1661" w:type="dxa"/>
            <w:vAlign w:val="center"/>
          </w:tcPr>
          <w:p w14:paraId="61433AD7">
            <w:pPr>
              <w:jc w:val="right"/>
            </w:pPr>
            <w:r>
              <w:rPr>
                <w:rFonts w:hint="eastAsia"/>
              </w:rPr>
              <w:t>-</w:t>
            </w:r>
          </w:p>
        </w:tc>
      </w:tr>
      <w:tr w14:paraId="1A98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81EE57">
            <w:r>
              <w:rPr>
                <w:rFonts w:hint="eastAsia"/>
              </w:rPr>
              <w:t>二、本期期初净资产</w:t>
            </w:r>
          </w:p>
        </w:tc>
        <w:tc>
          <w:tcPr>
            <w:tcW w:w="1661" w:type="dxa"/>
            <w:vAlign w:val="center"/>
          </w:tcPr>
          <w:p w14:paraId="09538FA8">
            <w:pPr>
              <w:jc w:val="right"/>
            </w:pPr>
            <w:r>
              <w:rPr>
                <w:rFonts w:hint="eastAsia"/>
              </w:rPr>
              <w:t>7,982,526,848.05</w:t>
            </w:r>
          </w:p>
        </w:tc>
        <w:tc>
          <w:tcPr>
            <w:tcW w:w="1661" w:type="dxa"/>
            <w:vAlign w:val="center"/>
          </w:tcPr>
          <w:p w14:paraId="7CAF1D81">
            <w:pPr>
              <w:jc w:val="right"/>
            </w:pPr>
            <w:r>
              <w:rPr>
                <w:rFonts w:hint="eastAsia"/>
              </w:rPr>
              <w:t>-</w:t>
            </w:r>
          </w:p>
        </w:tc>
        <w:tc>
          <w:tcPr>
            <w:tcW w:w="1661" w:type="dxa"/>
            <w:vAlign w:val="center"/>
          </w:tcPr>
          <w:p w14:paraId="5DE09A36">
            <w:pPr>
              <w:jc w:val="right"/>
            </w:pPr>
            <w:r>
              <w:rPr>
                <w:rFonts w:hint="eastAsia"/>
              </w:rPr>
              <w:t>19,499,357.77</w:t>
            </w:r>
          </w:p>
        </w:tc>
        <w:tc>
          <w:tcPr>
            <w:tcW w:w="1661" w:type="dxa"/>
            <w:vAlign w:val="center"/>
          </w:tcPr>
          <w:p w14:paraId="386271FF">
            <w:pPr>
              <w:jc w:val="right"/>
            </w:pPr>
            <w:r>
              <w:rPr>
                <w:rFonts w:hint="eastAsia"/>
              </w:rPr>
              <w:t>8,002,026,205.82</w:t>
            </w:r>
          </w:p>
        </w:tc>
      </w:tr>
      <w:tr w14:paraId="101D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B5484B">
            <w:r>
              <w:rPr>
                <w:rFonts w:hint="eastAsia"/>
              </w:rPr>
              <w:t>三、本期增减变动额（减少以“-”号填列）</w:t>
            </w:r>
          </w:p>
        </w:tc>
        <w:tc>
          <w:tcPr>
            <w:tcW w:w="1661" w:type="dxa"/>
            <w:vAlign w:val="center"/>
          </w:tcPr>
          <w:p w14:paraId="5306C1E6">
            <w:pPr>
              <w:jc w:val="right"/>
            </w:pPr>
            <w:r>
              <w:rPr>
                <w:rFonts w:hint="eastAsia"/>
              </w:rPr>
              <w:t>-3,470,808,632.70</w:t>
            </w:r>
          </w:p>
        </w:tc>
        <w:tc>
          <w:tcPr>
            <w:tcW w:w="1661" w:type="dxa"/>
            <w:vAlign w:val="center"/>
          </w:tcPr>
          <w:p w14:paraId="353CF44E">
            <w:pPr>
              <w:jc w:val="right"/>
            </w:pPr>
            <w:r>
              <w:rPr>
                <w:rFonts w:hint="eastAsia"/>
              </w:rPr>
              <w:t>-</w:t>
            </w:r>
          </w:p>
        </w:tc>
        <w:tc>
          <w:tcPr>
            <w:tcW w:w="1661" w:type="dxa"/>
            <w:vAlign w:val="center"/>
          </w:tcPr>
          <w:p w14:paraId="15B15EAC">
            <w:pPr>
              <w:jc w:val="right"/>
            </w:pPr>
            <w:r>
              <w:rPr>
                <w:rFonts w:hint="eastAsia"/>
              </w:rPr>
              <w:t>98,326,990.00</w:t>
            </w:r>
          </w:p>
        </w:tc>
        <w:tc>
          <w:tcPr>
            <w:tcW w:w="1661" w:type="dxa"/>
            <w:vAlign w:val="center"/>
          </w:tcPr>
          <w:p w14:paraId="777C1822">
            <w:pPr>
              <w:jc w:val="right"/>
            </w:pPr>
            <w:r>
              <w:rPr>
                <w:rFonts w:hint="eastAsia"/>
              </w:rPr>
              <w:t>-3,372,481,642.70</w:t>
            </w:r>
          </w:p>
        </w:tc>
      </w:tr>
      <w:tr w14:paraId="026A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D788F">
            <w:r>
              <w:rPr>
                <w:rFonts w:hint="eastAsia"/>
              </w:rPr>
              <w:t>（一）、综合收益总额</w:t>
            </w:r>
          </w:p>
        </w:tc>
        <w:tc>
          <w:tcPr>
            <w:tcW w:w="1661" w:type="dxa"/>
            <w:vAlign w:val="center"/>
          </w:tcPr>
          <w:p w14:paraId="665E98F8">
            <w:pPr>
              <w:jc w:val="right"/>
            </w:pPr>
            <w:r>
              <w:rPr>
                <w:rFonts w:hint="eastAsia"/>
              </w:rPr>
              <w:t>-</w:t>
            </w:r>
          </w:p>
        </w:tc>
        <w:tc>
          <w:tcPr>
            <w:tcW w:w="1661" w:type="dxa"/>
            <w:vAlign w:val="center"/>
          </w:tcPr>
          <w:p w14:paraId="4A73CC45">
            <w:pPr>
              <w:jc w:val="right"/>
            </w:pPr>
            <w:r>
              <w:rPr>
                <w:rFonts w:hint="eastAsia"/>
              </w:rPr>
              <w:t>-</w:t>
            </w:r>
          </w:p>
        </w:tc>
        <w:tc>
          <w:tcPr>
            <w:tcW w:w="1661" w:type="dxa"/>
            <w:vAlign w:val="center"/>
          </w:tcPr>
          <w:p w14:paraId="7537FAF0">
            <w:pPr>
              <w:jc w:val="right"/>
            </w:pPr>
            <w:r>
              <w:rPr>
                <w:rFonts w:hint="eastAsia"/>
              </w:rPr>
              <w:t>187,477,031.64</w:t>
            </w:r>
          </w:p>
        </w:tc>
        <w:tc>
          <w:tcPr>
            <w:tcW w:w="1661" w:type="dxa"/>
            <w:vAlign w:val="center"/>
          </w:tcPr>
          <w:p w14:paraId="53630BE4">
            <w:pPr>
              <w:jc w:val="right"/>
            </w:pPr>
            <w:r>
              <w:rPr>
                <w:rFonts w:hint="eastAsia"/>
              </w:rPr>
              <w:t>187,477,031.64</w:t>
            </w:r>
          </w:p>
        </w:tc>
      </w:tr>
      <w:tr w14:paraId="3B47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BC9359">
            <w:r>
              <w:rPr>
                <w:rFonts w:hint="eastAsia"/>
              </w:rPr>
              <w:t>（二）、本期基金份额交易产生的净资产变动数（净资产减少以“-”号填列）</w:t>
            </w:r>
          </w:p>
        </w:tc>
        <w:tc>
          <w:tcPr>
            <w:tcW w:w="1661" w:type="dxa"/>
            <w:vAlign w:val="center"/>
          </w:tcPr>
          <w:p w14:paraId="32CEB7F6">
            <w:pPr>
              <w:jc w:val="right"/>
            </w:pPr>
            <w:r>
              <w:rPr>
                <w:rFonts w:hint="eastAsia"/>
              </w:rPr>
              <w:t>-3,470,808,632.70</w:t>
            </w:r>
          </w:p>
        </w:tc>
        <w:tc>
          <w:tcPr>
            <w:tcW w:w="1661" w:type="dxa"/>
            <w:vAlign w:val="center"/>
          </w:tcPr>
          <w:p w14:paraId="490D6C02">
            <w:pPr>
              <w:jc w:val="right"/>
            </w:pPr>
            <w:r>
              <w:rPr>
                <w:rFonts w:hint="eastAsia"/>
              </w:rPr>
              <w:t>-</w:t>
            </w:r>
          </w:p>
        </w:tc>
        <w:tc>
          <w:tcPr>
            <w:tcW w:w="1661" w:type="dxa"/>
            <w:vAlign w:val="center"/>
          </w:tcPr>
          <w:p w14:paraId="260DE362">
            <w:pPr>
              <w:jc w:val="right"/>
            </w:pPr>
            <w:r>
              <w:rPr>
                <w:rFonts w:hint="eastAsia"/>
              </w:rPr>
              <w:t>-89,150,041.64</w:t>
            </w:r>
          </w:p>
        </w:tc>
        <w:tc>
          <w:tcPr>
            <w:tcW w:w="1661" w:type="dxa"/>
            <w:vAlign w:val="center"/>
          </w:tcPr>
          <w:p w14:paraId="2972507C">
            <w:pPr>
              <w:jc w:val="right"/>
            </w:pPr>
            <w:r>
              <w:rPr>
                <w:rFonts w:hint="eastAsia"/>
              </w:rPr>
              <w:t>-3,559,958,674.34</w:t>
            </w:r>
          </w:p>
        </w:tc>
      </w:tr>
      <w:tr w14:paraId="2302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111B6">
            <w:r>
              <w:rPr>
                <w:rFonts w:hint="eastAsia"/>
              </w:rPr>
              <w:t>其中：1.基金申购款</w:t>
            </w:r>
          </w:p>
        </w:tc>
        <w:tc>
          <w:tcPr>
            <w:tcW w:w="1661" w:type="dxa"/>
            <w:vAlign w:val="center"/>
          </w:tcPr>
          <w:p w14:paraId="5A999161">
            <w:pPr>
              <w:jc w:val="right"/>
            </w:pPr>
            <w:r>
              <w:rPr>
                <w:rFonts w:hint="eastAsia"/>
              </w:rPr>
              <w:t>1,005,004,715.10</w:t>
            </w:r>
          </w:p>
        </w:tc>
        <w:tc>
          <w:tcPr>
            <w:tcW w:w="1661" w:type="dxa"/>
            <w:vAlign w:val="center"/>
          </w:tcPr>
          <w:p w14:paraId="59F70323">
            <w:pPr>
              <w:jc w:val="right"/>
            </w:pPr>
            <w:r>
              <w:rPr>
                <w:rFonts w:hint="eastAsia"/>
              </w:rPr>
              <w:t>-</w:t>
            </w:r>
          </w:p>
        </w:tc>
        <w:tc>
          <w:tcPr>
            <w:tcW w:w="1661" w:type="dxa"/>
            <w:vAlign w:val="center"/>
          </w:tcPr>
          <w:p w14:paraId="52DDBD45">
            <w:pPr>
              <w:jc w:val="right"/>
            </w:pPr>
            <w:r>
              <w:rPr>
                <w:rFonts w:hint="eastAsia"/>
              </w:rPr>
              <w:t>26,029,471.58</w:t>
            </w:r>
          </w:p>
        </w:tc>
        <w:tc>
          <w:tcPr>
            <w:tcW w:w="1661" w:type="dxa"/>
            <w:vAlign w:val="center"/>
          </w:tcPr>
          <w:p w14:paraId="488CB068">
            <w:pPr>
              <w:jc w:val="right"/>
            </w:pPr>
            <w:r>
              <w:rPr>
                <w:rFonts w:hint="eastAsia"/>
              </w:rPr>
              <w:t>1,031,034,186.68</w:t>
            </w:r>
          </w:p>
        </w:tc>
      </w:tr>
      <w:tr w14:paraId="31DE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91718">
            <w:r>
              <w:rPr>
                <w:rFonts w:hint="eastAsia"/>
              </w:rPr>
              <w:t xml:space="preserve">      2.基金赎回款</w:t>
            </w:r>
          </w:p>
        </w:tc>
        <w:tc>
          <w:tcPr>
            <w:tcW w:w="1661" w:type="dxa"/>
            <w:vAlign w:val="center"/>
          </w:tcPr>
          <w:p w14:paraId="52645711">
            <w:pPr>
              <w:jc w:val="right"/>
            </w:pPr>
            <w:r>
              <w:rPr>
                <w:rFonts w:hint="eastAsia"/>
              </w:rPr>
              <w:t>-4,475,813,347.80</w:t>
            </w:r>
          </w:p>
        </w:tc>
        <w:tc>
          <w:tcPr>
            <w:tcW w:w="1661" w:type="dxa"/>
            <w:vAlign w:val="center"/>
          </w:tcPr>
          <w:p w14:paraId="04ED5642">
            <w:pPr>
              <w:jc w:val="right"/>
            </w:pPr>
            <w:r>
              <w:rPr>
                <w:rFonts w:hint="eastAsia"/>
              </w:rPr>
              <w:t>-</w:t>
            </w:r>
          </w:p>
        </w:tc>
        <w:tc>
          <w:tcPr>
            <w:tcW w:w="1661" w:type="dxa"/>
            <w:vAlign w:val="center"/>
          </w:tcPr>
          <w:p w14:paraId="1F700F25">
            <w:pPr>
              <w:jc w:val="right"/>
            </w:pPr>
            <w:r>
              <w:rPr>
                <w:rFonts w:hint="eastAsia"/>
              </w:rPr>
              <w:t>-115,179,513.22</w:t>
            </w:r>
          </w:p>
        </w:tc>
        <w:tc>
          <w:tcPr>
            <w:tcW w:w="1661" w:type="dxa"/>
            <w:vAlign w:val="center"/>
          </w:tcPr>
          <w:p w14:paraId="4A48957A">
            <w:pPr>
              <w:jc w:val="right"/>
            </w:pPr>
            <w:r>
              <w:rPr>
                <w:rFonts w:hint="eastAsia"/>
              </w:rPr>
              <w:t>-4,590,992,861.02</w:t>
            </w:r>
          </w:p>
        </w:tc>
      </w:tr>
      <w:tr w14:paraId="3668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89F53">
            <w:r>
              <w:rPr>
                <w:rFonts w:hint="eastAsia"/>
              </w:rPr>
              <w:t>（三）、本期向基金份额持有人分配利润产生的净资产变动（净资产减少以“-”号填列）</w:t>
            </w:r>
          </w:p>
        </w:tc>
        <w:tc>
          <w:tcPr>
            <w:tcW w:w="1661" w:type="dxa"/>
            <w:vAlign w:val="center"/>
          </w:tcPr>
          <w:p w14:paraId="74B4A50C">
            <w:pPr>
              <w:jc w:val="right"/>
            </w:pPr>
            <w:r>
              <w:rPr>
                <w:rFonts w:hint="eastAsia"/>
              </w:rPr>
              <w:t>-</w:t>
            </w:r>
          </w:p>
        </w:tc>
        <w:tc>
          <w:tcPr>
            <w:tcW w:w="1661" w:type="dxa"/>
            <w:vAlign w:val="center"/>
          </w:tcPr>
          <w:p w14:paraId="5ACB4314">
            <w:pPr>
              <w:jc w:val="right"/>
            </w:pPr>
            <w:r>
              <w:rPr>
                <w:rFonts w:hint="eastAsia"/>
              </w:rPr>
              <w:t>-</w:t>
            </w:r>
          </w:p>
        </w:tc>
        <w:tc>
          <w:tcPr>
            <w:tcW w:w="1661" w:type="dxa"/>
            <w:vAlign w:val="center"/>
          </w:tcPr>
          <w:p w14:paraId="5B211BFC">
            <w:pPr>
              <w:jc w:val="right"/>
            </w:pPr>
            <w:r>
              <w:rPr>
                <w:rFonts w:hint="eastAsia"/>
              </w:rPr>
              <w:t>-</w:t>
            </w:r>
          </w:p>
        </w:tc>
        <w:tc>
          <w:tcPr>
            <w:tcW w:w="1661" w:type="dxa"/>
            <w:vAlign w:val="center"/>
          </w:tcPr>
          <w:p w14:paraId="0034C8A6">
            <w:pPr>
              <w:jc w:val="right"/>
            </w:pPr>
            <w:r>
              <w:rPr>
                <w:rFonts w:hint="eastAsia"/>
              </w:rPr>
              <w:t>-</w:t>
            </w:r>
          </w:p>
        </w:tc>
      </w:tr>
      <w:tr w14:paraId="7E2E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31C73">
            <w:r>
              <w:rPr>
                <w:rFonts w:hint="eastAsia"/>
              </w:rPr>
              <w:t>（四）、其他综合收益结转留存收益</w:t>
            </w:r>
          </w:p>
        </w:tc>
        <w:tc>
          <w:tcPr>
            <w:tcW w:w="1661" w:type="dxa"/>
            <w:vAlign w:val="center"/>
          </w:tcPr>
          <w:p w14:paraId="23255B9E">
            <w:pPr>
              <w:jc w:val="right"/>
            </w:pPr>
            <w:r>
              <w:rPr>
                <w:rFonts w:hint="eastAsia"/>
              </w:rPr>
              <w:t>-</w:t>
            </w:r>
          </w:p>
        </w:tc>
        <w:tc>
          <w:tcPr>
            <w:tcW w:w="1661" w:type="dxa"/>
            <w:vAlign w:val="center"/>
          </w:tcPr>
          <w:p w14:paraId="34AA0FB3">
            <w:pPr>
              <w:jc w:val="right"/>
            </w:pPr>
            <w:r>
              <w:rPr>
                <w:rFonts w:hint="eastAsia"/>
              </w:rPr>
              <w:t>-</w:t>
            </w:r>
          </w:p>
        </w:tc>
        <w:tc>
          <w:tcPr>
            <w:tcW w:w="1661" w:type="dxa"/>
            <w:vAlign w:val="center"/>
          </w:tcPr>
          <w:p w14:paraId="55B88136">
            <w:pPr>
              <w:jc w:val="right"/>
            </w:pPr>
            <w:r>
              <w:rPr>
                <w:rFonts w:hint="eastAsia"/>
              </w:rPr>
              <w:t>-</w:t>
            </w:r>
          </w:p>
        </w:tc>
        <w:tc>
          <w:tcPr>
            <w:tcW w:w="1661" w:type="dxa"/>
            <w:vAlign w:val="center"/>
          </w:tcPr>
          <w:p w14:paraId="7EC2AC6B">
            <w:pPr>
              <w:jc w:val="right"/>
            </w:pPr>
            <w:r>
              <w:rPr>
                <w:rFonts w:hint="eastAsia"/>
              </w:rPr>
              <w:t>-</w:t>
            </w:r>
          </w:p>
        </w:tc>
      </w:tr>
      <w:tr w14:paraId="0994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A7DBB">
            <w:r>
              <w:rPr>
                <w:rFonts w:hint="eastAsia"/>
              </w:rPr>
              <w:t>四、本期期末净资产</w:t>
            </w:r>
          </w:p>
        </w:tc>
        <w:tc>
          <w:tcPr>
            <w:tcW w:w="1661" w:type="dxa"/>
            <w:vAlign w:val="center"/>
          </w:tcPr>
          <w:p w14:paraId="5F300951">
            <w:pPr>
              <w:jc w:val="right"/>
            </w:pPr>
            <w:r>
              <w:rPr>
                <w:rFonts w:hint="eastAsia"/>
              </w:rPr>
              <w:t>4,511,718,215.35</w:t>
            </w:r>
          </w:p>
        </w:tc>
        <w:tc>
          <w:tcPr>
            <w:tcW w:w="1661" w:type="dxa"/>
            <w:vAlign w:val="center"/>
          </w:tcPr>
          <w:p w14:paraId="4419E3CE">
            <w:pPr>
              <w:jc w:val="right"/>
            </w:pPr>
            <w:r>
              <w:rPr>
                <w:rFonts w:hint="eastAsia"/>
              </w:rPr>
              <w:t>-</w:t>
            </w:r>
          </w:p>
        </w:tc>
        <w:tc>
          <w:tcPr>
            <w:tcW w:w="1661" w:type="dxa"/>
            <w:vAlign w:val="center"/>
          </w:tcPr>
          <w:p w14:paraId="261D6B29">
            <w:pPr>
              <w:jc w:val="right"/>
            </w:pPr>
            <w:r>
              <w:rPr>
                <w:rFonts w:hint="eastAsia"/>
              </w:rPr>
              <w:t>117,826,347.77</w:t>
            </w:r>
          </w:p>
        </w:tc>
        <w:tc>
          <w:tcPr>
            <w:tcW w:w="1661" w:type="dxa"/>
            <w:vAlign w:val="center"/>
          </w:tcPr>
          <w:p w14:paraId="7A90BCE7">
            <w:pPr>
              <w:jc w:val="right"/>
            </w:pPr>
            <w:r>
              <w:rPr>
                <w:rFonts w:hint="eastAsia"/>
              </w:rPr>
              <w:t>4,629,544,563.12</w:t>
            </w:r>
          </w:p>
        </w:tc>
      </w:tr>
    </w:tbl>
    <w:p w14:paraId="1BA0EADD">
      <w:pPr>
        <w:pStyle w:val="25"/>
        <w:rPr>
          <w:rFonts w:hint="eastAsia"/>
        </w:rPr>
      </w:pPr>
      <w:r>
        <w:rPr>
          <w:rFonts w:hint="eastAsia"/>
        </w:rPr>
        <w:t>报表附注为财务报表的组成部分。</w:t>
      </w:r>
    </w:p>
    <w:p w14:paraId="41CB4396">
      <w:pPr>
        <w:pStyle w:val="25"/>
        <w:rPr>
          <w:rFonts w:hint="eastAsia"/>
        </w:rPr>
      </w:pPr>
      <w:r>
        <w:rPr>
          <w:rFonts w:hint="eastAsia"/>
        </w:rPr>
        <w:t>本报告 7.1 至 7.4 财务报表由下列负责人签署：</w:t>
      </w:r>
    </w:p>
    <w:p w14:paraId="5BF3E9A1">
      <w:pPr>
        <w:pStyle w:val="25"/>
        <w:rPr>
          <w:rFonts w:hint="eastAsia"/>
        </w:rPr>
      </w:pPr>
      <w:r>
        <w:rPr>
          <w:rFonts w:hint="eastAsia"/>
        </w:rPr>
        <w:t>____杨小松___           ____蔡忠评______          ____徐超____</w:t>
      </w:r>
    </w:p>
    <w:p w14:paraId="0627F827">
      <w:pPr>
        <w:pStyle w:val="25"/>
        <w:rPr>
          <w:rFonts w:hint="eastAsia"/>
        </w:rPr>
      </w:pPr>
      <w:r>
        <w:rPr>
          <w:rFonts w:hint="eastAsia"/>
        </w:rPr>
        <w:t>基金管理人负责人     主管会计工作负责人         会计机构负责人</w:t>
      </w:r>
    </w:p>
    <w:p w14:paraId="6EF35C49">
      <w:pPr>
        <w:pStyle w:val="30"/>
      </w:pPr>
      <w:bookmarkStart w:id="48" w:name="_Toc7598"/>
      <w:r>
        <w:t>报表附注</w:t>
      </w:r>
      <w:bookmarkEnd w:id="48"/>
      <w:r>
        <w:t xml:space="preserve"> </w:t>
      </w:r>
    </w:p>
    <w:p w14:paraId="5BAF6A62">
      <w:pPr>
        <w:pStyle w:val="35"/>
      </w:pPr>
      <w:bookmarkStart w:id="49" w:name="_Toc49"/>
      <w:r>
        <w:t>基金基本情况</w:t>
      </w:r>
      <w:bookmarkEnd w:id="49"/>
    </w:p>
    <w:p w14:paraId="2F1DEF89">
      <w:pPr>
        <w:pStyle w:val="25"/>
        <w:rPr>
          <w:rFonts w:hint="eastAsia"/>
        </w:rPr>
      </w:pPr>
      <w:r>
        <w:rPr>
          <w:rFonts w:hint="eastAsia"/>
        </w:rPr>
        <w:t>南方恒庆一年定期开放债券型证券投资基金(以下简称“本基金”)经中国证券监督管理委员会(以下简称“中国证监会”)证监许可[2019]402号《关于准予南方恒庆一年定期开放债券型证券投资基金注册的批复》注册，由南方基金管理股份有限公司依照《中华人民共和国证券投资基金法》和《南方恒庆一年定期开放债券型证券投资基金基金合同》负责公开募集。本基金为契约型定期开放式，存续期限不定，首次设立募集不包括认购资金利息共募集人民币6,345,209,539.95元，业经普华永道中天会计师事务所(特殊普通合伙)普华永道中天验字(2019)第0228号验资报告予以验证。经向中国证监会备案，《南方恒庆一年定期开放债券型证券投资基金基金合同》于2019年5月21日正式生效，基金合同生效日的基金份额总额为6,346,341,619.04份基金份额，其中认购资金利息折合1,132,079.09份基金份额。本基金的基金管理人为南方基金管理股份有限公司，基金托管人为交通银行股份有限公司。</w:t>
      </w:r>
    </w:p>
    <w:p w14:paraId="4D1AC59E">
      <w:pPr>
        <w:pStyle w:val="25"/>
        <w:rPr>
          <w:rFonts w:hint="eastAsia"/>
        </w:rPr>
      </w:pPr>
      <w:r>
        <w:rPr>
          <w:rFonts w:hint="eastAsia"/>
        </w:rPr>
        <w:t>根据《南方恒庆一年定期开放债券型证券投资基金基金合同》和《南方恒庆一年定期开放债券型证券投资基金招募说明书》的有关规定，本基金自基金合同生效后，每年开放一次申购和赎回。本基金在封闭期内不办理申购与赎回业务，也不上市交易。</w:t>
      </w:r>
    </w:p>
    <w:p w14:paraId="42ABBF25">
      <w:pPr>
        <w:pStyle w:val="25"/>
        <w:rPr>
          <w:rFonts w:hint="eastAsia"/>
        </w:rPr>
      </w:pPr>
      <w:r>
        <w:rPr>
          <w:rFonts w:hint="eastAsia"/>
        </w:rPr>
        <w:t>根据本基金的基金管理人南方基金管理股份有限公司于2021年9月3日发布的《关于南方恒庆一年定期开放债券型证券投资基金第二个封闭期到期后暂停运作、不开放申购及转换转入等安排的公告》和于2022年11月25日发布的《关于南方恒庆一年定期开放债券型证券投资基金重启运作并开放申购、转换转入业务的公告》，本基金于第二个封闭期到期起(即2021年9月8日起)暂停运作，并于2022年11月28日起重启本基金的运作，并在开放申购、转换转入业务后进入下一个封闭期。</w:t>
      </w:r>
    </w:p>
    <w:p w14:paraId="2EA3A707">
      <w:pPr>
        <w:pStyle w:val="25"/>
        <w:rPr>
          <w:rFonts w:hint="eastAsia"/>
        </w:rPr>
      </w:pPr>
      <w:r>
        <w:rPr>
          <w:rFonts w:hint="eastAsia"/>
        </w:rPr>
        <w:t>本基金原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根据本基金的基金管理人南方基金管理股份有限公司于2022年1月21日发布的《关于南方恒庆一年定期开放债券型证券投资基金减少C类基金份额并修改基金合同的公告》，自2022年1月26日起，本基金减少C类基金份额，原A类基金份额变更为南方恒庆一年定开债券份额，其申购赎回业务规则以及费率结构均保持不变。</w:t>
      </w:r>
    </w:p>
    <w:p w14:paraId="7F1F2FC7">
      <w:pPr>
        <w:pStyle w:val="25"/>
        <w:rPr>
          <w:rFonts w:hint="eastAsia"/>
        </w:rPr>
      </w:pPr>
      <w:r>
        <w:rPr>
          <w:rFonts w:hint="eastAsia"/>
        </w:rPr>
        <w:t>根据《中华人民共和国证券投资基金法》和《南方恒庆一年定期开放债券型证券投资基金基金合同》的有关规定，本基金主要投资于债券(包括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需符合中国证监会的相关规定。本基金不投资股票、权证、可转换债券、可交换债券。本基金的投资组合比例为：本基金投资于债券资产的比例不低于基金资产的80%。本基金开放期开始前一个月、开放期以及开放期结束后的一个月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在每个封闭期起始日公布的一年期定期存款利率(税后)+1.5%。</w:t>
      </w:r>
    </w:p>
    <w:p w14:paraId="002B0992">
      <w:pPr>
        <w:pStyle w:val="25"/>
        <w:rPr>
          <w:rFonts w:hint="eastAsia"/>
        </w:rPr>
      </w:pPr>
      <w:r>
        <w:rPr>
          <w:rFonts w:hint="eastAsia"/>
        </w:rPr>
        <w:t>本财务报表由本基金的基金管理人南方基金管理股份有限公司于2026年3月27日批准报出。</w:t>
      </w:r>
    </w:p>
    <w:p w14:paraId="682BEACC">
      <w:pPr>
        <w:pStyle w:val="35"/>
      </w:pPr>
      <w:bookmarkStart w:id="50" w:name="_Toc50"/>
      <w:r>
        <w:t xml:space="preserve"> 会计报表的编制基础 </w:t>
      </w:r>
      <w:bookmarkEnd w:id="50"/>
    </w:p>
    <w:p w14:paraId="1DA57A8B">
      <w:pPr>
        <w:pStyle w:val="25"/>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7CC6F90">
      <w:pPr>
        <w:pStyle w:val="25"/>
        <w:rPr>
          <w:rFonts w:hint="eastAsia"/>
        </w:rPr>
      </w:pPr>
      <w:r>
        <w:rPr>
          <w:rFonts w:hint="eastAsia"/>
        </w:rPr>
        <w:t>本财务报表以持续经营为基础编制。</w:t>
      </w:r>
    </w:p>
    <w:p w14:paraId="152F55DB">
      <w:pPr>
        <w:pStyle w:val="35"/>
      </w:pPr>
      <w:bookmarkStart w:id="51" w:name="_Toc51"/>
      <w:r>
        <w:t xml:space="preserve"> 遵循企业会计准则及其他有关规定的声明</w:t>
      </w:r>
      <w:bookmarkEnd w:id="51"/>
    </w:p>
    <w:p w14:paraId="6C99C13A">
      <w:pPr>
        <w:pStyle w:val="25"/>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1908B80">
      <w:pPr>
        <w:pStyle w:val="35"/>
      </w:pPr>
      <w:bookmarkStart w:id="52" w:name="_Toc52"/>
      <w:r>
        <w:t xml:space="preserve">重要会计政策和会计估计 </w:t>
      </w:r>
      <w:bookmarkEnd w:id="52"/>
    </w:p>
    <w:p w14:paraId="0EE4672B">
      <w:pPr>
        <w:pStyle w:val="42"/>
      </w:pPr>
      <w:bookmarkStart w:id="53" w:name="_Toc53"/>
      <w:r>
        <w:t>会计年度</w:t>
      </w:r>
      <w:bookmarkEnd w:id="53"/>
    </w:p>
    <w:p w14:paraId="64696E47">
      <w:pPr>
        <w:pStyle w:val="25"/>
        <w:rPr>
          <w:rFonts w:hint="eastAsia"/>
        </w:rPr>
      </w:pPr>
      <w:r>
        <w:rPr>
          <w:rFonts w:hint="eastAsia"/>
        </w:rPr>
        <w:t>本基金会计年度为公历1月1日起至12月31日止。</w:t>
      </w:r>
    </w:p>
    <w:p w14:paraId="7B26C8CF">
      <w:pPr>
        <w:pStyle w:val="42"/>
      </w:pPr>
      <w:bookmarkStart w:id="54" w:name="_Toc54"/>
      <w:r>
        <w:t>记账本位币</w:t>
      </w:r>
      <w:bookmarkEnd w:id="54"/>
    </w:p>
    <w:p w14:paraId="55922553">
      <w:pPr>
        <w:pStyle w:val="25"/>
        <w:rPr>
          <w:rFonts w:hint="eastAsia"/>
        </w:rPr>
      </w:pPr>
      <w:r>
        <w:rPr>
          <w:rFonts w:hint="eastAsia"/>
        </w:rPr>
        <w:t>本基金的记账本位币为人民币。</w:t>
      </w:r>
    </w:p>
    <w:p w14:paraId="7193B5C1">
      <w:pPr>
        <w:pStyle w:val="42"/>
      </w:pPr>
      <w:bookmarkStart w:id="55" w:name="_Toc55"/>
      <w:r>
        <w:t>金融资产和金融负债的分类</w:t>
      </w:r>
      <w:bookmarkEnd w:id="55"/>
    </w:p>
    <w:p w14:paraId="7EBCA890">
      <w:pPr>
        <w:pStyle w:val="25"/>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26E6577">
      <w:pPr>
        <w:pStyle w:val="25"/>
        <w:rPr>
          <w:rFonts w:hint="eastAsia"/>
        </w:rPr>
      </w:pPr>
      <w:r>
        <w:rPr>
          <w:rFonts w:hint="eastAsia"/>
        </w:rPr>
        <w:t>(1)金融资产</w:t>
      </w:r>
    </w:p>
    <w:p w14:paraId="08D8C365">
      <w:pPr>
        <w:pStyle w:val="25"/>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当期损益的金融资产及以公允价值计量且其变动计入其他综合收益的金融资产。</w:t>
      </w:r>
    </w:p>
    <w:p w14:paraId="4E6D8154">
      <w:pPr>
        <w:pStyle w:val="25"/>
        <w:rPr>
          <w:rFonts w:hint="eastAsia"/>
        </w:rPr>
      </w:pPr>
      <w:r>
        <w:rPr>
          <w:rFonts w:hint="eastAsia"/>
        </w:rPr>
        <w:t>债务工具</w:t>
      </w:r>
    </w:p>
    <w:p w14:paraId="7BE0D63A">
      <w:pPr>
        <w:pStyle w:val="25"/>
        <w:rPr>
          <w:rFonts w:hint="eastAsia"/>
        </w:rPr>
      </w:pPr>
      <w:r>
        <w:rPr>
          <w:rFonts w:hint="eastAsia"/>
        </w:rPr>
        <w:t>本基金持有的债务工具是指从发行方角度分析符合金融负债定义的工具，以摊余成本计量：</w:t>
      </w:r>
    </w:p>
    <w:p w14:paraId="7F13FFF4">
      <w:pPr>
        <w:pStyle w:val="25"/>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债权投资、买入返售金融资产和其他各类应收款项等。</w:t>
      </w:r>
    </w:p>
    <w:p w14:paraId="06CF1890">
      <w:pPr>
        <w:pStyle w:val="25"/>
        <w:rPr>
          <w:rFonts w:hint="eastAsia"/>
        </w:rPr>
      </w:pPr>
      <w:r>
        <w:rPr>
          <w:rFonts w:hint="eastAsia"/>
        </w:rPr>
        <w:t>(2)金融负债</w:t>
      </w:r>
    </w:p>
    <w:p w14:paraId="545A5E05">
      <w:pPr>
        <w:pStyle w:val="25"/>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709DDD7">
      <w:pPr>
        <w:pStyle w:val="42"/>
      </w:pPr>
      <w:bookmarkStart w:id="56" w:name="_Toc56"/>
      <w:r>
        <w:t xml:space="preserve">金融资产和金融负债的初始确认、后续计量和终止确认 </w:t>
      </w:r>
      <w:bookmarkEnd w:id="56"/>
    </w:p>
    <w:p w14:paraId="5CC5EEEF">
      <w:pPr>
        <w:pStyle w:val="25"/>
        <w:rPr>
          <w:rFonts w:hint="eastAsia"/>
        </w:rPr>
      </w:pPr>
      <w:r>
        <w:rPr>
          <w:rFonts w:hint="eastAsia"/>
        </w:rPr>
        <w:t>金融资产或金融负债在初始确认时以公允价值计量。对于以摊余成本计量的金融资产和金融负债，取得时发生的相关交易费用计入初始确认金额；对于支付的价款中包含的债券或资产支持证券起息日或上次除息日至购买日止的利息，确认为应计利息，包含在债权投资的账面价值中。</w:t>
      </w:r>
    </w:p>
    <w:p w14:paraId="3942D520">
      <w:pPr>
        <w:pStyle w:val="25"/>
        <w:rPr>
          <w:rFonts w:hint="eastAsia"/>
        </w:rPr>
      </w:pPr>
      <w:r>
        <w:rPr>
          <w:rFonts w:hint="eastAsia"/>
        </w:rPr>
        <w:t>对于应收款项、债权投资和其他金融负债采用实际利率法，以摊余成本进行后续计量。</w:t>
      </w:r>
    </w:p>
    <w:p w14:paraId="4C2E96A7">
      <w:pPr>
        <w:pStyle w:val="25"/>
        <w:rPr>
          <w:rFonts w:hint="eastAsia"/>
        </w:rPr>
      </w:pPr>
      <w:r>
        <w:rPr>
          <w:rFonts w:hint="eastAsia"/>
        </w:rPr>
        <w:t>本基金对于以摊余成本计量的金融资产，以预期信用损失为基础确认损失准备。</w:t>
      </w:r>
    </w:p>
    <w:p w14:paraId="644B4F2B">
      <w:pPr>
        <w:pStyle w:val="25"/>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882F420">
      <w:pPr>
        <w:pStyle w:val="25"/>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F008E25">
      <w:pPr>
        <w:pStyle w:val="25"/>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839759B">
      <w:pPr>
        <w:pStyle w:val="25"/>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22C39F3">
      <w:pPr>
        <w:pStyle w:val="25"/>
        <w:rPr>
          <w:rFonts w:hint="eastAsia"/>
        </w:rPr>
      </w:pPr>
      <w:r>
        <w:rPr>
          <w:rFonts w:hint="eastAsia"/>
        </w:rPr>
        <w:t>本基金将计提或转回的损失准备计入当期损益。</w:t>
      </w:r>
    </w:p>
    <w:p w14:paraId="17A58A54">
      <w:pPr>
        <w:pStyle w:val="25"/>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7BEDF15">
      <w:pPr>
        <w:pStyle w:val="25"/>
        <w:rPr>
          <w:rFonts w:hint="eastAsia"/>
        </w:rPr>
      </w:pPr>
      <w:r>
        <w:rPr>
          <w:rFonts w:hint="eastAsia"/>
        </w:rPr>
        <w:t>金融资产终止确认时，其账面价值与收到的对价的差额，计入当期损益。</w:t>
      </w:r>
    </w:p>
    <w:p w14:paraId="39FB961D">
      <w:pPr>
        <w:pStyle w:val="25"/>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5C7740F">
      <w:pPr>
        <w:pStyle w:val="42"/>
      </w:pPr>
      <w:bookmarkStart w:id="57" w:name="_Toc57"/>
      <w:r>
        <w:t>金融资产和金融负债的估值原则</w:t>
      </w:r>
      <w:bookmarkEnd w:id="57"/>
    </w:p>
    <w:p w14:paraId="00E8394F">
      <w:pPr>
        <w:pStyle w:val="25"/>
        <w:rPr>
          <w:rFonts w:hint="eastAsia"/>
        </w:rPr>
      </w:pPr>
      <w:r>
        <w:rPr>
          <w:rFonts w:hint="eastAsia"/>
        </w:rPr>
        <w:t>不适用。</w:t>
      </w:r>
    </w:p>
    <w:p w14:paraId="753F7970">
      <w:pPr>
        <w:pStyle w:val="42"/>
      </w:pPr>
      <w:bookmarkStart w:id="58" w:name="_Toc58"/>
      <w:r>
        <w:t>金融资产和金融负债的抵销</w:t>
      </w:r>
      <w:bookmarkEnd w:id="58"/>
    </w:p>
    <w:p w14:paraId="2D98F55B">
      <w:pPr>
        <w:pStyle w:val="25"/>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27DF912">
      <w:pPr>
        <w:pStyle w:val="42"/>
      </w:pPr>
      <w:bookmarkStart w:id="59" w:name="_Toc59"/>
      <w:r>
        <w:t>实收基金</w:t>
      </w:r>
      <w:bookmarkEnd w:id="59"/>
    </w:p>
    <w:p w14:paraId="555CB8A6">
      <w:pPr>
        <w:pStyle w:val="25"/>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93B4AE5">
      <w:pPr>
        <w:pStyle w:val="25"/>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BFC3B79">
      <w:pPr>
        <w:pStyle w:val="25"/>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7D87A82">
      <w:pPr>
        <w:pStyle w:val="25"/>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2428997">
      <w:pPr>
        <w:pStyle w:val="25"/>
        <w:rPr>
          <w:rFonts w:hint="eastAsia"/>
        </w:rPr>
      </w:pPr>
      <w:r>
        <w:rPr>
          <w:rFonts w:hint="eastAsia"/>
        </w:rPr>
        <w:t>本基金将实收基金分类为权益工具，列报于净资产。</w:t>
      </w:r>
    </w:p>
    <w:p w14:paraId="59C521D7">
      <w:pPr>
        <w:pStyle w:val="42"/>
      </w:pPr>
      <w:bookmarkStart w:id="60" w:name="_Toc60"/>
      <w:r>
        <w:t>损益平准金</w:t>
      </w:r>
      <w:bookmarkEnd w:id="60"/>
    </w:p>
    <w:p w14:paraId="32D68DC9">
      <w:pPr>
        <w:pStyle w:val="25"/>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1F8A1B1">
      <w:pPr>
        <w:pStyle w:val="42"/>
      </w:pPr>
      <w:bookmarkStart w:id="61" w:name="_Toc61"/>
      <w:r>
        <w:t>收入/（损失）的确认和计量</w:t>
      </w:r>
      <w:bookmarkEnd w:id="61"/>
    </w:p>
    <w:p w14:paraId="4B3A8B43">
      <w:pPr>
        <w:pStyle w:val="25"/>
        <w:rPr>
          <w:rFonts w:hint="eastAsia"/>
        </w:rPr>
      </w:pPr>
      <w:r>
        <w:rPr>
          <w:rFonts w:hint="eastAsia"/>
        </w:rPr>
        <w:t>债券投资和资产支持证券投资在持有期间按实际利率计算的利息扣除在适用情况下由债券和资产支持证券发行企业代扣代缴的个人所得税及由基金管理人缴纳的增值税后的净额确认为利息收入。</w:t>
      </w:r>
    </w:p>
    <w:p w14:paraId="4F328849">
      <w:pPr>
        <w:pStyle w:val="25"/>
        <w:rPr>
          <w:rFonts w:hint="eastAsia"/>
        </w:rPr>
      </w:pPr>
      <w:r>
        <w:rPr>
          <w:rFonts w:hint="eastAsia"/>
        </w:rPr>
        <w:t>以摊余成本计量的金融资产于处置时，其处置价格扣除相关交易费用后的净额与账面价值之间的差额确认为投资收益。</w:t>
      </w:r>
    </w:p>
    <w:p w14:paraId="4F582AD7">
      <w:pPr>
        <w:pStyle w:val="25"/>
        <w:rPr>
          <w:rFonts w:hint="eastAsia"/>
        </w:rPr>
      </w:pPr>
      <w:r>
        <w:rPr>
          <w:rFonts w:hint="eastAsia"/>
        </w:rPr>
        <w:t>应收款项在持有期间确认的利息收入按实际利率法计算，实际利率法与直线法差异较小的则按直线法计算。</w:t>
      </w:r>
    </w:p>
    <w:p w14:paraId="5DE4147C">
      <w:pPr>
        <w:pStyle w:val="42"/>
      </w:pPr>
      <w:bookmarkStart w:id="62" w:name="_Toc62"/>
      <w:r>
        <w:t>费用的确认和计量</w:t>
      </w:r>
      <w:bookmarkEnd w:id="62"/>
    </w:p>
    <w:p w14:paraId="1B6A489B">
      <w:pPr>
        <w:pStyle w:val="25"/>
        <w:rPr>
          <w:rFonts w:hint="eastAsia"/>
        </w:rPr>
      </w:pPr>
      <w:r>
        <w:rPr>
          <w:rFonts w:hint="eastAsia"/>
        </w:rPr>
        <w:t>本基金的管理人报酬和托管费在费用涵盖期间按基金合同约定的费率和计算方法逐日确认。</w:t>
      </w:r>
    </w:p>
    <w:p w14:paraId="48DDBFAB">
      <w:pPr>
        <w:pStyle w:val="25"/>
        <w:rPr>
          <w:rFonts w:hint="eastAsia"/>
        </w:rPr>
      </w:pPr>
      <w:r>
        <w:rPr>
          <w:rFonts w:hint="eastAsia"/>
        </w:rPr>
        <w:t>以摊余成本计量的金融负债在持有期间确认的利息支出按实际利率法计算，实际利率法与直线法差异较小的则按直线法计算。</w:t>
      </w:r>
    </w:p>
    <w:p w14:paraId="5F586321">
      <w:pPr>
        <w:pStyle w:val="42"/>
      </w:pPr>
      <w:bookmarkStart w:id="63" w:name="_Toc63"/>
      <w:r>
        <w:t>基金的收益分配政策</w:t>
      </w:r>
      <w:bookmarkEnd w:id="63"/>
    </w:p>
    <w:p w14:paraId="704BB4FE">
      <w:pPr>
        <w:pStyle w:val="25"/>
        <w:rPr>
          <w:rFonts w:hint="eastAsia"/>
        </w:rPr>
      </w:pPr>
      <w:r>
        <w:rPr>
          <w:rFonts w:hint="eastAsia"/>
        </w:rPr>
        <w:t>每一基金份额享有同等分配权。本基金的收益分配仅采用现金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120C065">
      <w:pPr>
        <w:pStyle w:val="25"/>
        <w:rPr>
          <w:rFonts w:hint="eastAsia"/>
        </w:rPr>
      </w:pPr>
      <w:r>
        <w:rPr>
          <w:rFonts w:hint="eastAsia"/>
        </w:rPr>
        <w:t>经宣告的拟分配基金收益于分红除权日从净资产转出。</w:t>
      </w:r>
    </w:p>
    <w:p w14:paraId="6FBAFC0B">
      <w:pPr>
        <w:pStyle w:val="42"/>
      </w:pPr>
      <w:bookmarkStart w:id="64" w:name="_Toc64"/>
      <w:r>
        <w:t xml:space="preserve"> 分部报告</w:t>
      </w:r>
      <w:bookmarkEnd w:id="64"/>
    </w:p>
    <w:p w14:paraId="30B4419D">
      <w:pPr>
        <w:pStyle w:val="25"/>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B6B87B4">
      <w:pPr>
        <w:pStyle w:val="25"/>
        <w:rPr>
          <w:rFonts w:hint="eastAsia"/>
        </w:rPr>
      </w:pPr>
      <w:r>
        <w:rPr>
          <w:rFonts w:hint="eastAsia"/>
        </w:rPr>
        <w:t>本基金目前以一个单一的经营分部运作，不需要披露分部信息。</w:t>
      </w:r>
    </w:p>
    <w:p w14:paraId="277E3FFE">
      <w:pPr>
        <w:pStyle w:val="42"/>
      </w:pPr>
      <w:bookmarkStart w:id="65" w:name="_Toc65"/>
      <w:r>
        <w:t>其他重要的会计政策和会计估计</w:t>
      </w:r>
      <w:bookmarkEnd w:id="65"/>
    </w:p>
    <w:p w14:paraId="33B6A691">
      <w:r>
        <w:rPr>
          <w:rFonts w:hint="eastAsia"/>
        </w:rPr>
        <w:t>预期信用损失的计量</w:t>
      </w:r>
    </w:p>
    <w:p w14:paraId="6D27F865">
      <w:pPr>
        <w:rPr>
          <w:rFonts w:hint="eastAsia"/>
        </w:rPr>
      </w:pPr>
    </w:p>
    <w:p w14:paraId="0120DFF9">
      <w:r>
        <w:rPr>
          <w:rFonts w:hint="eastAsia"/>
        </w:rPr>
        <w:t>对于以摊余成本计量的金融资产，其预期信用损失的计量中使用了模型和假设，这些模型和假设涉及未来的宏观经济情况和对手方的信用行为。在预期信用损失的计量中所包含的重大判断和假设主要包括：选择恰当的预期信用损失模型并确定相关参数、减值阶段划分的判断标准以及用于计量预期信用损失的前瞻性信息及其权重的采用等。本基金管理人通过违约风险敞口和预期信用损失率计算预期信用损失，并基于违约概率和违约损失率确定预期信用损失率。在划分减值阶段及确定预期信用损失率时，本基金管理人使用可获取的外部评级、外部报告和外部统计数据等，并定期监控和复核与预期信用损失计算相关的重要宏观经济假设和参数。</w:t>
      </w:r>
    </w:p>
    <w:p w14:paraId="5361DF9B">
      <w:pPr>
        <w:rPr>
          <w:rFonts w:hint="eastAsia"/>
        </w:rPr>
      </w:pPr>
    </w:p>
    <w:p w14:paraId="1B696A07">
      <w:r>
        <w:rPr>
          <w:rFonts w:hint="eastAsia"/>
        </w:rPr>
        <w:t>在考虑前瞻性信息时，本基金考虑了不同的宏观经济情景。本年度，“基准”、“不利”及“有利”这三种经济情景的权重分别是80%、10%和10%(上年度：同)。本基金定期监控并复核与预期信用损失计算相关的重要宏观经济假设和参数，包括经济下滑的风险、外部市场环境、技术环境、客户情况的变化、国内生产总值和消费者物价指数等。本年度及上年度可比期间，各情景中所使用的关键宏观经济参数列示如下：</w:t>
      </w:r>
    </w:p>
    <w:tbl>
      <w:tblPr>
        <w:tblStyle w:val="20"/>
        <w:tblW w:w="5000" w:type="pct"/>
        <w:jc w:val="center"/>
        <w:tblLayout w:type="fixed"/>
        <w:tblCellMar>
          <w:top w:w="0" w:type="dxa"/>
          <w:left w:w="108" w:type="dxa"/>
          <w:bottom w:w="0" w:type="dxa"/>
          <w:right w:w="108" w:type="dxa"/>
        </w:tblCellMar>
      </w:tblPr>
      <w:tblGrid>
        <w:gridCol w:w="2012"/>
        <w:gridCol w:w="2170"/>
        <w:gridCol w:w="2170"/>
        <w:gridCol w:w="2170"/>
      </w:tblGrid>
      <w:tr w14:paraId="3B1270A8">
        <w:tblPrEx>
          <w:tblCellMar>
            <w:top w:w="0" w:type="dxa"/>
            <w:left w:w="108" w:type="dxa"/>
            <w:bottom w:w="0" w:type="dxa"/>
            <w:right w:w="108" w:type="dxa"/>
          </w:tblCellMar>
        </w:tblPrEx>
        <w:trPr>
          <w:cantSplit/>
          <w:jc w:val="center"/>
        </w:trPr>
        <w:tc>
          <w:tcPr>
            <w:tcW w:w="1961" w:type="dxa"/>
          </w:tcPr>
          <w:p w14:paraId="577EF5E6">
            <w:pPr>
              <w:keepNext/>
              <w:keepLines/>
              <w:rPr>
                <w:rFonts w:ascii="宋体" w:hAnsi="宋体"/>
                <w:color w:val="000000" w:themeColor="text1"/>
                <w:sz w:val="24"/>
                <w14:textFill>
                  <w14:solidFill>
                    <w14:schemeClr w14:val="tx1"/>
                  </w14:solidFill>
                </w14:textFill>
              </w:rPr>
            </w:pPr>
          </w:p>
        </w:tc>
        <w:tc>
          <w:tcPr>
            <w:tcW w:w="6345" w:type="dxa"/>
            <w:gridSpan w:val="3"/>
            <w:tcBorders>
              <w:top w:val="nil"/>
              <w:left w:val="nil"/>
              <w:bottom w:val="single" w:color="auto" w:sz="4" w:space="0"/>
              <w:right w:val="nil"/>
            </w:tcBorders>
          </w:tcPr>
          <w:p w14:paraId="3CAC5A56">
            <w:pPr>
              <w:keepNext/>
              <w:keepLines/>
              <w:jc w:val="center"/>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经济情景</w:t>
            </w:r>
          </w:p>
        </w:tc>
      </w:tr>
      <w:tr w14:paraId="5CA9B47B">
        <w:tblPrEx>
          <w:tblCellMar>
            <w:top w:w="0" w:type="dxa"/>
            <w:left w:w="108" w:type="dxa"/>
            <w:bottom w:w="0" w:type="dxa"/>
            <w:right w:w="108" w:type="dxa"/>
          </w:tblCellMar>
        </w:tblPrEx>
        <w:trPr>
          <w:cantSplit/>
          <w:jc w:val="center"/>
        </w:trPr>
        <w:tc>
          <w:tcPr>
            <w:tcW w:w="1961" w:type="dxa"/>
          </w:tcPr>
          <w:p w14:paraId="4D78A796">
            <w:pPr>
              <w:keepNext/>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国内生产总值</w:t>
            </w:r>
          </w:p>
        </w:tc>
        <w:tc>
          <w:tcPr>
            <w:tcW w:w="2115" w:type="dxa"/>
            <w:tcBorders>
              <w:top w:val="single" w:color="auto" w:sz="4" w:space="0"/>
              <w:left w:val="nil"/>
              <w:bottom w:val="nil"/>
              <w:right w:val="nil"/>
            </w:tcBorders>
          </w:tcPr>
          <w:p w14:paraId="28C1F511">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基准</w:t>
            </w:r>
          </w:p>
        </w:tc>
        <w:tc>
          <w:tcPr>
            <w:tcW w:w="2115" w:type="dxa"/>
            <w:tcBorders>
              <w:top w:val="single" w:color="auto" w:sz="4" w:space="0"/>
              <w:left w:val="nil"/>
              <w:bottom w:val="nil"/>
              <w:right w:val="nil"/>
            </w:tcBorders>
          </w:tcPr>
          <w:p w14:paraId="33E36345">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不利</w:t>
            </w:r>
          </w:p>
        </w:tc>
        <w:tc>
          <w:tcPr>
            <w:tcW w:w="2115" w:type="dxa"/>
            <w:tcBorders>
              <w:top w:val="single" w:color="auto" w:sz="4" w:space="0"/>
              <w:left w:val="nil"/>
              <w:bottom w:val="nil"/>
              <w:right w:val="nil"/>
            </w:tcBorders>
          </w:tcPr>
          <w:p w14:paraId="35641C98">
            <w:pPr>
              <w:keepNext/>
              <w:keepLines/>
              <w:jc w:val="right"/>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有利</w:t>
            </w:r>
          </w:p>
        </w:tc>
      </w:tr>
      <w:tr w14:paraId="339B6057">
        <w:tblPrEx>
          <w:tblCellMar>
            <w:top w:w="0" w:type="dxa"/>
            <w:left w:w="108" w:type="dxa"/>
            <w:bottom w:w="0" w:type="dxa"/>
            <w:right w:w="108" w:type="dxa"/>
          </w:tblCellMar>
        </w:tblPrEx>
        <w:trPr>
          <w:cantSplit/>
          <w:jc w:val="center"/>
        </w:trPr>
        <w:tc>
          <w:tcPr>
            <w:tcW w:w="1961" w:type="dxa"/>
          </w:tcPr>
          <w:p w14:paraId="757DB489">
            <w:pPr>
              <w:keepNext/>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2025年度</w:t>
            </w:r>
          </w:p>
        </w:tc>
        <w:tc>
          <w:tcPr>
            <w:tcW w:w="2115" w:type="dxa"/>
          </w:tcPr>
          <w:p w14:paraId="7283F483">
            <w:pPr>
              <w:keepLines/>
              <w:jc w:val="righ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4.57%</w:t>
            </w:r>
          </w:p>
        </w:tc>
        <w:tc>
          <w:tcPr>
            <w:tcW w:w="2115" w:type="dxa"/>
          </w:tcPr>
          <w:p w14:paraId="4B483276">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2.24%</w:t>
            </w:r>
          </w:p>
        </w:tc>
        <w:tc>
          <w:tcPr>
            <w:tcW w:w="2115" w:type="dxa"/>
          </w:tcPr>
          <w:p w14:paraId="2BC4AFDC">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6.23</w:t>
            </w:r>
            <w:r>
              <w:rPr>
                <w:rFonts w:ascii="宋体" w:hAnsi="宋体"/>
                <w:color w:val="000000" w:themeColor="text1"/>
                <w:sz w:val="24"/>
                <w14:textFill>
                  <w14:solidFill>
                    <w14:schemeClr w14:val="tx1"/>
                  </w14:solidFill>
                </w14:textFill>
              </w:rPr>
              <w:t>%</w:t>
            </w:r>
          </w:p>
        </w:tc>
      </w:tr>
      <w:tr w14:paraId="6EBCD9D5">
        <w:tblPrEx>
          <w:tblCellMar>
            <w:top w:w="0" w:type="dxa"/>
            <w:left w:w="108" w:type="dxa"/>
            <w:bottom w:w="0" w:type="dxa"/>
            <w:right w:w="108" w:type="dxa"/>
          </w:tblCellMar>
        </w:tblPrEx>
        <w:trPr>
          <w:cantSplit/>
          <w:jc w:val="center"/>
        </w:trPr>
        <w:tc>
          <w:tcPr>
            <w:tcW w:w="1961" w:type="dxa"/>
          </w:tcPr>
          <w:p w14:paraId="6ACBC624">
            <w:pPr>
              <w:keepLines/>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2024年度</w:t>
            </w:r>
          </w:p>
        </w:tc>
        <w:tc>
          <w:tcPr>
            <w:tcW w:w="2115" w:type="dxa"/>
          </w:tcPr>
          <w:p w14:paraId="267D396F">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4.45</w:t>
            </w:r>
            <w:r>
              <w:rPr>
                <w:rFonts w:ascii="宋体" w:hAnsi="宋体"/>
                <w:color w:val="000000" w:themeColor="text1"/>
                <w:sz w:val="24"/>
                <w14:textFill>
                  <w14:solidFill>
                    <w14:schemeClr w14:val="tx1"/>
                  </w14:solidFill>
                </w14:textFill>
              </w:rPr>
              <w:t>%</w:t>
            </w:r>
          </w:p>
        </w:tc>
        <w:tc>
          <w:tcPr>
            <w:tcW w:w="2115" w:type="dxa"/>
          </w:tcPr>
          <w:p w14:paraId="2D110F99">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2.04</w:t>
            </w:r>
            <w:r>
              <w:rPr>
                <w:rFonts w:ascii="宋体" w:hAnsi="宋体"/>
                <w:color w:val="000000" w:themeColor="text1"/>
                <w:sz w:val="24"/>
                <w14:textFill>
                  <w14:solidFill>
                    <w14:schemeClr w14:val="tx1"/>
                  </w14:solidFill>
                </w14:textFill>
              </w:rPr>
              <w:t>%</w:t>
            </w:r>
          </w:p>
        </w:tc>
        <w:tc>
          <w:tcPr>
            <w:tcW w:w="2115" w:type="dxa"/>
          </w:tcPr>
          <w:p w14:paraId="029023DF">
            <w:pPr>
              <w:keepLines/>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6.22</w:t>
            </w:r>
            <w:r>
              <w:rPr>
                <w:rFonts w:ascii="宋体" w:hAnsi="宋体"/>
                <w:color w:val="000000" w:themeColor="text1"/>
                <w:sz w:val="24"/>
                <w14:textFill>
                  <w14:solidFill>
                    <w14:schemeClr w14:val="tx1"/>
                  </w14:solidFill>
                </w14:textFill>
              </w:rPr>
              <w:t>%</w:t>
            </w:r>
          </w:p>
        </w:tc>
      </w:tr>
    </w:tbl>
    <w:p w14:paraId="3F5318CF">
      <w:pPr>
        <w:pStyle w:val="35"/>
      </w:pPr>
      <w:bookmarkStart w:id="66" w:name="_Toc66"/>
      <w:r>
        <w:t xml:space="preserve">会计政策和会计估计变更以及差错更正的说明 </w:t>
      </w:r>
      <w:bookmarkEnd w:id="66"/>
    </w:p>
    <w:p w14:paraId="40B98289">
      <w:pPr>
        <w:pStyle w:val="42"/>
      </w:pPr>
      <w:bookmarkStart w:id="67" w:name="_Toc67"/>
      <w:r>
        <w:t xml:space="preserve">会计政策变更的说明 </w:t>
      </w:r>
      <w:bookmarkEnd w:id="67"/>
    </w:p>
    <w:p w14:paraId="2B50B3EA">
      <w:pPr>
        <w:pStyle w:val="25"/>
        <w:rPr>
          <w:rFonts w:hint="eastAsia"/>
        </w:rPr>
      </w:pPr>
      <w:r>
        <w:rPr>
          <w:rFonts w:hint="eastAsia"/>
        </w:rPr>
        <w:t>本基金本报告期未发生会计政策变更。</w:t>
      </w:r>
    </w:p>
    <w:p w14:paraId="0981ABB7">
      <w:pPr>
        <w:pStyle w:val="42"/>
      </w:pPr>
      <w:bookmarkStart w:id="68" w:name="_Toc68"/>
      <w:r>
        <w:t>会计估计变更的说明</w:t>
      </w:r>
      <w:bookmarkEnd w:id="68"/>
    </w:p>
    <w:p w14:paraId="666CA5D2">
      <w:pPr>
        <w:pStyle w:val="25"/>
        <w:rPr>
          <w:rFonts w:hint="eastAsia"/>
        </w:rPr>
      </w:pPr>
      <w:r>
        <w:rPr>
          <w:rFonts w:hint="eastAsia"/>
        </w:rPr>
        <w:t>本基金本报告期未发生会计估计变更。</w:t>
      </w:r>
    </w:p>
    <w:p w14:paraId="3BA7D3B9">
      <w:pPr>
        <w:pStyle w:val="42"/>
      </w:pPr>
      <w:bookmarkStart w:id="69" w:name="_Toc69"/>
      <w:r>
        <w:t>差错更正的说明</w:t>
      </w:r>
      <w:bookmarkEnd w:id="69"/>
    </w:p>
    <w:p w14:paraId="1EBD5C07">
      <w:pPr>
        <w:pStyle w:val="25"/>
        <w:rPr>
          <w:rFonts w:hint="eastAsia"/>
        </w:rPr>
      </w:pPr>
      <w:r>
        <w:rPr>
          <w:rFonts w:hint="eastAsia"/>
        </w:rPr>
        <w:t>本基金在本报告期间无须说明的会计差错更正。</w:t>
      </w:r>
    </w:p>
    <w:p w14:paraId="7288A2A4">
      <w:pPr>
        <w:pStyle w:val="35"/>
      </w:pPr>
      <w:bookmarkStart w:id="70" w:name="_Toc70"/>
      <w:r>
        <w:t>税项</w:t>
      </w:r>
      <w:bookmarkEnd w:id="70"/>
    </w:p>
    <w:p w14:paraId="6F893E59">
      <w:pPr>
        <w:pStyle w:val="25"/>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4ECA29D">
      <w:pPr>
        <w:pStyle w:val="25"/>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A7A64C8">
      <w:pPr>
        <w:pStyle w:val="25"/>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F09B66F">
      <w:pPr>
        <w:pStyle w:val="25"/>
        <w:rPr>
          <w:rFonts w:hint="eastAsia"/>
        </w:rPr>
      </w:pPr>
      <w:r>
        <w:rPr>
          <w:rFonts w:hint="eastAsia"/>
        </w:rPr>
        <w:t>(2)对基金从证券市场中取得的收入，包括买卖债券的差价收入，债券的利息收入及其他收入，暂不征收企业所得税。</w:t>
      </w:r>
    </w:p>
    <w:p w14:paraId="24491D14">
      <w:pPr>
        <w:pStyle w:val="25"/>
        <w:rPr>
          <w:rFonts w:hint="eastAsia"/>
        </w:rPr>
      </w:pPr>
      <w:r>
        <w:rPr>
          <w:rFonts w:hint="eastAsia"/>
        </w:rPr>
        <w:t>(3)对基金取得的企业债券利息收入，应由发行债券的企业在向基金支付利息时代扣代缴20%的个人所得税。</w:t>
      </w:r>
    </w:p>
    <w:p w14:paraId="2EBF825D">
      <w:pPr>
        <w:pStyle w:val="25"/>
        <w:rPr>
          <w:rFonts w:hint="eastAsia"/>
        </w:rPr>
      </w:pPr>
      <w:r>
        <w:rPr>
          <w:rFonts w:hint="eastAsia"/>
        </w:rPr>
        <w:t>(4)本基金的城市维护建设税、教育费附加和地方教育附加等税费按照实际缴纳增值税额的适用比例计算缴纳。</w:t>
      </w:r>
    </w:p>
    <w:p w14:paraId="7B9CE9D3">
      <w:pPr>
        <w:pStyle w:val="35"/>
      </w:pPr>
      <w:bookmarkStart w:id="71" w:name="_Toc71"/>
      <w:r>
        <w:t xml:space="preserve">重要财务报表项目的说明 </w:t>
      </w:r>
      <w:bookmarkEnd w:id="71"/>
    </w:p>
    <w:p w14:paraId="75006AF8">
      <w:pPr>
        <w:pStyle w:val="42"/>
      </w:pPr>
      <w:bookmarkStart w:id="72" w:name="_Toc72"/>
      <w:r>
        <w:t>货币资金</w:t>
      </w:r>
      <w:bookmarkEnd w:id="72"/>
    </w:p>
    <w:p w14:paraId="6AEAB663">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BB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EE8E28B">
            <w:pPr>
              <w:jc w:val="center"/>
            </w:pPr>
            <w:r>
              <w:rPr>
                <w:rFonts w:hint="eastAsia"/>
                <w:b/>
              </w:rPr>
              <w:t>项目</w:t>
            </w:r>
          </w:p>
        </w:tc>
        <w:tc>
          <w:tcPr>
            <w:tcW w:w="2768" w:type="dxa"/>
            <w:shd w:val="clear" w:color="auto" w:fill="BFBFBF"/>
            <w:vAlign w:val="center"/>
          </w:tcPr>
          <w:p w14:paraId="6DD15CCA">
            <w:pPr>
              <w:jc w:val="center"/>
            </w:pPr>
            <w:r>
              <w:rPr>
                <w:rFonts w:hint="eastAsia"/>
                <w:b/>
              </w:rPr>
              <w:t>本期末2025年12月31日</w:t>
            </w:r>
          </w:p>
        </w:tc>
        <w:tc>
          <w:tcPr>
            <w:tcW w:w="2768" w:type="dxa"/>
            <w:shd w:val="clear" w:color="auto" w:fill="BFBFBF"/>
            <w:vAlign w:val="center"/>
          </w:tcPr>
          <w:p w14:paraId="59479988">
            <w:pPr>
              <w:jc w:val="center"/>
            </w:pPr>
            <w:r>
              <w:rPr>
                <w:rFonts w:hint="eastAsia"/>
                <w:b/>
              </w:rPr>
              <w:t>上年度末2024年12月31日</w:t>
            </w:r>
          </w:p>
        </w:tc>
      </w:tr>
      <w:tr w14:paraId="7F12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7F41E">
            <w:r>
              <w:rPr>
                <w:rFonts w:hint="eastAsia"/>
              </w:rPr>
              <w:t>活期存款</w:t>
            </w:r>
          </w:p>
        </w:tc>
        <w:tc>
          <w:tcPr>
            <w:tcW w:w="2768" w:type="dxa"/>
            <w:vAlign w:val="center"/>
          </w:tcPr>
          <w:p w14:paraId="1CC3CF7F">
            <w:pPr>
              <w:jc w:val="right"/>
            </w:pPr>
            <w:r>
              <w:rPr>
                <w:rFonts w:hint="eastAsia"/>
              </w:rPr>
              <w:t>5,872,599.25</w:t>
            </w:r>
          </w:p>
        </w:tc>
        <w:tc>
          <w:tcPr>
            <w:tcW w:w="2768" w:type="dxa"/>
            <w:vAlign w:val="center"/>
          </w:tcPr>
          <w:p w14:paraId="54B26213">
            <w:pPr>
              <w:jc w:val="right"/>
            </w:pPr>
            <w:r>
              <w:rPr>
                <w:rFonts w:hint="eastAsia"/>
              </w:rPr>
              <w:t>453,826.06</w:t>
            </w:r>
          </w:p>
        </w:tc>
      </w:tr>
      <w:tr w14:paraId="3889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6D048">
            <w:r>
              <w:rPr>
                <w:rFonts w:hint="eastAsia"/>
              </w:rPr>
              <w:t>等于：本金</w:t>
            </w:r>
          </w:p>
        </w:tc>
        <w:tc>
          <w:tcPr>
            <w:tcW w:w="2768" w:type="dxa"/>
            <w:vAlign w:val="center"/>
          </w:tcPr>
          <w:p w14:paraId="7F2F857A">
            <w:pPr>
              <w:jc w:val="right"/>
            </w:pPr>
            <w:r>
              <w:rPr>
                <w:rFonts w:hint="eastAsia"/>
              </w:rPr>
              <w:t>5,794,994.53</w:t>
            </w:r>
          </w:p>
        </w:tc>
        <w:tc>
          <w:tcPr>
            <w:tcW w:w="2768" w:type="dxa"/>
            <w:vAlign w:val="center"/>
          </w:tcPr>
          <w:p w14:paraId="5F060D8E">
            <w:pPr>
              <w:jc w:val="right"/>
            </w:pPr>
            <w:r>
              <w:rPr>
                <w:rFonts w:hint="eastAsia"/>
              </w:rPr>
              <w:t>199,192.24</w:t>
            </w:r>
          </w:p>
        </w:tc>
      </w:tr>
      <w:tr w14:paraId="3F1D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BAD5D">
            <w:r>
              <w:rPr>
                <w:rFonts w:hint="eastAsia"/>
              </w:rPr>
              <w:t xml:space="preserve">      加：应计利息</w:t>
            </w:r>
          </w:p>
        </w:tc>
        <w:tc>
          <w:tcPr>
            <w:tcW w:w="2768" w:type="dxa"/>
            <w:vAlign w:val="center"/>
          </w:tcPr>
          <w:p w14:paraId="335D9AD6">
            <w:pPr>
              <w:jc w:val="right"/>
            </w:pPr>
            <w:r>
              <w:rPr>
                <w:rFonts w:hint="eastAsia"/>
              </w:rPr>
              <w:t>77,604.72</w:t>
            </w:r>
          </w:p>
        </w:tc>
        <w:tc>
          <w:tcPr>
            <w:tcW w:w="2768" w:type="dxa"/>
            <w:vAlign w:val="center"/>
          </w:tcPr>
          <w:p w14:paraId="0A581895">
            <w:pPr>
              <w:jc w:val="right"/>
            </w:pPr>
            <w:r>
              <w:rPr>
                <w:rFonts w:hint="eastAsia"/>
              </w:rPr>
              <w:t>254,633.82</w:t>
            </w:r>
          </w:p>
        </w:tc>
      </w:tr>
      <w:tr w14:paraId="7D06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037B2">
            <w:r>
              <w:rPr>
                <w:rFonts w:hint="eastAsia"/>
              </w:rPr>
              <w:t xml:space="preserve">      减：坏账准备</w:t>
            </w:r>
          </w:p>
        </w:tc>
        <w:tc>
          <w:tcPr>
            <w:tcW w:w="2768" w:type="dxa"/>
            <w:vAlign w:val="center"/>
          </w:tcPr>
          <w:p w14:paraId="58868D37">
            <w:pPr>
              <w:jc w:val="right"/>
            </w:pPr>
            <w:r>
              <w:rPr>
                <w:rFonts w:hint="eastAsia"/>
              </w:rPr>
              <w:t>-</w:t>
            </w:r>
          </w:p>
        </w:tc>
        <w:tc>
          <w:tcPr>
            <w:tcW w:w="2768" w:type="dxa"/>
            <w:vAlign w:val="center"/>
          </w:tcPr>
          <w:p w14:paraId="70C2A253">
            <w:pPr>
              <w:jc w:val="right"/>
            </w:pPr>
            <w:r>
              <w:rPr>
                <w:rFonts w:hint="eastAsia"/>
              </w:rPr>
              <w:t>-</w:t>
            </w:r>
          </w:p>
        </w:tc>
      </w:tr>
      <w:tr w14:paraId="330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8A5FA">
            <w:r>
              <w:rPr>
                <w:rFonts w:hint="eastAsia"/>
              </w:rPr>
              <w:t>定期存款</w:t>
            </w:r>
          </w:p>
        </w:tc>
        <w:tc>
          <w:tcPr>
            <w:tcW w:w="2768" w:type="dxa"/>
            <w:vAlign w:val="center"/>
          </w:tcPr>
          <w:p w14:paraId="5D42C439">
            <w:pPr>
              <w:jc w:val="right"/>
            </w:pPr>
            <w:r>
              <w:rPr>
                <w:rFonts w:hint="eastAsia"/>
              </w:rPr>
              <w:t>-</w:t>
            </w:r>
          </w:p>
        </w:tc>
        <w:tc>
          <w:tcPr>
            <w:tcW w:w="2768" w:type="dxa"/>
            <w:vAlign w:val="center"/>
          </w:tcPr>
          <w:p w14:paraId="7B24551B">
            <w:pPr>
              <w:jc w:val="right"/>
            </w:pPr>
            <w:r>
              <w:rPr>
                <w:rFonts w:hint="eastAsia"/>
              </w:rPr>
              <w:t>920,374,611.05</w:t>
            </w:r>
          </w:p>
        </w:tc>
      </w:tr>
      <w:tr w14:paraId="02BC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17D1A">
            <w:r>
              <w:rPr>
                <w:rFonts w:hint="eastAsia"/>
              </w:rPr>
              <w:t>等于：本金</w:t>
            </w:r>
          </w:p>
        </w:tc>
        <w:tc>
          <w:tcPr>
            <w:tcW w:w="2768" w:type="dxa"/>
            <w:vAlign w:val="center"/>
          </w:tcPr>
          <w:p w14:paraId="73FBA275">
            <w:pPr>
              <w:jc w:val="right"/>
            </w:pPr>
            <w:r>
              <w:rPr>
                <w:rFonts w:hint="eastAsia"/>
              </w:rPr>
              <w:t>-</w:t>
            </w:r>
          </w:p>
        </w:tc>
        <w:tc>
          <w:tcPr>
            <w:tcW w:w="2768" w:type="dxa"/>
            <w:vAlign w:val="center"/>
          </w:tcPr>
          <w:p w14:paraId="1F7E232F">
            <w:pPr>
              <w:jc w:val="right"/>
            </w:pPr>
            <w:r>
              <w:rPr>
                <w:rFonts w:hint="eastAsia"/>
              </w:rPr>
              <w:t>920,000,000.00</w:t>
            </w:r>
          </w:p>
        </w:tc>
      </w:tr>
      <w:tr w14:paraId="2BD4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F1895">
            <w:r>
              <w:rPr>
                <w:rFonts w:hint="eastAsia"/>
              </w:rPr>
              <w:t xml:space="preserve">      加：应计利息</w:t>
            </w:r>
          </w:p>
        </w:tc>
        <w:tc>
          <w:tcPr>
            <w:tcW w:w="2768" w:type="dxa"/>
            <w:vAlign w:val="center"/>
          </w:tcPr>
          <w:p w14:paraId="4F7C0489">
            <w:pPr>
              <w:jc w:val="right"/>
            </w:pPr>
            <w:r>
              <w:rPr>
                <w:rFonts w:hint="eastAsia"/>
              </w:rPr>
              <w:t>-</w:t>
            </w:r>
          </w:p>
        </w:tc>
        <w:tc>
          <w:tcPr>
            <w:tcW w:w="2768" w:type="dxa"/>
            <w:vAlign w:val="center"/>
          </w:tcPr>
          <w:p w14:paraId="6CC90260">
            <w:pPr>
              <w:jc w:val="right"/>
            </w:pPr>
            <w:r>
              <w:rPr>
                <w:rFonts w:hint="eastAsia"/>
              </w:rPr>
              <w:t>374,611.05</w:t>
            </w:r>
          </w:p>
        </w:tc>
      </w:tr>
      <w:tr w14:paraId="7541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7DAF3">
            <w:r>
              <w:rPr>
                <w:rFonts w:hint="eastAsia"/>
              </w:rPr>
              <w:t xml:space="preserve">      减：坏账准备</w:t>
            </w:r>
          </w:p>
        </w:tc>
        <w:tc>
          <w:tcPr>
            <w:tcW w:w="2768" w:type="dxa"/>
            <w:vAlign w:val="center"/>
          </w:tcPr>
          <w:p w14:paraId="7E6140EF">
            <w:pPr>
              <w:jc w:val="right"/>
            </w:pPr>
            <w:r>
              <w:rPr>
                <w:rFonts w:hint="eastAsia"/>
              </w:rPr>
              <w:t>-</w:t>
            </w:r>
          </w:p>
        </w:tc>
        <w:tc>
          <w:tcPr>
            <w:tcW w:w="2768" w:type="dxa"/>
            <w:vAlign w:val="center"/>
          </w:tcPr>
          <w:p w14:paraId="614D785B">
            <w:pPr>
              <w:jc w:val="right"/>
            </w:pPr>
            <w:r>
              <w:rPr>
                <w:rFonts w:hint="eastAsia"/>
              </w:rPr>
              <w:t>-</w:t>
            </w:r>
          </w:p>
        </w:tc>
      </w:tr>
      <w:tr w14:paraId="716C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0B81E">
            <w:r>
              <w:rPr>
                <w:rFonts w:hint="eastAsia"/>
              </w:rPr>
              <w:t>其中：存款期限1个月以内</w:t>
            </w:r>
          </w:p>
        </w:tc>
        <w:tc>
          <w:tcPr>
            <w:tcW w:w="2768" w:type="dxa"/>
            <w:vAlign w:val="center"/>
          </w:tcPr>
          <w:p w14:paraId="2C2D6B1D">
            <w:pPr>
              <w:jc w:val="right"/>
            </w:pPr>
            <w:r>
              <w:rPr>
                <w:rFonts w:hint="eastAsia"/>
              </w:rPr>
              <w:t>-</w:t>
            </w:r>
          </w:p>
        </w:tc>
        <w:tc>
          <w:tcPr>
            <w:tcW w:w="2768" w:type="dxa"/>
            <w:vAlign w:val="center"/>
          </w:tcPr>
          <w:p w14:paraId="4553F976">
            <w:pPr>
              <w:jc w:val="right"/>
            </w:pPr>
            <w:r>
              <w:rPr>
                <w:rFonts w:hint="eastAsia"/>
              </w:rPr>
              <w:t>-</w:t>
            </w:r>
          </w:p>
        </w:tc>
      </w:tr>
      <w:tr w14:paraId="4AFA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977B2">
            <w:r>
              <w:rPr>
                <w:rFonts w:hint="eastAsia"/>
              </w:rPr>
              <w:t xml:space="preserve">      存款期限1-3个月</w:t>
            </w:r>
          </w:p>
        </w:tc>
        <w:tc>
          <w:tcPr>
            <w:tcW w:w="2768" w:type="dxa"/>
            <w:vAlign w:val="center"/>
          </w:tcPr>
          <w:p w14:paraId="17F88950">
            <w:pPr>
              <w:jc w:val="right"/>
            </w:pPr>
            <w:r>
              <w:rPr>
                <w:rFonts w:hint="eastAsia"/>
              </w:rPr>
              <w:t>-</w:t>
            </w:r>
          </w:p>
        </w:tc>
        <w:tc>
          <w:tcPr>
            <w:tcW w:w="2768" w:type="dxa"/>
            <w:vAlign w:val="center"/>
          </w:tcPr>
          <w:p w14:paraId="110B3110">
            <w:pPr>
              <w:jc w:val="right"/>
            </w:pPr>
            <w:r>
              <w:rPr>
                <w:rFonts w:hint="eastAsia"/>
              </w:rPr>
              <w:t>-</w:t>
            </w:r>
          </w:p>
        </w:tc>
      </w:tr>
      <w:tr w14:paraId="11DA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93BE5">
            <w:r>
              <w:rPr>
                <w:rFonts w:hint="eastAsia"/>
              </w:rPr>
              <w:t xml:space="preserve">      存款期限3个月以上</w:t>
            </w:r>
          </w:p>
        </w:tc>
        <w:tc>
          <w:tcPr>
            <w:tcW w:w="2768" w:type="dxa"/>
            <w:vAlign w:val="center"/>
          </w:tcPr>
          <w:p w14:paraId="1FE779F8">
            <w:pPr>
              <w:jc w:val="right"/>
            </w:pPr>
            <w:r>
              <w:rPr>
                <w:rFonts w:hint="eastAsia"/>
              </w:rPr>
              <w:t>-</w:t>
            </w:r>
          </w:p>
        </w:tc>
        <w:tc>
          <w:tcPr>
            <w:tcW w:w="2768" w:type="dxa"/>
            <w:vAlign w:val="center"/>
          </w:tcPr>
          <w:p w14:paraId="0A0F1AB3">
            <w:pPr>
              <w:jc w:val="right"/>
            </w:pPr>
            <w:r>
              <w:rPr>
                <w:rFonts w:hint="eastAsia"/>
              </w:rPr>
              <w:t>920,374,611.05</w:t>
            </w:r>
          </w:p>
        </w:tc>
      </w:tr>
      <w:tr w14:paraId="775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4317D">
            <w:r>
              <w:rPr>
                <w:rFonts w:hint="eastAsia"/>
              </w:rPr>
              <w:t>其他存款</w:t>
            </w:r>
          </w:p>
        </w:tc>
        <w:tc>
          <w:tcPr>
            <w:tcW w:w="2768" w:type="dxa"/>
            <w:vAlign w:val="center"/>
          </w:tcPr>
          <w:p w14:paraId="67232510">
            <w:pPr>
              <w:jc w:val="right"/>
            </w:pPr>
            <w:r>
              <w:rPr>
                <w:rFonts w:hint="eastAsia"/>
              </w:rPr>
              <w:t>-</w:t>
            </w:r>
          </w:p>
        </w:tc>
        <w:tc>
          <w:tcPr>
            <w:tcW w:w="2768" w:type="dxa"/>
            <w:vAlign w:val="center"/>
          </w:tcPr>
          <w:p w14:paraId="219A96B4">
            <w:pPr>
              <w:jc w:val="right"/>
            </w:pPr>
            <w:r>
              <w:rPr>
                <w:rFonts w:hint="eastAsia"/>
              </w:rPr>
              <w:t>-</w:t>
            </w:r>
          </w:p>
        </w:tc>
      </w:tr>
      <w:tr w14:paraId="78F4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40549">
            <w:r>
              <w:rPr>
                <w:rFonts w:hint="eastAsia"/>
              </w:rPr>
              <w:t>等于：本金</w:t>
            </w:r>
          </w:p>
        </w:tc>
        <w:tc>
          <w:tcPr>
            <w:tcW w:w="2768" w:type="dxa"/>
            <w:vAlign w:val="center"/>
          </w:tcPr>
          <w:p w14:paraId="3A5F2CAC">
            <w:pPr>
              <w:jc w:val="right"/>
            </w:pPr>
            <w:r>
              <w:rPr>
                <w:rFonts w:hint="eastAsia"/>
              </w:rPr>
              <w:t>-</w:t>
            </w:r>
          </w:p>
        </w:tc>
        <w:tc>
          <w:tcPr>
            <w:tcW w:w="2768" w:type="dxa"/>
            <w:vAlign w:val="center"/>
          </w:tcPr>
          <w:p w14:paraId="0F2D59B4">
            <w:pPr>
              <w:jc w:val="right"/>
            </w:pPr>
            <w:r>
              <w:rPr>
                <w:rFonts w:hint="eastAsia"/>
              </w:rPr>
              <w:t>-</w:t>
            </w:r>
          </w:p>
        </w:tc>
      </w:tr>
      <w:tr w14:paraId="5F00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0C112">
            <w:r>
              <w:rPr>
                <w:rFonts w:hint="eastAsia"/>
              </w:rPr>
              <w:t xml:space="preserve">      加：应计利息</w:t>
            </w:r>
          </w:p>
        </w:tc>
        <w:tc>
          <w:tcPr>
            <w:tcW w:w="2768" w:type="dxa"/>
            <w:vAlign w:val="center"/>
          </w:tcPr>
          <w:p w14:paraId="697D3A39">
            <w:pPr>
              <w:jc w:val="right"/>
            </w:pPr>
            <w:r>
              <w:rPr>
                <w:rFonts w:hint="eastAsia"/>
              </w:rPr>
              <w:t>-</w:t>
            </w:r>
          </w:p>
        </w:tc>
        <w:tc>
          <w:tcPr>
            <w:tcW w:w="2768" w:type="dxa"/>
            <w:vAlign w:val="center"/>
          </w:tcPr>
          <w:p w14:paraId="5AB1ABC7">
            <w:pPr>
              <w:jc w:val="right"/>
            </w:pPr>
            <w:r>
              <w:rPr>
                <w:rFonts w:hint="eastAsia"/>
              </w:rPr>
              <w:t>-</w:t>
            </w:r>
          </w:p>
        </w:tc>
      </w:tr>
      <w:tr w14:paraId="1F7B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B052D">
            <w:r>
              <w:rPr>
                <w:rFonts w:hint="eastAsia"/>
              </w:rPr>
              <w:t xml:space="preserve">      减：坏账准备</w:t>
            </w:r>
          </w:p>
        </w:tc>
        <w:tc>
          <w:tcPr>
            <w:tcW w:w="2768" w:type="dxa"/>
            <w:vAlign w:val="center"/>
          </w:tcPr>
          <w:p w14:paraId="1D2B7130">
            <w:pPr>
              <w:jc w:val="right"/>
            </w:pPr>
            <w:r>
              <w:rPr>
                <w:rFonts w:hint="eastAsia"/>
              </w:rPr>
              <w:t>-</w:t>
            </w:r>
          </w:p>
        </w:tc>
        <w:tc>
          <w:tcPr>
            <w:tcW w:w="2768" w:type="dxa"/>
            <w:vAlign w:val="center"/>
          </w:tcPr>
          <w:p w14:paraId="271E28E5">
            <w:pPr>
              <w:jc w:val="right"/>
            </w:pPr>
            <w:r>
              <w:rPr>
                <w:rFonts w:hint="eastAsia"/>
              </w:rPr>
              <w:t>-</w:t>
            </w:r>
          </w:p>
        </w:tc>
      </w:tr>
      <w:tr w14:paraId="4E51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A151F">
            <w:r>
              <w:rPr>
                <w:rFonts w:hint="eastAsia"/>
              </w:rPr>
              <w:t>合计</w:t>
            </w:r>
          </w:p>
        </w:tc>
        <w:tc>
          <w:tcPr>
            <w:tcW w:w="2768" w:type="dxa"/>
            <w:vAlign w:val="center"/>
          </w:tcPr>
          <w:p w14:paraId="341D3AE9">
            <w:pPr>
              <w:jc w:val="right"/>
            </w:pPr>
            <w:r>
              <w:rPr>
                <w:rFonts w:hint="eastAsia"/>
              </w:rPr>
              <w:t>5,872,599.25</w:t>
            </w:r>
          </w:p>
        </w:tc>
        <w:tc>
          <w:tcPr>
            <w:tcW w:w="2768" w:type="dxa"/>
            <w:vAlign w:val="center"/>
          </w:tcPr>
          <w:p w14:paraId="4D605C3B">
            <w:pPr>
              <w:jc w:val="right"/>
            </w:pPr>
            <w:r>
              <w:rPr>
                <w:rFonts w:hint="eastAsia"/>
              </w:rPr>
              <w:t>920,828,437.11</w:t>
            </w:r>
          </w:p>
        </w:tc>
      </w:tr>
    </w:tbl>
    <w:p w14:paraId="4A177C7E">
      <w:pPr>
        <w:pStyle w:val="42"/>
      </w:pPr>
      <w:bookmarkStart w:id="73" w:name="_Toc73"/>
      <w:r>
        <w:t>交易性金融资产</w:t>
      </w:r>
      <w:bookmarkEnd w:id="73"/>
    </w:p>
    <w:p w14:paraId="6690B741">
      <w:pPr>
        <w:pStyle w:val="25"/>
        <w:rPr>
          <w:rFonts w:hint="eastAsia"/>
        </w:rPr>
      </w:pPr>
      <w:r>
        <w:rPr>
          <w:rFonts w:hint="eastAsia"/>
        </w:rPr>
        <w:t>无。</w:t>
      </w:r>
    </w:p>
    <w:p w14:paraId="51434FF5">
      <w:pPr>
        <w:pStyle w:val="42"/>
      </w:pPr>
      <w:bookmarkStart w:id="74" w:name="_Toc74"/>
      <w:r>
        <w:t>衍生金融资产/负债</w:t>
      </w:r>
      <w:bookmarkEnd w:id="74"/>
    </w:p>
    <w:p w14:paraId="6644CBFE">
      <w:pPr>
        <w:pStyle w:val="43"/>
      </w:pPr>
      <w:bookmarkStart w:id="75" w:name="_Toc75"/>
      <w:r>
        <w:t>衍生金融资产/负债期末余额</w:t>
      </w:r>
      <w:bookmarkEnd w:id="75"/>
    </w:p>
    <w:p w14:paraId="5618E111">
      <w:pPr>
        <w:pStyle w:val="25"/>
        <w:rPr>
          <w:rFonts w:hint="eastAsia"/>
        </w:rPr>
      </w:pPr>
      <w:r>
        <w:rPr>
          <w:rFonts w:hint="eastAsia"/>
        </w:rPr>
        <w:t>无。</w:t>
      </w:r>
    </w:p>
    <w:p w14:paraId="0A80BAD1">
      <w:pPr>
        <w:pStyle w:val="42"/>
      </w:pPr>
      <w:bookmarkStart w:id="76" w:name="_Toc76"/>
      <w:r>
        <w:t xml:space="preserve"> 买入返售金融资产</w:t>
      </w:r>
      <w:bookmarkEnd w:id="76"/>
    </w:p>
    <w:p w14:paraId="1BF5E7D2">
      <w:pPr>
        <w:pStyle w:val="43"/>
      </w:pPr>
      <w:bookmarkStart w:id="77" w:name="_Toc77"/>
      <w:r>
        <w:t>各项买入返售金融资产期末余额</w:t>
      </w:r>
      <w:bookmarkEnd w:id="77"/>
    </w:p>
    <w:p w14:paraId="76EFCBC5">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7188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CA5D52E">
            <w:r>
              <w:rPr>
                <w:rFonts w:hint="eastAsia"/>
              </w:rPr>
              <w:t>项目</w:t>
            </w:r>
          </w:p>
        </w:tc>
        <w:tc>
          <w:tcPr>
            <w:tcW w:w="2519" w:type="dxa"/>
            <w:gridSpan w:val="2"/>
            <w:vAlign w:val="center"/>
          </w:tcPr>
          <w:p w14:paraId="5CDB4BB7">
            <w:r>
              <w:rPr>
                <w:rFonts w:hint="eastAsia"/>
              </w:rPr>
              <w:t>本期末2025年12月31日</w:t>
            </w:r>
          </w:p>
        </w:tc>
      </w:tr>
      <w:tr w14:paraId="200D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A871F2C"/>
        </w:tc>
        <w:tc>
          <w:tcPr>
            <w:tcW w:w="2519" w:type="dxa"/>
            <w:vAlign w:val="center"/>
          </w:tcPr>
          <w:p w14:paraId="63073FE3">
            <w:r>
              <w:rPr>
                <w:rFonts w:hint="eastAsia"/>
              </w:rPr>
              <w:t>账面余额</w:t>
            </w:r>
          </w:p>
        </w:tc>
        <w:tc>
          <w:tcPr>
            <w:tcW w:w="3322" w:type="dxa"/>
            <w:vAlign w:val="center"/>
          </w:tcPr>
          <w:p w14:paraId="72535531">
            <w:r>
              <w:rPr>
                <w:rFonts w:hint="eastAsia"/>
              </w:rPr>
              <w:t>其中：买断式逆回购</w:t>
            </w:r>
          </w:p>
        </w:tc>
      </w:tr>
      <w:tr w14:paraId="6675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C5CCD6">
            <w:r>
              <w:rPr>
                <w:rFonts w:hint="eastAsia"/>
              </w:rPr>
              <w:t>交易所市场</w:t>
            </w:r>
          </w:p>
        </w:tc>
        <w:tc>
          <w:tcPr>
            <w:tcW w:w="2519" w:type="dxa"/>
            <w:vAlign w:val="center"/>
          </w:tcPr>
          <w:p w14:paraId="4E387402">
            <w:pPr>
              <w:jc w:val="right"/>
            </w:pPr>
            <w:r>
              <w:rPr>
                <w:rFonts w:hint="eastAsia"/>
              </w:rPr>
              <w:t>-</w:t>
            </w:r>
          </w:p>
        </w:tc>
        <w:tc>
          <w:tcPr>
            <w:tcW w:w="3322" w:type="dxa"/>
            <w:vAlign w:val="center"/>
          </w:tcPr>
          <w:p w14:paraId="574CE772">
            <w:pPr>
              <w:jc w:val="right"/>
            </w:pPr>
            <w:r>
              <w:rPr>
                <w:rFonts w:hint="eastAsia"/>
              </w:rPr>
              <w:t>-</w:t>
            </w:r>
          </w:p>
        </w:tc>
      </w:tr>
      <w:tr w14:paraId="6D88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D3CC5BE">
            <w:r>
              <w:rPr>
                <w:rFonts w:hint="eastAsia"/>
              </w:rPr>
              <w:t>银行间市场</w:t>
            </w:r>
          </w:p>
        </w:tc>
        <w:tc>
          <w:tcPr>
            <w:tcW w:w="2519" w:type="dxa"/>
            <w:vAlign w:val="center"/>
          </w:tcPr>
          <w:p w14:paraId="1667CD93">
            <w:pPr>
              <w:jc w:val="right"/>
            </w:pPr>
            <w:r>
              <w:rPr>
                <w:rFonts w:hint="eastAsia"/>
              </w:rPr>
              <w:t>30,003,791.44</w:t>
            </w:r>
          </w:p>
        </w:tc>
        <w:tc>
          <w:tcPr>
            <w:tcW w:w="3322" w:type="dxa"/>
            <w:vAlign w:val="center"/>
          </w:tcPr>
          <w:p w14:paraId="3DF77E04">
            <w:pPr>
              <w:jc w:val="right"/>
            </w:pPr>
            <w:r>
              <w:rPr>
                <w:rFonts w:hint="eastAsia"/>
              </w:rPr>
              <w:t>-</w:t>
            </w:r>
          </w:p>
        </w:tc>
      </w:tr>
      <w:tr w14:paraId="6247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40EAAE">
            <w:r>
              <w:rPr>
                <w:rFonts w:hint="eastAsia"/>
              </w:rPr>
              <w:t>合计</w:t>
            </w:r>
          </w:p>
        </w:tc>
        <w:tc>
          <w:tcPr>
            <w:tcW w:w="2519" w:type="dxa"/>
            <w:vAlign w:val="center"/>
          </w:tcPr>
          <w:p w14:paraId="1C670C1F">
            <w:pPr>
              <w:jc w:val="right"/>
            </w:pPr>
            <w:r>
              <w:rPr>
                <w:rFonts w:hint="eastAsia"/>
              </w:rPr>
              <w:t>30,003,791.44</w:t>
            </w:r>
          </w:p>
        </w:tc>
        <w:tc>
          <w:tcPr>
            <w:tcW w:w="3322" w:type="dxa"/>
            <w:vAlign w:val="center"/>
          </w:tcPr>
          <w:p w14:paraId="024B8C21">
            <w:pPr>
              <w:jc w:val="right"/>
            </w:pPr>
            <w:r>
              <w:rPr>
                <w:rFonts w:hint="eastAsia"/>
              </w:rPr>
              <w:t>-</w:t>
            </w:r>
          </w:p>
        </w:tc>
      </w:tr>
      <w:tr w14:paraId="3DBD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6A308E4">
            <w:r>
              <w:rPr>
                <w:rFonts w:hint="eastAsia"/>
              </w:rPr>
              <w:t>项目</w:t>
            </w:r>
          </w:p>
        </w:tc>
        <w:tc>
          <w:tcPr>
            <w:tcW w:w="2519" w:type="dxa"/>
            <w:gridSpan w:val="2"/>
            <w:vAlign w:val="center"/>
          </w:tcPr>
          <w:p w14:paraId="088514D0">
            <w:r>
              <w:rPr>
                <w:rFonts w:hint="eastAsia"/>
              </w:rPr>
              <w:t>上年度末2024年12月31日</w:t>
            </w:r>
          </w:p>
        </w:tc>
      </w:tr>
      <w:tr w14:paraId="0497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043063A"/>
        </w:tc>
        <w:tc>
          <w:tcPr>
            <w:tcW w:w="2519" w:type="dxa"/>
            <w:vAlign w:val="center"/>
          </w:tcPr>
          <w:p w14:paraId="08A43BE1">
            <w:r>
              <w:rPr>
                <w:rFonts w:hint="eastAsia"/>
              </w:rPr>
              <w:t>账面余额</w:t>
            </w:r>
          </w:p>
        </w:tc>
        <w:tc>
          <w:tcPr>
            <w:tcW w:w="3322" w:type="dxa"/>
            <w:vAlign w:val="center"/>
          </w:tcPr>
          <w:p w14:paraId="2EAAF119">
            <w:r>
              <w:rPr>
                <w:rFonts w:hint="eastAsia"/>
              </w:rPr>
              <w:t>其中：买断式逆回购</w:t>
            </w:r>
          </w:p>
        </w:tc>
      </w:tr>
      <w:tr w14:paraId="144E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26E2F1F">
            <w:r>
              <w:rPr>
                <w:rFonts w:hint="eastAsia"/>
              </w:rPr>
              <w:t>交易所市场</w:t>
            </w:r>
          </w:p>
        </w:tc>
        <w:tc>
          <w:tcPr>
            <w:tcW w:w="2519" w:type="dxa"/>
            <w:vAlign w:val="center"/>
          </w:tcPr>
          <w:p w14:paraId="0B285315">
            <w:pPr>
              <w:jc w:val="right"/>
            </w:pPr>
            <w:r>
              <w:rPr>
                <w:rFonts w:hint="eastAsia"/>
              </w:rPr>
              <w:t>-</w:t>
            </w:r>
          </w:p>
        </w:tc>
        <w:tc>
          <w:tcPr>
            <w:tcW w:w="3322" w:type="dxa"/>
            <w:vAlign w:val="center"/>
          </w:tcPr>
          <w:p w14:paraId="09226181">
            <w:pPr>
              <w:jc w:val="right"/>
            </w:pPr>
            <w:r>
              <w:rPr>
                <w:rFonts w:hint="eastAsia"/>
              </w:rPr>
              <w:t>-</w:t>
            </w:r>
          </w:p>
        </w:tc>
      </w:tr>
      <w:tr w14:paraId="6E48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C584B3">
            <w:r>
              <w:rPr>
                <w:rFonts w:hint="eastAsia"/>
              </w:rPr>
              <w:t>银行间市场</w:t>
            </w:r>
          </w:p>
        </w:tc>
        <w:tc>
          <w:tcPr>
            <w:tcW w:w="2519" w:type="dxa"/>
            <w:vAlign w:val="center"/>
          </w:tcPr>
          <w:p w14:paraId="57938BC6">
            <w:pPr>
              <w:jc w:val="right"/>
            </w:pPr>
            <w:r>
              <w:rPr>
                <w:rFonts w:hint="eastAsia"/>
              </w:rPr>
              <w:t>552,042,723.22</w:t>
            </w:r>
          </w:p>
        </w:tc>
        <w:tc>
          <w:tcPr>
            <w:tcW w:w="3322" w:type="dxa"/>
            <w:vAlign w:val="center"/>
          </w:tcPr>
          <w:p w14:paraId="5D2B7A28">
            <w:pPr>
              <w:jc w:val="right"/>
            </w:pPr>
            <w:r>
              <w:rPr>
                <w:rFonts w:hint="eastAsia"/>
              </w:rPr>
              <w:t>-</w:t>
            </w:r>
          </w:p>
        </w:tc>
      </w:tr>
      <w:tr w14:paraId="4A15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E651AF">
            <w:r>
              <w:rPr>
                <w:rFonts w:hint="eastAsia"/>
              </w:rPr>
              <w:t>合计</w:t>
            </w:r>
          </w:p>
        </w:tc>
        <w:tc>
          <w:tcPr>
            <w:tcW w:w="2519" w:type="dxa"/>
            <w:vAlign w:val="center"/>
          </w:tcPr>
          <w:p w14:paraId="66E13673">
            <w:pPr>
              <w:jc w:val="right"/>
            </w:pPr>
            <w:r>
              <w:rPr>
                <w:rFonts w:hint="eastAsia"/>
              </w:rPr>
              <w:t>552,042,723.22</w:t>
            </w:r>
          </w:p>
        </w:tc>
        <w:tc>
          <w:tcPr>
            <w:tcW w:w="3322" w:type="dxa"/>
            <w:vAlign w:val="center"/>
          </w:tcPr>
          <w:p w14:paraId="1BA85273">
            <w:pPr>
              <w:jc w:val="right"/>
            </w:pPr>
            <w:r>
              <w:rPr>
                <w:rFonts w:hint="eastAsia"/>
              </w:rPr>
              <w:t>-</w:t>
            </w:r>
          </w:p>
        </w:tc>
      </w:tr>
    </w:tbl>
    <w:p w14:paraId="64750C1C">
      <w:pPr>
        <w:pStyle w:val="43"/>
      </w:pPr>
      <w:bookmarkStart w:id="78" w:name="_Toc78"/>
      <w:r>
        <w:t xml:space="preserve"> 期末买断式逆回购交易中取得的债券</w:t>
      </w:r>
      <w:bookmarkEnd w:id="78"/>
    </w:p>
    <w:p w14:paraId="54E25972">
      <w:pPr>
        <w:pStyle w:val="25"/>
        <w:rPr>
          <w:rFonts w:hint="eastAsia"/>
        </w:rPr>
      </w:pPr>
      <w:r>
        <w:rPr>
          <w:rFonts w:hint="eastAsia"/>
        </w:rPr>
        <w:t>无。</w:t>
      </w:r>
    </w:p>
    <w:p w14:paraId="5F3C1FA8">
      <w:pPr>
        <w:pStyle w:val="42"/>
      </w:pPr>
      <w:bookmarkStart w:id="79" w:name="_Toc79"/>
      <w:r>
        <w:t>债权投资</w:t>
      </w:r>
      <w:bookmarkEnd w:id="79"/>
    </w:p>
    <w:p w14:paraId="27390C25">
      <w:pPr>
        <w:pStyle w:val="43"/>
      </w:pPr>
      <w:bookmarkStart w:id="80" w:name="_Toc80"/>
      <w:r>
        <w:t>债权投资情况</w:t>
      </w:r>
      <w:bookmarkEnd w:id="80"/>
    </w:p>
    <w:p w14:paraId="6CF9E4F0">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021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restart"/>
            <w:vAlign w:val="center"/>
          </w:tcPr>
          <w:p w14:paraId="2D8EA432">
            <w:r>
              <w:rPr>
                <w:rFonts w:hint="eastAsia"/>
              </w:rPr>
              <w:t>项目</w:t>
            </w:r>
          </w:p>
        </w:tc>
        <w:tc>
          <w:tcPr>
            <w:tcW w:w="1186" w:type="dxa"/>
            <w:gridSpan w:val="5"/>
            <w:vAlign w:val="center"/>
          </w:tcPr>
          <w:p w14:paraId="6945F5B5">
            <w:r>
              <w:rPr>
                <w:rFonts w:hint="eastAsia"/>
              </w:rPr>
              <w:t>本期末2025年12月31日</w:t>
            </w:r>
          </w:p>
        </w:tc>
      </w:tr>
      <w:tr w14:paraId="0873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continue"/>
            <w:vAlign w:val="center"/>
          </w:tcPr>
          <w:p w14:paraId="5180A341"/>
        </w:tc>
        <w:tc>
          <w:tcPr>
            <w:tcW w:w="1186" w:type="dxa"/>
            <w:vAlign w:val="center"/>
          </w:tcPr>
          <w:p w14:paraId="2AAF3F42">
            <w:r>
              <w:rPr>
                <w:rFonts w:hint="eastAsia"/>
              </w:rPr>
              <w:t>初始成本</w:t>
            </w:r>
          </w:p>
        </w:tc>
        <w:tc>
          <w:tcPr>
            <w:tcW w:w="1186" w:type="dxa"/>
            <w:vAlign w:val="center"/>
          </w:tcPr>
          <w:p w14:paraId="7DCD8232">
            <w:r>
              <w:rPr>
                <w:rFonts w:hint="eastAsia"/>
              </w:rPr>
              <w:t>利息调整</w:t>
            </w:r>
          </w:p>
        </w:tc>
        <w:tc>
          <w:tcPr>
            <w:tcW w:w="1186" w:type="dxa"/>
            <w:vAlign w:val="center"/>
          </w:tcPr>
          <w:p w14:paraId="618FEB5B">
            <w:r>
              <w:rPr>
                <w:rFonts w:hint="eastAsia"/>
              </w:rPr>
              <w:t>应计利息</w:t>
            </w:r>
          </w:p>
        </w:tc>
        <w:tc>
          <w:tcPr>
            <w:tcW w:w="1186" w:type="dxa"/>
            <w:vAlign w:val="center"/>
          </w:tcPr>
          <w:p w14:paraId="1C2EB755">
            <w:r>
              <w:rPr>
                <w:rFonts w:hint="eastAsia"/>
              </w:rPr>
              <w:t>减：减值准备</w:t>
            </w:r>
          </w:p>
        </w:tc>
        <w:tc>
          <w:tcPr>
            <w:tcW w:w="1186" w:type="dxa"/>
            <w:vAlign w:val="center"/>
          </w:tcPr>
          <w:p w14:paraId="616800B1">
            <w:r>
              <w:rPr>
                <w:rFonts w:hint="eastAsia"/>
              </w:rPr>
              <w:t>账面价值</w:t>
            </w:r>
          </w:p>
        </w:tc>
      </w:tr>
      <w:tr w14:paraId="62AB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5EAC38DD">
            <w:r>
              <w:rPr>
                <w:rFonts w:hint="eastAsia"/>
              </w:rPr>
              <w:t>债券</w:t>
            </w:r>
          </w:p>
        </w:tc>
        <w:tc>
          <w:tcPr>
            <w:tcW w:w="1186" w:type="dxa"/>
            <w:vAlign w:val="center"/>
          </w:tcPr>
          <w:p w14:paraId="2A7F448D">
            <w:r>
              <w:rPr>
                <w:rFonts w:hint="eastAsia"/>
              </w:rPr>
              <w:t>交易所市场</w:t>
            </w:r>
          </w:p>
        </w:tc>
        <w:tc>
          <w:tcPr>
            <w:tcW w:w="1186" w:type="dxa"/>
            <w:vAlign w:val="center"/>
          </w:tcPr>
          <w:p w14:paraId="467BC6F4">
            <w:pPr>
              <w:jc w:val="right"/>
            </w:pPr>
            <w:r>
              <w:rPr>
                <w:rFonts w:hint="eastAsia"/>
              </w:rPr>
              <w:t>-</w:t>
            </w:r>
          </w:p>
        </w:tc>
        <w:tc>
          <w:tcPr>
            <w:tcW w:w="1186" w:type="dxa"/>
            <w:vAlign w:val="center"/>
          </w:tcPr>
          <w:p w14:paraId="54820978">
            <w:pPr>
              <w:jc w:val="right"/>
            </w:pPr>
            <w:r>
              <w:rPr>
                <w:rFonts w:hint="eastAsia"/>
              </w:rPr>
              <w:t>-</w:t>
            </w:r>
          </w:p>
        </w:tc>
        <w:tc>
          <w:tcPr>
            <w:tcW w:w="1186" w:type="dxa"/>
            <w:vAlign w:val="center"/>
          </w:tcPr>
          <w:p w14:paraId="1DD28CB6">
            <w:pPr>
              <w:jc w:val="right"/>
            </w:pPr>
            <w:r>
              <w:rPr>
                <w:rFonts w:hint="eastAsia"/>
              </w:rPr>
              <w:t>-</w:t>
            </w:r>
          </w:p>
        </w:tc>
        <w:tc>
          <w:tcPr>
            <w:tcW w:w="1186" w:type="dxa"/>
            <w:vAlign w:val="center"/>
          </w:tcPr>
          <w:p w14:paraId="611A6170">
            <w:pPr>
              <w:jc w:val="right"/>
            </w:pPr>
            <w:r>
              <w:rPr>
                <w:rFonts w:hint="eastAsia"/>
              </w:rPr>
              <w:t>-</w:t>
            </w:r>
          </w:p>
        </w:tc>
        <w:tc>
          <w:tcPr>
            <w:tcW w:w="1186" w:type="dxa"/>
            <w:vAlign w:val="center"/>
          </w:tcPr>
          <w:p w14:paraId="322FCF7A">
            <w:pPr>
              <w:jc w:val="right"/>
            </w:pPr>
            <w:r>
              <w:rPr>
                <w:rFonts w:hint="eastAsia"/>
              </w:rPr>
              <w:t>-</w:t>
            </w:r>
          </w:p>
        </w:tc>
      </w:tr>
      <w:tr w14:paraId="1BCF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CA9895"/>
        </w:tc>
        <w:tc>
          <w:tcPr>
            <w:tcW w:w="1186" w:type="dxa"/>
            <w:vAlign w:val="center"/>
          </w:tcPr>
          <w:p w14:paraId="25B4B8A1">
            <w:r>
              <w:rPr>
                <w:rFonts w:hint="eastAsia"/>
              </w:rPr>
              <w:t>银行间市场</w:t>
            </w:r>
          </w:p>
        </w:tc>
        <w:tc>
          <w:tcPr>
            <w:tcW w:w="1186" w:type="dxa"/>
            <w:vAlign w:val="center"/>
          </w:tcPr>
          <w:p w14:paraId="434A4D2E">
            <w:pPr>
              <w:jc w:val="right"/>
            </w:pPr>
            <w:r>
              <w:rPr>
                <w:rFonts w:hint="eastAsia"/>
              </w:rPr>
              <w:t>-</w:t>
            </w:r>
          </w:p>
        </w:tc>
        <w:tc>
          <w:tcPr>
            <w:tcW w:w="1186" w:type="dxa"/>
            <w:vAlign w:val="center"/>
          </w:tcPr>
          <w:p w14:paraId="0068E10D">
            <w:pPr>
              <w:jc w:val="right"/>
            </w:pPr>
            <w:r>
              <w:rPr>
                <w:rFonts w:hint="eastAsia"/>
              </w:rPr>
              <w:t>-</w:t>
            </w:r>
          </w:p>
        </w:tc>
        <w:tc>
          <w:tcPr>
            <w:tcW w:w="1186" w:type="dxa"/>
            <w:vAlign w:val="center"/>
          </w:tcPr>
          <w:p w14:paraId="0CC6F9EE">
            <w:pPr>
              <w:jc w:val="right"/>
            </w:pPr>
            <w:r>
              <w:rPr>
                <w:rFonts w:hint="eastAsia"/>
              </w:rPr>
              <w:t>-</w:t>
            </w:r>
          </w:p>
        </w:tc>
        <w:tc>
          <w:tcPr>
            <w:tcW w:w="1186" w:type="dxa"/>
            <w:vAlign w:val="center"/>
          </w:tcPr>
          <w:p w14:paraId="6BE4679D">
            <w:pPr>
              <w:jc w:val="right"/>
            </w:pPr>
            <w:r>
              <w:rPr>
                <w:rFonts w:hint="eastAsia"/>
              </w:rPr>
              <w:t>-</w:t>
            </w:r>
          </w:p>
        </w:tc>
        <w:tc>
          <w:tcPr>
            <w:tcW w:w="1186" w:type="dxa"/>
            <w:vAlign w:val="center"/>
          </w:tcPr>
          <w:p w14:paraId="69D06485">
            <w:pPr>
              <w:jc w:val="right"/>
            </w:pPr>
            <w:r>
              <w:rPr>
                <w:rFonts w:hint="eastAsia"/>
              </w:rPr>
              <w:t>-</w:t>
            </w:r>
          </w:p>
        </w:tc>
      </w:tr>
      <w:tr w14:paraId="72C6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9974B3"/>
        </w:tc>
        <w:tc>
          <w:tcPr>
            <w:tcW w:w="1186" w:type="dxa"/>
            <w:vAlign w:val="center"/>
          </w:tcPr>
          <w:p w14:paraId="0B88878B">
            <w:r>
              <w:rPr>
                <w:rFonts w:hint="eastAsia"/>
              </w:rPr>
              <w:t>小计</w:t>
            </w:r>
          </w:p>
        </w:tc>
        <w:tc>
          <w:tcPr>
            <w:tcW w:w="1186" w:type="dxa"/>
            <w:vAlign w:val="center"/>
          </w:tcPr>
          <w:p w14:paraId="72572CCC">
            <w:pPr>
              <w:jc w:val="right"/>
            </w:pPr>
            <w:r>
              <w:rPr>
                <w:rFonts w:hint="eastAsia"/>
              </w:rPr>
              <w:t>-</w:t>
            </w:r>
          </w:p>
        </w:tc>
        <w:tc>
          <w:tcPr>
            <w:tcW w:w="1186" w:type="dxa"/>
            <w:vAlign w:val="center"/>
          </w:tcPr>
          <w:p w14:paraId="5889BB78">
            <w:pPr>
              <w:jc w:val="right"/>
            </w:pPr>
            <w:r>
              <w:rPr>
                <w:rFonts w:hint="eastAsia"/>
              </w:rPr>
              <w:t>-</w:t>
            </w:r>
          </w:p>
        </w:tc>
        <w:tc>
          <w:tcPr>
            <w:tcW w:w="1186" w:type="dxa"/>
            <w:vAlign w:val="center"/>
          </w:tcPr>
          <w:p w14:paraId="3A4D4DCB">
            <w:pPr>
              <w:jc w:val="right"/>
            </w:pPr>
            <w:r>
              <w:rPr>
                <w:rFonts w:hint="eastAsia"/>
              </w:rPr>
              <w:t>-</w:t>
            </w:r>
          </w:p>
        </w:tc>
        <w:tc>
          <w:tcPr>
            <w:tcW w:w="1186" w:type="dxa"/>
            <w:vAlign w:val="center"/>
          </w:tcPr>
          <w:p w14:paraId="442BD0A3">
            <w:pPr>
              <w:jc w:val="right"/>
            </w:pPr>
            <w:r>
              <w:rPr>
                <w:rFonts w:hint="eastAsia"/>
              </w:rPr>
              <w:t>-</w:t>
            </w:r>
          </w:p>
        </w:tc>
        <w:tc>
          <w:tcPr>
            <w:tcW w:w="1186" w:type="dxa"/>
            <w:vAlign w:val="center"/>
          </w:tcPr>
          <w:p w14:paraId="703E605C">
            <w:pPr>
              <w:jc w:val="right"/>
            </w:pPr>
            <w:r>
              <w:rPr>
                <w:rFonts w:hint="eastAsia"/>
              </w:rPr>
              <w:t>-</w:t>
            </w:r>
          </w:p>
        </w:tc>
      </w:tr>
      <w:tr w14:paraId="5D78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24B41CD5">
            <w:r>
              <w:rPr>
                <w:rFonts w:hint="eastAsia"/>
              </w:rPr>
              <w:t>资产支持证券</w:t>
            </w:r>
          </w:p>
        </w:tc>
        <w:tc>
          <w:tcPr>
            <w:tcW w:w="1186" w:type="dxa"/>
            <w:vAlign w:val="center"/>
          </w:tcPr>
          <w:p w14:paraId="37D48100">
            <w:pPr>
              <w:jc w:val="right"/>
            </w:pPr>
            <w:r>
              <w:rPr>
                <w:rFonts w:hint="eastAsia"/>
              </w:rPr>
              <w:t>-</w:t>
            </w:r>
          </w:p>
        </w:tc>
        <w:tc>
          <w:tcPr>
            <w:tcW w:w="1186" w:type="dxa"/>
            <w:vAlign w:val="center"/>
          </w:tcPr>
          <w:p w14:paraId="68E5C74D">
            <w:pPr>
              <w:jc w:val="right"/>
            </w:pPr>
            <w:r>
              <w:rPr>
                <w:rFonts w:hint="eastAsia"/>
              </w:rPr>
              <w:t>-</w:t>
            </w:r>
          </w:p>
        </w:tc>
        <w:tc>
          <w:tcPr>
            <w:tcW w:w="1186" w:type="dxa"/>
            <w:vAlign w:val="center"/>
          </w:tcPr>
          <w:p w14:paraId="07DA7FA2">
            <w:pPr>
              <w:jc w:val="right"/>
            </w:pPr>
            <w:r>
              <w:rPr>
                <w:rFonts w:hint="eastAsia"/>
              </w:rPr>
              <w:t>-</w:t>
            </w:r>
          </w:p>
        </w:tc>
        <w:tc>
          <w:tcPr>
            <w:tcW w:w="1186" w:type="dxa"/>
            <w:vAlign w:val="center"/>
          </w:tcPr>
          <w:p w14:paraId="4CFD71F2">
            <w:pPr>
              <w:jc w:val="right"/>
            </w:pPr>
            <w:r>
              <w:rPr>
                <w:rFonts w:hint="eastAsia"/>
              </w:rPr>
              <w:t>-</w:t>
            </w:r>
          </w:p>
        </w:tc>
        <w:tc>
          <w:tcPr>
            <w:tcW w:w="1186" w:type="dxa"/>
            <w:vAlign w:val="center"/>
          </w:tcPr>
          <w:p w14:paraId="6622D3A2">
            <w:pPr>
              <w:jc w:val="right"/>
            </w:pPr>
            <w:r>
              <w:rPr>
                <w:rFonts w:hint="eastAsia"/>
              </w:rPr>
              <w:t>-</w:t>
            </w:r>
          </w:p>
        </w:tc>
      </w:tr>
      <w:tr w14:paraId="5B67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33A1A5B6">
            <w:r>
              <w:rPr>
                <w:rFonts w:hint="eastAsia"/>
              </w:rPr>
              <w:t>其他</w:t>
            </w:r>
          </w:p>
        </w:tc>
        <w:tc>
          <w:tcPr>
            <w:tcW w:w="1186" w:type="dxa"/>
            <w:vAlign w:val="center"/>
          </w:tcPr>
          <w:p w14:paraId="683E411E">
            <w:pPr>
              <w:jc w:val="right"/>
            </w:pPr>
            <w:r>
              <w:rPr>
                <w:rFonts w:hint="eastAsia"/>
              </w:rPr>
              <w:t>-</w:t>
            </w:r>
          </w:p>
        </w:tc>
        <w:tc>
          <w:tcPr>
            <w:tcW w:w="1186" w:type="dxa"/>
            <w:vAlign w:val="center"/>
          </w:tcPr>
          <w:p w14:paraId="53F325A5">
            <w:pPr>
              <w:jc w:val="right"/>
            </w:pPr>
            <w:r>
              <w:rPr>
                <w:rFonts w:hint="eastAsia"/>
              </w:rPr>
              <w:t>-</w:t>
            </w:r>
          </w:p>
        </w:tc>
        <w:tc>
          <w:tcPr>
            <w:tcW w:w="1186" w:type="dxa"/>
            <w:vAlign w:val="center"/>
          </w:tcPr>
          <w:p w14:paraId="7F8FE800">
            <w:pPr>
              <w:jc w:val="right"/>
            </w:pPr>
            <w:r>
              <w:rPr>
                <w:rFonts w:hint="eastAsia"/>
              </w:rPr>
              <w:t>-</w:t>
            </w:r>
          </w:p>
        </w:tc>
        <w:tc>
          <w:tcPr>
            <w:tcW w:w="1186" w:type="dxa"/>
            <w:vAlign w:val="center"/>
          </w:tcPr>
          <w:p w14:paraId="73ECCB44">
            <w:pPr>
              <w:jc w:val="right"/>
            </w:pPr>
            <w:r>
              <w:rPr>
                <w:rFonts w:hint="eastAsia"/>
              </w:rPr>
              <w:t>-</w:t>
            </w:r>
          </w:p>
        </w:tc>
        <w:tc>
          <w:tcPr>
            <w:tcW w:w="1186" w:type="dxa"/>
            <w:vAlign w:val="center"/>
          </w:tcPr>
          <w:p w14:paraId="63AC4DF5">
            <w:pPr>
              <w:jc w:val="right"/>
            </w:pPr>
            <w:r>
              <w:rPr>
                <w:rFonts w:hint="eastAsia"/>
              </w:rPr>
              <w:t>-</w:t>
            </w:r>
          </w:p>
        </w:tc>
      </w:tr>
      <w:tr w14:paraId="64DE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75C9BF3F">
            <w:r>
              <w:rPr>
                <w:rFonts w:hint="eastAsia"/>
              </w:rPr>
              <w:t>合计</w:t>
            </w:r>
          </w:p>
        </w:tc>
        <w:tc>
          <w:tcPr>
            <w:tcW w:w="1186" w:type="dxa"/>
            <w:vAlign w:val="center"/>
          </w:tcPr>
          <w:p w14:paraId="44125F2A">
            <w:pPr>
              <w:jc w:val="right"/>
            </w:pPr>
            <w:r>
              <w:rPr>
                <w:rFonts w:hint="eastAsia"/>
              </w:rPr>
              <w:t>-</w:t>
            </w:r>
          </w:p>
        </w:tc>
        <w:tc>
          <w:tcPr>
            <w:tcW w:w="1186" w:type="dxa"/>
            <w:vAlign w:val="center"/>
          </w:tcPr>
          <w:p w14:paraId="11F7FA8A">
            <w:pPr>
              <w:jc w:val="right"/>
            </w:pPr>
            <w:r>
              <w:rPr>
                <w:rFonts w:hint="eastAsia"/>
              </w:rPr>
              <w:t>-</w:t>
            </w:r>
          </w:p>
        </w:tc>
        <w:tc>
          <w:tcPr>
            <w:tcW w:w="1186" w:type="dxa"/>
            <w:vAlign w:val="center"/>
          </w:tcPr>
          <w:p w14:paraId="66192651">
            <w:pPr>
              <w:jc w:val="right"/>
            </w:pPr>
            <w:r>
              <w:rPr>
                <w:rFonts w:hint="eastAsia"/>
              </w:rPr>
              <w:t>-</w:t>
            </w:r>
          </w:p>
        </w:tc>
        <w:tc>
          <w:tcPr>
            <w:tcW w:w="1186" w:type="dxa"/>
            <w:vAlign w:val="center"/>
          </w:tcPr>
          <w:p w14:paraId="636BC179">
            <w:pPr>
              <w:jc w:val="right"/>
            </w:pPr>
            <w:r>
              <w:rPr>
                <w:rFonts w:hint="eastAsia"/>
              </w:rPr>
              <w:t>-</w:t>
            </w:r>
          </w:p>
        </w:tc>
        <w:tc>
          <w:tcPr>
            <w:tcW w:w="1186" w:type="dxa"/>
            <w:vAlign w:val="center"/>
          </w:tcPr>
          <w:p w14:paraId="2381CE15">
            <w:pPr>
              <w:jc w:val="right"/>
            </w:pPr>
            <w:r>
              <w:rPr>
                <w:rFonts w:hint="eastAsia"/>
              </w:rPr>
              <w:t>-</w:t>
            </w:r>
          </w:p>
        </w:tc>
      </w:tr>
      <w:tr w14:paraId="672F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restart"/>
            <w:vAlign w:val="center"/>
          </w:tcPr>
          <w:p w14:paraId="12BC27E9">
            <w:r>
              <w:rPr>
                <w:rFonts w:hint="eastAsia"/>
              </w:rPr>
              <w:t>项目</w:t>
            </w:r>
          </w:p>
        </w:tc>
        <w:tc>
          <w:tcPr>
            <w:tcW w:w="1186" w:type="dxa"/>
            <w:gridSpan w:val="5"/>
            <w:vAlign w:val="center"/>
          </w:tcPr>
          <w:p w14:paraId="38807EDA">
            <w:r>
              <w:rPr>
                <w:rFonts w:hint="eastAsia"/>
              </w:rPr>
              <w:t>上年度末2024年12月31日</w:t>
            </w:r>
          </w:p>
        </w:tc>
      </w:tr>
      <w:tr w14:paraId="753E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Merge w:val="continue"/>
            <w:vAlign w:val="center"/>
          </w:tcPr>
          <w:p w14:paraId="6C494078"/>
        </w:tc>
        <w:tc>
          <w:tcPr>
            <w:tcW w:w="1186" w:type="dxa"/>
            <w:vAlign w:val="center"/>
          </w:tcPr>
          <w:p w14:paraId="7882FF15">
            <w:r>
              <w:rPr>
                <w:rFonts w:hint="eastAsia"/>
              </w:rPr>
              <w:t>初始成本</w:t>
            </w:r>
          </w:p>
        </w:tc>
        <w:tc>
          <w:tcPr>
            <w:tcW w:w="1186" w:type="dxa"/>
            <w:vAlign w:val="center"/>
          </w:tcPr>
          <w:p w14:paraId="5426A1C3">
            <w:r>
              <w:rPr>
                <w:rFonts w:hint="eastAsia"/>
              </w:rPr>
              <w:t>利息调整</w:t>
            </w:r>
          </w:p>
        </w:tc>
        <w:tc>
          <w:tcPr>
            <w:tcW w:w="1186" w:type="dxa"/>
            <w:vAlign w:val="center"/>
          </w:tcPr>
          <w:p w14:paraId="1FAD3A8F">
            <w:r>
              <w:rPr>
                <w:rFonts w:hint="eastAsia"/>
              </w:rPr>
              <w:t>应计利息</w:t>
            </w:r>
          </w:p>
        </w:tc>
        <w:tc>
          <w:tcPr>
            <w:tcW w:w="1186" w:type="dxa"/>
            <w:vAlign w:val="center"/>
          </w:tcPr>
          <w:p w14:paraId="10962874">
            <w:r>
              <w:rPr>
                <w:rFonts w:hint="eastAsia"/>
              </w:rPr>
              <w:t>减：减值准备</w:t>
            </w:r>
          </w:p>
        </w:tc>
        <w:tc>
          <w:tcPr>
            <w:tcW w:w="1186" w:type="dxa"/>
            <w:vAlign w:val="center"/>
          </w:tcPr>
          <w:p w14:paraId="54586FC3">
            <w:r>
              <w:rPr>
                <w:rFonts w:hint="eastAsia"/>
              </w:rPr>
              <w:t>账面价值</w:t>
            </w:r>
          </w:p>
        </w:tc>
      </w:tr>
      <w:tr w14:paraId="58EF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06E8CFF4">
            <w:r>
              <w:rPr>
                <w:rFonts w:hint="eastAsia"/>
              </w:rPr>
              <w:t>债券</w:t>
            </w:r>
          </w:p>
        </w:tc>
        <w:tc>
          <w:tcPr>
            <w:tcW w:w="1186" w:type="dxa"/>
            <w:vAlign w:val="center"/>
          </w:tcPr>
          <w:p w14:paraId="60B44236">
            <w:r>
              <w:rPr>
                <w:rFonts w:hint="eastAsia"/>
              </w:rPr>
              <w:t>交易所市场</w:t>
            </w:r>
          </w:p>
        </w:tc>
        <w:tc>
          <w:tcPr>
            <w:tcW w:w="1186" w:type="dxa"/>
            <w:vAlign w:val="center"/>
          </w:tcPr>
          <w:p w14:paraId="397623FE">
            <w:pPr>
              <w:jc w:val="right"/>
            </w:pPr>
            <w:r>
              <w:rPr>
                <w:rFonts w:hint="eastAsia"/>
              </w:rPr>
              <w:t>-</w:t>
            </w:r>
          </w:p>
        </w:tc>
        <w:tc>
          <w:tcPr>
            <w:tcW w:w="1186" w:type="dxa"/>
            <w:vAlign w:val="center"/>
          </w:tcPr>
          <w:p w14:paraId="464B4D43">
            <w:pPr>
              <w:jc w:val="right"/>
            </w:pPr>
            <w:r>
              <w:rPr>
                <w:rFonts w:hint="eastAsia"/>
              </w:rPr>
              <w:t>-</w:t>
            </w:r>
          </w:p>
        </w:tc>
        <w:tc>
          <w:tcPr>
            <w:tcW w:w="1186" w:type="dxa"/>
            <w:vAlign w:val="center"/>
          </w:tcPr>
          <w:p w14:paraId="00FB0103">
            <w:pPr>
              <w:jc w:val="right"/>
            </w:pPr>
            <w:r>
              <w:rPr>
                <w:rFonts w:hint="eastAsia"/>
              </w:rPr>
              <w:t>-</w:t>
            </w:r>
          </w:p>
        </w:tc>
        <w:tc>
          <w:tcPr>
            <w:tcW w:w="1186" w:type="dxa"/>
            <w:vAlign w:val="center"/>
          </w:tcPr>
          <w:p w14:paraId="342C5E61">
            <w:pPr>
              <w:jc w:val="right"/>
            </w:pPr>
            <w:r>
              <w:rPr>
                <w:rFonts w:hint="eastAsia"/>
              </w:rPr>
              <w:t>-</w:t>
            </w:r>
          </w:p>
        </w:tc>
        <w:tc>
          <w:tcPr>
            <w:tcW w:w="1186" w:type="dxa"/>
            <w:vAlign w:val="center"/>
          </w:tcPr>
          <w:p w14:paraId="7E0B253D">
            <w:pPr>
              <w:jc w:val="right"/>
            </w:pPr>
            <w:r>
              <w:rPr>
                <w:rFonts w:hint="eastAsia"/>
              </w:rPr>
              <w:t>-</w:t>
            </w:r>
          </w:p>
        </w:tc>
      </w:tr>
      <w:tr w14:paraId="7801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3B8F53"/>
        </w:tc>
        <w:tc>
          <w:tcPr>
            <w:tcW w:w="1186" w:type="dxa"/>
            <w:vAlign w:val="center"/>
          </w:tcPr>
          <w:p w14:paraId="2701C0C1">
            <w:r>
              <w:rPr>
                <w:rFonts w:hint="eastAsia"/>
              </w:rPr>
              <w:t>银行间市场</w:t>
            </w:r>
          </w:p>
        </w:tc>
        <w:tc>
          <w:tcPr>
            <w:tcW w:w="1186" w:type="dxa"/>
            <w:vAlign w:val="center"/>
          </w:tcPr>
          <w:p w14:paraId="64344C39">
            <w:pPr>
              <w:jc w:val="right"/>
            </w:pPr>
            <w:r>
              <w:rPr>
                <w:rFonts w:hint="eastAsia"/>
              </w:rPr>
              <w:t>3,170,000,000.00</w:t>
            </w:r>
          </w:p>
        </w:tc>
        <w:tc>
          <w:tcPr>
            <w:tcW w:w="1186" w:type="dxa"/>
            <w:vAlign w:val="center"/>
          </w:tcPr>
          <w:p w14:paraId="66BD7FF7">
            <w:pPr>
              <w:jc w:val="right"/>
            </w:pPr>
            <w:r>
              <w:rPr>
                <w:rFonts w:hint="eastAsia"/>
              </w:rPr>
              <w:t>29,038,624.21</w:t>
            </w:r>
          </w:p>
        </w:tc>
        <w:tc>
          <w:tcPr>
            <w:tcW w:w="1186" w:type="dxa"/>
            <w:vAlign w:val="center"/>
          </w:tcPr>
          <w:p w14:paraId="18683D4C">
            <w:pPr>
              <w:jc w:val="right"/>
            </w:pPr>
            <w:r>
              <w:rPr>
                <w:rFonts w:hint="eastAsia"/>
              </w:rPr>
              <w:t>10,866,364.93</w:t>
            </w:r>
          </w:p>
        </w:tc>
        <w:tc>
          <w:tcPr>
            <w:tcW w:w="1186" w:type="dxa"/>
            <w:vAlign w:val="center"/>
          </w:tcPr>
          <w:p w14:paraId="4B6DA8D0">
            <w:pPr>
              <w:jc w:val="right"/>
            </w:pPr>
            <w:r>
              <w:rPr>
                <w:rFonts w:hint="eastAsia"/>
              </w:rPr>
              <w:t>868,418.15</w:t>
            </w:r>
          </w:p>
        </w:tc>
        <w:tc>
          <w:tcPr>
            <w:tcW w:w="1186" w:type="dxa"/>
            <w:vAlign w:val="center"/>
          </w:tcPr>
          <w:p w14:paraId="24CD2FD6">
            <w:pPr>
              <w:jc w:val="right"/>
            </w:pPr>
            <w:r>
              <w:rPr>
                <w:rFonts w:hint="eastAsia"/>
              </w:rPr>
              <w:t>3,209,036,570.99</w:t>
            </w:r>
          </w:p>
        </w:tc>
      </w:tr>
      <w:tr w14:paraId="6CFD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1614040"/>
        </w:tc>
        <w:tc>
          <w:tcPr>
            <w:tcW w:w="1186" w:type="dxa"/>
            <w:vAlign w:val="center"/>
          </w:tcPr>
          <w:p w14:paraId="2BB8C447">
            <w:r>
              <w:rPr>
                <w:rFonts w:hint="eastAsia"/>
              </w:rPr>
              <w:t>小计</w:t>
            </w:r>
          </w:p>
        </w:tc>
        <w:tc>
          <w:tcPr>
            <w:tcW w:w="1186" w:type="dxa"/>
            <w:vAlign w:val="center"/>
          </w:tcPr>
          <w:p w14:paraId="1A7BB18F">
            <w:pPr>
              <w:jc w:val="right"/>
            </w:pPr>
            <w:r>
              <w:rPr>
                <w:rFonts w:hint="eastAsia"/>
              </w:rPr>
              <w:t>3,170,000,000.00</w:t>
            </w:r>
          </w:p>
        </w:tc>
        <w:tc>
          <w:tcPr>
            <w:tcW w:w="1186" w:type="dxa"/>
            <w:vAlign w:val="center"/>
          </w:tcPr>
          <w:p w14:paraId="56F07A42">
            <w:pPr>
              <w:jc w:val="right"/>
            </w:pPr>
            <w:r>
              <w:rPr>
                <w:rFonts w:hint="eastAsia"/>
              </w:rPr>
              <w:t>29,038,624.21</w:t>
            </w:r>
          </w:p>
        </w:tc>
        <w:tc>
          <w:tcPr>
            <w:tcW w:w="1186" w:type="dxa"/>
            <w:vAlign w:val="center"/>
          </w:tcPr>
          <w:p w14:paraId="3E89BC34">
            <w:pPr>
              <w:jc w:val="right"/>
            </w:pPr>
            <w:r>
              <w:rPr>
                <w:rFonts w:hint="eastAsia"/>
              </w:rPr>
              <w:t>10,866,364.93</w:t>
            </w:r>
          </w:p>
        </w:tc>
        <w:tc>
          <w:tcPr>
            <w:tcW w:w="1186" w:type="dxa"/>
            <w:vAlign w:val="center"/>
          </w:tcPr>
          <w:p w14:paraId="51EF7DC5">
            <w:pPr>
              <w:jc w:val="right"/>
            </w:pPr>
            <w:r>
              <w:rPr>
                <w:rFonts w:hint="eastAsia"/>
              </w:rPr>
              <w:t>868,418.15</w:t>
            </w:r>
          </w:p>
        </w:tc>
        <w:tc>
          <w:tcPr>
            <w:tcW w:w="1186" w:type="dxa"/>
            <w:vAlign w:val="center"/>
          </w:tcPr>
          <w:p w14:paraId="38CC489D">
            <w:pPr>
              <w:jc w:val="right"/>
            </w:pPr>
            <w:r>
              <w:rPr>
                <w:rFonts w:hint="eastAsia"/>
              </w:rPr>
              <w:t>3,209,036,570.99</w:t>
            </w:r>
          </w:p>
        </w:tc>
      </w:tr>
      <w:tr w14:paraId="7164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1F1D6069">
            <w:r>
              <w:rPr>
                <w:rFonts w:hint="eastAsia"/>
              </w:rPr>
              <w:t>资产支持证券</w:t>
            </w:r>
          </w:p>
        </w:tc>
        <w:tc>
          <w:tcPr>
            <w:tcW w:w="1186" w:type="dxa"/>
            <w:vAlign w:val="center"/>
          </w:tcPr>
          <w:p w14:paraId="54357C99">
            <w:pPr>
              <w:jc w:val="right"/>
            </w:pPr>
            <w:r>
              <w:rPr>
                <w:rFonts w:hint="eastAsia"/>
              </w:rPr>
              <w:t>-</w:t>
            </w:r>
          </w:p>
        </w:tc>
        <w:tc>
          <w:tcPr>
            <w:tcW w:w="1186" w:type="dxa"/>
            <w:vAlign w:val="center"/>
          </w:tcPr>
          <w:p w14:paraId="4083BD71">
            <w:pPr>
              <w:jc w:val="right"/>
            </w:pPr>
            <w:r>
              <w:rPr>
                <w:rFonts w:hint="eastAsia"/>
              </w:rPr>
              <w:t>-</w:t>
            </w:r>
          </w:p>
        </w:tc>
        <w:tc>
          <w:tcPr>
            <w:tcW w:w="1186" w:type="dxa"/>
            <w:vAlign w:val="center"/>
          </w:tcPr>
          <w:p w14:paraId="58FC3B4B">
            <w:pPr>
              <w:jc w:val="right"/>
            </w:pPr>
            <w:r>
              <w:rPr>
                <w:rFonts w:hint="eastAsia"/>
              </w:rPr>
              <w:t>-</w:t>
            </w:r>
          </w:p>
        </w:tc>
        <w:tc>
          <w:tcPr>
            <w:tcW w:w="1186" w:type="dxa"/>
            <w:vAlign w:val="center"/>
          </w:tcPr>
          <w:p w14:paraId="11B9F2FC">
            <w:pPr>
              <w:jc w:val="right"/>
            </w:pPr>
            <w:r>
              <w:rPr>
                <w:rFonts w:hint="eastAsia"/>
              </w:rPr>
              <w:t>-</w:t>
            </w:r>
          </w:p>
        </w:tc>
        <w:tc>
          <w:tcPr>
            <w:tcW w:w="1186" w:type="dxa"/>
            <w:vAlign w:val="center"/>
          </w:tcPr>
          <w:p w14:paraId="53EF2E8D">
            <w:pPr>
              <w:jc w:val="right"/>
            </w:pPr>
            <w:r>
              <w:rPr>
                <w:rFonts w:hint="eastAsia"/>
              </w:rPr>
              <w:t>-</w:t>
            </w:r>
          </w:p>
        </w:tc>
      </w:tr>
      <w:tr w14:paraId="54F7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14DB8BB4">
            <w:r>
              <w:rPr>
                <w:rFonts w:hint="eastAsia"/>
              </w:rPr>
              <w:t>其他</w:t>
            </w:r>
          </w:p>
        </w:tc>
        <w:tc>
          <w:tcPr>
            <w:tcW w:w="1186" w:type="dxa"/>
            <w:vAlign w:val="center"/>
          </w:tcPr>
          <w:p w14:paraId="2A0A56C7">
            <w:pPr>
              <w:jc w:val="right"/>
            </w:pPr>
            <w:r>
              <w:rPr>
                <w:rFonts w:hint="eastAsia"/>
              </w:rPr>
              <w:t>-</w:t>
            </w:r>
          </w:p>
        </w:tc>
        <w:tc>
          <w:tcPr>
            <w:tcW w:w="1186" w:type="dxa"/>
            <w:vAlign w:val="center"/>
          </w:tcPr>
          <w:p w14:paraId="6EBE6195">
            <w:pPr>
              <w:jc w:val="right"/>
            </w:pPr>
            <w:r>
              <w:rPr>
                <w:rFonts w:hint="eastAsia"/>
              </w:rPr>
              <w:t>-</w:t>
            </w:r>
          </w:p>
        </w:tc>
        <w:tc>
          <w:tcPr>
            <w:tcW w:w="1186" w:type="dxa"/>
            <w:vAlign w:val="center"/>
          </w:tcPr>
          <w:p w14:paraId="01C86B4D">
            <w:pPr>
              <w:jc w:val="right"/>
            </w:pPr>
            <w:r>
              <w:rPr>
                <w:rFonts w:hint="eastAsia"/>
              </w:rPr>
              <w:t>-</w:t>
            </w:r>
          </w:p>
        </w:tc>
        <w:tc>
          <w:tcPr>
            <w:tcW w:w="1186" w:type="dxa"/>
            <w:vAlign w:val="center"/>
          </w:tcPr>
          <w:p w14:paraId="39B58B5E">
            <w:pPr>
              <w:jc w:val="right"/>
            </w:pPr>
            <w:r>
              <w:rPr>
                <w:rFonts w:hint="eastAsia"/>
              </w:rPr>
              <w:t>-</w:t>
            </w:r>
          </w:p>
        </w:tc>
        <w:tc>
          <w:tcPr>
            <w:tcW w:w="1186" w:type="dxa"/>
            <w:vAlign w:val="center"/>
          </w:tcPr>
          <w:p w14:paraId="49576967">
            <w:pPr>
              <w:jc w:val="right"/>
            </w:pPr>
            <w:r>
              <w:rPr>
                <w:rFonts w:hint="eastAsia"/>
              </w:rPr>
              <w:t>-</w:t>
            </w:r>
          </w:p>
        </w:tc>
      </w:tr>
      <w:tr w14:paraId="14C5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14:paraId="41847FF2">
            <w:r>
              <w:rPr>
                <w:rFonts w:hint="eastAsia"/>
              </w:rPr>
              <w:t>合计</w:t>
            </w:r>
          </w:p>
        </w:tc>
        <w:tc>
          <w:tcPr>
            <w:tcW w:w="1186" w:type="dxa"/>
            <w:vAlign w:val="center"/>
          </w:tcPr>
          <w:p w14:paraId="2DB2E0BA">
            <w:pPr>
              <w:jc w:val="right"/>
            </w:pPr>
            <w:r>
              <w:rPr>
                <w:rFonts w:hint="eastAsia"/>
              </w:rPr>
              <w:t>3,170,000,000.00</w:t>
            </w:r>
          </w:p>
        </w:tc>
        <w:tc>
          <w:tcPr>
            <w:tcW w:w="1186" w:type="dxa"/>
            <w:vAlign w:val="center"/>
          </w:tcPr>
          <w:p w14:paraId="45D3A225">
            <w:pPr>
              <w:jc w:val="right"/>
            </w:pPr>
            <w:r>
              <w:rPr>
                <w:rFonts w:hint="eastAsia"/>
              </w:rPr>
              <w:t>29,038,624.21</w:t>
            </w:r>
          </w:p>
        </w:tc>
        <w:tc>
          <w:tcPr>
            <w:tcW w:w="1186" w:type="dxa"/>
            <w:vAlign w:val="center"/>
          </w:tcPr>
          <w:p w14:paraId="2055849B">
            <w:pPr>
              <w:jc w:val="right"/>
            </w:pPr>
            <w:r>
              <w:rPr>
                <w:rFonts w:hint="eastAsia"/>
              </w:rPr>
              <w:t>10,866,364.93</w:t>
            </w:r>
          </w:p>
        </w:tc>
        <w:tc>
          <w:tcPr>
            <w:tcW w:w="1186" w:type="dxa"/>
            <w:vAlign w:val="center"/>
          </w:tcPr>
          <w:p w14:paraId="61816425">
            <w:pPr>
              <w:jc w:val="right"/>
            </w:pPr>
            <w:r>
              <w:rPr>
                <w:rFonts w:hint="eastAsia"/>
              </w:rPr>
              <w:t>868,418.15</w:t>
            </w:r>
          </w:p>
        </w:tc>
        <w:tc>
          <w:tcPr>
            <w:tcW w:w="1186" w:type="dxa"/>
            <w:vAlign w:val="center"/>
          </w:tcPr>
          <w:p w14:paraId="566ABB1D">
            <w:pPr>
              <w:jc w:val="right"/>
            </w:pPr>
            <w:r>
              <w:rPr>
                <w:rFonts w:hint="eastAsia"/>
              </w:rPr>
              <w:t>3,209,036,570.99</w:t>
            </w:r>
          </w:p>
        </w:tc>
      </w:tr>
    </w:tbl>
    <w:p w14:paraId="50FADDE3">
      <w:pPr>
        <w:pStyle w:val="43"/>
      </w:pPr>
      <w:bookmarkStart w:id="81" w:name="_Toc81"/>
      <w:r>
        <w:t>债权投资减值准备计提情况</w:t>
      </w:r>
      <w:bookmarkEnd w:id="81"/>
    </w:p>
    <w:p w14:paraId="609D5DC3">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08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B9B2D4">
            <w:pPr>
              <w:jc w:val="center"/>
            </w:pPr>
            <w:r>
              <w:rPr>
                <w:rFonts w:hint="eastAsia"/>
                <w:b/>
              </w:rPr>
              <w:t>减值准备</w:t>
            </w:r>
          </w:p>
        </w:tc>
        <w:tc>
          <w:tcPr>
            <w:tcW w:w="1661" w:type="dxa"/>
            <w:shd w:val="clear" w:color="auto" w:fill="BFBFBF"/>
            <w:vAlign w:val="center"/>
          </w:tcPr>
          <w:p w14:paraId="30BD89BF">
            <w:pPr>
              <w:jc w:val="center"/>
            </w:pPr>
            <w:r>
              <w:rPr>
                <w:rFonts w:hint="eastAsia"/>
                <w:b/>
              </w:rPr>
              <w:t>第一阶段</w:t>
            </w:r>
          </w:p>
        </w:tc>
        <w:tc>
          <w:tcPr>
            <w:tcW w:w="1661" w:type="dxa"/>
            <w:shd w:val="clear" w:color="auto" w:fill="BFBFBF"/>
            <w:vAlign w:val="center"/>
          </w:tcPr>
          <w:p w14:paraId="2BE86911">
            <w:pPr>
              <w:jc w:val="center"/>
            </w:pPr>
            <w:r>
              <w:rPr>
                <w:rFonts w:hint="eastAsia"/>
                <w:b/>
              </w:rPr>
              <w:t>第二阶段</w:t>
            </w:r>
          </w:p>
        </w:tc>
        <w:tc>
          <w:tcPr>
            <w:tcW w:w="1661" w:type="dxa"/>
            <w:shd w:val="clear" w:color="auto" w:fill="BFBFBF"/>
            <w:vAlign w:val="center"/>
          </w:tcPr>
          <w:p w14:paraId="7FD54DA3">
            <w:pPr>
              <w:jc w:val="center"/>
            </w:pPr>
            <w:r>
              <w:rPr>
                <w:rFonts w:hint="eastAsia"/>
                <w:b/>
              </w:rPr>
              <w:t>第三阶段</w:t>
            </w:r>
          </w:p>
        </w:tc>
        <w:tc>
          <w:tcPr>
            <w:tcW w:w="1661" w:type="dxa"/>
            <w:vMerge w:val="restart"/>
            <w:shd w:val="clear" w:color="auto" w:fill="BFBFBF"/>
            <w:vAlign w:val="center"/>
          </w:tcPr>
          <w:p w14:paraId="37A92D1E">
            <w:pPr>
              <w:jc w:val="center"/>
            </w:pPr>
            <w:r>
              <w:rPr>
                <w:rFonts w:hint="eastAsia"/>
                <w:b/>
              </w:rPr>
              <w:t>合计</w:t>
            </w:r>
          </w:p>
        </w:tc>
      </w:tr>
      <w:tr w14:paraId="14FA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3B9873"/>
        </w:tc>
        <w:tc>
          <w:tcPr>
            <w:tcW w:w="1661" w:type="dxa"/>
            <w:shd w:val="clear" w:color="auto" w:fill="BFBFBF"/>
            <w:vAlign w:val="center"/>
          </w:tcPr>
          <w:p w14:paraId="3D4AEDF1">
            <w:pPr>
              <w:jc w:val="center"/>
            </w:pPr>
            <w:r>
              <w:rPr>
                <w:rFonts w:hint="eastAsia"/>
                <w:b/>
              </w:rPr>
              <w:t>未来12个月预期信用损失</w:t>
            </w:r>
          </w:p>
        </w:tc>
        <w:tc>
          <w:tcPr>
            <w:tcW w:w="1661" w:type="dxa"/>
            <w:shd w:val="clear" w:color="auto" w:fill="BFBFBF"/>
            <w:vAlign w:val="center"/>
          </w:tcPr>
          <w:p w14:paraId="0572D78E">
            <w:pPr>
              <w:jc w:val="center"/>
            </w:pPr>
            <w:r>
              <w:rPr>
                <w:rFonts w:hint="eastAsia"/>
                <w:b/>
              </w:rPr>
              <w:t>整个存续期预期信用损失(未发生信用减值)</w:t>
            </w:r>
          </w:p>
        </w:tc>
        <w:tc>
          <w:tcPr>
            <w:tcW w:w="1661" w:type="dxa"/>
            <w:shd w:val="clear" w:color="auto" w:fill="BFBFBF"/>
            <w:vAlign w:val="center"/>
          </w:tcPr>
          <w:p w14:paraId="06E948AE">
            <w:pPr>
              <w:jc w:val="center"/>
            </w:pPr>
            <w:r>
              <w:rPr>
                <w:rFonts w:hint="eastAsia"/>
                <w:b/>
              </w:rPr>
              <w:t>整个存续期预期信用损失(已发生信用减值)</w:t>
            </w:r>
          </w:p>
        </w:tc>
        <w:tc>
          <w:tcPr>
            <w:tcW w:w="1661" w:type="dxa"/>
            <w:vMerge w:val="continue"/>
            <w:vAlign w:val="center"/>
          </w:tcPr>
          <w:p w14:paraId="72F9FA1C"/>
        </w:tc>
      </w:tr>
      <w:tr w14:paraId="207C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6B5BF6">
            <w:r>
              <w:rPr>
                <w:rFonts w:hint="eastAsia"/>
              </w:rPr>
              <w:t>期初余额</w:t>
            </w:r>
          </w:p>
        </w:tc>
        <w:tc>
          <w:tcPr>
            <w:tcW w:w="1661" w:type="dxa"/>
            <w:vAlign w:val="center"/>
          </w:tcPr>
          <w:p w14:paraId="339DEBAC">
            <w:pPr>
              <w:jc w:val="right"/>
            </w:pPr>
            <w:r>
              <w:rPr>
                <w:rFonts w:hint="eastAsia"/>
              </w:rPr>
              <w:t>868,418.15</w:t>
            </w:r>
          </w:p>
        </w:tc>
        <w:tc>
          <w:tcPr>
            <w:tcW w:w="1661" w:type="dxa"/>
            <w:vAlign w:val="center"/>
          </w:tcPr>
          <w:p w14:paraId="63C2702F">
            <w:pPr>
              <w:jc w:val="right"/>
            </w:pPr>
            <w:r>
              <w:rPr>
                <w:rFonts w:hint="eastAsia"/>
              </w:rPr>
              <w:t>-</w:t>
            </w:r>
          </w:p>
        </w:tc>
        <w:tc>
          <w:tcPr>
            <w:tcW w:w="1661" w:type="dxa"/>
            <w:vAlign w:val="center"/>
          </w:tcPr>
          <w:p w14:paraId="05FA4645">
            <w:pPr>
              <w:jc w:val="right"/>
            </w:pPr>
            <w:r>
              <w:rPr>
                <w:rFonts w:hint="eastAsia"/>
              </w:rPr>
              <w:t>-</w:t>
            </w:r>
          </w:p>
        </w:tc>
        <w:tc>
          <w:tcPr>
            <w:tcW w:w="1661" w:type="dxa"/>
            <w:vAlign w:val="center"/>
          </w:tcPr>
          <w:p w14:paraId="5D313BDD">
            <w:pPr>
              <w:jc w:val="right"/>
            </w:pPr>
            <w:r>
              <w:rPr>
                <w:rFonts w:hint="eastAsia"/>
              </w:rPr>
              <w:t>868,418.15</w:t>
            </w:r>
          </w:p>
        </w:tc>
      </w:tr>
      <w:tr w14:paraId="07FD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81F3E0">
            <w:r>
              <w:rPr>
                <w:rFonts w:hint="eastAsia"/>
              </w:rPr>
              <w:t>本期从其他阶段转入</w:t>
            </w:r>
          </w:p>
        </w:tc>
        <w:tc>
          <w:tcPr>
            <w:tcW w:w="1661" w:type="dxa"/>
            <w:vAlign w:val="center"/>
          </w:tcPr>
          <w:p w14:paraId="0ECC9045">
            <w:pPr>
              <w:jc w:val="right"/>
            </w:pPr>
            <w:r>
              <w:rPr>
                <w:rFonts w:hint="eastAsia"/>
              </w:rPr>
              <w:t>-</w:t>
            </w:r>
          </w:p>
        </w:tc>
        <w:tc>
          <w:tcPr>
            <w:tcW w:w="1661" w:type="dxa"/>
            <w:vAlign w:val="center"/>
          </w:tcPr>
          <w:p w14:paraId="4DA491D8">
            <w:pPr>
              <w:jc w:val="right"/>
            </w:pPr>
            <w:r>
              <w:rPr>
                <w:rFonts w:hint="eastAsia"/>
              </w:rPr>
              <w:t>-</w:t>
            </w:r>
          </w:p>
        </w:tc>
        <w:tc>
          <w:tcPr>
            <w:tcW w:w="1661" w:type="dxa"/>
            <w:vAlign w:val="center"/>
          </w:tcPr>
          <w:p w14:paraId="7B49248A">
            <w:pPr>
              <w:jc w:val="right"/>
            </w:pPr>
            <w:r>
              <w:rPr>
                <w:rFonts w:hint="eastAsia"/>
              </w:rPr>
              <w:t>-</w:t>
            </w:r>
          </w:p>
        </w:tc>
        <w:tc>
          <w:tcPr>
            <w:tcW w:w="1661" w:type="dxa"/>
            <w:vAlign w:val="center"/>
          </w:tcPr>
          <w:p w14:paraId="0245EF39">
            <w:pPr>
              <w:jc w:val="right"/>
            </w:pPr>
            <w:r>
              <w:rPr>
                <w:rFonts w:hint="eastAsia"/>
              </w:rPr>
              <w:t>-</w:t>
            </w:r>
          </w:p>
        </w:tc>
      </w:tr>
      <w:tr w14:paraId="4AD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9FDEED">
            <w:r>
              <w:rPr>
                <w:rFonts w:hint="eastAsia"/>
              </w:rPr>
              <w:t>本期转出至其他阶段</w:t>
            </w:r>
          </w:p>
        </w:tc>
        <w:tc>
          <w:tcPr>
            <w:tcW w:w="1661" w:type="dxa"/>
            <w:vAlign w:val="center"/>
          </w:tcPr>
          <w:p w14:paraId="48F32EDD">
            <w:pPr>
              <w:jc w:val="right"/>
            </w:pPr>
            <w:r>
              <w:rPr>
                <w:rFonts w:hint="eastAsia"/>
              </w:rPr>
              <w:t>-</w:t>
            </w:r>
          </w:p>
        </w:tc>
        <w:tc>
          <w:tcPr>
            <w:tcW w:w="1661" w:type="dxa"/>
            <w:vAlign w:val="center"/>
          </w:tcPr>
          <w:p w14:paraId="69CA009D">
            <w:pPr>
              <w:jc w:val="right"/>
            </w:pPr>
            <w:r>
              <w:rPr>
                <w:rFonts w:hint="eastAsia"/>
              </w:rPr>
              <w:t>-</w:t>
            </w:r>
          </w:p>
        </w:tc>
        <w:tc>
          <w:tcPr>
            <w:tcW w:w="1661" w:type="dxa"/>
            <w:vAlign w:val="center"/>
          </w:tcPr>
          <w:p w14:paraId="6BA6DD0F">
            <w:pPr>
              <w:jc w:val="right"/>
            </w:pPr>
            <w:r>
              <w:rPr>
                <w:rFonts w:hint="eastAsia"/>
              </w:rPr>
              <w:t>-</w:t>
            </w:r>
          </w:p>
        </w:tc>
        <w:tc>
          <w:tcPr>
            <w:tcW w:w="1661" w:type="dxa"/>
            <w:vAlign w:val="center"/>
          </w:tcPr>
          <w:p w14:paraId="4199A098">
            <w:pPr>
              <w:jc w:val="right"/>
            </w:pPr>
            <w:r>
              <w:rPr>
                <w:rFonts w:hint="eastAsia"/>
              </w:rPr>
              <w:t>-</w:t>
            </w:r>
          </w:p>
        </w:tc>
      </w:tr>
      <w:tr w14:paraId="6935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24425">
            <w:r>
              <w:rPr>
                <w:rFonts w:hint="eastAsia"/>
              </w:rPr>
              <w:t>本期新增</w:t>
            </w:r>
          </w:p>
        </w:tc>
        <w:tc>
          <w:tcPr>
            <w:tcW w:w="1661" w:type="dxa"/>
            <w:vAlign w:val="center"/>
          </w:tcPr>
          <w:p w14:paraId="63D2453F">
            <w:pPr>
              <w:jc w:val="right"/>
            </w:pPr>
            <w:r>
              <w:rPr>
                <w:rFonts w:hint="eastAsia"/>
              </w:rPr>
              <w:t>192,415.41</w:t>
            </w:r>
          </w:p>
        </w:tc>
        <w:tc>
          <w:tcPr>
            <w:tcW w:w="1661" w:type="dxa"/>
            <w:vAlign w:val="center"/>
          </w:tcPr>
          <w:p w14:paraId="54083B97">
            <w:pPr>
              <w:jc w:val="right"/>
            </w:pPr>
            <w:r>
              <w:rPr>
                <w:rFonts w:hint="eastAsia"/>
              </w:rPr>
              <w:t>-</w:t>
            </w:r>
          </w:p>
        </w:tc>
        <w:tc>
          <w:tcPr>
            <w:tcW w:w="1661" w:type="dxa"/>
            <w:vAlign w:val="center"/>
          </w:tcPr>
          <w:p w14:paraId="6B3D7B40">
            <w:pPr>
              <w:jc w:val="right"/>
            </w:pPr>
            <w:r>
              <w:rPr>
                <w:rFonts w:hint="eastAsia"/>
              </w:rPr>
              <w:t>-</w:t>
            </w:r>
          </w:p>
        </w:tc>
        <w:tc>
          <w:tcPr>
            <w:tcW w:w="1661" w:type="dxa"/>
            <w:vAlign w:val="center"/>
          </w:tcPr>
          <w:p w14:paraId="3CBE3521">
            <w:pPr>
              <w:jc w:val="right"/>
            </w:pPr>
            <w:r>
              <w:rPr>
                <w:rFonts w:hint="eastAsia"/>
              </w:rPr>
              <w:t>192,415.41</w:t>
            </w:r>
          </w:p>
        </w:tc>
      </w:tr>
      <w:tr w14:paraId="3AB0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B9132">
            <w:r>
              <w:rPr>
                <w:rFonts w:hint="eastAsia"/>
              </w:rPr>
              <w:t>本期转回</w:t>
            </w:r>
          </w:p>
        </w:tc>
        <w:tc>
          <w:tcPr>
            <w:tcW w:w="1661" w:type="dxa"/>
            <w:vAlign w:val="center"/>
          </w:tcPr>
          <w:p w14:paraId="4E9E854B">
            <w:pPr>
              <w:jc w:val="right"/>
            </w:pPr>
            <w:r>
              <w:rPr>
                <w:rFonts w:hint="eastAsia"/>
              </w:rPr>
              <w:t>1,060,833.56</w:t>
            </w:r>
          </w:p>
        </w:tc>
        <w:tc>
          <w:tcPr>
            <w:tcW w:w="1661" w:type="dxa"/>
            <w:vAlign w:val="center"/>
          </w:tcPr>
          <w:p w14:paraId="37C70A22">
            <w:pPr>
              <w:jc w:val="right"/>
            </w:pPr>
            <w:r>
              <w:rPr>
                <w:rFonts w:hint="eastAsia"/>
              </w:rPr>
              <w:t>-</w:t>
            </w:r>
          </w:p>
        </w:tc>
        <w:tc>
          <w:tcPr>
            <w:tcW w:w="1661" w:type="dxa"/>
            <w:vAlign w:val="center"/>
          </w:tcPr>
          <w:p w14:paraId="24ED449F">
            <w:pPr>
              <w:jc w:val="right"/>
            </w:pPr>
            <w:r>
              <w:rPr>
                <w:rFonts w:hint="eastAsia"/>
              </w:rPr>
              <w:t>-</w:t>
            </w:r>
          </w:p>
        </w:tc>
        <w:tc>
          <w:tcPr>
            <w:tcW w:w="1661" w:type="dxa"/>
            <w:vAlign w:val="center"/>
          </w:tcPr>
          <w:p w14:paraId="7E4870A9">
            <w:pPr>
              <w:jc w:val="right"/>
            </w:pPr>
            <w:r>
              <w:rPr>
                <w:rFonts w:hint="eastAsia"/>
              </w:rPr>
              <w:t>1,060,833.56</w:t>
            </w:r>
          </w:p>
        </w:tc>
      </w:tr>
      <w:tr w14:paraId="765A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B2182">
            <w:r>
              <w:rPr>
                <w:rFonts w:hint="eastAsia"/>
              </w:rPr>
              <w:t>其他变动</w:t>
            </w:r>
          </w:p>
        </w:tc>
        <w:tc>
          <w:tcPr>
            <w:tcW w:w="1661" w:type="dxa"/>
            <w:vAlign w:val="center"/>
          </w:tcPr>
          <w:p w14:paraId="154A36DB">
            <w:pPr>
              <w:jc w:val="right"/>
            </w:pPr>
            <w:r>
              <w:rPr>
                <w:rFonts w:hint="eastAsia"/>
              </w:rPr>
              <w:t>-</w:t>
            </w:r>
          </w:p>
        </w:tc>
        <w:tc>
          <w:tcPr>
            <w:tcW w:w="1661" w:type="dxa"/>
            <w:vAlign w:val="center"/>
          </w:tcPr>
          <w:p w14:paraId="6ED69623">
            <w:pPr>
              <w:jc w:val="right"/>
            </w:pPr>
            <w:r>
              <w:rPr>
                <w:rFonts w:hint="eastAsia"/>
              </w:rPr>
              <w:t>-</w:t>
            </w:r>
          </w:p>
        </w:tc>
        <w:tc>
          <w:tcPr>
            <w:tcW w:w="1661" w:type="dxa"/>
            <w:vAlign w:val="center"/>
          </w:tcPr>
          <w:p w14:paraId="702D1178">
            <w:pPr>
              <w:jc w:val="right"/>
            </w:pPr>
            <w:r>
              <w:rPr>
                <w:rFonts w:hint="eastAsia"/>
              </w:rPr>
              <w:t>-</w:t>
            </w:r>
          </w:p>
        </w:tc>
        <w:tc>
          <w:tcPr>
            <w:tcW w:w="1661" w:type="dxa"/>
            <w:vAlign w:val="center"/>
          </w:tcPr>
          <w:p w14:paraId="19788F3C">
            <w:pPr>
              <w:jc w:val="right"/>
            </w:pPr>
            <w:r>
              <w:rPr>
                <w:rFonts w:hint="eastAsia"/>
              </w:rPr>
              <w:t>-</w:t>
            </w:r>
          </w:p>
        </w:tc>
      </w:tr>
      <w:tr w14:paraId="1776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2BE54">
            <w:r>
              <w:rPr>
                <w:rFonts w:hint="eastAsia"/>
              </w:rPr>
              <w:t>期末余额</w:t>
            </w:r>
          </w:p>
        </w:tc>
        <w:tc>
          <w:tcPr>
            <w:tcW w:w="1661" w:type="dxa"/>
            <w:vAlign w:val="center"/>
          </w:tcPr>
          <w:p w14:paraId="535BAB8F">
            <w:pPr>
              <w:jc w:val="right"/>
            </w:pPr>
            <w:r>
              <w:rPr>
                <w:rFonts w:hint="eastAsia"/>
              </w:rPr>
              <w:t>-</w:t>
            </w:r>
          </w:p>
        </w:tc>
        <w:tc>
          <w:tcPr>
            <w:tcW w:w="1661" w:type="dxa"/>
            <w:vAlign w:val="center"/>
          </w:tcPr>
          <w:p w14:paraId="69EC8CA3">
            <w:pPr>
              <w:jc w:val="right"/>
            </w:pPr>
            <w:r>
              <w:rPr>
                <w:rFonts w:hint="eastAsia"/>
              </w:rPr>
              <w:t>-</w:t>
            </w:r>
          </w:p>
        </w:tc>
        <w:tc>
          <w:tcPr>
            <w:tcW w:w="1661" w:type="dxa"/>
            <w:vAlign w:val="center"/>
          </w:tcPr>
          <w:p w14:paraId="233859B4">
            <w:pPr>
              <w:jc w:val="right"/>
            </w:pPr>
            <w:r>
              <w:rPr>
                <w:rFonts w:hint="eastAsia"/>
              </w:rPr>
              <w:t>-</w:t>
            </w:r>
          </w:p>
        </w:tc>
        <w:tc>
          <w:tcPr>
            <w:tcW w:w="1661" w:type="dxa"/>
            <w:vAlign w:val="center"/>
          </w:tcPr>
          <w:p w14:paraId="1B0E3FF8">
            <w:pPr>
              <w:jc w:val="right"/>
            </w:pPr>
            <w:r>
              <w:rPr>
                <w:rFonts w:hint="eastAsia"/>
              </w:rPr>
              <w:t>0.00</w:t>
            </w:r>
          </w:p>
        </w:tc>
      </w:tr>
    </w:tbl>
    <w:p w14:paraId="28DE5486">
      <w:pPr>
        <w:pStyle w:val="42"/>
      </w:pPr>
      <w:bookmarkStart w:id="82" w:name="_Toc82"/>
      <w:r>
        <w:t xml:space="preserve"> 其他资产</w:t>
      </w:r>
      <w:bookmarkEnd w:id="82"/>
    </w:p>
    <w:p w14:paraId="64C16C06">
      <w:pPr>
        <w:pStyle w:val="25"/>
        <w:rPr>
          <w:rFonts w:hint="eastAsia"/>
        </w:rPr>
      </w:pPr>
      <w:r>
        <w:rPr>
          <w:rFonts w:hint="eastAsia"/>
        </w:rPr>
        <w:t>无。</w:t>
      </w:r>
    </w:p>
    <w:p w14:paraId="25C8700A">
      <w:pPr>
        <w:pStyle w:val="42"/>
      </w:pPr>
      <w:bookmarkStart w:id="83" w:name="_Toc83"/>
      <w:r>
        <w:t>其他负债</w:t>
      </w:r>
      <w:bookmarkEnd w:id="83"/>
    </w:p>
    <w:p w14:paraId="016DE263">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80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3EBF7C">
            <w:pPr>
              <w:jc w:val="center"/>
            </w:pPr>
            <w:r>
              <w:rPr>
                <w:rFonts w:hint="eastAsia"/>
                <w:b/>
              </w:rPr>
              <w:t>项目</w:t>
            </w:r>
          </w:p>
        </w:tc>
        <w:tc>
          <w:tcPr>
            <w:tcW w:w="2768" w:type="dxa"/>
            <w:shd w:val="clear" w:color="auto" w:fill="BFBFBF"/>
            <w:vAlign w:val="center"/>
          </w:tcPr>
          <w:p w14:paraId="06DB0DEF">
            <w:pPr>
              <w:jc w:val="center"/>
            </w:pPr>
            <w:r>
              <w:rPr>
                <w:rFonts w:hint="eastAsia"/>
                <w:b/>
              </w:rPr>
              <w:t>本期末2025年12月31日</w:t>
            </w:r>
          </w:p>
        </w:tc>
        <w:tc>
          <w:tcPr>
            <w:tcW w:w="2768" w:type="dxa"/>
            <w:shd w:val="clear" w:color="auto" w:fill="BFBFBF"/>
            <w:vAlign w:val="center"/>
          </w:tcPr>
          <w:p w14:paraId="003F7DAE">
            <w:pPr>
              <w:jc w:val="center"/>
            </w:pPr>
            <w:r>
              <w:rPr>
                <w:rFonts w:hint="eastAsia"/>
                <w:b/>
              </w:rPr>
              <w:t>上年度末2024年12月31日</w:t>
            </w:r>
          </w:p>
        </w:tc>
      </w:tr>
      <w:tr w14:paraId="70DD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44078">
            <w:r>
              <w:rPr>
                <w:rFonts w:hint="eastAsia"/>
              </w:rPr>
              <w:t>应付券商交易单元保证金</w:t>
            </w:r>
          </w:p>
        </w:tc>
        <w:tc>
          <w:tcPr>
            <w:tcW w:w="2768" w:type="dxa"/>
            <w:vAlign w:val="center"/>
          </w:tcPr>
          <w:p w14:paraId="1C50D516">
            <w:pPr>
              <w:jc w:val="right"/>
            </w:pPr>
            <w:r>
              <w:rPr>
                <w:rFonts w:hint="eastAsia"/>
              </w:rPr>
              <w:t>-</w:t>
            </w:r>
          </w:p>
        </w:tc>
        <w:tc>
          <w:tcPr>
            <w:tcW w:w="2768" w:type="dxa"/>
            <w:vAlign w:val="center"/>
          </w:tcPr>
          <w:p w14:paraId="6EE90048">
            <w:pPr>
              <w:jc w:val="right"/>
            </w:pPr>
            <w:r>
              <w:rPr>
                <w:rFonts w:hint="eastAsia"/>
              </w:rPr>
              <w:t>-</w:t>
            </w:r>
          </w:p>
        </w:tc>
      </w:tr>
      <w:tr w14:paraId="0DF7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4C42B">
            <w:r>
              <w:rPr>
                <w:rFonts w:hint="eastAsia"/>
              </w:rPr>
              <w:t>应付赎回费</w:t>
            </w:r>
          </w:p>
        </w:tc>
        <w:tc>
          <w:tcPr>
            <w:tcW w:w="2768" w:type="dxa"/>
            <w:vAlign w:val="center"/>
          </w:tcPr>
          <w:p w14:paraId="3EBC91E5">
            <w:pPr>
              <w:jc w:val="right"/>
            </w:pPr>
            <w:r>
              <w:rPr>
                <w:rFonts w:hint="eastAsia"/>
              </w:rPr>
              <w:t>-</w:t>
            </w:r>
          </w:p>
        </w:tc>
        <w:tc>
          <w:tcPr>
            <w:tcW w:w="2768" w:type="dxa"/>
            <w:vAlign w:val="center"/>
          </w:tcPr>
          <w:p w14:paraId="7ACC7AD6">
            <w:pPr>
              <w:jc w:val="right"/>
            </w:pPr>
            <w:r>
              <w:rPr>
                <w:rFonts w:hint="eastAsia"/>
              </w:rPr>
              <w:t>-</w:t>
            </w:r>
          </w:p>
        </w:tc>
      </w:tr>
      <w:tr w14:paraId="5A44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96F43">
            <w:r>
              <w:rPr>
                <w:rFonts w:hint="eastAsia"/>
              </w:rPr>
              <w:t>应付证券出借违约金</w:t>
            </w:r>
          </w:p>
        </w:tc>
        <w:tc>
          <w:tcPr>
            <w:tcW w:w="2768" w:type="dxa"/>
            <w:vAlign w:val="center"/>
          </w:tcPr>
          <w:p w14:paraId="0D6D5945">
            <w:pPr>
              <w:jc w:val="right"/>
            </w:pPr>
            <w:r>
              <w:rPr>
                <w:rFonts w:hint="eastAsia"/>
              </w:rPr>
              <w:t>-</w:t>
            </w:r>
          </w:p>
        </w:tc>
        <w:tc>
          <w:tcPr>
            <w:tcW w:w="2768" w:type="dxa"/>
            <w:vAlign w:val="center"/>
          </w:tcPr>
          <w:p w14:paraId="42EF4117">
            <w:pPr>
              <w:jc w:val="right"/>
            </w:pPr>
            <w:r>
              <w:rPr>
                <w:rFonts w:hint="eastAsia"/>
              </w:rPr>
              <w:t>-</w:t>
            </w:r>
          </w:p>
        </w:tc>
      </w:tr>
      <w:tr w14:paraId="1D81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7DBB6">
            <w:r>
              <w:rPr>
                <w:rFonts w:hint="eastAsia"/>
              </w:rPr>
              <w:t>应付交易费用</w:t>
            </w:r>
          </w:p>
        </w:tc>
        <w:tc>
          <w:tcPr>
            <w:tcW w:w="2768" w:type="dxa"/>
            <w:vAlign w:val="center"/>
          </w:tcPr>
          <w:p w14:paraId="6FFA8DB7">
            <w:pPr>
              <w:jc w:val="right"/>
            </w:pPr>
            <w:r>
              <w:rPr>
                <w:rFonts w:hint="eastAsia"/>
              </w:rPr>
              <w:t>76,178.48</w:t>
            </w:r>
          </w:p>
        </w:tc>
        <w:tc>
          <w:tcPr>
            <w:tcW w:w="2768" w:type="dxa"/>
            <w:vAlign w:val="center"/>
          </w:tcPr>
          <w:p w14:paraId="1F874B17">
            <w:pPr>
              <w:jc w:val="right"/>
            </w:pPr>
            <w:r>
              <w:rPr>
                <w:rFonts w:hint="eastAsia"/>
              </w:rPr>
              <w:t>115,974.53</w:t>
            </w:r>
          </w:p>
        </w:tc>
      </w:tr>
      <w:tr w14:paraId="3D0C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DAB07">
            <w:r>
              <w:rPr>
                <w:rFonts w:hint="eastAsia"/>
              </w:rPr>
              <w:t>其中：交易所市场</w:t>
            </w:r>
          </w:p>
        </w:tc>
        <w:tc>
          <w:tcPr>
            <w:tcW w:w="2768" w:type="dxa"/>
            <w:vAlign w:val="center"/>
          </w:tcPr>
          <w:p w14:paraId="20D238B2">
            <w:pPr>
              <w:jc w:val="right"/>
            </w:pPr>
            <w:r>
              <w:rPr>
                <w:rFonts w:hint="eastAsia"/>
              </w:rPr>
              <w:t>-</w:t>
            </w:r>
          </w:p>
        </w:tc>
        <w:tc>
          <w:tcPr>
            <w:tcW w:w="2768" w:type="dxa"/>
            <w:vAlign w:val="center"/>
          </w:tcPr>
          <w:p w14:paraId="6EDEBD77">
            <w:pPr>
              <w:jc w:val="right"/>
            </w:pPr>
            <w:r>
              <w:rPr>
                <w:rFonts w:hint="eastAsia"/>
              </w:rPr>
              <w:t>-</w:t>
            </w:r>
          </w:p>
        </w:tc>
      </w:tr>
      <w:tr w14:paraId="6CFA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2ECB6">
            <w:r>
              <w:rPr>
                <w:rFonts w:hint="eastAsia"/>
              </w:rPr>
              <w:t xml:space="preserve">      银行间市场</w:t>
            </w:r>
          </w:p>
        </w:tc>
        <w:tc>
          <w:tcPr>
            <w:tcW w:w="2768" w:type="dxa"/>
            <w:vAlign w:val="center"/>
          </w:tcPr>
          <w:p w14:paraId="04FB6606">
            <w:pPr>
              <w:jc w:val="right"/>
            </w:pPr>
            <w:r>
              <w:rPr>
                <w:rFonts w:hint="eastAsia"/>
              </w:rPr>
              <w:t>76,178.48</w:t>
            </w:r>
          </w:p>
        </w:tc>
        <w:tc>
          <w:tcPr>
            <w:tcW w:w="2768" w:type="dxa"/>
            <w:vAlign w:val="center"/>
          </w:tcPr>
          <w:p w14:paraId="64ADB6A2">
            <w:pPr>
              <w:jc w:val="right"/>
            </w:pPr>
            <w:r>
              <w:rPr>
                <w:rFonts w:hint="eastAsia"/>
              </w:rPr>
              <w:t>115,974.53</w:t>
            </w:r>
          </w:p>
        </w:tc>
      </w:tr>
      <w:tr w14:paraId="48DA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CA24B">
            <w:r>
              <w:rPr>
                <w:rFonts w:hint="eastAsia"/>
              </w:rPr>
              <w:t>应付利息</w:t>
            </w:r>
          </w:p>
        </w:tc>
        <w:tc>
          <w:tcPr>
            <w:tcW w:w="2768" w:type="dxa"/>
            <w:vAlign w:val="center"/>
          </w:tcPr>
          <w:p w14:paraId="0E271077">
            <w:pPr>
              <w:jc w:val="right"/>
            </w:pPr>
            <w:r>
              <w:rPr>
                <w:rFonts w:hint="eastAsia"/>
              </w:rPr>
              <w:t>-</w:t>
            </w:r>
          </w:p>
        </w:tc>
        <w:tc>
          <w:tcPr>
            <w:tcW w:w="2768" w:type="dxa"/>
            <w:vAlign w:val="center"/>
          </w:tcPr>
          <w:p w14:paraId="27627607">
            <w:pPr>
              <w:jc w:val="right"/>
            </w:pPr>
            <w:r>
              <w:rPr>
                <w:rFonts w:hint="eastAsia"/>
              </w:rPr>
              <w:t>-</w:t>
            </w:r>
          </w:p>
        </w:tc>
      </w:tr>
      <w:tr w14:paraId="4F9E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71A9A">
            <w:r>
              <w:rPr>
                <w:rFonts w:hint="eastAsia"/>
              </w:rPr>
              <w:t>预提费用</w:t>
            </w:r>
          </w:p>
        </w:tc>
        <w:tc>
          <w:tcPr>
            <w:tcW w:w="2768" w:type="dxa"/>
            <w:vAlign w:val="center"/>
          </w:tcPr>
          <w:p w14:paraId="445E4DAD">
            <w:pPr>
              <w:jc w:val="right"/>
            </w:pPr>
            <w:r>
              <w:rPr>
                <w:rFonts w:hint="eastAsia"/>
              </w:rPr>
              <w:t>209,300.00</w:t>
            </w:r>
          </w:p>
        </w:tc>
        <w:tc>
          <w:tcPr>
            <w:tcW w:w="2768" w:type="dxa"/>
            <w:vAlign w:val="center"/>
          </w:tcPr>
          <w:p w14:paraId="3C24C202">
            <w:pPr>
              <w:jc w:val="right"/>
            </w:pPr>
            <w:r>
              <w:rPr>
                <w:rFonts w:hint="eastAsia"/>
              </w:rPr>
              <w:t>210,000.00</w:t>
            </w:r>
          </w:p>
        </w:tc>
      </w:tr>
      <w:tr w14:paraId="6985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E1760">
            <w:r>
              <w:rPr>
                <w:rFonts w:hint="eastAsia"/>
              </w:rPr>
              <w:t>合计</w:t>
            </w:r>
          </w:p>
        </w:tc>
        <w:tc>
          <w:tcPr>
            <w:tcW w:w="2768" w:type="dxa"/>
            <w:vAlign w:val="center"/>
          </w:tcPr>
          <w:p w14:paraId="7702D47D">
            <w:pPr>
              <w:jc w:val="right"/>
            </w:pPr>
            <w:r>
              <w:rPr>
                <w:rFonts w:hint="eastAsia"/>
              </w:rPr>
              <w:t>285,478.48</w:t>
            </w:r>
          </w:p>
        </w:tc>
        <w:tc>
          <w:tcPr>
            <w:tcW w:w="2768" w:type="dxa"/>
            <w:vAlign w:val="center"/>
          </w:tcPr>
          <w:p w14:paraId="7348EE71">
            <w:pPr>
              <w:jc w:val="right"/>
            </w:pPr>
            <w:r>
              <w:rPr>
                <w:rFonts w:hint="eastAsia"/>
              </w:rPr>
              <w:t>325,974.53</w:t>
            </w:r>
          </w:p>
        </w:tc>
      </w:tr>
    </w:tbl>
    <w:p w14:paraId="0AB684B8">
      <w:pPr>
        <w:pStyle w:val="42"/>
      </w:pPr>
      <w:bookmarkStart w:id="84" w:name="_Toc84"/>
      <w:r>
        <w:t xml:space="preserve">实收基金 </w:t>
      </w:r>
      <w:bookmarkEnd w:id="84"/>
    </w:p>
    <w:p w14:paraId="62131773">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E1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27FE3B8">
            <w:pPr>
              <w:jc w:val="center"/>
            </w:pPr>
            <w:r>
              <w:rPr>
                <w:rFonts w:hint="eastAsia"/>
                <w:b/>
              </w:rPr>
              <w:t>项目</w:t>
            </w:r>
          </w:p>
        </w:tc>
        <w:tc>
          <w:tcPr>
            <w:tcW w:w="2491" w:type="dxa"/>
            <w:gridSpan w:val="2"/>
            <w:shd w:val="clear" w:color="auto" w:fill="BFBFBF"/>
            <w:vAlign w:val="center"/>
          </w:tcPr>
          <w:p w14:paraId="5BFC80F2">
            <w:pPr>
              <w:jc w:val="center"/>
            </w:pPr>
            <w:r>
              <w:rPr>
                <w:rFonts w:hint="eastAsia"/>
                <w:b/>
              </w:rPr>
              <w:t>本期2025年1月1日至2025年12月31日</w:t>
            </w:r>
          </w:p>
        </w:tc>
      </w:tr>
      <w:tr w14:paraId="75E7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9403FF"/>
        </w:tc>
        <w:tc>
          <w:tcPr>
            <w:tcW w:w="2491" w:type="dxa"/>
            <w:shd w:val="clear" w:color="auto" w:fill="BFBFBF"/>
            <w:vAlign w:val="center"/>
          </w:tcPr>
          <w:p w14:paraId="27CA5152">
            <w:pPr>
              <w:jc w:val="center"/>
            </w:pPr>
            <w:r>
              <w:rPr>
                <w:rFonts w:hint="eastAsia"/>
                <w:b/>
              </w:rPr>
              <w:t>基金份额（份）</w:t>
            </w:r>
          </w:p>
        </w:tc>
        <w:tc>
          <w:tcPr>
            <w:tcW w:w="2907" w:type="dxa"/>
            <w:shd w:val="clear" w:color="auto" w:fill="BFBFBF"/>
            <w:vAlign w:val="center"/>
          </w:tcPr>
          <w:p w14:paraId="41D82728">
            <w:pPr>
              <w:jc w:val="center"/>
            </w:pPr>
            <w:r>
              <w:rPr>
                <w:rFonts w:hint="eastAsia"/>
                <w:b/>
              </w:rPr>
              <w:t>账面金额</w:t>
            </w:r>
          </w:p>
        </w:tc>
      </w:tr>
      <w:tr w14:paraId="75E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C5BCA2">
            <w:r>
              <w:rPr>
                <w:rFonts w:hint="eastAsia"/>
              </w:rPr>
              <w:t>上年度末</w:t>
            </w:r>
          </w:p>
        </w:tc>
        <w:tc>
          <w:tcPr>
            <w:tcW w:w="2491" w:type="dxa"/>
            <w:vAlign w:val="center"/>
          </w:tcPr>
          <w:p w14:paraId="0D2A6897">
            <w:pPr>
              <w:jc w:val="right"/>
            </w:pPr>
            <w:r>
              <w:rPr>
                <w:rFonts w:hint="eastAsia"/>
              </w:rPr>
              <w:t>4,511,718,215.35</w:t>
            </w:r>
          </w:p>
        </w:tc>
        <w:tc>
          <w:tcPr>
            <w:tcW w:w="2907" w:type="dxa"/>
            <w:vAlign w:val="center"/>
          </w:tcPr>
          <w:p w14:paraId="7494DFC5">
            <w:pPr>
              <w:jc w:val="right"/>
            </w:pPr>
            <w:r>
              <w:rPr>
                <w:rFonts w:hint="eastAsia"/>
              </w:rPr>
              <w:t>4,511,718,215.35</w:t>
            </w:r>
          </w:p>
        </w:tc>
      </w:tr>
      <w:tr w14:paraId="4AE0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00B80">
            <w:r>
              <w:rPr>
                <w:rFonts w:hint="eastAsia"/>
              </w:rPr>
              <w:t>本期申购</w:t>
            </w:r>
          </w:p>
        </w:tc>
        <w:tc>
          <w:tcPr>
            <w:tcW w:w="2491" w:type="dxa"/>
            <w:vAlign w:val="center"/>
          </w:tcPr>
          <w:p w14:paraId="124A8B02">
            <w:pPr>
              <w:jc w:val="right"/>
            </w:pPr>
            <w:r>
              <w:rPr>
                <w:rFonts w:hint="eastAsia"/>
              </w:rPr>
              <w:t>8,010.20</w:t>
            </w:r>
          </w:p>
        </w:tc>
        <w:tc>
          <w:tcPr>
            <w:tcW w:w="2907" w:type="dxa"/>
            <w:vAlign w:val="center"/>
          </w:tcPr>
          <w:p w14:paraId="568FEAF7">
            <w:pPr>
              <w:jc w:val="right"/>
            </w:pPr>
            <w:r>
              <w:rPr>
                <w:rFonts w:hint="eastAsia"/>
              </w:rPr>
              <w:t>8,010.20</w:t>
            </w:r>
          </w:p>
        </w:tc>
      </w:tr>
      <w:tr w14:paraId="7550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164F5">
            <w:r>
              <w:rPr>
                <w:rFonts w:hint="eastAsia"/>
              </w:rPr>
              <w:t>本期赎回（以“-”号填列）</w:t>
            </w:r>
          </w:p>
        </w:tc>
        <w:tc>
          <w:tcPr>
            <w:tcW w:w="2491" w:type="dxa"/>
            <w:vAlign w:val="center"/>
          </w:tcPr>
          <w:p w14:paraId="263CD8F8">
            <w:pPr>
              <w:jc w:val="right"/>
            </w:pPr>
            <w:r>
              <w:rPr>
                <w:rFonts w:hint="eastAsia"/>
              </w:rPr>
              <w:t>-4,478,274,921.92</w:t>
            </w:r>
          </w:p>
        </w:tc>
        <w:tc>
          <w:tcPr>
            <w:tcW w:w="2907" w:type="dxa"/>
            <w:vAlign w:val="center"/>
          </w:tcPr>
          <w:p w14:paraId="1D7441E3">
            <w:pPr>
              <w:jc w:val="right"/>
            </w:pPr>
            <w:r>
              <w:rPr>
                <w:rFonts w:hint="eastAsia"/>
              </w:rPr>
              <w:t>-4,478,274,921.92</w:t>
            </w:r>
          </w:p>
        </w:tc>
      </w:tr>
      <w:tr w14:paraId="5956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353E68">
            <w:r>
              <w:rPr>
                <w:rFonts w:hint="eastAsia"/>
              </w:rPr>
              <w:t>基金拆分/份额折算前</w:t>
            </w:r>
          </w:p>
        </w:tc>
        <w:tc>
          <w:tcPr>
            <w:tcW w:w="2491" w:type="dxa"/>
            <w:vAlign w:val="center"/>
          </w:tcPr>
          <w:p w14:paraId="6D49DF81">
            <w:pPr>
              <w:jc w:val="right"/>
            </w:pPr>
            <w:r>
              <w:rPr>
                <w:rFonts w:hint="eastAsia"/>
              </w:rPr>
              <w:t>-</w:t>
            </w:r>
          </w:p>
        </w:tc>
        <w:tc>
          <w:tcPr>
            <w:tcW w:w="2907" w:type="dxa"/>
            <w:vAlign w:val="center"/>
          </w:tcPr>
          <w:p w14:paraId="25000249">
            <w:pPr>
              <w:jc w:val="right"/>
            </w:pPr>
            <w:r>
              <w:rPr>
                <w:rFonts w:hint="eastAsia"/>
              </w:rPr>
              <w:t>-</w:t>
            </w:r>
          </w:p>
        </w:tc>
      </w:tr>
      <w:tr w14:paraId="2BA7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E6E949">
            <w:r>
              <w:rPr>
                <w:rFonts w:hint="eastAsia"/>
              </w:rPr>
              <w:t>基金拆分/份额折算调整</w:t>
            </w:r>
          </w:p>
        </w:tc>
        <w:tc>
          <w:tcPr>
            <w:tcW w:w="2491" w:type="dxa"/>
            <w:vAlign w:val="center"/>
          </w:tcPr>
          <w:p w14:paraId="309ABEE4">
            <w:pPr>
              <w:jc w:val="right"/>
            </w:pPr>
            <w:r>
              <w:rPr>
                <w:rFonts w:hint="eastAsia"/>
              </w:rPr>
              <w:t>-</w:t>
            </w:r>
          </w:p>
        </w:tc>
        <w:tc>
          <w:tcPr>
            <w:tcW w:w="2907" w:type="dxa"/>
            <w:vAlign w:val="center"/>
          </w:tcPr>
          <w:p w14:paraId="472D0A68">
            <w:pPr>
              <w:jc w:val="right"/>
            </w:pPr>
            <w:r>
              <w:rPr>
                <w:rFonts w:hint="eastAsia"/>
              </w:rPr>
              <w:t>-</w:t>
            </w:r>
          </w:p>
        </w:tc>
      </w:tr>
      <w:tr w14:paraId="77A6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78DCEE">
            <w:r>
              <w:rPr>
                <w:rFonts w:hint="eastAsia"/>
              </w:rPr>
              <w:t>本期申购</w:t>
            </w:r>
          </w:p>
        </w:tc>
        <w:tc>
          <w:tcPr>
            <w:tcW w:w="2491" w:type="dxa"/>
            <w:vAlign w:val="center"/>
          </w:tcPr>
          <w:p w14:paraId="67C8CB22">
            <w:pPr>
              <w:jc w:val="right"/>
            </w:pPr>
            <w:r>
              <w:rPr>
                <w:rFonts w:hint="eastAsia"/>
              </w:rPr>
              <w:t>-</w:t>
            </w:r>
          </w:p>
        </w:tc>
        <w:tc>
          <w:tcPr>
            <w:tcW w:w="2907" w:type="dxa"/>
            <w:vAlign w:val="center"/>
          </w:tcPr>
          <w:p w14:paraId="2ABC98D1">
            <w:pPr>
              <w:jc w:val="right"/>
            </w:pPr>
            <w:r>
              <w:rPr>
                <w:rFonts w:hint="eastAsia"/>
              </w:rPr>
              <w:t>-</w:t>
            </w:r>
          </w:p>
        </w:tc>
      </w:tr>
      <w:tr w14:paraId="4AE9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65CE58">
            <w:r>
              <w:rPr>
                <w:rFonts w:hint="eastAsia"/>
              </w:rPr>
              <w:t>本期赎回（以“-”号填列）</w:t>
            </w:r>
          </w:p>
        </w:tc>
        <w:tc>
          <w:tcPr>
            <w:tcW w:w="2491" w:type="dxa"/>
            <w:vAlign w:val="center"/>
          </w:tcPr>
          <w:p w14:paraId="75352345">
            <w:pPr>
              <w:jc w:val="right"/>
            </w:pPr>
            <w:r>
              <w:rPr>
                <w:rFonts w:hint="eastAsia"/>
              </w:rPr>
              <w:t>-</w:t>
            </w:r>
          </w:p>
        </w:tc>
        <w:tc>
          <w:tcPr>
            <w:tcW w:w="2907" w:type="dxa"/>
            <w:vAlign w:val="center"/>
          </w:tcPr>
          <w:p w14:paraId="53AC46B9">
            <w:pPr>
              <w:jc w:val="right"/>
            </w:pPr>
            <w:r>
              <w:rPr>
                <w:rFonts w:hint="eastAsia"/>
              </w:rPr>
              <w:t>-</w:t>
            </w:r>
          </w:p>
        </w:tc>
      </w:tr>
      <w:tr w14:paraId="152D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DC4D0B">
            <w:r>
              <w:rPr>
                <w:rFonts w:hint="eastAsia"/>
              </w:rPr>
              <w:t>本期末</w:t>
            </w:r>
          </w:p>
        </w:tc>
        <w:tc>
          <w:tcPr>
            <w:tcW w:w="2491" w:type="dxa"/>
            <w:vAlign w:val="center"/>
          </w:tcPr>
          <w:p w14:paraId="6A430614">
            <w:pPr>
              <w:jc w:val="right"/>
            </w:pPr>
            <w:r>
              <w:rPr>
                <w:rFonts w:hint="eastAsia"/>
              </w:rPr>
              <w:t>33,451,303.63</w:t>
            </w:r>
          </w:p>
        </w:tc>
        <w:tc>
          <w:tcPr>
            <w:tcW w:w="2907" w:type="dxa"/>
            <w:vAlign w:val="center"/>
          </w:tcPr>
          <w:p w14:paraId="38A5ECE1">
            <w:pPr>
              <w:jc w:val="right"/>
            </w:pPr>
            <w:r>
              <w:rPr>
                <w:rFonts w:hint="eastAsia"/>
              </w:rPr>
              <w:t>33,451,303.63</w:t>
            </w:r>
          </w:p>
        </w:tc>
      </w:tr>
    </w:tbl>
    <w:p w14:paraId="653F280B">
      <w:pPr>
        <w:pStyle w:val="54"/>
        <w:rPr>
          <w:rFonts w:hint="eastAsia"/>
        </w:rPr>
      </w:pPr>
      <w:r>
        <w:rPr>
          <w:rFonts w:hint="eastAsia"/>
        </w:rPr>
        <w:t>注：本基金申购含红利再投份额（如有）、转换入份额（如有）；赎回含转出份额（如有）。</w:t>
      </w:r>
    </w:p>
    <w:p w14:paraId="7417AF89">
      <w:pPr>
        <w:pStyle w:val="42"/>
      </w:pPr>
      <w:bookmarkStart w:id="85" w:name="_Toc85"/>
      <w:r>
        <w:t xml:space="preserve"> 未分配利润 </w:t>
      </w:r>
      <w:bookmarkEnd w:id="85"/>
    </w:p>
    <w:p w14:paraId="0B73ED63">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02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FD9630C">
            <w:pPr>
              <w:jc w:val="center"/>
            </w:pPr>
            <w:r>
              <w:rPr>
                <w:rFonts w:hint="eastAsia"/>
                <w:b/>
              </w:rPr>
              <w:t>项目</w:t>
            </w:r>
          </w:p>
        </w:tc>
        <w:tc>
          <w:tcPr>
            <w:tcW w:w="2076" w:type="dxa"/>
            <w:shd w:val="clear" w:color="auto" w:fill="BFBFBF"/>
            <w:vAlign w:val="center"/>
          </w:tcPr>
          <w:p w14:paraId="7CA51FA8">
            <w:pPr>
              <w:jc w:val="center"/>
            </w:pPr>
            <w:r>
              <w:rPr>
                <w:rFonts w:hint="eastAsia"/>
                <w:b/>
              </w:rPr>
              <w:t>已实现部分</w:t>
            </w:r>
          </w:p>
        </w:tc>
        <w:tc>
          <w:tcPr>
            <w:tcW w:w="2076" w:type="dxa"/>
            <w:shd w:val="clear" w:color="auto" w:fill="BFBFBF"/>
            <w:vAlign w:val="center"/>
          </w:tcPr>
          <w:p w14:paraId="1559038F">
            <w:pPr>
              <w:jc w:val="center"/>
            </w:pPr>
            <w:r>
              <w:rPr>
                <w:rFonts w:hint="eastAsia"/>
                <w:b/>
              </w:rPr>
              <w:t>未实现部分</w:t>
            </w:r>
          </w:p>
        </w:tc>
        <w:tc>
          <w:tcPr>
            <w:tcW w:w="2076" w:type="dxa"/>
            <w:shd w:val="clear" w:color="auto" w:fill="BFBFBF"/>
            <w:vAlign w:val="center"/>
          </w:tcPr>
          <w:p w14:paraId="4B3EB6D1">
            <w:pPr>
              <w:jc w:val="center"/>
            </w:pPr>
            <w:r>
              <w:rPr>
                <w:rFonts w:hint="eastAsia"/>
                <w:b/>
              </w:rPr>
              <w:t>未分配利润合计</w:t>
            </w:r>
          </w:p>
        </w:tc>
      </w:tr>
      <w:tr w14:paraId="34F4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1736DB">
            <w:r>
              <w:rPr>
                <w:rFonts w:hint="eastAsia"/>
              </w:rPr>
              <w:t>上年度末</w:t>
            </w:r>
          </w:p>
        </w:tc>
        <w:tc>
          <w:tcPr>
            <w:tcW w:w="2076" w:type="dxa"/>
            <w:vAlign w:val="center"/>
          </w:tcPr>
          <w:p w14:paraId="31364561">
            <w:pPr>
              <w:jc w:val="right"/>
            </w:pPr>
            <w:r>
              <w:rPr>
                <w:rFonts w:hint="eastAsia"/>
              </w:rPr>
              <w:t>117,826,347.77</w:t>
            </w:r>
          </w:p>
        </w:tc>
        <w:tc>
          <w:tcPr>
            <w:tcW w:w="2076" w:type="dxa"/>
            <w:vAlign w:val="center"/>
          </w:tcPr>
          <w:p w14:paraId="6BF181C6">
            <w:pPr>
              <w:jc w:val="right"/>
            </w:pPr>
            <w:r>
              <w:rPr>
                <w:rFonts w:hint="eastAsia"/>
              </w:rPr>
              <w:t>-</w:t>
            </w:r>
          </w:p>
        </w:tc>
        <w:tc>
          <w:tcPr>
            <w:tcW w:w="2076" w:type="dxa"/>
            <w:vAlign w:val="center"/>
          </w:tcPr>
          <w:p w14:paraId="198323C2">
            <w:pPr>
              <w:jc w:val="right"/>
            </w:pPr>
            <w:r>
              <w:rPr>
                <w:rFonts w:hint="eastAsia"/>
              </w:rPr>
              <w:t>117,826,347.77</w:t>
            </w:r>
          </w:p>
        </w:tc>
      </w:tr>
      <w:tr w14:paraId="3F81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44832">
            <w:r>
              <w:rPr>
                <w:rFonts w:hint="eastAsia"/>
              </w:rPr>
              <w:t>加：会计政策变更</w:t>
            </w:r>
          </w:p>
        </w:tc>
        <w:tc>
          <w:tcPr>
            <w:tcW w:w="2076" w:type="dxa"/>
            <w:vAlign w:val="center"/>
          </w:tcPr>
          <w:p w14:paraId="4298AB40">
            <w:pPr>
              <w:jc w:val="right"/>
            </w:pPr>
            <w:r>
              <w:rPr>
                <w:rFonts w:hint="eastAsia"/>
              </w:rPr>
              <w:t>-</w:t>
            </w:r>
          </w:p>
        </w:tc>
        <w:tc>
          <w:tcPr>
            <w:tcW w:w="2076" w:type="dxa"/>
            <w:vAlign w:val="center"/>
          </w:tcPr>
          <w:p w14:paraId="400447DA">
            <w:pPr>
              <w:jc w:val="right"/>
            </w:pPr>
            <w:r>
              <w:rPr>
                <w:rFonts w:hint="eastAsia"/>
              </w:rPr>
              <w:t>-</w:t>
            </w:r>
          </w:p>
        </w:tc>
        <w:tc>
          <w:tcPr>
            <w:tcW w:w="2076" w:type="dxa"/>
            <w:vAlign w:val="center"/>
          </w:tcPr>
          <w:p w14:paraId="5837FCAD">
            <w:pPr>
              <w:jc w:val="right"/>
            </w:pPr>
            <w:r>
              <w:rPr>
                <w:rFonts w:hint="eastAsia"/>
              </w:rPr>
              <w:t>-</w:t>
            </w:r>
          </w:p>
        </w:tc>
      </w:tr>
      <w:tr w14:paraId="219F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F95A8A">
            <w:r>
              <w:rPr>
                <w:rFonts w:hint="eastAsia"/>
              </w:rPr>
              <w:t xml:space="preserve">      前期差错更正</w:t>
            </w:r>
          </w:p>
        </w:tc>
        <w:tc>
          <w:tcPr>
            <w:tcW w:w="2076" w:type="dxa"/>
            <w:vAlign w:val="center"/>
          </w:tcPr>
          <w:p w14:paraId="1E4F1BE5">
            <w:pPr>
              <w:jc w:val="right"/>
            </w:pPr>
            <w:r>
              <w:rPr>
                <w:rFonts w:hint="eastAsia"/>
              </w:rPr>
              <w:t>-</w:t>
            </w:r>
          </w:p>
        </w:tc>
        <w:tc>
          <w:tcPr>
            <w:tcW w:w="2076" w:type="dxa"/>
            <w:vAlign w:val="center"/>
          </w:tcPr>
          <w:p w14:paraId="095AA306">
            <w:pPr>
              <w:jc w:val="right"/>
            </w:pPr>
            <w:r>
              <w:rPr>
                <w:rFonts w:hint="eastAsia"/>
              </w:rPr>
              <w:t>-</w:t>
            </w:r>
          </w:p>
        </w:tc>
        <w:tc>
          <w:tcPr>
            <w:tcW w:w="2076" w:type="dxa"/>
            <w:vAlign w:val="center"/>
          </w:tcPr>
          <w:p w14:paraId="2EC572A2">
            <w:pPr>
              <w:jc w:val="right"/>
            </w:pPr>
            <w:r>
              <w:rPr>
                <w:rFonts w:hint="eastAsia"/>
              </w:rPr>
              <w:t>-</w:t>
            </w:r>
          </w:p>
        </w:tc>
      </w:tr>
      <w:tr w14:paraId="498B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E8581">
            <w:r>
              <w:rPr>
                <w:rFonts w:hint="eastAsia"/>
              </w:rPr>
              <w:t xml:space="preserve">      其他</w:t>
            </w:r>
          </w:p>
        </w:tc>
        <w:tc>
          <w:tcPr>
            <w:tcW w:w="2076" w:type="dxa"/>
            <w:vAlign w:val="center"/>
          </w:tcPr>
          <w:p w14:paraId="5CB8C681">
            <w:pPr>
              <w:jc w:val="right"/>
            </w:pPr>
            <w:r>
              <w:rPr>
                <w:rFonts w:hint="eastAsia"/>
              </w:rPr>
              <w:t>-</w:t>
            </w:r>
          </w:p>
        </w:tc>
        <w:tc>
          <w:tcPr>
            <w:tcW w:w="2076" w:type="dxa"/>
            <w:vAlign w:val="center"/>
          </w:tcPr>
          <w:p w14:paraId="53304A89">
            <w:pPr>
              <w:jc w:val="right"/>
            </w:pPr>
            <w:r>
              <w:rPr>
                <w:rFonts w:hint="eastAsia"/>
              </w:rPr>
              <w:t>-</w:t>
            </w:r>
          </w:p>
        </w:tc>
        <w:tc>
          <w:tcPr>
            <w:tcW w:w="2076" w:type="dxa"/>
            <w:vAlign w:val="center"/>
          </w:tcPr>
          <w:p w14:paraId="0F6E4972">
            <w:pPr>
              <w:jc w:val="right"/>
            </w:pPr>
            <w:r>
              <w:rPr>
                <w:rFonts w:hint="eastAsia"/>
              </w:rPr>
              <w:t>-</w:t>
            </w:r>
          </w:p>
        </w:tc>
      </w:tr>
      <w:tr w14:paraId="27B3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054E8C">
            <w:r>
              <w:rPr>
                <w:rFonts w:hint="eastAsia"/>
              </w:rPr>
              <w:t>本期期初</w:t>
            </w:r>
          </w:p>
        </w:tc>
        <w:tc>
          <w:tcPr>
            <w:tcW w:w="2076" w:type="dxa"/>
            <w:vAlign w:val="center"/>
          </w:tcPr>
          <w:p w14:paraId="5FE56D95">
            <w:pPr>
              <w:jc w:val="right"/>
            </w:pPr>
            <w:r>
              <w:rPr>
                <w:rFonts w:hint="eastAsia"/>
              </w:rPr>
              <w:t>117,826,347.77</w:t>
            </w:r>
          </w:p>
        </w:tc>
        <w:tc>
          <w:tcPr>
            <w:tcW w:w="2076" w:type="dxa"/>
            <w:vAlign w:val="center"/>
          </w:tcPr>
          <w:p w14:paraId="43123E4A">
            <w:pPr>
              <w:jc w:val="right"/>
            </w:pPr>
            <w:r>
              <w:rPr>
                <w:rFonts w:hint="eastAsia"/>
              </w:rPr>
              <w:t>-</w:t>
            </w:r>
          </w:p>
        </w:tc>
        <w:tc>
          <w:tcPr>
            <w:tcW w:w="2076" w:type="dxa"/>
            <w:vAlign w:val="center"/>
          </w:tcPr>
          <w:p w14:paraId="428E1FA1">
            <w:pPr>
              <w:jc w:val="right"/>
            </w:pPr>
            <w:r>
              <w:rPr>
                <w:rFonts w:hint="eastAsia"/>
              </w:rPr>
              <w:t>117,826,347.77</w:t>
            </w:r>
          </w:p>
        </w:tc>
      </w:tr>
      <w:tr w14:paraId="78F8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CB19E">
            <w:r>
              <w:rPr>
                <w:rFonts w:hint="eastAsia"/>
              </w:rPr>
              <w:t>本期利润</w:t>
            </w:r>
          </w:p>
        </w:tc>
        <w:tc>
          <w:tcPr>
            <w:tcW w:w="2076" w:type="dxa"/>
            <w:vAlign w:val="center"/>
          </w:tcPr>
          <w:p w14:paraId="2073D5C2">
            <w:pPr>
              <w:jc w:val="right"/>
            </w:pPr>
            <w:r>
              <w:rPr>
                <w:rFonts w:hint="eastAsia"/>
              </w:rPr>
              <w:t>64,761,013.95</w:t>
            </w:r>
          </w:p>
        </w:tc>
        <w:tc>
          <w:tcPr>
            <w:tcW w:w="2076" w:type="dxa"/>
            <w:vAlign w:val="center"/>
          </w:tcPr>
          <w:p w14:paraId="36A0E85C">
            <w:pPr>
              <w:jc w:val="right"/>
            </w:pPr>
            <w:r>
              <w:rPr>
                <w:rFonts w:hint="eastAsia"/>
              </w:rPr>
              <w:t>-</w:t>
            </w:r>
          </w:p>
        </w:tc>
        <w:tc>
          <w:tcPr>
            <w:tcW w:w="2076" w:type="dxa"/>
            <w:vAlign w:val="center"/>
          </w:tcPr>
          <w:p w14:paraId="15DAAB11">
            <w:pPr>
              <w:jc w:val="right"/>
            </w:pPr>
            <w:r>
              <w:rPr>
                <w:rFonts w:hint="eastAsia"/>
              </w:rPr>
              <w:t>64,761,013.95</w:t>
            </w:r>
          </w:p>
        </w:tc>
      </w:tr>
      <w:tr w14:paraId="7D0C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879361">
            <w:r>
              <w:rPr>
                <w:rFonts w:hint="eastAsia"/>
              </w:rPr>
              <w:t>本期基金份额交易产生的变动数</w:t>
            </w:r>
          </w:p>
        </w:tc>
        <w:tc>
          <w:tcPr>
            <w:tcW w:w="2076" w:type="dxa"/>
            <w:vAlign w:val="center"/>
          </w:tcPr>
          <w:p w14:paraId="396FA895">
            <w:pPr>
              <w:jc w:val="right"/>
            </w:pPr>
            <w:r>
              <w:rPr>
                <w:rFonts w:hint="eastAsia"/>
              </w:rPr>
              <w:t>-180,746,959.23</w:t>
            </w:r>
          </w:p>
        </w:tc>
        <w:tc>
          <w:tcPr>
            <w:tcW w:w="2076" w:type="dxa"/>
            <w:vAlign w:val="center"/>
          </w:tcPr>
          <w:p w14:paraId="458C2037">
            <w:pPr>
              <w:jc w:val="right"/>
            </w:pPr>
            <w:r>
              <w:rPr>
                <w:rFonts w:hint="eastAsia"/>
              </w:rPr>
              <w:t>-</w:t>
            </w:r>
          </w:p>
        </w:tc>
        <w:tc>
          <w:tcPr>
            <w:tcW w:w="2076" w:type="dxa"/>
            <w:vAlign w:val="center"/>
          </w:tcPr>
          <w:p w14:paraId="7FCB4145">
            <w:pPr>
              <w:jc w:val="right"/>
            </w:pPr>
            <w:r>
              <w:rPr>
                <w:rFonts w:hint="eastAsia"/>
              </w:rPr>
              <w:t>-180,746,959.23</w:t>
            </w:r>
          </w:p>
        </w:tc>
      </w:tr>
      <w:tr w14:paraId="52D1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E17108">
            <w:r>
              <w:rPr>
                <w:rFonts w:hint="eastAsia"/>
              </w:rPr>
              <w:t>其中：基金申购款</w:t>
            </w:r>
          </w:p>
        </w:tc>
        <w:tc>
          <w:tcPr>
            <w:tcW w:w="2076" w:type="dxa"/>
            <w:vAlign w:val="center"/>
          </w:tcPr>
          <w:p w14:paraId="7E852D7B">
            <w:pPr>
              <w:jc w:val="right"/>
            </w:pPr>
            <w:r>
              <w:rPr>
                <w:rFonts w:hint="eastAsia"/>
              </w:rPr>
              <w:t>328.69</w:t>
            </w:r>
          </w:p>
        </w:tc>
        <w:tc>
          <w:tcPr>
            <w:tcW w:w="2076" w:type="dxa"/>
            <w:vAlign w:val="center"/>
          </w:tcPr>
          <w:p w14:paraId="069D51AC">
            <w:pPr>
              <w:jc w:val="right"/>
            </w:pPr>
            <w:r>
              <w:rPr>
                <w:rFonts w:hint="eastAsia"/>
              </w:rPr>
              <w:t>-</w:t>
            </w:r>
          </w:p>
        </w:tc>
        <w:tc>
          <w:tcPr>
            <w:tcW w:w="2076" w:type="dxa"/>
            <w:vAlign w:val="center"/>
          </w:tcPr>
          <w:p w14:paraId="3F1E4520">
            <w:pPr>
              <w:jc w:val="right"/>
            </w:pPr>
            <w:r>
              <w:rPr>
                <w:rFonts w:hint="eastAsia"/>
              </w:rPr>
              <w:t>328.69</w:t>
            </w:r>
          </w:p>
        </w:tc>
      </w:tr>
      <w:tr w14:paraId="361A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66BF9">
            <w:r>
              <w:rPr>
                <w:rFonts w:hint="eastAsia"/>
              </w:rPr>
              <w:t xml:space="preserve">      基金赎回款</w:t>
            </w:r>
          </w:p>
        </w:tc>
        <w:tc>
          <w:tcPr>
            <w:tcW w:w="2076" w:type="dxa"/>
            <w:vAlign w:val="center"/>
          </w:tcPr>
          <w:p w14:paraId="661CE71A">
            <w:pPr>
              <w:jc w:val="right"/>
            </w:pPr>
            <w:r>
              <w:rPr>
                <w:rFonts w:hint="eastAsia"/>
              </w:rPr>
              <w:t>-180,747,287.92</w:t>
            </w:r>
          </w:p>
        </w:tc>
        <w:tc>
          <w:tcPr>
            <w:tcW w:w="2076" w:type="dxa"/>
            <w:vAlign w:val="center"/>
          </w:tcPr>
          <w:p w14:paraId="54906058">
            <w:pPr>
              <w:jc w:val="right"/>
            </w:pPr>
            <w:r>
              <w:rPr>
                <w:rFonts w:hint="eastAsia"/>
              </w:rPr>
              <w:t>-</w:t>
            </w:r>
          </w:p>
        </w:tc>
        <w:tc>
          <w:tcPr>
            <w:tcW w:w="2076" w:type="dxa"/>
            <w:vAlign w:val="center"/>
          </w:tcPr>
          <w:p w14:paraId="14305879">
            <w:pPr>
              <w:jc w:val="right"/>
            </w:pPr>
            <w:r>
              <w:rPr>
                <w:rFonts w:hint="eastAsia"/>
              </w:rPr>
              <w:t>-180,747,287.92</w:t>
            </w:r>
          </w:p>
        </w:tc>
      </w:tr>
      <w:tr w14:paraId="0FA1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700BF">
            <w:r>
              <w:rPr>
                <w:rFonts w:hint="eastAsia"/>
              </w:rPr>
              <w:t>本期已分配利润</w:t>
            </w:r>
          </w:p>
        </w:tc>
        <w:tc>
          <w:tcPr>
            <w:tcW w:w="2076" w:type="dxa"/>
            <w:vAlign w:val="center"/>
          </w:tcPr>
          <w:p w14:paraId="6DF99A70">
            <w:pPr>
              <w:jc w:val="right"/>
            </w:pPr>
            <w:r>
              <w:rPr>
                <w:rFonts w:hint="eastAsia"/>
              </w:rPr>
              <w:t>-435,801.59</w:t>
            </w:r>
          </w:p>
        </w:tc>
        <w:tc>
          <w:tcPr>
            <w:tcW w:w="2076" w:type="dxa"/>
            <w:vAlign w:val="center"/>
          </w:tcPr>
          <w:p w14:paraId="0F88BA28">
            <w:pPr>
              <w:jc w:val="right"/>
            </w:pPr>
            <w:r>
              <w:rPr>
                <w:rFonts w:hint="eastAsia"/>
              </w:rPr>
              <w:t>-</w:t>
            </w:r>
          </w:p>
        </w:tc>
        <w:tc>
          <w:tcPr>
            <w:tcW w:w="2076" w:type="dxa"/>
            <w:vAlign w:val="center"/>
          </w:tcPr>
          <w:p w14:paraId="5B023E5E">
            <w:pPr>
              <w:jc w:val="right"/>
            </w:pPr>
            <w:r>
              <w:rPr>
                <w:rFonts w:hint="eastAsia"/>
              </w:rPr>
              <w:t>-435,801.59</w:t>
            </w:r>
          </w:p>
        </w:tc>
      </w:tr>
      <w:tr w14:paraId="6D7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0E5F4">
            <w:r>
              <w:rPr>
                <w:rFonts w:hint="eastAsia"/>
              </w:rPr>
              <w:t>本期末</w:t>
            </w:r>
          </w:p>
        </w:tc>
        <w:tc>
          <w:tcPr>
            <w:tcW w:w="2076" w:type="dxa"/>
            <w:vAlign w:val="center"/>
          </w:tcPr>
          <w:p w14:paraId="3B460DA0">
            <w:pPr>
              <w:jc w:val="right"/>
            </w:pPr>
            <w:r>
              <w:rPr>
                <w:rFonts w:hint="eastAsia"/>
              </w:rPr>
              <w:t>1,404,600.90</w:t>
            </w:r>
          </w:p>
        </w:tc>
        <w:tc>
          <w:tcPr>
            <w:tcW w:w="2076" w:type="dxa"/>
            <w:vAlign w:val="center"/>
          </w:tcPr>
          <w:p w14:paraId="280ABB06">
            <w:pPr>
              <w:jc w:val="right"/>
            </w:pPr>
            <w:r>
              <w:rPr>
                <w:rFonts w:hint="eastAsia"/>
              </w:rPr>
              <w:t>-</w:t>
            </w:r>
          </w:p>
        </w:tc>
        <w:tc>
          <w:tcPr>
            <w:tcW w:w="2076" w:type="dxa"/>
            <w:vAlign w:val="center"/>
          </w:tcPr>
          <w:p w14:paraId="46B98D43">
            <w:pPr>
              <w:jc w:val="right"/>
            </w:pPr>
            <w:r>
              <w:rPr>
                <w:rFonts w:hint="eastAsia"/>
              </w:rPr>
              <w:t>1,404,600.90</w:t>
            </w:r>
          </w:p>
        </w:tc>
      </w:tr>
    </w:tbl>
    <w:p w14:paraId="3E6C5F42">
      <w:pPr>
        <w:pStyle w:val="42"/>
      </w:pPr>
      <w:bookmarkStart w:id="86" w:name="_Toc86"/>
      <w:r>
        <w:t xml:space="preserve"> 存款利息收入</w:t>
      </w:r>
      <w:bookmarkEnd w:id="86"/>
    </w:p>
    <w:p w14:paraId="43B430CA">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49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B6B89">
            <w:pPr>
              <w:jc w:val="center"/>
            </w:pPr>
            <w:r>
              <w:rPr>
                <w:rFonts w:hint="eastAsia"/>
                <w:b/>
              </w:rPr>
              <w:t>项目</w:t>
            </w:r>
          </w:p>
        </w:tc>
        <w:tc>
          <w:tcPr>
            <w:tcW w:w="2768" w:type="dxa"/>
            <w:shd w:val="clear" w:color="auto" w:fill="BFBFBF"/>
            <w:vAlign w:val="center"/>
          </w:tcPr>
          <w:p w14:paraId="7F517DAA">
            <w:pPr>
              <w:jc w:val="center"/>
            </w:pPr>
            <w:r>
              <w:rPr>
                <w:rFonts w:hint="eastAsia"/>
                <w:b/>
              </w:rPr>
              <w:t>本期2025年1月1日至2025年12月31日</w:t>
            </w:r>
          </w:p>
        </w:tc>
        <w:tc>
          <w:tcPr>
            <w:tcW w:w="2768" w:type="dxa"/>
            <w:shd w:val="clear" w:color="auto" w:fill="BFBFBF"/>
            <w:vAlign w:val="center"/>
          </w:tcPr>
          <w:p w14:paraId="242B0B6D">
            <w:pPr>
              <w:jc w:val="center"/>
            </w:pPr>
            <w:r>
              <w:rPr>
                <w:rFonts w:hint="eastAsia"/>
                <w:b/>
              </w:rPr>
              <w:t>上年度可比期间2024年1月1日至2024年12月31日</w:t>
            </w:r>
          </w:p>
        </w:tc>
      </w:tr>
      <w:tr w14:paraId="3E1E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555C3">
            <w:r>
              <w:rPr>
                <w:rFonts w:hint="eastAsia"/>
              </w:rPr>
              <w:t>活期存款利息收入</w:t>
            </w:r>
          </w:p>
        </w:tc>
        <w:tc>
          <w:tcPr>
            <w:tcW w:w="2768" w:type="dxa"/>
            <w:vAlign w:val="center"/>
          </w:tcPr>
          <w:p w14:paraId="76F44500">
            <w:pPr>
              <w:jc w:val="right"/>
            </w:pPr>
            <w:r>
              <w:rPr>
                <w:rFonts w:hint="eastAsia"/>
              </w:rPr>
              <w:t>858,372.46</w:t>
            </w:r>
          </w:p>
        </w:tc>
        <w:tc>
          <w:tcPr>
            <w:tcW w:w="2768" w:type="dxa"/>
            <w:vAlign w:val="center"/>
          </w:tcPr>
          <w:p w14:paraId="03483BAD">
            <w:pPr>
              <w:jc w:val="right"/>
            </w:pPr>
            <w:r>
              <w:rPr>
                <w:rFonts w:hint="eastAsia"/>
              </w:rPr>
              <w:t>1,531,291.13</w:t>
            </w:r>
          </w:p>
        </w:tc>
      </w:tr>
      <w:tr w14:paraId="2C50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96615">
            <w:r>
              <w:rPr>
                <w:rFonts w:hint="eastAsia"/>
              </w:rPr>
              <w:t>定期存款利息收入</w:t>
            </w:r>
          </w:p>
        </w:tc>
        <w:tc>
          <w:tcPr>
            <w:tcW w:w="2768" w:type="dxa"/>
            <w:vAlign w:val="center"/>
          </w:tcPr>
          <w:p w14:paraId="39188A58">
            <w:pPr>
              <w:jc w:val="right"/>
            </w:pPr>
            <w:r>
              <w:rPr>
                <w:rFonts w:hint="eastAsia"/>
              </w:rPr>
              <w:t>15,937,777.84</w:t>
            </w:r>
          </w:p>
        </w:tc>
        <w:tc>
          <w:tcPr>
            <w:tcW w:w="2768" w:type="dxa"/>
            <w:vAlign w:val="center"/>
          </w:tcPr>
          <w:p w14:paraId="2A9F28C0">
            <w:pPr>
              <w:jc w:val="right"/>
            </w:pPr>
            <w:r>
              <w:rPr>
                <w:rFonts w:hint="eastAsia"/>
              </w:rPr>
              <w:t>16,425,444.46</w:t>
            </w:r>
          </w:p>
        </w:tc>
      </w:tr>
      <w:tr w14:paraId="0F7B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16C33">
            <w:r>
              <w:rPr>
                <w:rFonts w:hint="eastAsia"/>
              </w:rPr>
              <w:t>其他存款利息收入</w:t>
            </w:r>
          </w:p>
        </w:tc>
        <w:tc>
          <w:tcPr>
            <w:tcW w:w="2768" w:type="dxa"/>
            <w:vAlign w:val="center"/>
          </w:tcPr>
          <w:p w14:paraId="03907104">
            <w:pPr>
              <w:jc w:val="right"/>
            </w:pPr>
            <w:r>
              <w:rPr>
                <w:rFonts w:hint="eastAsia"/>
              </w:rPr>
              <w:t>-</w:t>
            </w:r>
          </w:p>
        </w:tc>
        <w:tc>
          <w:tcPr>
            <w:tcW w:w="2768" w:type="dxa"/>
            <w:vAlign w:val="center"/>
          </w:tcPr>
          <w:p w14:paraId="2463D295">
            <w:pPr>
              <w:jc w:val="right"/>
            </w:pPr>
            <w:r>
              <w:rPr>
                <w:rFonts w:hint="eastAsia"/>
              </w:rPr>
              <w:t>-</w:t>
            </w:r>
          </w:p>
        </w:tc>
      </w:tr>
      <w:tr w14:paraId="79FD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443DA">
            <w:r>
              <w:rPr>
                <w:rFonts w:hint="eastAsia"/>
              </w:rPr>
              <w:t>结算备付金利息收入</w:t>
            </w:r>
          </w:p>
        </w:tc>
        <w:tc>
          <w:tcPr>
            <w:tcW w:w="2768" w:type="dxa"/>
            <w:vAlign w:val="center"/>
          </w:tcPr>
          <w:p w14:paraId="0C409CBC">
            <w:pPr>
              <w:jc w:val="right"/>
            </w:pPr>
            <w:r>
              <w:rPr>
                <w:rFonts w:hint="eastAsia"/>
              </w:rPr>
              <w:t>-</w:t>
            </w:r>
          </w:p>
        </w:tc>
        <w:tc>
          <w:tcPr>
            <w:tcW w:w="2768" w:type="dxa"/>
            <w:vAlign w:val="center"/>
          </w:tcPr>
          <w:p w14:paraId="309E9EC1">
            <w:pPr>
              <w:jc w:val="right"/>
            </w:pPr>
            <w:r>
              <w:rPr>
                <w:rFonts w:hint="eastAsia"/>
              </w:rPr>
              <w:t>5,726.79</w:t>
            </w:r>
          </w:p>
        </w:tc>
      </w:tr>
      <w:tr w14:paraId="3224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FA0B1">
            <w:r>
              <w:rPr>
                <w:rFonts w:hint="eastAsia"/>
              </w:rPr>
              <w:t>其他</w:t>
            </w:r>
          </w:p>
        </w:tc>
        <w:tc>
          <w:tcPr>
            <w:tcW w:w="2768" w:type="dxa"/>
            <w:vAlign w:val="center"/>
          </w:tcPr>
          <w:p w14:paraId="7EA0C155">
            <w:pPr>
              <w:jc w:val="right"/>
            </w:pPr>
            <w:r>
              <w:rPr>
                <w:rFonts w:hint="eastAsia"/>
              </w:rPr>
              <w:t>-</w:t>
            </w:r>
          </w:p>
        </w:tc>
        <w:tc>
          <w:tcPr>
            <w:tcW w:w="2768" w:type="dxa"/>
            <w:vAlign w:val="center"/>
          </w:tcPr>
          <w:p w14:paraId="79625F42">
            <w:pPr>
              <w:jc w:val="right"/>
            </w:pPr>
            <w:r>
              <w:rPr>
                <w:rFonts w:hint="eastAsia"/>
              </w:rPr>
              <w:t>31,648.28</w:t>
            </w:r>
          </w:p>
        </w:tc>
      </w:tr>
      <w:tr w14:paraId="0661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27EB6">
            <w:r>
              <w:rPr>
                <w:rFonts w:hint="eastAsia"/>
              </w:rPr>
              <w:t>合计</w:t>
            </w:r>
          </w:p>
        </w:tc>
        <w:tc>
          <w:tcPr>
            <w:tcW w:w="2768" w:type="dxa"/>
            <w:vAlign w:val="center"/>
          </w:tcPr>
          <w:p w14:paraId="5B1C2070">
            <w:pPr>
              <w:jc w:val="right"/>
            </w:pPr>
            <w:r>
              <w:rPr>
                <w:rFonts w:hint="eastAsia"/>
              </w:rPr>
              <w:t>16,796,150.30</w:t>
            </w:r>
          </w:p>
        </w:tc>
        <w:tc>
          <w:tcPr>
            <w:tcW w:w="2768" w:type="dxa"/>
            <w:vAlign w:val="center"/>
          </w:tcPr>
          <w:p w14:paraId="01EBE6B1">
            <w:pPr>
              <w:jc w:val="right"/>
            </w:pPr>
            <w:r>
              <w:rPr>
                <w:rFonts w:hint="eastAsia"/>
              </w:rPr>
              <w:t>17,994,110.66</w:t>
            </w:r>
          </w:p>
        </w:tc>
      </w:tr>
    </w:tbl>
    <w:p w14:paraId="42934CFD">
      <w:pPr>
        <w:pStyle w:val="42"/>
      </w:pPr>
      <w:bookmarkStart w:id="87" w:name="_Toc87"/>
      <w:r>
        <w:t>股票投资收益</w:t>
      </w:r>
      <w:bookmarkEnd w:id="87"/>
    </w:p>
    <w:p w14:paraId="77142A13">
      <w:pPr>
        <w:pStyle w:val="43"/>
      </w:pPr>
      <w:bookmarkStart w:id="88" w:name="_Toc88"/>
      <w:r>
        <w:t>股票投资收益——买卖股票差价收入</w:t>
      </w:r>
      <w:bookmarkEnd w:id="88"/>
    </w:p>
    <w:p w14:paraId="3931BBC8">
      <w:pPr>
        <w:pStyle w:val="25"/>
        <w:rPr>
          <w:rFonts w:hint="eastAsia"/>
        </w:rPr>
      </w:pPr>
      <w:r>
        <w:rPr>
          <w:rFonts w:hint="eastAsia"/>
        </w:rPr>
        <w:t>无。</w:t>
      </w:r>
    </w:p>
    <w:p w14:paraId="7D6F6091">
      <w:pPr>
        <w:pStyle w:val="42"/>
      </w:pPr>
      <w:bookmarkStart w:id="89" w:name="_Toc89"/>
      <w:r>
        <w:t>基金投资收益</w:t>
      </w:r>
      <w:bookmarkEnd w:id="89"/>
    </w:p>
    <w:p w14:paraId="0392C80C">
      <w:pPr>
        <w:pStyle w:val="25"/>
        <w:rPr>
          <w:rFonts w:hint="eastAsia"/>
        </w:rPr>
      </w:pPr>
      <w:r>
        <w:rPr>
          <w:rFonts w:hint="eastAsia"/>
        </w:rPr>
        <w:t>无。</w:t>
      </w:r>
    </w:p>
    <w:p w14:paraId="299C2AD2">
      <w:pPr>
        <w:pStyle w:val="42"/>
      </w:pPr>
      <w:bookmarkStart w:id="90" w:name="_Toc90"/>
      <w:r>
        <w:t>债券投资收益</w:t>
      </w:r>
      <w:bookmarkEnd w:id="90"/>
    </w:p>
    <w:p w14:paraId="59DF7333">
      <w:pPr>
        <w:pStyle w:val="43"/>
      </w:pPr>
      <w:bookmarkStart w:id="91" w:name="_Toc91"/>
      <w:r>
        <w:t>债券投资收益项目构成</w:t>
      </w:r>
      <w:bookmarkEnd w:id="91"/>
    </w:p>
    <w:p w14:paraId="672BD86C">
      <w:pPr>
        <w:pStyle w:val="25"/>
        <w:rPr>
          <w:rFonts w:hint="eastAsia"/>
        </w:rPr>
      </w:pPr>
      <w:r>
        <w:rPr>
          <w:rFonts w:hint="eastAsia"/>
        </w:rPr>
        <w:t>无。</w:t>
      </w:r>
    </w:p>
    <w:p w14:paraId="7D353364">
      <w:pPr>
        <w:pStyle w:val="43"/>
      </w:pPr>
      <w:bookmarkStart w:id="92" w:name="_Toc92"/>
      <w:r>
        <w:t>债券投资收益——买卖债券差价收入</w:t>
      </w:r>
      <w:bookmarkEnd w:id="92"/>
    </w:p>
    <w:p w14:paraId="5D084CB9">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98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CB2F7F">
            <w:pPr>
              <w:jc w:val="center"/>
            </w:pPr>
            <w:r>
              <w:rPr>
                <w:rFonts w:hint="eastAsia"/>
                <w:b/>
              </w:rPr>
              <w:t>项目</w:t>
            </w:r>
          </w:p>
        </w:tc>
        <w:tc>
          <w:tcPr>
            <w:tcW w:w="2768" w:type="dxa"/>
            <w:shd w:val="clear" w:color="auto" w:fill="BFBFBF"/>
            <w:vAlign w:val="center"/>
          </w:tcPr>
          <w:p w14:paraId="1B3AE160">
            <w:pPr>
              <w:jc w:val="center"/>
            </w:pPr>
            <w:r>
              <w:rPr>
                <w:rFonts w:hint="eastAsia"/>
                <w:b/>
              </w:rPr>
              <w:t>本期2025年1月1日至2025年12月31日</w:t>
            </w:r>
          </w:p>
        </w:tc>
        <w:tc>
          <w:tcPr>
            <w:tcW w:w="2768" w:type="dxa"/>
            <w:shd w:val="clear" w:color="auto" w:fill="BFBFBF"/>
            <w:vAlign w:val="center"/>
          </w:tcPr>
          <w:p w14:paraId="0B78BCFE">
            <w:pPr>
              <w:jc w:val="center"/>
            </w:pPr>
            <w:r>
              <w:rPr>
                <w:rFonts w:hint="eastAsia"/>
                <w:b/>
              </w:rPr>
              <w:t>上年度可比期间2024年1月1日至2024年12月31日</w:t>
            </w:r>
          </w:p>
        </w:tc>
      </w:tr>
      <w:tr w14:paraId="7331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792A7">
            <w:r>
              <w:rPr>
                <w:rFonts w:hint="eastAsia"/>
              </w:rPr>
              <w:t>卖出债券（债转股及债券到期兑付）成交总额</w:t>
            </w:r>
          </w:p>
        </w:tc>
        <w:tc>
          <w:tcPr>
            <w:tcW w:w="2768" w:type="dxa"/>
            <w:vAlign w:val="center"/>
          </w:tcPr>
          <w:p w14:paraId="10223388">
            <w:pPr>
              <w:jc w:val="right"/>
            </w:pPr>
            <w:r>
              <w:rPr>
                <w:rFonts w:hint="eastAsia"/>
              </w:rPr>
              <w:t>6,044,640,000.00</w:t>
            </w:r>
          </w:p>
        </w:tc>
        <w:tc>
          <w:tcPr>
            <w:tcW w:w="2768" w:type="dxa"/>
            <w:vAlign w:val="center"/>
          </w:tcPr>
          <w:p w14:paraId="4B4E0892">
            <w:pPr>
              <w:jc w:val="right"/>
            </w:pPr>
            <w:r>
              <w:rPr>
                <w:rFonts w:hint="eastAsia"/>
              </w:rPr>
              <w:t>8,351,107,000.00</w:t>
            </w:r>
          </w:p>
        </w:tc>
      </w:tr>
      <w:tr w14:paraId="0157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E3D72">
            <w:r>
              <w:rPr>
                <w:rFonts w:hint="eastAsia"/>
              </w:rPr>
              <w:t>减：卖出债券（债转股及债券到期兑付）成本总额</w:t>
            </w:r>
          </w:p>
        </w:tc>
        <w:tc>
          <w:tcPr>
            <w:tcW w:w="2768" w:type="dxa"/>
            <w:vAlign w:val="center"/>
          </w:tcPr>
          <w:p w14:paraId="10411565">
            <w:pPr>
              <w:jc w:val="right"/>
            </w:pPr>
            <w:r>
              <w:rPr>
                <w:rFonts w:hint="eastAsia"/>
              </w:rPr>
              <w:t>5,890,000,000.00</w:t>
            </w:r>
          </w:p>
        </w:tc>
        <w:tc>
          <w:tcPr>
            <w:tcW w:w="2768" w:type="dxa"/>
            <w:vAlign w:val="center"/>
          </w:tcPr>
          <w:p w14:paraId="341F6272">
            <w:pPr>
              <w:jc w:val="right"/>
            </w:pPr>
            <w:r>
              <w:rPr>
                <w:rFonts w:hint="eastAsia"/>
              </w:rPr>
              <w:t>8,140,000,000.00</w:t>
            </w:r>
          </w:p>
        </w:tc>
      </w:tr>
      <w:tr w14:paraId="280C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4AC51">
            <w:r>
              <w:rPr>
                <w:rFonts w:hint="eastAsia"/>
              </w:rPr>
              <w:t>减：应计利息总额</w:t>
            </w:r>
          </w:p>
        </w:tc>
        <w:tc>
          <w:tcPr>
            <w:tcW w:w="2768" w:type="dxa"/>
            <w:vAlign w:val="center"/>
          </w:tcPr>
          <w:p w14:paraId="11831E2B">
            <w:pPr>
              <w:jc w:val="right"/>
            </w:pPr>
            <w:r>
              <w:rPr>
                <w:rFonts w:hint="eastAsia"/>
              </w:rPr>
              <w:t>154,640,000.00</w:t>
            </w:r>
          </w:p>
        </w:tc>
        <w:tc>
          <w:tcPr>
            <w:tcW w:w="2768" w:type="dxa"/>
            <w:vAlign w:val="center"/>
          </w:tcPr>
          <w:p w14:paraId="3C2D8B29">
            <w:pPr>
              <w:jc w:val="right"/>
            </w:pPr>
            <w:r>
              <w:rPr>
                <w:rFonts w:hint="eastAsia"/>
              </w:rPr>
              <w:t>211,107,000.00</w:t>
            </w:r>
          </w:p>
        </w:tc>
      </w:tr>
      <w:tr w14:paraId="7E81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65E9B">
            <w:r>
              <w:rPr>
                <w:rFonts w:hint="eastAsia"/>
              </w:rPr>
              <w:t>减：交易费用</w:t>
            </w:r>
          </w:p>
        </w:tc>
        <w:tc>
          <w:tcPr>
            <w:tcW w:w="2768" w:type="dxa"/>
            <w:vAlign w:val="center"/>
          </w:tcPr>
          <w:p w14:paraId="108F8341">
            <w:pPr>
              <w:jc w:val="right"/>
            </w:pPr>
            <w:r>
              <w:rPr>
                <w:rFonts w:hint="eastAsia"/>
              </w:rPr>
              <w:t>-</w:t>
            </w:r>
          </w:p>
        </w:tc>
        <w:tc>
          <w:tcPr>
            <w:tcW w:w="2768" w:type="dxa"/>
            <w:vAlign w:val="center"/>
          </w:tcPr>
          <w:p w14:paraId="6F14D54F">
            <w:pPr>
              <w:jc w:val="right"/>
            </w:pPr>
            <w:r>
              <w:rPr>
                <w:rFonts w:hint="eastAsia"/>
              </w:rPr>
              <w:t>-</w:t>
            </w:r>
          </w:p>
        </w:tc>
      </w:tr>
      <w:tr w14:paraId="30C3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209F6">
            <w:r>
              <w:rPr>
                <w:rFonts w:hint="eastAsia"/>
              </w:rPr>
              <w:t>买卖债券差价收入</w:t>
            </w:r>
          </w:p>
        </w:tc>
        <w:tc>
          <w:tcPr>
            <w:tcW w:w="2768" w:type="dxa"/>
            <w:vAlign w:val="center"/>
          </w:tcPr>
          <w:p w14:paraId="2410CEA0">
            <w:pPr>
              <w:jc w:val="right"/>
            </w:pPr>
            <w:r>
              <w:rPr>
                <w:rFonts w:hint="eastAsia"/>
              </w:rPr>
              <w:t>-</w:t>
            </w:r>
          </w:p>
        </w:tc>
        <w:tc>
          <w:tcPr>
            <w:tcW w:w="2768" w:type="dxa"/>
            <w:vAlign w:val="center"/>
          </w:tcPr>
          <w:p w14:paraId="58207E72">
            <w:pPr>
              <w:jc w:val="right"/>
            </w:pPr>
            <w:r>
              <w:rPr>
                <w:rFonts w:hint="eastAsia"/>
              </w:rPr>
              <w:t>-</w:t>
            </w:r>
          </w:p>
        </w:tc>
      </w:tr>
    </w:tbl>
    <w:p w14:paraId="041E3A65">
      <w:pPr>
        <w:pStyle w:val="42"/>
      </w:pPr>
      <w:bookmarkStart w:id="93" w:name="_Toc93"/>
      <w:r>
        <w:t>资产支持证券投资收益</w:t>
      </w:r>
      <w:bookmarkEnd w:id="93"/>
    </w:p>
    <w:p w14:paraId="22A74F03">
      <w:pPr>
        <w:pStyle w:val="43"/>
      </w:pPr>
      <w:bookmarkStart w:id="94" w:name="_Toc94"/>
      <w:r>
        <w:t>资产支持证券投资收益——买卖资产支持证券差价收入</w:t>
      </w:r>
      <w:bookmarkEnd w:id="94"/>
    </w:p>
    <w:p w14:paraId="0B7350E4">
      <w:pPr>
        <w:pStyle w:val="25"/>
        <w:rPr>
          <w:rFonts w:hint="eastAsia"/>
        </w:rPr>
      </w:pPr>
      <w:r>
        <w:rPr>
          <w:rFonts w:hint="eastAsia"/>
        </w:rPr>
        <w:t>无。</w:t>
      </w:r>
    </w:p>
    <w:p w14:paraId="79E03C72">
      <w:pPr>
        <w:pStyle w:val="42"/>
      </w:pPr>
      <w:bookmarkStart w:id="95" w:name="_Toc95"/>
      <w:r>
        <w:t>衍生工具收益</w:t>
      </w:r>
      <w:bookmarkEnd w:id="95"/>
    </w:p>
    <w:p w14:paraId="181B033D">
      <w:pPr>
        <w:pStyle w:val="43"/>
      </w:pPr>
      <w:bookmarkStart w:id="96" w:name="_Toc96"/>
      <w:r>
        <w:t>衍生工具收益——买卖权证差价收入</w:t>
      </w:r>
      <w:bookmarkEnd w:id="96"/>
    </w:p>
    <w:p w14:paraId="34726D99">
      <w:pPr>
        <w:pStyle w:val="25"/>
        <w:rPr>
          <w:rFonts w:hint="eastAsia"/>
        </w:rPr>
      </w:pPr>
      <w:r>
        <w:rPr>
          <w:rFonts w:hint="eastAsia"/>
        </w:rPr>
        <w:t>无。</w:t>
      </w:r>
    </w:p>
    <w:p w14:paraId="275E024C">
      <w:pPr>
        <w:pStyle w:val="43"/>
      </w:pPr>
      <w:bookmarkStart w:id="97" w:name="_Toc97"/>
      <w:r>
        <w:t>衍生工具收益——其他投资收益</w:t>
      </w:r>
      <w:bookmarkEnd w:id="97"/>
    </w:p>
    <w:p w14:paraId="301B3DE4">
      <w:pPr>
        <w:pStyle w:val="25"/>
        <w:rPr>
          <w:rFonts w:hint="eastAsia"/>
        </w:rPr>
      </w:pPr>
      <w:r>
        <w:rPr>
          <w:rFonts w:hint="eastAsia"/>
        </w:rPr>
        <w:t>无。</w:t>
      </w:r>
    </w:p>
    <w:p w14:paraId="2247D610">
      <w:pPr>
        <w:pStyle w:val="42"/>
      </w:pPr>
      <w:bookmarkStart w:id="98" w:name="_Toc98"/>
      <w:r>
        <w:t>股利收益</w:t>
      </w:r>
      <w:bookmarkEnd w:id="98"/>
    </w:p>
    <w:p w14:paraId="1E19C6E0">
      <w:pPr>
        <w:pStyle w:val="25"/>
        <w:rPr>
          <w:rFonts w:hint="eastAsia"/>
        </w:rPr>
      </w:pPr>
      <w:r>
        <w:rPr>
          <w:rFonts w:hint="eastAsia"/>
        </w:rPr>
        <w:t>无。</w:t>
      </w:r>
    </w:p>
    <w:p w14:paraId="3A4AC5A2">
      <w:pPr>
        <w:pStyle w:val="42"/>
      </w:pPr>
      <w:bookmarkStart w:id="99" w:name="_Toc99"/>
      <w:r>
        <w:t>公允价值变动收益</w:t>
      </w:r>
      <w:bookmarkEnd w:id="99"/>
    </w:p>
    <w:p w14:paraId="6C49999E">
      <w:pPr>
        <w:pStyle w:val="25"/>
        <w:rPr>
          <w:rFonts w:hint="eastAsia"/>
        </w:rPr>
      </w:pPr>
      <w:r>
        <w:rPr>
          <w:rFonts w:hint="eastAsia"/>
        </w:rPr>
        <w:t>无。</w:t>
      </w:r>
    </w:p>
    <w:p w14:paraId="71F13F98">
      <w:pPr>
        <w:pStyle w:val="42"/>
      </w:pPr>
      <w:bookmarkStart w:id="100" w:name="_Toc100"/>
      <w:r>
        <w:t>其他收入</w:t>
      </w:r>
      <w:bookmarkEnd w:id="100"/>
    </w:p>
    <w:p w14:paraId="15524C79">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03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2F009C">
            <w:pPr>
              <w:jc w:val="center"/>
            </w:pPr>
            <w:r>
              <w:rPr>
                <w:rFonts w:hint="eastAsia"/>
                <w:b/>
              </w:rPr>
              <w:t>项目</w:t>
            </w:r>
          </w:p>
        </w:tc>
        <w:tc>
          <w:tcPr>
            <w:tcW w:w="2469" w:type="dxa"/>
            <w:shd w:val="clear" w:color="auto" w:fill="BFBFBF"/>
            <w:vAlign w:val="center"/>
          </w:tcPr>
          <w:p w14:paraId="08D765E4">
            <w:pPr>
              <w:jc w:val="center"/>
            </w:pPr>
            <w:r>
              <w:rPr>
                <w:rFonts w:hint="eastAsia"/>
                <w:b/>
              </w:rPr>
              <w:t>本期2025年1月1日至2025年12月31日</w:t>
            </w:r>
          </w:p>
        </w:tc>
        <w:tc>
          <w:tcPr>
            <w:tcW w:w="2801" w:type="dxa"/>
            <w:shd w:val="clear" w:color="auto" w:fill="BFBFBF"/>
            <w:vAlign w:val="center"/>
          </w:tcPr>
          <w:p w14:paraId="451B68B3">
            <w:pPr>
              <w:jc w:val="center"/>
            </w:pPr>
            <w:r>
              <w:rPr>
                <w:rFonts w:hint="eastAsia"/>
                <w:b/>
              </w:rPr>
              <w:t>上年度可比期间2024年1月1日至2024年12月31日</w:t>
            </w:r>
          </w:p>
        </w:tc>
      </w:tr>
      <w:tr w14:paraId="16CE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AB1696">
            <w:r>
              <w:rPr>
                <w:rFonts w:hint="eastAsia"/>
              </w:rPr>
              <w:t>基金赎回费收入</w:t>
            </w:r>
          </w:p>
        </w:tc>
        <w:tc>
          <w:tcPr>
            <w:tcW w:w="2469" w:type="dxa"/>
            <w:vAlign w:val="center"/>
          </w:tcPr>
          <w:p w14:paraId="47825D02">
            <w:pPr>
              <w:jc w:val="right"/>
            </w:pPr>
            <w:r>
              <w:rPr>
                <w:rFonts w:hint="eastAsia"/>
              </w:rPr>
              <w:t>11.55</w:t>
            </w:r>
          </w:p>
        </w:tc>
        <w:tc>
          <w:tcPr>
            <w:tcW w:w="2801" w:type="dxa"/>
            <w:vAlign w:val="center"/>
          </w:tcPr>
          <w:p w14:paraId="171A4510">
            <w:pPr>
              <w:jc w:val="right"/>
            </w:pPr>
            <w:r>
              <w:rPr>
                <w:rFonts w:hint="eastAsia"/>
              </w:rPr>
              <w:t>16.35</w:t>
            </w:r>
          </w:p>
        </w:tc>
      </w:tr>
      <w:tr w14:paraId="1EB9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0055CE">
            <w:r>
              <w:rPr>
                <w:rFonts w:hint="eastAsia"/>
              </w:rPr>
              <w:t>基金转换费收入</w:t>
            </w:r>
          </w:p>
        </w:tc>
        <w:tc>
          <w:tcPr>
            <w:tcW w:w="2469" w:type="dxa"/>
            <w:vAlign w:val="center"/>
          </w:tcPr>
          <w:p w14:paraId="20C46350">
            <w:pPr>
              <w:jc w:val="right"/>
            </w:pPr>
            <w:r>
              <w:rPr>
                <w:rFonts w:hint="eastAsia"/>
              </w:rPr>
              <w:t>1.51</w:t>
            </w:r>
          </w:p>
        </w:tc>
        <w:tc>
          <w:tcPr>
            <w:tcW w:w="2801" w:type="dxa"/>
            <w:vAlign w:val="center"/>
          </w:tcPr>
          <w:p w14:paraId="4C6E990F">
            <w:pPr>
              <w:jc w:val="right"/>
            </w:pPr>
            <w:r>
              <w:rPr>
                <w:rFonts w:hint="eastAsia"/>
              </w:rPr>
              <w:t>-</w:t>
            </w:r>
          </w:p>
        </w:tc>
      </w:tr>
      <w:tr w14:paraId="5BD2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46CA3D">
            <w:r>
              <w:rPr>
                <w:rFonts w:hint="eastAsia"/>
              </w:rPr>
              <w:t>合计</w:t>
            </w:r>
          </w:p>
        </w:tc>
        <w:tc>
          <w:tcPr>
            <w:tcW w:w="2469" w:type="dxa"/>
            <w:vAlign w:val="center"/>
          </w:tcPr>
          <w:p w14:paraId="3D339CF1">
            <w:pPr>
              <w:jc w:val="right"/>
            </w:pPr>
            <w:r>
              <w:rPr>
                <w:rFonts w:hint="eastAsia"/>
              </w:rPr>
              <w:t>13.06</w:t>
            </w:r>
          </w:p>
        </w:tc>
        <w:tc>
          <w:tcPr>
            <w:tcW w:w="2801" w:type="dxa"/>
            <w:vAlign w:val="center"/>
          </w:tcPr>
          <w:p w14:paraId="4B8CCC1D">
            <w:pPr>
              <w:jc w:val="right"/>
            </w:pPr>
            <w:r>
              <w:rPr>
                <w:rFonts w:hint="eastAsia"/>
              </w:rPr>
              <w:t>16.35</w:t>
            </w:r>
          </w:p>
        </w:tc>
      </w:tr>
    </w:tbl>
    <w:p w14:paraId="1156BD5E">
      <w:pPr>
        <w:pStyle w:val="42"/>
      </w:pPr>
      <w:bookmarkStart w:id="101" w:name="_Toc101"/>
      <w:r>
        <w:t>信用减值损失</w:t>
      </w:r>
      <w:bookmarkEnd w:id="101"/>
    </w:p>
    <w:p w14:paraId="03B3FC7F">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8E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E41721">
            <w:pPr>
              <w:jc w:val="center"/>
            </w:pPr>
            <w:r>
              <w:rPr>
                <w:rFonts w:hint="eastAsia"/>
                <w:b/>
              </w:rPr>
              <w:t>项目</w:t>
            </w:r>
          </w:p>
        </w:tc>
        <w:tc>
          <w:tcPr>
            <w:tcW w:w="2768" w:type="dxa"/>
            <w:shd w:val="clear" w:color="auto" w:fill="BFBFBF"/>
            <w:vAlign w:val="center"/>
          </w:tcPr>
          <w:p w14:paraId="1245D35A">
            <w:pPr>
              <w:jc w:val="center"/>
            </w:pPr>
            <w:r>
              <w:rPr>
                <w:rFonts w:hint="eastAsia"/>
                <w:b/>
              </w:rPr>
              <w:t>本期2025年1月1日至2025年12月31日</w:t>
            </w:r>
          </w:p>
        </w:tc>
        <w:tc>
          <w:tcPr>
            <w:tcW w:w="2768" w:type="dxa"/>
            <w:shd w:val="clear" w:color="auto" w:fill="BFBFBF"/>
            <w:vAlign w:val="center"/>
          </w:tcPr>
          <w:p w14:paraId="57543B0E">
            <w:pPr>
              <w:jc w:val="center"/>
            </w:pPr>
            <w:r>
              <w:rPr>
                <w:rFonts w:hint="eastAsia"/>
                <w:b/>
              </w:rPr>
              <w:t>上年度可比期间2024年1月1日至2024年12月31日</w:t>
            </w:r>
          </w:p>
        </w:tc>
      </w:tr>
      <w:tr w14:paraId="7232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67E67">
            <w:r>
              <w:rPr>
                <w:rFonts w:hint="eastAsia"/>
              </w:rPr>
              <w:t>银行存款</w:t>
            </w:r>
          </w:p>
        </w:tc>
        <w:tc>
          <w:tcPr>
            <w:tcW w:w="2768" w:type="dxa"/>
            <w:vAlign w:val="center"/>
          </w:tcPr>
          <w:p w14:paraId="0AFCB60F">
            <w:pPr>
              <w:jc w:val="right"/>
            </w:pPr>
            <w:r>
              <w:rPr>
                <w:rFonts w:hint="eastAsia"/>
              </w:rPr>
              <w:t>-</w:t>
            </w:r>
          </w:p>
        </w:tc>
        <w:tc>
          <w:tcPr>
            <w:tcW w:w="2768" w:type="dxa"/>
            <w:vAlign w:val="center"/>
          </w:tcPr>
          <w:p w14:paraId="61A5211C">
            <w:pPr>
              <w:jc w:val="right"/>
            </w:pPr>
            <w:r>
              <w:rPr>
                <w:rFonts w:hint="eastAsia"/>
              </w:rPr>
              <w:t>-</w:t>
            </w:r>
          </w:p>
        </w:tc>
      </w:tr>
      <w:tr w14:paraId="0B1D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9EF8A">
            <w:r>
              <w:rPr>
                <w:rFonts w:hint="eastAsia"/>
              </w:rPr>
              <w:t>买入返售金融资产</w:t>
            </w:r>
          </w:p>
        </w:tc>
        <w:tc>
          <w:tcPr>
            <w:tcW w:w="2768" w:type="dxa"/>
            <w:vAlign w:val="center"/>
          </w:tcPr>
          <w:p w14:paraId="1F95F526">
            <w:pPr>
              <w:jc w:val="right"/>
            </w:pPr>
            <w:r>
              <w:rPr>
                <w:rFonts w:hint="eastAsia"/>
              </w:rPr>
              <w:t>-</w:t>
            </w:r>
          </w:p>
        </w:tc>
        <w:tc>
          <w:tcPr>
            <w:tcW w:w="2768" w:type="dxa"/>
            <w:vAlign w:val="center"/>
          </w:tcPr>
          <w:p w14:paraId="1F5C3146">
            <w:pPr>
              <w:jc w:val="right"/>
            </w:pPr>
            <w:r>
              <w:rPr>
                <w:rFonts w:hint="eastAsia"/>
              </w:rPr>
              <w:t>-</w:t>
            </w:r>
          </w:p>
        </w:tc>
      </w:tr>
      <w:tr w14:paraId="793B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E2A48">
            <w:r>
              <w:rPr>
                <w:rFonts w:hint="eastAsia"/>
              </w:rPr>
              <w:t>债权投资</w:t>
            </w:r>
          </w:p>
        </w:tc>
        <w:tc>
          <w:tcPr>
            <w:tcW w:w="2768" w:type="dxa"/>
            <w:vAlign w:val="center"/>
          </w:tcPr>
          <w:p w14:paraId="557A548C">
            <w:pPr>
              <w:jc w:val="right"/>
            </w:pPr>
            <w:r>
              <w:rPr>
                <w:rFonts w:hint="eastAsia"/>
              </w:rPr>
              <w:t>-868,418.15</w:t>
            </w:r>
          </w:p>
        </w:tc>
        <w:tc>
          <w:tcPr>
            <w:tcW w:w="2768" w:type="dxa"/>
            <w:vAlign w:val="center"/>
          </w:tcPr>
          <w:p w14:paraId="783162BA">
            <w:pPr>
              <w:jc w:val="right"/>
            </w:pPr>
            <w:r>
              <w:rPr>
                <w:rFonts w:hint="eastAsia"/>
              </w:rPr>
              <w:t>56,279.56</w:t>
            </w:r>
          </w:p>
        </w:tc>
      </w:tr>
      <w:tr w14:paraId="7695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BB503">
            <w:r>
              <w:rPr>
                <w:rFonts w:hint="eastAsia"/>
              </w:rPr>
              <w:t>其他债权投资</w:t>
            </w:r>
          </w:p>
        </w:tc>
        <w:tc>
          <w:tcPr>
            <w:tcW w:w="2768" w:type="dxa"/>
            <w:vAlign w:val="center"/>
          </w:tcPr>
          <w:p w14:paraId="43783452">
            <w:pPr>
              <w:jc w:val="right"/>
            </w:pPr>
            <w:r>
              <w:rPr>
                <w:rFonts w:hint="eastAsia"/>
              </w:rPr>
              <w:t>-</w:t>
            </w:r>
          </w:p>
        </w:tc>
        <w:tc>
          <w:tcPr>
            <w:tcW w:w="2768" w:type="dxa"/>
            <w:vAlign w:val="center"/>
          </w:tcPr>
          <w:p w14:paraId="39DE95AD">
            <w:pPr>
              <w:jc w:val="right"/>
            </w:pPr>
            <w:r>
              <w:rPr>
                <w:rFonts w:hint="eastAsia"/>
              </w:rPr>
              <w:t>-</w:t>
            </w:r>
          </w:p>
        </w:tc>
      </w:tr>
      <w:tr w14:paraId="7407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F6BAA">
            <w:r>
              <w:rPr>
                <w:rFonts w:hint="eastAsia"/>
              </w:rPr>
              <w:t>其他</w:t>
            </w:r>
          </w:p>
        </w:tc>
        <w:tc>
          <w:tcPr>
            <w:tcW w:w="2768" w:type="dxa"/>
            <w:vAlign w:val="center"/>
          </w:tcPr>
          <w:p w14:paraId="7C5AC744">
            <w:pPr>
              <w:jc w:val="right"/>
            </w:pPr>
            <w:r>
              <w:rPr>
                <w:rFonts w:hint="eastAsia"/>
              </w:rPr>
              <w:t>-</w:t>
            </w:r>
          </w:p>
        </w:tc>
        <w:tc>
          <w:tcPr>
            <w:tcW w:w="2768" w:type="dxa"/>
            <w:vAlign w:val="center"/>
          </w:tcPr>
          <w:p w14:paraId="14BD3B84">
            <w:pPr>
              <w:jc w:val="right"/>
            </w:pPr>
            <w:r>
              <w:rPr>
                <w:rFonts w:hint="eastAsia"/>
              </w:rPr>
              <w:t>-</w:t>
            </w:r>
          </w:p>
        </w:tc>
      </w:tr>
      <w:tr w14:paraId="014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00AFD">
            <w:r>
              <w:rPr>
                <w:rFonts w:hint="eastAsia"/>
              </w:rPr>
              <w:t>合计</w:t>
            </w:r>
          </w:p>
        </w:tc>
        <w:tc>
          <w:tcPr>
            <w:tcW w:w="2768" w:type="dxa"/>
            <w:vAlign w:val="center"/>
          </w:tcPr>
          <w:p w14:paraId="0D36F044">
            <w:pPr>
              <w:jc w:val="right"/>
            </w:pPr>
            <w:r>
              <w:rPr>
                <w:rFonts w:hint="eastAsia"/>
              </w:rPr>
              <w:t>-868,418.15</w:t>
            </w:r>
          </w:p>
        </w:tc>
        <w:tc>
          <w:tcPr>
            <w:tcW w:w="2768" w:type="dxa"/>
            <w:vAlign w:val="center"/>
          </w:tcPr>
          <w:p w14:paraId="72211956">
            <w:pPr>
              <w:jc w:val="right"/>
            </w:pPr>
            <w:r>
              <w:rPr>
                <w:rFonts w:hint="eastAsia"/>
              </w:rPr>
              <w:t>56,279.56</w:t>
            </w:r>
          </w:p>
        </w:tc>
      </w:tr>
    </w:tbl>
    <w:p w14:paraId="6A38749C">
      <w:pPr>
        <w:pStyle w:val="54"/>
        <w:rPr>
          <w:rFonts w:hint="eastAsia"/>
        </w:rPr>
      </w:pPr>
      <w:r>
        <w:rPr>
          <w:rFonts w:hint="eastAsia"/>
        </w:rPr>
        <w:t>注：对于以摊余成本计量的金融资产，预期信用损失的计量中使用的模型和假设详见附注“其他重要的会计政策和会计估计”。</w:t>
      </w:r>
    </w:p>
    <w:p w14:paraId="37AAB503">
      <w:pPr>
        <w:pStyle w:val="42"/>
      </w:pPr>
      <w:bookmarkStart w:id="102" w:name="_Toc102"/>
      <w:r>
        <w:t>其他费用</w:t>
      </w:r>
      <w:bookmarkEnd w:id="102"/>
    </w:p>
    <w:p w14:paraId="37057EA7">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90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B7FB0A">
            <w:pPr>
              <w:jc w:val="center"/>
            </w:pPr>
            <w:r>
              <w:rPr>
                <w:rFonts w:hint="eastAsia"/>
                <w:b/>
              </w:rPr>
              <w:t>项目</w:t>
            </w:r>
          </w:p>
        </w:tc>
        <w:tc>
          <w:tcPr>
            <w:tcW w:w="2768" w:type="dxa"/>
            <w:shd w:val="clear" w:color="auto" w:fill="BFBFBF"/>
            <w:vAlign w:val="center"/>
          </w:tcPr>
          <w:p w14:paraId="3EF6213B">
            <w:pPr>
              <w:jc w:val="center"/>
            </w:pPr>
            <w:r>
              <w:rPr>
                <w:rFonts w:hint="eastAsia"/>
                <w:b/>
              </w:rPr>
              <w:t>本期2025年1月1日至2025年12月31日</w:t>
            </w:r>
          </w:p>
        </w:tc>
        <w:tc>
          <w:tcPr>
            <w:tcW w:w="2768" w:type="dxa"/>
            <w:shd w:val="clear" w:color="auto" w:fill="BFBFBF"/>
            <w:vAlign w:val="center"/>
          </w:tcPr>
          <w:p w14:paraId="0A530422">
            <w:pPr>
              <w:jc w:val="center"/>
            </w:pPr>
            <w:r>
              <w:rPr>
                <w:rFonts w:hint="eastAsia"/>
                <w:b/>
              </w:rPr>
              <w:t>上年度可比期间2024年1月1日至2024年12月31日</w:t>
            </w:r>
          </w:p>
        </w:tc>
      </w:tr>
      <w:tr w14:paraId="2C35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070EC">
            <w:r>
              <w:rPr>
                <w:rFonts w:hint="eastAsia"/>
              </w:rPr>
              <w:t>审计费用</w:t>
            </w:r>
          </w:p>
        </w:tc>
        <w:tc>
          <w:tcPr>
            <w:tcW w:w="2768" w:type="dxa"/>
            <w:vAlign w:val="center"/>
          </w:tcPr>
          <w:p w14:paraId="3FD7B9B6">
            <w:pPr>
              <w:jc w:val="right"/>
            </w:pPr>
            <w:r>
              <w:rPr>
                <w:rFonts w:hint="eastAsia"/>
              </w:rPr>
              <w:t>80,000.00</w:t>
            </w:r>
          </w:p>
        </w:tc>
        <w:tc>
          <w:tcPr>
            <w:tcW w:w="2768" w:type="dxa"/>
            <w:vAlign w:val="center"/>
          </w:tcPr>
          <w:p w14:paraId="76E73084">
            <w:pPr>
              <w:jc w:val="right"/>
            </w:pPr>
            <w:r>
              <w:rPr>
                <w:rFonts w:hint="eastAsia"/>
              </w:rPr>
              <w:t>90,000.00</w:t>
            </w:r>
          </w:p>
        </w:tc>
      </w:tr>
      <w:tr w14:paraId="05DC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2F914">
            <w:r>
              <w:rPr>
                <w:rFonts w:hint="eastAsia"/>
              </w:rPr>
              <w:t>信息披露费</w:t>
            </w:r>
          </w:p>
        </w:tc>
        <w:tc>
          <w:tcPr>
            <w:tcW w:w="2768" w:type="dxa"/>
            <w:vAlign w:val="center"/>
          </w:tcPr>
          <w:p w14:paraId="07695035">
            <w:pPr>
              <w:jc w:val="right"/>
            </w:pPr>
            <w:r>
              <w:rPr>
                <w:rFonts w:hint="eastAsia"/>
              </w:rPr>
              <w:t>120,000.00</w:t>
            </w:r>
          </w:p>
        </w:tc>
        <w:tc>
          <w:tcPr>
            <w:tcW w:w="2768" w:type="dxa"/>
            <w:vAlign w:val="center"/>
          </w:tcPr>
          <w:p w14:paraId="7D6D5DCC">
            <w:pPr>
              <w:jc w:val="right"/>
            </w:pPr>
            <w:r>
              <w:rPr>
                <w:rFonts w:hint="eastAsia"/>
              </w:rPr>
              <w:t>120,000.00</w:t>
            </w:r>
          </w:p>
        </w:tc>
      </w:tr>
      <w:tr w14:paraId="53CE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9BB6E">
            <w:r>
              <w:rPr>
                <w:rFonts w:hint="eastAsia"/>
              </w:rPr>
              <w:t>证券出借违约金</w:t>
            </w:r>
          </w:p>
        </w:tc>
        <w:tc>
          <w:tcPr>
            <w:tcW w:w="2768" w:type="dxa"/>
            <w:vAlign w:val="center"/>
          </w:tcPr>
          <w:p w14:paraId="6DF8F9C2">
            <w:pPr>
              <w:jc w:val="right"/>
            </w:pPr>
            <w:r>
              <w:rPr>
                <w:rFonts w:hint="eastAsia"/>
              </w:rPr>
              <w:t>-</w:t>
            </w:r>
          </w:p>
        </w:tc>
        <w:tc>
          <w:tcPr>
            <w:tcW w:w="2768" w:type="dxa"/>
            <w:vAlign w:val="center"/>
          </w:tcPr>
          <w:p w14:paraId="25B36238">
            <w:pPr>
              <w:jc w:val="right"/>
            </w:pPr>
            <w:r>
              <w:rPr>
                <w:rFonts w:hint="eastAsia"/>
              </w:rPr>
              <w:t>-</w:t>
            </w:r>
          </w:p>
        </w:tc>
      </w:tr>
      <w:tr w14:paraId="3F9F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1B698">
            <w:r>
              <w:rPr>
                <w:rFonts w:hint="eastAsia"/>
              </w:rPr>
              <w:t>账户维护费</w:t>
            </w:r>
          </w:p>
        </w:tc>
        <w:tc>
          <w:tcPr>
            <w:tcW w:w="2768" w:type="dxa"/>
            <w:vAlign w:val="center"/>
          </w:tcPr>
          <w:p w14:paraId="5EBE0663">
            <w:pPr>
              <w:jc w:val="right"/>
            </w:pPr>
            <w:r>
              <w:rPr>
                <w:rFonts w:hint="eastAsia"/>
              </w:rPr>
              <w:t>46,500.00</w:t>
            </w:r>
          </w:p>
        </w:tc>
        <w:tc>
          <w:tcPr>
            <w:tcW w:w="2768" w:type="dxa"/>
            <w:vAlign w:val="center"/>
          </w:tcPr>
          <w:p w14:paraId="122C1863">
            <w:pPr>
              <w:jc w:val="right"/>
            </w:pPr>
            <w:r>
              <w:rPr>
                <w:rFonts w:hint="eastAsia"/>
              </w:rPr>
              <w:t>37,200.00</w:t>
            </w:r>
          </w:p>
        </w:tc>
      </w:tr>
      <w:tr w14:paraId="5556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807BB">
            <w:r>
              <w:rPr>
                <w:rFonts w:hint="eastAsia"/>
              </w:rPr>
              <w:t>银行费用</w:t>
            </w:r>
          </w:p>
        </w:tc>
        <w:tc>
          <w:tcPr>
            <w:tcW w:w="2768" w:type="dxa"/>
            <w:vAlign w:val="center"/>
          </w:tcPr>
          <w:p w14:paraId="21D57088">
            <w:pPr>
              <w:jc w:val="right"/>
            </w:pPr>
            <w:r>
              <w:rPr>
                <w:rFonts w:hint="eastAsia"/>
              </w:rPr>
              <w:t>7,366.02</w:t>
            </w:r>
          </w:p>
        </w:tc>
        <w:tc>
          <w:tcPr>
            <w:tcW w:w="2768" w:type="dxa"/>
            <w:vAlign w:val="center"/>
          </w:tcPr>
          <w:p w14:paraId="3741024A">
            <w:pPr>
              <w:jc w:val="right"/>
            </w:pPr>
            <w:r>
              <w:rPr>
                <w:rFonts w:hint="eastAsia"/>
              </w:rPr>
              <w:t>9,543.82</w:t>
            </w:r>
          </w:p>
        </w:tc>
      </w:tr>
      <w:tr w14:paraId="46D9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EA27F">
            <w:r>
              <w:rPr>
                <w:rFonts w:hint="eastAsia"/>
              </w:rPr>
              <w:t>律师费</w:t>
            </w:r>
          </w:p>
        </w:tc>
        <w:tc>
          <w:tcPr>
            <w:tcW w:w="2768" w:type="dxa"/>
            <w:vAlign w:val="center"/>
          </w:tcPr>
          <w:p w14:paraId="7ADB18CF">
            <w:pPr>
              <w:jc w:val="right"/>
            </w:pPr>
            <w:r>
              <w:rPr>
                <w:rFonts w:hint="eastAsia"/>
              </w:rPr>
              <w:t>20,000.00</w:t>
            </w:r>
          </w:p>
        </w:tc>
        <w:tc>
          <w:tcPr>
            <w:tcW w:w="2768" w:type="dxa"/>
            <w:vAlign w:val="center"/>
          </w:tcPr>
          <w:p w14:paraId="4AC79457">
            <w:pPr>
              <w:jc w:val="right"/>
            </w:pPr>
            <w:r>
              <w:rPr>
                <w:rFonts w:hint="eastAsia"/>
              </w:rPr>
              <w:t>-</w:t>
            </w:r>
          </w:p>
        </w:tc>
      </w:tr>
      <w:tr w14:paraId="2914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F6546">
            <w:r>
              <w:rPr>
                <w:rFonts w:hint="eastAsia"/>
              </w:rPr>
              <w:t>其他</w:t>
            </w:r>
          </w:p>
        </w:tc>
        <w:tc>
          <w:tcPr>
            <w:tcW w:w="2768" w:type="dxa"/>
            <w:vAlign w:val="center"/>
          </w:tcPr>
          <w:p w14:paraId="39ACF41B">
            <w:pPr>
              <w:jc w:val="right"/>
            </w:pPr>
            <w:r>
              <w:rPr>
                <w:rFonts w:hint="eastAsia"/>
              </w:rPr>
              <w:t>8,000.00</w:t>
            </w:r>
          </w:p>
        </w:tc>
        <w:tc>
          <w:tcPr>
            <w:tcW w:w="2768" w:type="dxa"/>
            <w:vAlign w:val="center"/>
          </w:tcPr>
          <w:p w14:paraId="427672A4">
            <w:pPr>
              <w:jc w:val="right"/>
            </w:pPr>
            <w:r>
              <w:rPr>
                <w:rFonts w:hint="eastAsia"/>
              </w:rPr>
              <w:t>-</w:t>
            </w:r>
          </w:p>
        </w:tc>
      </w:tr>
      <w:tr w14:paraId="48CA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D941F">
            <w:r>
              <w:rPr>
                <w:rFonts w:hint="eastAsia"/>
              </w:rPr>
              <w:t>合计</w:t>
            </w:r>
          </w:p>
        </w:tc>
        <w:tc>
          <w:tcPr>
            <w:tcW w:w="2768" w:type="dxa"/>
            <w:vAlign w:val="center"/>
          </w:tcPr>
          <w:p w14:paraId="4292C5E3">
            <w:pPr>
              <w:jc w:val="right"/>
            </w:pPr>
            <w:r>
              <w:rPr>
                <w:rFonts w:hint="eastAsia"/>
              </w:rPr>
              <w:t>281,866.02</w:t>
            </w:r>
          </w:p>
        </w:tc>
        <w:tc>
          <w:tcPr>
            <w:tcW w:w="2768" w:type="dxa"/>
            <w:vAlign w:val="center"/>
          </w:tcPr>
          <w:p w14:paraId="736CDC72">
            <w:pPr>
              <w:jc w:val="right"/>
            </w:pPr>
            <w:r>
              <w:rPr>
                <w:rFonts w:hint="eastAsia"/>
              </w:rPr>
              <w:t>256,743.82</w:t>
            </w:r>
          </w:p>
        </w:tc>
      </w:tr>
    </w:tbl>
    <w:p w14:paraId="57EE556D">
      <w:pPr>
        <w:pStyle w:val="35"/>
      </w:pPr>
      <w:bookmarkStart w:id="103" w:name="_Toc103"/>
      <w:r>
        <w:t>或有事项、资产负债表日后事项的说明</w:t>
      </w:r>
      <w:bookmarkEnd w:id="103"/>
    </w:p>
    <w:p w14:paraId="635FFE17">
      <w:pPr>
        <w:pStyle w:val="42"/>
      </w:pPr>
      <w:bookmarkStart w:id="104" w:name="_Toc104"/>
      <w:r>
        <w:t>或有事项</w:t>
      </w:r>
      <w:bookmarkEnd w:id="104"/>
    </w:p>
    <w:p w14:paraId="3DD3672C">
      <w:pPr>
        <w:pStyle w:val="25"/>
        <w:rPr>
          <w:rFonts w:hint="eastAsia"/>
        </w:rPr>
      </w:pPr>
      <w:r>
        <w:rPr>
          <w:rFonts w:hint="eastAsia"/>
        </w:rPr>
        <w:t>无。</w:t>
      </w:r>
    </w:p>
    <w:p w14:paraId="1D9D92E9">
      <w:pPr>
        <w:pStyle w:val="42"/>
      </w:pPr>
      <w:bookmarkStart w:id="105" w:name="_Toc105"/>
      <w:r>
        <w:t>资产负债表日后事项</w:t>
      </w:r>
      <w:bookmarkEnd w:id="105"/>
    </w:p>
    <w:p w14:paraId="30094D91">
      <w:pPr>
        <w:pStyle w:val="25"/>
        <w:rPr>
          <w:rFonts w:hint="eastAsia"/>
        </w:rPr>
      </w:pPr>
      <w:r>
        <w:rPr>
          <w:rFonts w:hint="eastAsia"/>
        </w:rPr>
        <w:t>根据《关于南方恒庆一年定期开放债券型证券投资基金开放期到期后暂停运作、不进入下一封闭期的公告》，本基金本次开放期为2025年12月22日至2026年1月20日。截止2026年1月20日日终（本开放期最后一日），本基金的基金资产净值加上基金开放期最后一日交易申请确认的申购确认金额及转换转入确认金额，扣除赎回确认金额及转换转出确认金额后的余额低于5000万元。根据《南方恒庆一年定期开放债券型证券投资基金基金合同》的约定，基金管理人决定于本开放期到期后暂停运作，即暂停进入下一封闭期。基金暂停运作以后，基金管理人可根据实际情况恢复运作，并决定下一开放期的申购或其他交易安排以及下一封闭期的安排，并予以公告。在后续封闭期及开放期内，本基金将依据基金合同的约定正常运作。</w:t>
      </w:r>
    </w:p>
    <w:p w14:paraId="20CBD6E0">
      <w:pPr>
        <w:pStyle w:val="35"/>
      </w:pPr>
      <w:bookmarkStart w:id="106" w:name="_Toc106"/>
      <w:r>
        <w:t>关联方关系</w:t>
      </w:r>
      <w:bookmarkEnd w:id="106"/>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C86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256AA0F">
            <w:pPr>
              <w:jc w:val="center"/>
            </w:pPr>
            <w:r>
              <w:rPr>
                <w:rFonts w:hint="eastAsia"/>
                <w:b/>
              </w:rPr>
              <w:t>关联方名称</w:t>
            </w:r>
          </w:p>
        </w:tc>
        <w:tc>
          <w:tcPr>
            <w:tcW w:w="3322" w:type="dxa"/>
            <w:shd w:val="clear" w:color="auto" w:fill="BFBFBF"/>
            <w:vAlign w:val="center"/>
          </w:tcPr>
          <w:p w14:paraId="1117DB7A">
            <w:pPr>
              <w:jc w:val="center"/>
            </w:pPr>
            <w:r>
              <w:rPr>
                <w:rFonts w:hint="eastAsia"/>
                <w:b/>
              </w:rPr>
              <w:t>与本基金的关系</w:t>
            </w:r>
          </w:p>
        </w:tc>
      </w:tr>
      <w:tr w14:paraId="6A6D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BE7C27">
            <w:r>
              <w:rPr>
                <w:rFonts w:hint="eastAsia"/>
              </w:rPr>
              <w:t>南方基金管理股份有限公司（“南方基金”）</w:t>
            </w:r>
          </w:p>
        </w:tc>
        <w:tc>
          <w:tcPr>
            <w:tcW w:w="3322" w:type="dxa"/>
            <w:vAlign w:val="center"/>
          </w:tcPr>
          <w:p w14:paraId="482A66C0">
            <w:r>
              <w:rPr>
                <w:rFonts w:hint="eastAsia"/>
              </w:rPr>
              <w:t>基金管理人、登记机构、基金销售机构</w:t>
            </w:r>
          </w:p>
        </w:tc>
      </w:tr>
      <w:tr w14:paraId="22DE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6FB6A2">
            <w:r>
              <w:rPr>
                <w:rFonts w:hint="eastAsia"/>
              </w:rPr>
              <w:t>交通银行股份有限公司（“交通银行”）</w:t>
            </w:r>
          </w:p>
        </w:tc>
        <w:tc>
          <w:tcPr>
            <w:tcW w:w="3322" w:type="dxa"/>
            <w:vAlign w:val="center"/>
          </w:tcPr>
          <w:p w14:paraId="7214D140">
            <w:r>
              <w:rPr>
                <w:rFonts w:hint="eastAsia"/>
              </w:rPr>
              <w:t>基金托管人、基金销售机构</w:t>
            </w:r>
          </w:p>
        </w:tc>
      </w:tr>
      <w:tr w14:paraId="1694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7C41F6">
            <w:r>
              <w:rPr>
                <w:rFonts w:hint="eastAsia"/>
              </w:rPr>
              <w:t>华泰证券股份有限公司（“华泰证券”）</w:t>
            </w:r>
          </w:p>
        </w:tc>
        <w:tc>
          <w:tcPr>
            <w:tcW w:w="3322" w:type="dxa"/>
            <w:vAlign w:val="center"/>
          </w:tcPr>
          <w:p w14:paraId="7785D969">
            <w:r>
              <w:rPr>
                <w:rFonts w:hint="eastAsia"/>
              </w:rPr>
              <w:t>基金管理人的股东、基金销售机构</w:t>
            </w:r>
          </w:p>
        </w:tc>
      </w:tr>
      <w:tr w14:paraId="3C47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99D2C2">
            <w:r>
              <w:rPr>
                <w:rFonts w:hint="eastAsia"/>
              </w:rPr>
              <w:t>兴业证券股份有限公司（“兴业证券”）</w:t>
            </w:r>
          </w:p>
        </w:tc>
        <w:tc>
          <w:tcPr>
            <w:tcW w:w="3322" w:type="dxa"/>
            <w:vAlign w:val="center"/>
          </w:tcPr>
          <w:p w14:paraId="3ED6393E">
            <w:r>
              <w:rPr>
                <w:rFonts w:hint="eastAsia"/>
              </w:rPr>
              <w:t>基金管理人的股东、基金销售机构</w:t>
            </w:r>
          </w:p>
        </w:tc>
      </w:tr>
      <w:tr w14:paraId="7376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628F37">
            <w:r>
              <w:rPr>
                <w:rFonts w:hint="eastAsia"/>
              </w:rPr>
              <w:t>南方资本管理有限公司（“南方资本”）</w:t>
            </w:r>
          </w:p>
        </w:tc>
        <w:tc>
          <w:tcPr>
            <w:tcW w:w="3322" w:type="dxa"/>
            <w:vAlign w:val="center"/>
          </w:tcPr>
          <w:p w14:paraId="5434E158">
            <w:r>
              <w:rPr>
                <w:rFonts w:hint="eastAsia"/>
              </w:rPr>
              <w:t>基金管理人的子公司</w:t>
            </w:r>
          </w:p>
        </w:tc>
      </w:tr>
      <w:tr w14:paraId="6743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5A08C1">
            <w:r>
              <w:rPr>
                <w:rFonts w:hint="eastAsia"/>
              </w:rPr>
              <w:t>南方东英资产管理有限公司（“南方东英”）</w:t>
            </w:r>
          </w:p>
        </w:tc>
        <w:tc>
          <w:tcPr>
            <w:tcW w:w="3322" w:type="dxa"/>
            <w:vAlign w:val="center"/>
          </w:tcPr>
          <w:p w14:paraId="1A043C8A">
            <w:r>
              <w:rPr>
                <w:rFonts w:hint="eastAsia"/>
              </w:rPr>
              <w:t>基金管理人的子公司</w:t>
            </w:r>
          </w:p>
        </w:tc>
      </w:tr>
      <w:tr w14:paraId="2A9B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B12477">
            <w:r>
              <w:rPr>
                <w:rFonts w:hint="eastAsia"/>
              </w:rPr>
              <w:t>厦门国际信托有限公司（“厦门国际信托”）</w:t>
            </w:r>
          </w:p>
        </w:tc>
        <w:tc>
          <w:tcPr>
            <w:tcW w:w="3322" w:type="dxa"/>
            <w:vAlign w:val="center"/>
          </w:tcPr>
          <w:p w14:paraId="494C1903">
            <w:r>
              <w:rPr>
                <w:rFonts w:hint="eastAsia"/>
              </w:rPr>
              <w:t>基金管理人的股东</w:t>
            </w:r>
          </w:p>
        </w:tc>
      </w:tr>
      <w:tr w14:paraId="63F3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ADDDA">
            <w:r>
              <w:rPr>
                <w:rFonts w:hint="eastAsia"/>
              </w:rPr>
              <w:t>深圳市投资控股有限公司（“深圳投资控股”）</w:t>
            </w:r>
          </w:p>
        </w:tc>
        <w:tc>
          <w:tcPr>
            <w:tcW w:w="3322" w:type="dxa"/>
            <w:vAlign w:val="center"/>
          </w:tcPr>
          <w:p w14:paraId="1EC46E91">
            <w:r>
              <w:rPr>
                <w:rFonts w:hint="eastAsia"/>
              </w:rPr>
              <w:t>基金管理人的股东</w:t>
            </w:r>
          </w:p>
        </w:tc>
      </w:tr>
      <w:tr w14:paraId="56C4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9EFFF3">
            <w:r>
              <w:rPr>
                <w:rFonts w:hint="eastAsia"/>
              </w:rPr>
              <w:t>厦门合泽吉企业管理合伙企业（有限合伙）</w:t>
            </w:r>
          </w:p>
        </w:tc>
        <w:tc>
          <w:tcPr>
            <w:tcW w:w="3322" w:type="dxa"/>
            <w:vAlign w:val="center"/>
          </w:tcPr>
          <w:p w14:paraId="63D5EA3C">
            <w:r>
              <w:rPr>
                <w:rFonts w:hint="eastAsia"/>
              </w:rPr>
              <w:t>基金管理人的股东</w:t>
            </w:r>
          </w:p>
        </w:tc>
      </w:tr>
      <w:tr w14:paraId="0B67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C048CA">
            <w:r>
              <w:rPr>
                <w:rFonts w:hint="eastAsia"/>
              </w:rPr>
              <w:t>厦门合泽祥企业管理合伙企业（有限合伙）</w:t>
            </w:r>
          </w:p>
        </w:tc>
        <w:tc>
          <w:tcPr>
            <w:tcW w:w="3322" w:type="dxa"/>
            <w:vAlign w:val="center"/>
          </w:tcPr>
          <w:p w14:paraId="18432AFC">
            <w:r>
              <w:rPr>
                <w:rFonts w:hint="eastAsia"/>
              </w:rPr>
              <w:t>基金管理人的股东</w:t>
            </w:r>
          </w:p>
        </w:tc>
      </w:tr>
      <w:tr w14:paraId="36D9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626225">
            <w:r>
              <w:rPr>
                <w:rFonts w:hint="eastAsia"/>
              </w:rPr>
              <w:t>厦门合泽益企业管理合伙企业（有限合伙）</w:t>
            </w:r>
          </w:p>
        </w:tc>
        <w:tc>
          <w:tcPr>
            <w:tcW w:w="3322" w:type="dxa"/>
            <w:vAlign w:val="center"/>
          </w:tcPr>
          <w:p w14:paraId="29922FCA">
            <w:r>
              <w:rPr>
                <w:rFonts w:hint="eastAsia"/>
              </w:rPr>
              <w:t>基金管理人的股东</w:t>
            </w:r>
          </w:p>
        </w:tc>
      </w:tr>
      <w:tr w14:paraId="284D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1678FA">
            <w:r>
              <w:rPr>
                <w:rFonts w:hint="eastAsia"/>
              </w:rPr>
              <w:t>厦门合泽盈企业管理合伙企业（有限合伙）</w:t>
            </w:r>
          </w:p>
        </w:tc>
        <w:tc>
          <w:tcPr>
            <w:tcW w:w="3322" w:type="dxa"/>
            <w:vAlign w:val="center"/>
          </w:tcPr>
          <w:p w14:paraId="4E3BEE21">
            <w:r>
              <w:rPr>
                <w:rFonts w:hint="eastAsia"/>
              </w:rPr>
              <w:t>基金管理人的股东</w:t>
            </w:r>
          </w:p>
        </w:tc>
      </w:tr>
    </w:tbl>
    <w:p w14:paraId="0442E93E">
      <w:pPr>
        <w:pStyle w:val="54"/>
        <w:rPr>
          <w:rFonts w:hint="eastAsia"/>
        </w:rPr>
      </w:pPr>
      <w:r>
        <w:rPr>
          <w:rFonts w:hint="eastAsia"/>
        </w:rPr>
        <w:t>注：下述关联交易均在正常业务范围内按一般商业条款订立。</w:t>
      </w:r>
    </w:p>
    <w:p w14:paraId="6795E945">
      <w:pPr>
        <w:pStyle w:val="35"/>
      </w:pPr>
      <w:bookmarkStart w:id="107" w:name="_Toc107"/>
      <w:r>
        <w:t>本报告期及上年度可比期间的关联方交易</w:t>
      </w:r>
      <w:bookmarkEnd w:id="107"/>
    </w:p>
    <w:p w14:paraId="0274EEA7">
      <w:pPr>
        <w:pStyle w:val="42"/>
      </w:pPr>
      <w:bookmarkStart w:id="108" w:name="_Toc108"/>
      <w:r>
        <w:t>通过关联方交易单元进行的交易</w:t>
      </w:r>
      <w:bookmarkEnd w:id="108"/>
    </w:p>
    <w:p w14:paraId="7E691403">
      <w:pPr>
        <w:pStyle w:val="43"/>
      </w:pPr>
      <w:bookmarkStart w:id="109" w:name="_Toc109"/>
      <w:r>
        <w:t>股票交易</w:t>
      </w:r>
      <w:bookmarkEnd w:id="109"/>
    </w:p>
    <w:p w14:paraId="08D7EE7C">
      <w:pPr>
        <w:pStyle w:val="25"/>
        <w:rPr>
          <w:rFonts w:hint="eastAsia"/>
        </w:rPr>
      </w:pPr>
      <w:r>
        <w:rPr>
          <w:rFonts w:hint="eastAsia"/>
        </w:rPr>
        <w:t>无。</w:t>
      </w:r>
    </w:p>
    <w:p w14:paraId="6E1AC7A6">
      <w:pPr>
        <w:pStyle w:val="43"/>
      </w:pPr>
      <w:bookmarkStart w:id="110" w:name="_Toc110"/>
      <w:r>
        <w:t>债券交易</w:t>
      </w:r>
      <w:bookmarkEnd w:id="110"/>
    </w:p>
    <w:p w14:paraId="3B1D4AE2">
      <w:pPr>
        <w:pStyle w:val="25"/>
        <w:rPr>
          <w:rFonts w:hint="eastAsia"/>
        </w:rPr>
      </w:pPr>
      <w:r>
        <w:rPr>
          <w:rFonts w:hint="eastAsia"/>
        </w:rPr>
        <w:t>无。</w:t>
      </w:r>
    </w:p>
    <w:p w14:paraId="7DAC15F9">
      <w:pPr>
        <w:pStyle w:val="43"/>
      </w:pPr>
      <w:bookmarkStart w:id="111" w:name="_Toc111"/>
      <w:r>
        <w:t>债券回购交易</w:t>
      </w:r>
      <w:bookmarkEnd w:id="111"/>
    </w:p>
    <w:p w14:paraId="6F61DDF6">
      <w:pPr>
        <w:pStyle w:val="25"/>
        <w:rPr>
          <w:rFonts w:hint="eastAsia"/>
        </w:rPr>
      </w:pPr>
      <w:r>
        <w:rPr>
          <w:rFonts w:hint="eastAsia"/>
        </w:rPr>
        <w:t>无。</w:t>
      </w:r>
    </w:p>
    <w:p w14:paraId="199CA41D">
      <w:pPr>
        <w:pStyle w:val="43"/>
      </w:pPr>
      <w:bookmarkStart w:id="112" w:name="_Toc112"/>
      <w:r>
        <w:t>基金交易</w:t>
      </w:r>
      <w:bookmarkEnd w:id="112"/>
    </w:p>
    <w:p w14:paraId="44704AE8">
      <w:pPr>
        <w:pStyle w:val="25"/>
        <w:rPr>
          <w:rFonts w:hint="eastAsia"/>
        </w:rPr>
      </w:pPr>
      <w:r>
        <w:rPr>
          <w:rFonts w:hint="eastAsia"/>
        </w:rPr>
        <w:t>无。</w:t>
      </w:r>
    </w:p>
    <w:p w14:paraId="1C5F3540">
      <w:pPr>
        <w:pStyle w:val="43"/>
      </w:pPr>
      <w:bookmarkStart w:id="113" w:name="_Toc113"/>
      <w:r>
        <w:t>权证交易</w:t>
      </w:r>
      <w:bookmarkEnd w:id="113"/>
    </w:p>
    <w:p w14:paraId="78887000">
      <w:pPr>
        <w:pStyle w:val="25"/>
        <w:rPr>
          <w:rFonts w:hint="eastAsia"/>
        </w:rPr>
      </w:pPr>
      <w:r>
        <w:rPr>
          <w:rFonts w:hint="eastAsia"/>
        </w:rPr>
        <w:t>无。</w:t>
      </w:r>
    </w:p>
    <w:p w14:paraId="01A86498">
      <w:pPr>
        <w:pStyle w:val="43"/>
      </w:pPr>
      <w:bookmarkStart w:id="114" w:name="_Toc114"/>
      <w:r>
        <w:t>应支付关联方的佣金</w:t>
      </w:r>
      <w:bookmarkEnd w:id="114"/>
    </w:p>
    <w:p w14:paraId="3C0D1869">
      <w:pPr>
        <w:pStyle w:val="25"/>
        <w:rPr>
          <w:rFonts w:hint="eastAsia"/>
        </w:rPr>
      </w:pPr>
      <w:r>
        <w:rPr>
          <w:rFonts w:hint="eastAsia"/>
        </w:rPr>
        <w:t>无。</w:t>
      </w:r>
    </w:p>
    <w:p w14:paraId="7B072C86">
      <w:pPr>
        <w:pStyle w:val="42"/>
      </w:pPr>
      <w:bookmarkStart w:id="115" w:name="_Toc115"/>
      <w:r>
        <w:t>关联方报酬</w:t>
      </w:r>
      <w:bookmarkEnd w:id="115"/>
    </w:p>
    <w:p w14:paraId="48F86E76">
      <w:pPr>
        <w:pStyle w:val="43"/>
      </w:pPr>
      <w:bookmarkStart w:id="116" w:name="_Toc116"/>
      <w:r>
        <w:t>基金管理费</w:t>
      </w:r>
      <w:bookmarkEnd w:id="116"/>
    </w:p>
    <w:p w14:paraId="076C9056">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4F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765A67">
            <w:pPr>
              <w:jc w:val="center"/>
            </w:pPr>
            <w:r>
              <w:rPr>
                <w:rFonts w:hint="eastAsia"/>
                <w:b/>
              </w:rPr>
              <w:t>项目</w:t>
            </w:r>
          </w:p>
        </w:tc>
        <w:tc>
          <w:tcPr>
            <w:tcW w:w="2768" w:type="dxa"/>
            <w:shd w:val="clear" w:color="auto" w:fill="BFBFBF"/>
            <w:vAlign w:val="center"/>
          </w:tcPr>
          <w:p w14:paraId="25BE4BB8">
            <w:pPr>
              <w:jc w:val="center"/>
            </w:pPr>
            <w:r>
              <w:rPr>
                <w:rFonts w:hint="eastAsia"/>
                <w:b/>
              </w:rPr>
              <w:t>本期2025年1月1日至2025年12月31日</w:t>
            </w:r>
          </w:p>
        </w:tc>
        <w:tc>
          <w:tcPr>
            <w:tcW w:w="2768" w:type="dxa"/>
            <w:shd w:val="clear" w:color="auto" w:fill="BFBFBF"/>
            <w:vAlign w:val="center"/>
          </w:tcPr>
          <w:p w14:paraId="6C85A1B4">
            <w:pPr>
              <w:jc w:val="center"/>
            </w:pPr>
            <w:r>
              <w:rPr>
                <w:rFonts w:hint="eastAsia"/>
                <w:b/>
              </w:rPr>
              <w:t>上年度可比期间2024年1月1日至2024年12月31日</w:t>
            </w:r>
          </w:p>
        </w:tc>
      </w:tr>
      <w:tr w14:paraId="7EC9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A8CB4">
            <w:r>
              <w:rPr>
                <w:rFonts w:hint="eastAsia"/>
              </w:rPr>
              <w:t>当期发生的基金应支付的管理费</w:t>
            </w:r>
          </w:p>
        </w:tc>
        <w:tc>
          <w:tcPr>
            <w:tcW w:w="2768" w:type="dxa"/>
            <w:vAlign w:val="center"/>
          </w:tcPr>
          <w:p w14:paraId="7424FCB3">
            <w:pPr>
              <w:jc w:val="right"/>
            </w:pPr>
            <w:r>
              <w:rPr>
                <w:rFonts w:hint="eastAsia"/>
              </w:rPr>
              <w:t>6,865,726.97</w:t>
            </w:r>
          </w:p>
        </w:tc>
        <w:tc>
          <w:tcPr>
            <w:tcW w:w="2768" w:type="dxa"/>
            <w:vAlign w:val="center"/>
          </w:tcPr>
          <w:p w14:paraId="26DBB02A">
            <w:pPr>
              <w:jc w:val="right"/>
            </w:pPr>
            <w:r>
              <w:rPr>
                <w:rFonts w:hint="eastAsia"/>
              </w:rPr>
              <w:t>11,872,631.08</w:t>
            </w:r>
          </w:p>
        </w:tc>
      </w:tr>
      <w:tr w14:paraId="4509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75070">
            <w:r>
              <w:rPr>
                <w:rFonts w:hint="eastAsia"/>
              </w:rPr>
              <w:t>其中：应支付销售机构的客户维护费</w:t>
            </w:r>
          </w:p>
        </w:tc>
        <w:tc>
          <w:tcPr>
            <w:tcW w:w="2768" w:type="dxa"/>
            <w:vAlign w:val="center"/>
          </w:tcPr>
          <w:p w14:paraId="4D6A6F24">
            <w:pPr>
              <w:jc w:val="right"/>
            </w:pPr>
            <w:r>
              <w:rPr>
                <w:rFonts w:hint="eastAsia"/>
              </w:rPr>
              <w:t>943,531.87</w:t>
            </w:r>
          </w:p>
        </w:tc>
        <w:tc>
          <w:tcPr>
            <w:tcW w:w="2768" w:type="dxa"/>
            <w:vAlign w:val="center"/>
          </w:tcPr>
          <w:p w14:paraId="30970EE7">
            <w:pPr>
              <w:jc w:val="right"/>
            </w:pPr>
            <w:r>
              <w:rPr>
                <w:rFonts w:hint="eastAsia"/>
              </w:rPr>
              <w:t>781,766.43</w:t>
            </w:r>
          </w:p>
        </w:tc>
      </w:tr>
      <w:tr w14:paraId="4A53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B799A">
            <w:r>
              <w:rPr>
                <w:rFonts w:hint="eastAsia"/>
              </w:rPr>
              <w:t xml:space="preserve">      应支付基金管理人的净管理费</w:t>
            </w:r>
          </w:p>
        </w:tc>
        <w:tc>
          <w:tcPr>
            <w:tcW w:w="2768" w:type="dxa"/>
            <w:vAlign w:val="center"/>
          </w:tcPr>
          <w:p w14:paraId="5C1D90C6">
            <w:pPr>
              <w:jc w:val="right"/>
            </w:pPr>
            <w:r>
              <w:rPr>
                <w:rFonts w:hint="eastAsia"/>
              </w:rPr>
              <w:t>5,922,195.10</w:t>
            </w:r>
          </w:p>
        </w:tc>
        <w:tc>
          <w:tcPr>
            <w:tcW w:w="2768" w:type="dxa"/>
            <w:vAlign w:val="center"/>
          </w:tcPr>
          <w:p w14:paraId="65489952">
            <w:pPr>
              <w:jc w:val="right"/>
            </w:pPr>
            <w:r>
              <w:rPr>
                <w:rFonts w:hint="eastAsia"/>
              </w:rPr>
              <w:t>11,090,864.65</w:t>
            </w:r>
          </w:p>
        </w:tc>
      </w:tr>
    </w:tbl>
    <w:p w14:paraId="18B705A5">
      <w:pPr>
        <w:pStyle w:val="54"/>
        <w:rPr>
          <w:rFonts w:hint="eastAsia"/>
        </w:rPr>
      </w:pPr>
      <w:r>
        <w:rPr>
          <w:rFonts w:hint="eastAsia"/>
        </w:rPr>
        <w:t>注：支付基金管理人南方基金的管理人报酬按前一日基金资产净值0.15%的年费率计提，逐日累计至每月月底，按月支付。其计算公式为：</w:t>
      </w:r>
    </w:p>
    <w:p w14:paraId="60FCF8AA">
      <w:pPr>
        <w:pStyle w:val="54"/>
        <w:rPr>
          <w:rFonts w:hint="eastAsia"/>
        </w:rPr>
      </w:pPr>
      <w:r>
        <w:tab/>
      </w:r>
      <w:r>
        <w:rPr>
          <w:rFonts w:hint="eastAsia"/>
        </w:rPr>
        <w:t>日管理人报酬＝前一日基金资产净值×0.15%÷当年天数。</w:t>
      </w:r>
    </w:p>
    <w:p w14:paraId="4F2E54D3">
      <w:pPr>
        <w:pStyle w:val="43"/>
      </w:pPr>
      <w:bookmarkStart w:id="117" w:name="_Toc117"/>
      <w:r>
        <w:t>基金托管费</w:t>
      </w:r>
      <w:bookmarkEnd w:id="117"/>
    </w:p>
    <w:p w14:paraId="6E7712FF">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E7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33142CA">
            <w:pPr>
              <w:jc w:val="center"/>
            </w:pPr>
            <w:r>
              <w:rPr>
                <w:rFonts w:hint="eastAsia"/>
                <w:b/>
              </w:rPr>
              <w:t>项目</w:t>
            </w:r>
          </w:p>
        </w:tc>
        <w:tc>
          <w:tcPr>
            <w:tcW w:w="2768" w:type="dxa"/>
            <w:shd w:val="clear" w:color="auto" w:fill="BFBFBF"/>
            <w:vAlign w:val="center"/>
          </w:tcPr>
          <w:p w14:paraId="6330459C">
            <w:pPr>
              <w:jc w:val="center"/>
            </w:pPr>
            <w:r>
              <w:rPr>
                <w:rFonts w:hint="eastAsia"/>
                <w:b/>
              </w:rPr>
              <w:t>本期2025年1月1日至2025年12月31日</w:t>
            </w:r>
          </w:p>
        </w:tc>
        <w:tc>
          <w:tcPr>
            <w:tcW w:w="2768" w:type="dxa"/>
            <w:shd w:val="clear" w:color="auto" w:fill="BFBFBF"/>
            <w:vAlign w:val="center"/>
          </w:tcPr>
          <w:p w14:paraId="3F7839A3">
            <w:pPr>
              <w:jc w:val="center"/>
            </w:pPr>
            <w:r>
              <w:rPr>
                <w:rFonts w:hint="eastAsia"/>
                <w:b/>
              </w:rPr>
              <w:t>上年度可比期间2024年1月1日至2024年12月31日</w:t>
            </w:r>
          </w:p>
        </w:tc>
      </w:tr>
      <w:tr w14:paraId="54F4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EC628">
            <w:r>
              <w:rPr>
                <w:rFonts w:hint="eastAsia"/>
              </w:rPr>
              <w:t>当期发生的基金应支付的托管费</w:t>
            </w:r>
          </w:p>
        </w:tc>
        <w:tc>
          <w:tcPr>
            <w:tcW w:w="2768" w:type="dxa"/>
            <w:vAlign w:val="center"/>
          </w:tcPr>
          <w:p w14:paraId="16484CBE">
            <w:pPr>
              <w:jc w:val="right"/>
            </w:pPr>
            <w:r>
              <w:rPr>
                <w:rFonts w:hint="eastAsia"/>
              </w:rPr>
              <w:t>2,288,575.73</w:t>
            </w:r>
          </w:p>
        </w:tc>
        <w:tc>
          <w:tcPr>
            <w:tcW w:w="2768" w:type="dxa"/>
            <w:vAlign w:val="center"/>
          </w:tcPr>
          <w:p w14:paraId="4E09D85B">
            <w:pPr>
              <w:jc w:val="right"/>
            </w:pPr>
            <w:r>
              <w:rPr>
                <w:rFonts w:hint="eastAsia"/>
              </w:rPr>
              <w:t>3,957,543.60</w:t>
            </w:r>
          </w:p>
        </w:tc>
      </w:tr>
    </w:tbl>
    <w:p w14:paraId="1808F59E">
      <w:pPr>
        <w:pStyle w:val="54"/>
        <w:rPr>
          <w:rFonts w:hint="eastAsia"/>
        </w:rPr>
      </w:pPr>
      <w:r>
        <w:rPr>
          <w:rFonts w:hint="eastAsia"/>
        </w:rPr>
        <w:t>注：支付基金托管人的托管费按前一日基金资产净值0.05%的年费率计提，逐日累计至每月月底，按月支付。其计算公式为：</w:t>
      </w:r>
    </w:p>
    <w:p w14:paraId="4A141B99">
      <w:pPr>
        <w:pStyle w:val="54"/>
        <w:rPr>
          <w:rFonts w:hint="eastAsia"/>
        </w:rPr>
      </w:pPr>
      <w:r>
        <w:tab/>
      </w:r>
      <w:r>
        <w:rPr>
          <w:rFonts w:hint="eastAsia"/>
        </w:rPr>
        <w:t>日托管费＝前一日基金资产净值×0.05%÷当年天数。</w:t>
      </w:r>
    </w:p>
    <w:p w14:paraId="2289DC8A">
      <w:pPr>
        <w:pStyle w:val="43"/>
      </w:pPr>
      <w:bookmarkStart w:id="118" w:name="_Toc118"/>
      <w:r>
        <w:t>销售服务费</w:t>
      </w:r>
      <w:bookmarkEnd w:id="118"/>
    </w:p>
    <w:p w14:paraId="47DDA9A4">
      <w:pPr>
        <w:pStyle w:val="25"/>
        <w:rPr>
          <w:rFonts w:hint="eastAsia"/>
        </w:rPr>
      </w:pPr>
      <w:r>
        <w:rPr>
          <w:rFonts w:hint="eastAsia"/>
        </w:rPr>
        <w:t>无。</w:t>
      </w:r>
    </w:p>
    <w:p w14:paraId="7754B645">
      <w:pPr>
        <w:pStyle w:val="42"/>
      </w:pPr>
      <w:bookmarkStart w:id="119" w:name="_Toc119"/>
      <w:r>
        <w:t>与关联方进行银行间同业市场的债券（含回购）交易</w:t>
      </w:r>
      <w:bookmarkEnd w:id="119"/>
    </w:p>
    <w:p w14:paraId="4EFF5C07">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91A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4C8619C">
            <w:pPr>
              <w:jc w:val="center"/>
            </w:pPr>
            <w:r>
              <w:rPr>
                <w:rFonts w:hint="eastAsia"/>
                <w:b/>
              </w:rPr>
              <w:t>本期2025年1月1日至2025年12月31日</w:t>
            </w:r>
          </w:p>
        </w:tc>
      </w:tr>
      <w:tr w14:paraId="6007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E081D54">
            <w:pPr>
              <w:jc w:val="center"/>
            </w:pPr>
            <w:r>
              <w:rPr>
                <w:rFonts w:hint="eastAsia"/>
                <w:b/>
              </w:rPr>
              <w:t>银行间市场交易的各关联方名称</w:t>
            </w:r>
          </w:p>
        </w:tc>
        <w:tc>
          <w:tcPr>
            <w:tcW w:w="1502" w:type="dxa"/>
            <w:gridSpan w:val="2"/>
            <w:shd w:val="clear" w:color="auto" w:fill="BFBFBF"/>
            <w:vAlign w:val="center"/>
          </w:tcPr>
          <w:p w14:paraId="0E558CF8">
            <w:pPr>
              <w:jc w:val="center"/>
            </w:pPr>
            <w:r>
              <w:rPr>
                <w:rFonts w:hint="eastAsia"/>
                <w:b/>
              </w:rPr>
              <w:t>债券交易金额</w:t>
            </w:r>
          </w:p>
        </w:tc>
        <w:tc>
          <w:tcPr>
            <w:tcW w:w="1502" w:type="dxa"/>
            <w:gridSpan w:val="2"/>
            <w:shd w:val="clear" w:color="auto" w:fill="BFBFBF"/>
            <w:vAlign w:val="center"/>
          </w:tcPr>
          <w:p w14:paraId="682114EE">
            <w:pPr>
              <w:jc w:val="center"/>
            </w:pPr>
            <w:r>
              <w:rPr>
                <w:rFonts w:hint="eastAsia"/>
                <w:b/>
              </w:rPr>
              <w:t>基金逆回购</w:t>
            </w:r>
          </w:p>
        </w:tc>
        <w:tc>
          <w:tcPr>
            <w:tcW w:w="883" w:type="dxa"/>
            <w:gridSpan w:val="2"/>
            <w:shd w:val="clear" w:color="auto" w:fill="BFBFBF"/>
            <w:vAlign w:val="center"/>
          </w:tcPr>
          <w:p w14:paraId="04343C35">
            <w:pPr>
              <w:jc w:val="center"/>
            </w:pPr>
            <w:r>
              <w:rPr>
                <w:rFonts w:hint="eastAsia"/>
                <w:b/>
              </w:rPr>
              <w:t>基金正回购</w:t>
            </w:r>
          </w:p>
        </w:tc>
      </w:tr>
      <w:tr w14:paraId="6A87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D15E9B5"/>
        </w:tc>
        <w:tc>
          <w:tcPr>
            <w:tcW w:w="1502" w:type="dxa"/>
            <w:shd w:val="clear" w:color="auto" w:fill="BFBFBF"/>
            <w:vAlign w:val="center"/>
          </w:tcPr>
          <w:p w14:paraId="3E18ABBE">
            <w:pPr>
              <w:jc w:val="center"/>
            </w:pPr>
            <w:r>
              <w:rPr>
                <w:rFonts w:hint="eastAsia"/>
                <w:b/>
              </w:rPr>
              <w:t>基金买入</w:t>
            </w:r>
          </w:p>
        </w:tc>
        <w:tc>
          <w:tcPr>
            <w:tcW w:w="1502" w:type="dxa"/>
            <w:shd w:val="clear" w:color="auto" w:fill="BFBFBF"/>
            <w:vAlign w:val="center"/>
          </w:tcPr>
          <w:p w14:paraId="1A2AD732">
            <w:pPr>
              <w:jc w:val="center"/>
            </w:pPr>
            <w:r>
              <w:rPr>
                <w:rFonts w:hint="eastAsia"/>
                <w:b/>
              </w:rPr>
              <w:t>基金卖出</w:t>
            </w:r>
          </w:p>
        </w:tc>
        <w:tc>
          <w:tcPr>
            <w:tcW w:w="1502" w:type="dxa"/>
            <w:shd w:val="clear" w:color="auto" w:fill="BFBFBF"/>
            <w:vAlign w:val="center"/>
          </w:tcPr>
          <w:p w14:paraId="2BA5104C">
            <w:pPr>
              <w:jc w:val="center"/>
            </w:pPr>
            <w:r>
              <w:rPr>
                <w:rFonts w:hint="eastAsia"/>
                <w:b/>
              </w:rPr>
              <w:t>交易金额</w:t>
            </w:r>
          </w:p>
        </w:tc>
        <w:tc>
          <w:tcPr>
            <w:tcW w:w="1502" w:type="dxa"/>
            <w:shd w:val="clear" w:color="auto" w:fill="BFBFBF"/>
            <w:vAlign w:val="center"/>
          </w:tcPr>
          <w:p w14:paraId="1C9AD8C4">
            <w:pPr>
              <w:jc w:val="center"/>
            </w:pPr>
            <w:r>
              <w:rPr>
                <w:rFonts w:hint="eastAsia"/>
                <w:b/>
              </w:rPr>
              <w:t>利息收入</w:t>
            </w:r>
          </w:p>
        </w:tc>
        <w:tc>
          <w:tcPr>
            <w:tcW w:w="883" w:type="dxa"/>
            <w:shd w:val="clear" w:color="auto" w:fill="BFBFBF"/>
            <w:vAlign w:val="center"/>
          </w:tcPr>
          <w:p w14:paraId="2997E770">
            <w:pPr>
              <w:jc w:val="center"/>
            </w:pPr>
            <w:r>
              <w:rPr>
                <w:rFonts w:hint="eastAsia"/>
                <w:b/>
              </w:rPr>
              <w:t>交易金额</w:t>
            </w:r>
          </w:p>
        </w:tc>
        <w:tc>
          <w:tcPr>
            <w:tcW w:w="883" w:type="dxa"/>
            <w:shd w:val="clear" w:color="auto" w:fill="BFBFBF"/>
            <w:vAlign w:val="center"/>
          </w:tcPr>
          <w:p w14:paraId="0E809DC8">
            <w:pPr>
              <w:jc w:val="center"/>
            </w:pPr>
            <w:r>
              <w:rPr>
                <w:rFonts w:hint="eastAsia"/>
                <w:b/>
              </w:rPr>
              <w:t>利息支出</w:t>
            </w:r>
          </w:p>
        </w:tc>
      </w:tr>
      <w:tr w14:paraId="13D0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C74298F">
            <w:r>
              <w:rPr>
                <w:rFonts w:hint="eastAsia"/>
              </w:rPr>
              <w:t>交通银行</w:t>
            </w:r>
          </w:p>
        </w:tc>
        <w:tc>
          <w:tcPr>
            <w:tcW w:w="1502" w:type="dxa"/>
            <w:vAlign w:val="center"/>
          </w:tcPr>
          <w:p w14:paraId="5E4E30DB">
            <w:pPr>
              <w:jc w:val="right"/>
            </w:pPr>
            <w:r>
              <w:rPr>
                <w:rFonts w:hint="eastAsia"/>
              </w:rPr>
              <w:t>-</w:t>
            </w:r>
          </w:p>
        </w:tc>
        <w:tc>
          <w:tcPr>
            <w:tcW w:w="1502" w:type="dxa"/>
            <w:vAlign w:val="center"/>
          </w:tcPr>
          <w:p w14:paraId="0E94FA5A">
            <w:pPr>
              <w:jc w:val="right"/>
            </w:pPr>
            <w:r>
              <w:rPr>
                <w:rFonts w:hint="eastAsia"/>
              </w:rPr>
              <w:t>-</w:t>
            </w:r>
          </w:p>
        </w:tc>
        <w:tc>
          <w:tcPr>
            <w:tcW w:w="1502" w:type="dxa"/>
            <w:vAlign w:val="center"/>
          </w:tcPr>
          <w:p w14:paraId="0A5B9024">
            <w:pPr>
              <w:jc w:val="right"/>
            </w:pPr>
            <w:r>
              <w:rPr>
                <w:rFonts w:hint="eastAsia"/>
              </w:rPr>
              <w:t>-</w:t>
            </w:r>
          </w:p>
        </w:tc>
        <w:tc>
          <w:tcPr>
            <w:tcW w:w="1502" w:type="dxa"/>
            <w:vAlign w:val="center"/>
          </w:tcPr>
          <w:p w14:paraId="7E2A3169">
            <w:pPr>
              <w:jc w:val="right"/>
            </w:pPr>
            <w:r>
              <w:rPr>
                <w:rFonts w:hint="eastAsia"/>
              </w:rPr>
              <w:t>-</w:t>
            </w:r>
          </w:p>
        </w:tc>
        <w:tc>
          <w:tcPr>
            <w:tcW w:w="883" w:type="dxa"/>
            <w:vAlign w:val="center"/>
          </w:tcPr>
          <w:p w14:paraId="25C4BE44">
            <w:pPr>
              <w:jc w:val="right"/>
            </w:pPr>
            <w:r>
              <w:rPr>
                <w:rFonts w:hint="eastAsia"/>
              </w:rPr>
              <w:t>103,000,000.00</w:t>
            </w:r>
          </w:p>
        </w:tc>
        <w:tc>
          <w:tcPr>
            <w:tcW w:w="883" w:type="dxa"/>
            <w:vAlign w:val="center"/>
          </w:tcPr>
          <w:p w14:paraId="2718C6C9">
            <w:pPr>
              <w:jc w:val="right"/>
            </w:pPr>
            <w:r>
              <w:rPr>
                <w:rFonts w:hint="eastAsia"/>
              </w:rPr>
              <w:t>12,611.50</w:t>
            </w:r>
          </w:p>
        </w:tc>
      </w:tr>
    </w:tbl>
    <w:p w14:paraId="2CEB522F"/>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547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9101EBD">
            <w:pPr>
              <w:jc w:val="center"/>
            </w:pPr>
            <w:r>
              <w:rPr>
                <w:rFonts w:hint="eastAsia"/>
                <w:b/>
              </w:rPr>
              <w:t>上年度可比期间2024年1月1日至2024年12月31日</w:t>
            </w:r>
          </w:p>
        </w:tc>
      </w:tr>
      <w:tr w14:paraId="5D85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E0F3ED6">
            <w:pPr>
              <w:jc w:val="center"/>
            </w:pPr>
            <w:r>
              <w:rPr>
                <w:rFonts w:hint="eastAsia"/>
                <w:b/>
              </w:rPr>
              <w:t>银行间市场交易的各关联方名称</w:t>
            </w:r>
          </w:p>
        </w:tc>
        <w:tc>
          <w:tcPr>
            <w:tcW w:w="1502" w:type="dxa"/>
            <w:gridSpan w:val="2"/>
            <w:shd w:val="clear" w:color="auto" w:fill="BFBFBF"/>
            <w:vAlign w:val="center"/>
          </w:tcPr>
          <w:p w14:paraId="210E8BCA">
            <w:pPr>
              <w:jc w:val="center"/>
            </w:pPr>
            <w:r>
              <w:rPr>
                <w:rFonts w:hint="eastAsia"/>
                <w:b/>
              </w:rPr>
              <w:t>债券交易金额</w:t>
            </w:r>
          </w:p>
        </w:tc>
        <w:tc>
          <w:tcPr>
            <w:tcW w:w="1502" w:type="dxa"/>
            <w:gridSpan w:val="2"/>
            <w:shd w:val="clear" w:color="auto" w:fill="BFBFBF"/>
            <w:vAlign w:val="center"/>
          </w:tcPr>
          <w:p w14:paraId="087C32F2">
            <w:pPr>
              <w:jc w:val="center"/>
            </w:pPr>
            <w:r>
              <w:rPr>
                <w:rFonts w:hint="eastAsia"/>
                <w:b/>
              </w:rPr>
              <w:t>基金逆回购</w:t>
            </w:r>
          </w:p>
        </w:tc>
        <w:tc>
          <w:tcPr>
            <w:tcW w:w="883" w:type="dxa"/>
            <w:gridSpan w:val="2"/>
            <w:shd w:val="clear" w:color="auto" w:fill="BFBFBF"/>
            <w:vAlign w:val="center"/>
          </w:tcPr>
          <w:p w14:paraId="45D5B333">
            <w:pPr>
              <w:jc w:val="center"/>
            </w:pPr>
            <w:r>
              <w:rPr>
                <w:rFonts w:hint="eastAsia"/>
                <w:b/>
              </w:rPr>
              <w:t>基金正回购</w:t>
            </w:r>
          </w:p>
        </w:tc>
      </w:tr>
      <w:tr w14:paraId="3472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A690E2C"/>
        </w:tc>
        <w:tc>
          <w:tcPr>
            <w:tcW w:w="1502" w:type="dxa"/>
            <w:shd w:val="clear" w:color="auto" w:fill="BFBFBF"/>
            <w:vAlign w:val="center"/>
          </w:tcPr>
          <w:p w14:paraId="0F5FE42F">
            <w:pPr>
              <w:jc w:val="center"/>
            </w:pPr>
            <w:r>
              <w:rPr>
                <w:rFonts w:hint="eastAsia"/>
                <w:b/>
              </w:rPr>
              <w:t>基金买入</w:t>
            </w:r>
          </w:p>
        </w:tc>
        <w:tc>
          <w:tcPr>
            <w:tcW w:w="1502" w:type="dxa"/>
            <w:shd w:val="clear" w:color="auto" w:fill="BFBFBF"/>
            <w:vAlign w:val="center"/>
          </w:tcPr>
          <w:p w14:paraId="4FADF88A">
            <w:pPr>
              <w:jc w:val="center"/>
            </w:pPr>
            <w:r>
              <w:rPr>
                <w:rFonts w:hint="eastAsia"/>
                <w:b/>
              </w:rPr>
              <w:t>基金卖出</w:t>
            </w:r>
          </w:p>
        </w:tc>
        <w:tc>
          <w:tcPr>
            <w:tcW w:w="1502" w:type="dxa"/>
            <w:shd w:val="clear" w:color="auto" w:fill="BFBFBF"/>
            <w:vAlign w:val="center"/>
          </w:tcPr>
          <w:p w14:paraId="5CD700BE">
            <w:pPr>
              <w:jc w:val="center"/>
            </w:pPr>
            <w:r>
              <w:rPr>
                <w:rFonts w:hint="eastAsia"/>
                <w:b/>
              </w:rPr>
              <w:t>交易金额</w:t>
            </w:r>
          </w:p>
        </w:tc>
        <w:tc>
          <w:tcPr>
            <w:tcW w:w="1502" w:type="dxa"/>
            <w:shd w:val="clear" w:color="auto" w:fill="BFBFBF"/>
            <w:vAlign w:val="center"/>
          </w:tcPr>
          <w:p w14:paraId="0F2C9F35">
            <w:pPr>
              <w:jc w:val="center"/>
            </w:pPr>
            <w:r>
              <w:rPr>
                <w:rFonts w:hint="eastAsia"/>
                <w:b/>
              </w:rPr>
              <w:t>利息收入</w:t>
            </w:r>
          </w:p>
        </w:tc>
        <w:tc>
          <w:tcPr>
            <w:tcW w:w="883" w:type="dxa"/>
            <w:shd w:val="clear" w:color="auto" w:fill="BFBFBF"/>
            <w:vAlign w:val="center"/>
          </w:tcPr>
          <w:p w14:paraId="5551147E">
            <w:pPr>
              <w:jc w:val="center"/>
            </w:pPr>
            <w:r>
              <w:rPr>
                <w:rFonts w:hint="eastAsia"/>
                <w:b/>
              </w:rPr>
              <w:t>交易金额</w:t>
            </w:r>
          </w:p>
        </w:tc>
        <w:tc>
          <w:tcPr>
            <w:tcW w:w="883" w:type="dxa"/>
            <w:shd w:val="clear" w:color="auto" w:fill="BFBFBF"/>
            <w:vAlign w:val="center"/>
          </w:tcPr>
          <w:p w14:paraId="288E4625">
            <w:pPr>
              <w:jc w:val="center"/>
            </w:pPr>
            <w:r>
              <w:rPr>
                <w:rFonts w:hint="eastAsia"/>
                <w:b/>
              </w:rPr>
              <w:t>利息支出</w:t>
            </w:r>
          </w:p>
        </w:tc>
      </w:tr>
      <w:tr w14:paraId="0AF7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C4E3039">
            <w:r>
              <w:rPr>
                <w:rFonts w:hint="eastAsia"/>
              </w:rPr>
              <w:t>交通银行</w:t>
            </w:r>
          </w:p>
        </w:tc>
        <w:tc>
          <w:tcPr>
            <w:tcW w:w="1502" w:type="dxa"/>
            <w:vAlign w:val="center"/>
          </w:tcPr>
          <w:p w14:paraId="1D898E58">
            <w:pPr>
              <w:jc w:val="right"/>
            </w:pPr>
            <w:r>
              <w:rPr>
                <w:rFonts w:hint="eastAsia"/>
              </w:rPr>
              <w:t>-</w:t>
            </w:r>
          </w:p>
        </w:tc>
        <w:tc>
          <w:tcPr>
            <w:tcW w:w="1502" w:type="dxa"/>
            <w:vAlign w:val="center"/>
          </w:tcPr>
          <w:p w14:paraId="310CBDDF">
            <w:pPr>
              <w:jc w:val="right"/>
            </w:pPr>
            <w:r>
              <w:rPr>
                <w:rFonts w:hint="eastAsia"/>
              </w:rPr>
              <w:t>-</w:t>
            </w:r>
          </w:p>
        </w:tc>
        <w:tc>
          <w:tcPr>
            <w:tcW w:w="1502" w:type="dxa"/>
            <w:vAlign w:val="center"/>
          </w:tcPr>
          <w:p w14:paraId="2808761D">
            <w:pPr>
              <w:jc w:val="right"/>
            </w:pPr>
            <w:r>
              <w:rPr>
                <w:rFonts w:hint="eastAsia"/>
              </w:rPr>
              <w:t>-</w:t>
            </w:r>
          </w:p>
        </w:tc>
        <w:tc>
          <w:tcPr>
            <w:tcW w:w="1502" w:type="dxa"/>
            <w:vAlign w:val="center"/>
          </w:tcPr>
          <w:p w14:paraId="242E5EDB">
            <w:pPr>
              <w:jc w:val="right"/>
            </w:pPr>
            <w:r>
              <w:rPr>
                <w:rFonts w:hint="eastAsia"/>
              </w:rPr>
              <w:t>-</w:t>
            </w:r>
          </w:p>
        </w:tc>
        <w:tc>
          <w:tcPr>
            <w:tcW w:w="883" w:type="dxa"/>
            <w:vAlign w:val="center"/>
          </w:tcPr>
          <w:p w14:paraId="3A26F271">
            <w:pPr>
              <w:jc w:val="right"/>
            </w:pPr>
            <w:r>
              <w:rPr>
                <w:rFonts w:hint="eastAsia"/>
              </w:rPr>
              <w:t>10,151,200,000.00</w:t>
            </w:r>
          </w:p>
        </w:tc>
        <w:tc>
          <w:tcPr>
            <w:tcW w:w="883" w:type="dxa"/>
            <w:vAlign w:val="center"/>
          </w:tcPr>
          <w:p w14:paraId="7F13ED18">
            <w:pPr>
              <w:jc w:val="right"/>
            </w:pPr>
            <w:r>
              <w:rPr>
                <w:rFonts w:hint="eastAsia"/>
              </w:rPr>
              <w:t>788,927.15</w:t>
            </w:r>
          </w:p>
        </w:tc>
      </w:tr>
    </w:tbl>
    <w:p w14:paraId="59593ACA">
      <w:pPr>
        <w:pStyle w:val="42"/>
      </w:pPr>
      <w:bookmarkStart w:id="120" w:name="_Toc120"/>
      <w:r>
        <w:t>报告期内转融通证券出借业务发生重大关联交易事项的说明</w:t>
      </w:r>
      <w:bookmarkEnd w:id="120"/>
    </w:p>
    <w:p w14:paraId="4F4958A6">
      <w:pPr>
        <w:pStyle w:val="43"/>
      </w:pPr>
      <w:bookmarkStart w:id="121" w:name="_Toc121"/>
      <w:r>
        <w:t>与关联方通过约定申报方式进行的适用固定期限费率的证券出借业务的情况</w:t>
      </w:r>
      <w:bookmarkEnd w:id="121"/>
    </w:p>
    <w:p w14:paraId="0F37366A">
      <w:pPr>
        <w:pStyle w:val="25"/>
        <w:rPr>
          <w:rFonts w:hint="eastAsia"/>
        </w:rPr>
      </w:pPr>
      <w:r>
        <w:rPr>
          <w:rFonts w:hint="eastAsia"/>
        </w:rPr>
        <w:t>无。</w:t>
      </w:r>
    </w:p>
    <w:p w14:paraId="4EDE9BAF">
      <w:pPr>
        <w:pStyle w:val="43"/>
      </w:pPr>
      <w:bookmarkStart w:id="122" w:name="_Toc122"/>
      <w:r>
        <w:t>与关联方通过约定申报方式进行的适用市场化期限费率的证券出借业务的情况</w:t>
      </w:r>
      <w:bookmarkEnd w:id="122"/>
    </w:p>
    <w:p w14:paraId="116BBF96">
      <w:pPr>
        <w:pStyle w:val="25"/>
        <w:rPr>
          <w:rFonts w:hint="eastAsia"/>
        </w:rPr>
      </w:pPr>
      <w:r>
        <w:rPr>
          <w:rFonts w:hint="eastAsia"/>
        </w:rPr>
        <w:t>无。</w:t>
      </w:r>
    </w:p>
    <w:p w14:paraId="48061E6D">
      <w:pPr>
        <w:pStyle w:val="42"/>
      </w:pPr>
      <w:bookmarkStart w:id="123" w:name="_Toc123"/>
      <w:r>
        <w:t>各关联方投资本基金的情况</w:t>
      </w:r>
      <w:bookmarkEnd w:id="123"/>
    </w:p>
    <w:p w14:paraId="25F2E2FF">
      <w:pPr>
        <w:pStyle w:val="43"/>
      </w:pPr>
      <w:bookmarkStart w:id="124" w:name="_Toc124"/>
      <w:r>
        <w:t>报告期内基金管理人运用固有资金投资本基金的情况</w:t>
      </w:r>
      <w:bookmarkEnd w:id="124"/>
    </w:p>
    <w:p w14:paraId="487D4CE7">
      <w:pPr>
        <w:pStyle w:val="25"/>
        <w:rPr>
          <w:rFonts w:hint="eastAsia"/>
        </w:rPr>
      </w:pPr>
      <w:r>
        <w:rPr>
          <w:rFonts w:hint="eastAsia"/>
        </w:rPr>
        <w:t>无。</w:t>
      </w:r>
    </w:p>
    <w:p w14:paraId="6C284BB9">
      <w:pPr>
        <w:pStyle w:val="43"/>
      </w:pPr>
      <w:bookmarkStart w:id="125" w:name="_Toc125"/>
      <w:r>
        <w:t>报告期末除基金管理人之外的其他关联方投资本基金的情况</w:t>
      </w:r>
      <w:bookmarkEnd w:id="125"/>
    </w:p>
    <w:p w14:paraId="7814A2C2">
      <w:pPr>
        <w:pStyle w:val="25"/>
        <w:rPr>
          <w:rFonts w:hint="eastAsia"/>
        </w:rPr>
      </w:pPr>
      <w:r>
        <w:rPr>
          <w:rFonts w:hint="eastAsia"/>
        </w:rPr>
        <w:t>无。</w:t>
      </w:r>
    </w:p>
    <w:p w14:paraId="244FE5C9">
      <w:pPr>
        <w:pStyle w:val="42"/>
      </w:pPr>
      <w:bookmarkStart w:id="126" w:name="_Toc126"/>
      <w:r>
        <w:t>由关联方保管的银行存款余额及当期产生的利息收入</w:t>
      </w:r>
      <w:bookmarkEnd w:id="126"/>
    </w:p>
    <w:p w14:paraId="0FF04CC5">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22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1C4088">
            <w:pPr>
              <w:jc w:val="center"/>
            </w:pPr>
            <w:r>
              <w:rPr>
                <w:rFonts w:hint="eastAsia"/>
                <w:b/>
              </w:rPr>
              <w:t>关联方名称</w:t>
            </w:r>
          </w:p>
        </w:tc>
        <w:tc>
          <w:tcPr>
            <w:tcW w:w="1661" w:type="dxa"/>
            <w:gridSpan w:val="2"/>
            <w:shd w:val="clear" w:color="auto" w:fill="BFBFBF"/>
            <w:vAlign w:val="center"/>
          </w:tcPr>
          <w:p w14:paraId="2BC4F2E4">
            <w:pPr>
              <w:jc w:val="center"/>
            </w:pPr>
            <w:r>
              <w:rPr>
                <w:rFonts w:hint="eastAsia"/>
                <w:b/>
              </w:rPr>
              <w:t>本期2025年1月1日至2025年12月31日</w:t>
            </w:r>
          </w:p>
        </w:tc>
        <w:tc>
          <w:tcPr>
            <w:tcW w:w="1661" w:type="dxa"/>
            <w:gridSpan w:val="2"/>
            <w:shd w:val="clear" w:color="auto" w:fill="BFBFBF"/>
            <w:vAlign w:val="center"/>
          </w:tcPr>
          <w:p w14:paraId="644CCEDE">
            <w:pPr>
              <w:jc w:val="center"/>
            </w:pPr>
            <w:r>
              <w:rPr>
                <w:rFonts w:hint="eastAsia"/>
                <w:b/>
              </w:rPr>
              <w:t>上年度可比期间2024年1月1日至2024年12月31日</w:t>
            </w:r>
          </w:p>
        </w:tc>
      </w:tr>
      <w:tr w14:paraId="7728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96FE5E"/>
        </w:tc>
        <w:tc>
          <w:tcPr>
            <w:tcW w:w="1661" w:type="dxa"/>
            <w:shd w:val="clear" w:color="auto" w:fill="BFBFBF"/>
            <w:vAlign w:val="center"/>
          </w:tcPr>
          <w:p w14:paraId="7C177821">
            <w:pPr>
              <w:jc w:val="center"/>
            </w:pPr>
            <w:r>
              <w:rPr>
                <w:rFonts w:hint="eastAsia"/>
                <w:b/>
              </w:rPr>
              <w:t>期末余额</w:t>
            </w:r>
          </w:p>
        </w:tc>
        <w:tc>
          <w:tcPr>
            <w:tcW w:w="1661" w:type="dxa"/>
            <w:shd w:val="clear" w:color="auto" w:fill="BFBFBF"/>
            <w:vAlign w:val="center"/>
          </w:tcPr>
          <w:p w14:paraId="609B0F6A">
            <w:pPr>
              <w:jc w:val="center"/>
            </w:pPr>
            <w:r>
              <w:rPr>
                <w:rFonts w:hint="eastAsia"/>
                <w:b/>
              </w:rPr>
              <w:t>当期利息收入</w:t>
            </w:r>
          </w:p>
        </w:tc>
        <w:tc>
          <w:tcPr>
            <w:tcW w:w="1661" w:type="dxa"/>
            <w:shd w:val="clear" w:color="auto" w:fill="BFBFBF"/>
            <w:vAlign w:val="center"/>
          </w:tcPr>
          <w:p w14:paraId="472F43C0">
            <w:pPr>
              <w:jc w:val="center"/>
            </w:pPr>
            <w:r>
              <w:rPr>
                <w:rFonts w:hint="eastAsia"/>
                <w:b/>
              </w:rPr>
              <w:t>期末余额</w:t>
            </w:r>
          </w:p>
        </w:tc>
        <w:tc>
          <w:tcPr>
            <w:tcW w:w="1661" w:type="dxa"/>
            <w:shd w:val="clear" w:color="auto" w:fill="BFBFBF"/>
            <w:vAlign w:val="center"/>
          </w:tcPr>
          <w:p w14:paraId="0C7662B3">
            <w:pPr>
              <w:jc w:val="center"/>
            </w:pPr>
            <w:r>
              <w:rPr>
                <w:rFonts w:hint="eastAsia"/>
                <w:b/>
              </w:rPr>
              <w:t>当期利息收入</w:t>
            </w:r>
          </w:p>
        </w:tc>
      </w:tr>
      <w:tr w14:paraId="6C23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ED741">
            <w:r>
              <w:rPr>
                <w:rFonts w:hint="eastAsia"/>
              </w:rPr>
              <w:t>交通银行</w:t>
            </w:r>
          </w:p>
        </w:tc>
        <w:tc>
          <w:tcPr>
            <w:tcW w:w="1661" w:type="dxa"/>
            <w:vAlign w:val="center"/>
          </w:tcPr>
          <w:p w14:paraId="20BAFCA6">
            <w:pPr>
              <w:jc w:val="right"/>
            </w:pPr>
            <w:r>
              <w:rPr>
                <w:rFonts w:hint="eastAsia"/>
              </w:rPr>
              <w:t>5,872,599.25</w:t>
            </w:r>
          </w:p>
        </w:tc>
        <w:tc>
          <w:tcPr>
            <w:tcW w:w="1661" w:type="dxa"/>
            <w:vAlign w:val="center"/>
          </w:tcPr>
          <w:p w14:paraId="03FCDCD7">
            <w:pPr>
              <w:jc w:val="right"/>
            </w:pPr>
            <w:r>
              <w:rPr>
                <w:rFonts w:hint="eastAsia"/>
              </w:rPr>
              <w:t>858,372.46</w:t>
            </w:r>
          </w:p>
        </w:tc>
        <w:tc>
          <w:tcPr>
            <w:tcW w:w="1661" w:type="dxa"/>
            <w:vAlign w:val="center"/>
          </w:tcPr>
          <w:p w14:paraId="64FDB63F">
            <w:pPr>
              <w:jc w:val="right"/>
            </w:pPr>
            <w:r>
              <w:rPr>
                <w:rFonts w:hint="eastAsia"/>
              </w:rPr>
              <w:t>453,826.06</w:t>
            </w:r>
          </w:p>
        </w:tc>
        <w:tc>
          <w:tcPr>
            <w:tcW w:w="1661" w:type="dxa"/>
            <w:vAlign w:val="center"/>
          </w:tcPr>
          <w:p w14:paraId="374AF732">
            <w:pPr>
              <w:jc w:val="right"/>
            </w:pPr>
            <w:r>
              <w:rPr>
                <w:rFonts w:hint="eastAsia"/>
              </w:rPr>
              <w:t>1,531,291.13</w:t>
            </w:r>
          </w:p>
        </w:tc>
      </w:tr>
    </w:tbl>
    <w:p w14:paraId="51DFB9DE">
      <w:pPr>
        <w:pStyle w:val="54"/>
        <w:rPr>
          <w:rFonts w:hint="eastAsia"/>
        </w:rPr>
      </w:pPr>
      <w:r>
        <w:rPr>
          <w:rFonts w:hint="eastAsia"/>
        </w:rPr>
        <w:t>注：本基金的银行存款由基金托管人保管，按银行约定利率计息。</w:t>
      </w:r>
    </w:p>
    <w:p w14:paraId="3F0AC453">
      <w:pPr>
        <w:pStyle w:val="42"/>
      </w:pPr>
      <w:bookmarkStart w:id="127" w:name="_Toc127"/>
      <w:r>
        <w:t>本基金在承销期内参与关联方承销证券的情况</w:t>
      </w:r>
      <w:bookmarkEnd w:id="127"/>
    </w:p>
    <w:p w14:paraId="24066E31">
      <w:pPr>
        <w:pStyle w:val="25"/>
        <w:rPr>
          <w:rFonts w:hint="eastAsia"/>
        </w:rPr>
      </w:pPr>
      <w:r>
        <w:rPr>
          <w:rFonts w:hint="eastAsia"/>
        </w:rPr>
        <w:t>无。</w:t>
      </w:r>
    </w:p>
    <w:p w14:paraId="09394A62">
      <w:pPr>
        <w:pStyle w:val="42"/>
      </w:pPr>
      <w:bookmarkStart w:id="128" w:name="_Toc128"/>
      <w:r>
        <w:t>其他关联交易事项的说明</w:t>
      </w:r>
      <w:bookmarkEnd w:id="128"/>
    </w:p>
    <w:p w14:paraId="18948C51">
      <w:pPr>
        <w:pStyle w:val="25"/>
        <w:rPr>
          <w:rFonts w:hint="eastAsia"/>
        </w:rPr>
      </w:pPr>
      <w:r>
        <w:rPr>
          <w:rFonts w:hint="eastAsia"/>
        </w:rPr>
        <w:t>无。</w:t>
      </w:r>
    </w:p>
    <w:p w14:paraId="2AA5BA76">
      <w:pPr>
        <w:pStyle w:val="35"/>
      </w:pPr>
      <w:bookmarkStart w:id="129" w:name="_Toc129"/>
      <w:r>
        <w:t>利润分配情况——固定净值型货币市场基金之外的基金</w:t>
      </w:r>
      <w:bookmarkEnd w:id="129"/>
    </w:p>
    <w:p w14:paraId="2589DBA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307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0EB8B2B">
            <w:pPr>
              <w:jc w:val="center"/>
            </w:pPr>
            <w:r>
              <w:rPr>
                <w:rFonts w:hint="eastAsia"/>
                <w:b/>
              </w:rPr>
              <w:t>序号</w:t>
            </w:r>
          </w:p>
        </w:tc>
        <w:tc>
          <w:tcPr>
            <w:tcW w:w="922" w:type="dxa"/>
            <w:shd w:val="clear" w:color="auto" w:fill="BFBFBF"/>
            <w:vAlign w:val="center"/>
          </w:tcPr>
          <w:p w14:paraId="3CF15EE0">
            <w:pPr>
              <w:jc w:val="center"/>
            </w:pPr>
            <w:r>
              <w:rPr>
                <w:rFonts w:hint="eastAsia"/>
                <w:b/>
              </w:rPr>
              <w:t>权益登记日</w:t>
            </w:r>
          </w:p>
        </w:tc>
        <w:tc>
          <w:tcPr>
            <w:tcW w:w="922" w:type="dxa"/>
            <w:shd w:val="clear" w:color="auto" w:fill="BFBFBF"/>
            <w:vAlign w:val="center"/>
          </w:tcPr>
          <w:p w14:paraId="19B89CF9">
            <w:pPr>
              <w:jc w:val="center"/>
            </w:pPr>
            <w:r>
              <w:rPr>
                <w:rFonts w:hint="eastAsia"/>
                <w:b/>
              </w:rPr>
              <w:t>场内除息日</w:t>
            </w:r>
          </w:p>
        </w:tc>
        <w:tc>
          <w:tcPr>
            <w:tcW w:w="922" w:type="dxa"/>
            <w:shd w:val="clear" w:color="auto" w:fill="BFBFBF"/>
            <w:vAlign w:val="center"/>
          </w:tcPr>
          <w:p w14:paraId="003D768D">
            <w:pPr>
              <w:jc w:val="center"/>
            </w:pPr>
            <w:r>
              <w:rPr>
                <w:rFonts w:hint="eastAsia"/>
                <w:b/>
              </w:rPr>
              <w:t>场外除息日</w:t>
            </w:r>
          </w:p>
        </w:tc>
        <w:tc>
          <w:tcPr>
            <w:tcW w:w="922" w:type="dxa"/>
            <w:shd w:val="clear" w:color="auto" w:fill="BFBFBF"/>
            <w:vAlign w:val="center"/>
          </w:tcPr>
          <w:p w14:paraId="79131F45">
            <w:pPr>
              <w:jc w:val="center"/>
            </w:pPr>
            <w:r>
              <w:rPr>
                <w:rFonts w:hint="eastAsia"/>
                <w:b/>
              </w:rPr>
              <w:t>每10份基金份额分红数</w:t>
            </w:r>
          </w:p>
        </w:tc>
        <w:tc>
          <w:tcPr>
            <w:tcW w:w="922" w:type="dxa"/>
            <w:shd w:val="clear" w:color="auto" w:fill="BFBFBF"/>
            <w:vAlign w:val="center"/>
          </w:tcPr>
          <w:p w14:paraId="08A6B436">
            <w:pPr>
              <w:jc w:val="center"/>
            </w:pPr>
            <w:r>
              <w:rPr>
                <w:rFonts w:hint="eastAsia"/>
                <w:b/>
              </w:rPr>
              <w:t>现金形式发放总额</w:t>
            </w:r>
          </w:p>
        </w:tc>
        <w:tc>
          <w:tcPr>
            <w:tcW w:w="922" w:type="dxa"/>
            <w:shd w:val="clear" w:color="auto" w:fill="BFBFBF"/>
            <w:vAlign w:val="center"/>
          </w:tcPr>
          <w:p w14:paraId="2B32E6A0">
            <w:pPr>
              <w:jc w:val="center"/>
            </w:pPr>
            <w:r>
              <w:rPr>
                <w:rFonts w:hint="eastAsia"/>
                <w:b/>
              </w:rPr>
              <w:t>再投资形式发放总额</w:t>
            </w:r>
          </w:p>
        </w:tc>
        <w:tc>
          <w:tcPr>
            <w:tcW w:w="922" w:type="dxa"/>
            <w:shd w:val="clear" w:color="auto" w:fill="BFBFBF"/>
            <w:vAlign w:val="center"/>
          </w:tcPr>
          <w:p w14:paraId="7FE21FE6">
            <w:pPr>
              <w:jc w:val="center"/>
            </w:pPr>
            <w:r>
              <w:rPr>
                <w:rFonts w:hint="eastAsia"/>
                <w:b/>
              </w:rPr>
              <w:t>本期利润分配合计</w:t>
            </w:r>
          </w:p>
        </w:tc>
        <w:tc>
          <w:tcPr>
            <w:tcW w:w="922" w:type="dxa"/>
            <w:shd w:val="clear" w:color="auto" w:fill="BFBFBF"/>
            <w:vAlign w:val="center"/>
          </w:tcPr>
          <w:p w14:paraId="77848DE5">
            <w:pPr>
              <w:jc w:val="center"/>
            </w:pPr>
            <w:r>
              <w:rPr>
                <w:rFonts w:hint="eastAsia"/>
                <w:b/>
              </w:rPr>
              <w:t>备注</w:t>
            </w:r>
          </w:p>
        </w:tc>
      </w:tr>
      <w:tr w14:paraId="3198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221423">
            <w:pPr>
              <w:jc w:val="center"/>
            </w:pPr>
            <w:r>
              <w:rPr>
                <w:rFonts w:hint="eastAsia"/>
              </w:rPr>
              <w:t>1</w:t>
            </w:r>
          </w:p>
        </w:tc>
        <w:tc>
          <w:tcPr>
            <w:tcW w:w="922" w:type="dxa"/>
            <w:vAlign w:val="center"/>
          </w:tcPr>
          <w:p w14:paraId="00C45FFA">
            <w:r>
              <w:rPr>
                <w:rFonts w:hint="eastAsia"/>
              </w:rPr>
              <w:t>2025年12月30日</w:t>
            </w:r>
          </w:p>
        </w:tc>
        <w:tc>
          <w:tcPr>
            <w:tcW w:w="922" w:type="dxa"/>
            <w:vAlign w:val="center"/>
          </w:tcPr>
          <w:p w14:paraId="1B8E99C9">
            <w:pPr>
              <w:jc w:val="right"/>
            </w:pPr>
            <w:r>
              <w:rPr>
                <w:rFonts w:hint="eastAsia"/>
              </w:rPr>
              <w:t>-</w:t>
            </w:r>
          </w:p>
        </w:tc>
        <w:tc>
          <w:tcPr>
            <w:tcW w:w="922" w:type="dxa"/>
            <w:vAlign w:val="center"/>
          </w:tcPr>
          <w:p w14:paraId="30DE34C4">
            <w:r>
              <w:rPr>
                <w:rFonts w:hint="eastAsia"/>
              </w:rPr>
              <w:t>2025年12月30日</w:t>
            </w:r>
          </w:p>
        </w:tc>
        <w:tc>
          <w:tcPr>
            <w:tcW w:w="922" w:type="dxa"/>
            <w:vAlign w:val="center"/>
          </w:tcPr>
          <w:p w14:paraId="63BD528A">
            <w:pPr>
              <w:jc w:val="right"/>
            </w:pPr>
            <w:r>
              <w:rPr>
                <w:rFonts w:hint="eastAsia"/>
              </w:rPr>
              <w:t>0.1300</w:t>
            </w:r>
          </w:p>
        </w:tc>
        <w:tc>
          <w:tcPr>
            <w:tcW w:w="922" w:type="dxa"/>
            <w:vAlign w:val="center"/>
          </w:tcPr>
          <w:p w14:paraId="033D7028">
            <w:pPr>
              <w:jc w:val="right"/>
            </w:pPr>
            <w:r>
              <w:rPr>
                <w:rFonts w:hint="eastAsia"/>
              </w:rPr>
              <w:t>435,801.59</w:t>
            </w:r>
          </w:p>
        </w:tc>
        <w:tc>
          <w:tcPr>
            <w:tcW w:w="922" w:type="dxa"/>
            <w:vAlign w:val="center"/>
          </w:tcPr>
          <w:p w14:paraId="0B18D389">
            <w:pPr>
              <w:jc w:val="right"/>
            </w:pPr>
            <w:r>
              <w:rPr>
                <w:rFonts w:hint="eastAsia"/>
              </w:rPr>
              <w:t>-</w:t>
            </w:r>
          </w:p>
        </w:tc>
        <w:tc>
          <w:tcPr>
            <w:tcW w:w="922" w:type="dxa"/>
            <w:vAlign w:val="center"/>
          </w:tcPr>
          <w:p w14:paraId="28B73F81">
            <w:pPr>
              <w:jc w:val="right"/>
            </w:pPr>
            <w:r>
              <w:rPr>
                <w:rFonts w:hint="eastAsia"/>
              </w:rPr>
              <w:t>435,801.59</w:t>
            </w:r>
          </w:p>
        </w:tc>
        <w:tc>
          <w:tcPr>
            <w:tcW w:w="922" w:type="dxa"/>
            <w:vAlign w:val="center"/>
          </w:tcPr>
          <w:p w14:paraId="15E1F63B">
            <w:pPr>
              <w:jc w:val="right"/>
            </w:pPr>
            <w:r>
              <w:rPr>
                <w:rFonts w:hint="eastAsia"/>
              </w:rPr>
              <w:t>-</w:t>
            </w:r>
          </w:p>
        </w:tc>
      </w:tr>
      <w:tr w14:paraId="0E1F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AC9A51">
            <w:pPr>
              <w:jc w:val="center"/>
            </w:pPr>
            <w:r>
              <w:rPr>
                <w:rFonts w:hint="eastAsia"/>
              </w:rPr>
              <w:t>合计</w:t>
            </w:r>
          </w:p>
        </w:tc>
        <w:tc>
          <w:tcPr>
            <w:tcW w:w="922" w:type="dxa"/>
            <w:vAlign w:val="center"/>
          </w:tcPr>
          <w:p w14:paraId="4A6C7BD3">
            <w:pPr>
              <w:jc w:val="right"/>
            </w:pPr>
            <w:r>
              <w:rPr>
                <w:rFonts w:hint="eastAsia"/>
              </w:rPr>
              <w:t>-</w:t>
            </w:r>
          </w:p>
        </w:tc>
        <w:tc>
          <w:tcPr>
            <w:tcW w:w="922" w:type="dxa"/>
            <w:vAlign w:val="center"/>
          </w:tcPr>
          <w:p w14:paraId="1F95F08E">
            <w:pPr>
              <w:jc w:val="right"/>
            </w:pPr>
            <w:r>
              <w:rPr>
                <w:rFonts w:hint="eastAsia"/>
              </w:rPr>
              <w:t>-</w:t>
            </w:r>
          </w:p>
        </w:tc>
        <w:tc>
          <w:tcPr>
            <w:tcW w:w="922" w:type="dxa"/>
            <w:vAlign w:val="center"/>
          </w:tcPr>
          <w:p w14:paraId="2D5D9EDB">
            <w:pPr>
              <w:jc w:val="right"/>
            </w:pPr>
            <w:r>
              <w:rPr>
                <w:rFonts w:hint="eastAsia"/>
              </w:rPr>
              <w:t>-</w:t>
            </w:r>
          </w:p>
        </w:tc>
        <w:tc>
          <w:tcPr>
            <w:tcW w:w="922" w:type="dxa"/>
            <w:vAlign w:val="center"/>
          </w:tcPr>
          <w:p w14:paraId="44AA62D4">
            <w:pPr>
              <w:jc w:val="right"/>
            </w:pPr>
            <w:r>
              <w:rPr>
                <w:rFonts w:hint="eastAsia"/>
              </w:rPr>
              <w:t>0.1300</w:t>
            </w:r>
          </w:p>
        </w:tc>
        <w:tc>
          <w:tcPr>
            <w:tcW w:w="922" w:type="dxa"/>
            <w:vAlign w:val="center"/>
          </w:tcPr>
          <w:p w14:paraId="2686D9A5">
            <w:pPr>
              <w:jc w:val="right"/>
            </w:pPr>
            <w:r>
              <w:rPr>
                <w:rFonts w:hint="eastAsia"/>
              </w:rPr>
              <w:t>435,801.59</w:t>
            </w:r>
          </w:p>
        </w:tc>
        <w:tc>
          <w:tcPr>
            <w:tcW w:w="922" w:type="dxa"/>
            <w:vAlign w:val="center"/>
          </w:tcPr>
          <w:p w14:paraId="34F147A8">
            <w:pPr>
              <w:jc w:val="right"/>
            </w:pPr>
            <w:r>
              <w:rPr>
                <w:rFonts w:hint="eastAsia"/>
              </w:rPr>
              <w:t>-</w:t>
            </w:r>
          </w:p>
        </w:tc>
        <w:tc>
          <w:tcPr>
            <w:tcW w:w="922" w:type="dxa"/>
            <w:vAlign w:val="center"/>
          </w:tcPr>
          <w:p w14:paraId="299512A0">
            <w:pPr>
              <w:jc w:val="right"/>
            </w:pPr>
            <w:r>
              <w:rPr>
                <w:rFonts w:hint="eastAsia"/>
              </w:rPr>
              <w:t>435,801.59</w:t>
            </w:r>
          </w:p>
        </w:tc>
        <w:tc>
          <w:tcPr>
            <w:tcW w:w="922" w:type="dxa"/>
            <w:vAlign w:val="center"/>
          </w:tcPr>
          <w:p w14:paraId="71C1FC74">
            <w:pPr>
              <w:jc w:val="right"/>
            </w:pPr>
            <w:r>
              <w:rPr>
                <w:rFonts w:hint="eastAsia"/>
              </w:rPr>
              <w:t>-</w:t>
            </w:r>
          </w:p>
        </w:tc>
      </w:tr>
    </w:tbl>
    <w:p w14:paraId="447E1089">
      <w:pPr>
        <w:pStyle w:val="54"/>
        <w:rPr>
          <w:rFonts w:hint="eastAsia"/>
        </w:rPr>
      </w:pPr>
      <w:r>
        <w:rPr>
          <w:rFonts w:hint="eastAsia"/>
        </w:rPr>
        <w:t>注：本基金报告期后分红情况（如有）详见本报告“资产负债表日后事项”部分内容。</w:t>
      </w:r>
    </w:p>
    <w:p w14:paraId="00B28631">
      <w:pPr>
        <w:pStyle w:val="35"/>
      </w:pPr>
      <w:bookmarkStart w:id="130" w:name="_Toc130"/>
      <w:r>
        <w:t>期末（2025年12月31日）本基金持有的流通受限证券</w:t>
      </w:r>
      <w:bookmarkEnd w:id="130"/>
    </w:p>
    <w:p w14:paraId="0246A4E5">
      <w:pPr>
        <w:pStyle w:val="42"/>
      </w:pPr>
      <w:bookmarkStart w:id="131" w:name="_Toc131"/>
      <w:r>
        <w:t>因认购新发/增发证券而于期末持有的流通受限证券</w:t>
      </w:r>
      <w:bookmarkEnd w:id="131"/>
    </w:p>
    <w:p w14:paraId="2DA2F4B6">
      <w:pPr>
        <w:pStyle w:val="25"/>
        <w:rPr>
          <w:rFonts w:hint="eastAsia"/>
        </w:rPr>
      </w:pPr>
      <w:r>
        <w:rPr>
          <w:rFonts w:hint="eastAsia"/>
        </w:rPr>
        <w:t>无。</w:t>
      </w:r>
    </w:p>
    <w:p w14:paraId="104D5FDE">
      <w:pPr>
        <w:pStyle w:val="42"/>
      </w:pPr>
      <w:bookmarkStart w:id="132" w:name="_Toc132"/>
      <w:r>
        <w:t>期末持有的暂时停牌等流通受限股票</w:t>
      </w:r>
      <w:bookmarkEnd w:id="132"/>
    </w:p>
    <w:p w14:paraId="44FE32D1">
      <w:pPr>
        <w:pStyle w:val="25"/>
        <w:rPr>
          <w:rFonts w:hint="eastAsia"/>
        </w:rPr>
      </w:pPr>
      <w:r>
        <w:rPr>
          <w:rFonts w:hint="eastAsia"/>
        </w:rPr>
        <w:t>无。</w:t>
      </w:r>
    </w:p>
    <w:p w14:paraId="5184290B">
      <w:pPr>
        <w:pStyle w:val="42"/>
      </w:pPr>
      <w:bookmarkStart w:id="133" w:name="_Toc133"/>
      <w:r>
        <w:t>期末债券正回购交易中作为抵押的债券</w:t>
      </w:r>
      <w:bookmarkEnd w:id="133"/>
    </w:p>
    <w:p w14:paraId="699A2535">
      <w:pPr>
        <w:pStyle w:val="43"/>
      </w:pPr>
      <w:bookmarkStart w:id="134" w:name="_Toc134"/>
      <w:r>
        <w:t>银行间市场债券正回购</w:t>
      </w:r>
      <w:bookmarkEnd w:id="134"/>
    </w:p>
    <w:p w14:paraId="35ACD905">
      <w:pPr>
        <w:pStyle w:val="25"/>
        <w:rPr>
          <w:rFonts w:hint="eastAsia"/>
        </w:rPr>
      </w:pPr>
      <w:r>
        <w:rPr>
          <w:rFonts w:hint="eastAsia"/>
        </w:rPr>
        <w:t>无。</w:t>
      </w:r>
    </w:p>
    <w:p w14:paraId="4C8E55E3">
      <w:pPr>
        <w:pStyle w:val="43"/>
      </w:pPr>
      <w:bookmarkStart w:id="135" w:name="_Toc135"/>
      <w:r>
        <w:t>交易所市场债券正回购</w:t>
      </w:r>
      <w:bookmarkEnd w:id="135"/>
    </w:p>
    <w:p w14:paraId="083EB2E9">
      <w:pPr>
        <w:pStyle w:val="25"/>
        <w:rPr>
          <w:rFonts w:hint="eastAsia"/>
        </w:rPr>
      </w:pPr>
      <w:r>
        <w:rPr>
          <w:rFonts w:hint="eastAsia"/>
        </w:rPr>
        <w:t>无。</w:t>
      </w:r>
    </w:p>
    <w:p w14:paraId="43B3010A">
      <w:pPr>
        <w:pStyle w:val="42"/>
      </w:pPr>
      <w:bookmarkStart w:id="136" w:name="_Toc136"/>
      <w:r>
        <w:t>期末参与转融通证券出借业务的证券</w:t>
      </w:r>
      <w:bookmarkEnd w:id="136"/>
    </w:p>
    <w:p w14:paraId="1773904C">
      <w:pPr>
        <w:pStyle w:val="25"/>
        <w:rPr>
          <w:rFonts w:hint="eastAsia"/>
        </w:rPr>
      </w:pPr>
      <w:r>
        <w:rPr>
          <w:rFonts w:hint="eastAsia"/>
        </w:rPr>
        <w:t>无。</w:t>
      </w:r>
    </w:p>
    <w:p w14:paraId="7EBBC233">
      <w:pPr>
        <w:pStyle w:val="35"/>
      </w:pPr>
      <w:bookmarkStart w:id="137" w:name="_Toc137"/>
      <w:r>
        <w:t>金融工具风险及管理</w:t>
      </w:r>
      <w:bookmarkEnd w:id="137"/>
    </w:p>
    <w:p w14:paraId="035F4E8E">
      <w:pPr>
        <w:pStyle w:val="42"/>
      </w:pPr>
      <w:bookmarkStart w:id="138" w:name="_Toc138"/>
      <w:r>
        <w:t>风险管理政策和组织架构</w:t>
      </w:r>
      <w:bookmarkEnd w:id="138"/>
    </w:p>
    <w:p w14:paraId="43DB197B">
      <w:pPr>
        <w:pStyle w:val="25"/>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1C57DBF">
      <w:pPr>
        <w:pStyle w:val="25"/>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4DD6CEB">
      <w:pPr>
        <w:pStyle w:val="25"/>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A617455">
      <w:pPr>
        <w:pStyle w:val="42"/>
      </w:pPr>
      <w:bookmarkStart w:id="139" w:name="_Toc139"/>
      <w:r>
        <w:t>信用风险</w:t>
      </w:r>
      <w:bookmarkEnd w:id="139"/>
    </w:p>
    <w:p w14:paraId="1FADDFF7">
      <w:pPr>
        <w:pStyle w:val="25"/>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5092C88">
      <w:pPr>
        <w:pStyle w:val="25"/>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184ED0B">
      <w:pPr>
        <w:pStyle w:val="25"/>
        <w:rPr>
          <w:rFonts w:hint="eastAsia"/>
        </w:rPr>
      </w:pPr>
      <w:r>
        <w:rPr>
          <w:rFonts w:hint="eastAsia"/>
        </w:rPr>
        <w:t>新金融工具准则将金融工具所处的信用风险状况划分为三个阶段。本基金在参考历史违约率、市场信息及行业实践的基础上，选取隐含评级AA级为低信用风险阈值，并将减值阶段划分如下：在资产负债表日，若相关债券/资产支持证券投资的发行主体的中债市场隐含评级不低于初始确认隐含评级，或不低于低信用风险阈值，则处于第一阶段；若相关债券/资产支持证券投资的发行主体的中债市场隐含评级低于初始确认隐含评级，且低于低信用风险阈值，则处于第二阶段；若相关债券/资产支持证券投资的发行主体中债市场隐含评级下调至C，或出现其他认定为违约的情形时，则处于第三阶段。</w:t>
      </w:r>
    </w:p>
    <w:p w14:paraId="59F0B8D6">
      <w:pPr>
        <w:pStyle w:val="25"/>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3AB1DEA">
      <w:pPr>
        <w:pStyle w:val="25"/>
        <w:rPr>
          <w:rFonts w:hint="eastAsia"/>
        </w:rPr>
      </w:pPr>
      <w:r>
        <w:rPr>
          <w:rFonts w:hint="eastAsia"/>
        </w:rPr>
        <w:t>于本期末，本基金无债券投资(上期末：本基金持有的除国债、央行票据和政策性金融债以外的债券占基金净资产的比例为69.32%)。</w:t>
      </w:r>
    </w:p>
    <w:p w14:paraId="065A42C2">
      <w:pPr>
        <w:pStyle w:val="42"/>
      </w:pPr>
      <w:bookmarkStart w:id="140" w:name="_Toc140"/>
      <w:r>
        <w:t>流动性风险</w:t>
      </w:r>
      <w:bookmarkEnd w:id="140"/>
    </w:p>
    <w:p w14:paraId="030763C3">
      <w:pPr>
        <w:pStyle w:val="25"/>
        <w:rPr>
          <w:rFonts w:hint="eastAsia"/>
        </w:rPr>
      </w:pPr>
      <w:r>
        <w:rPr>
          <w:rFonts w:hint="eastAsia"/>
        </w:rPr>
        <w:t>流动性风险是指基金在履行与金融负债有关的义务时遇到资金短缺的风险。本基金的债券投资采用买入持有至到期策略，流动性风险主要来自于基金份额持有人于约定开放日要求赎回其持有的基金份额。</w:t>
      </w:r>
    </w:p>
    <w:p w14:paraId="089F8D48">
      <w:pPr>
        <w:pStyle w:val="25"/>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67515C8">
      <w:pPr>
        <w:pStyle w:val="25"/>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6284D43">
      <w:pPr>
        <w:pStyle w:val="43"/>
      </w:pPr>
      <w:bookmarkStart w:id="141" w:name="_Toc141"/>
      <w:r>
        <w:t>报告期内本基金组合资产的流动性风险分析</w:t>
      </w:r>
      <w:bookmarkEnd w:id="141"/>
    </w:p>
    <w:p w14:paraId="3E4C4471">
      <w:pPr>
        <w:pStyle w:val="25"/>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AE70473">
      <w:pPr>
        <w:pStyle w:val="25"/>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DE6BC27">
      <w:pPr>
        <w:pStyle w:val="25"/>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1A35DB9">
      <w:pPr>
        <w:pStyle w:val="42"/>
      </w:pPr>
      <w:bookmarkStart w:id="142" w:name="_Toc142"/>
      <w:r>
        <w:t>市场风险</w:t>
      </w:r>
      <w:bookmarkEnd w:id="142"/>
    </w:p>
    <w:p w14:paraId="615514D2">
      <w:pPr>
        <w:pStyle w:val="25"/>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C36D3E2">
      <w:pPr>
        <w:pStyle w:val="43"/>
      </w:pPr>
      <w:bookmarkStart w:id="143" w:name="_Toc143"/>
      <w:r>
        <w:t>利率风险</w:t>
      </w:r>
      <w:bookmarkEnd w:id="143"/>
    </w:p>
    <w:p w14:paraId="505662E6">
      <w:pPr>
        <w:pStyle w:val="25"/>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4A9CEE5">
      <w:pPr>
        <w:pStyle w:val="25"/>
        <w:rPr>
          <w:rFonts w:hint="eastAsia"/>
        </w:rPr>
      </w:pPr>
      <w:r>
        <w:rPr>
          <w:rFonts w:hint="eastAsia"/>
        </w:rPr>
        <w:t>本基金对投资组合采用实际利率法，以摊余成本进行后续计量。本基金的基金管理人主要通过合理配置投资组合的到期期限，管理利率波动带来的再投资风险。本基金主要投资于固定利率类的固定收益品种，因此很大程度上独立于市场利率变化。</w:t>
      </w:r>
    </w:p>
    <w:p w14:paraId="436A899E">
      <w:pPr>
        <w:pStyle w:val="44"/>
      </w:pPr>
      <w:bookmarkStart w:id="144" w:name="_Toc144"/>
      <w:r>
        <w:t>利率风险敞口</w:t>
      </w:r>
      <w:bookmarkEnd w:id="144"/>
    </w:p>
    <w:p w14:paraId="3C17A6B4">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37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A01FF">
            <w:r>
              <w:rPr>
                <w:rFonts w:hint="eastAsia"/>
              </w:rPr>
              <w:t>本期末2025年12月31日</w:t>
            </w:r>
          </w:p>
        </w:tc>
        <w:tc>
          <w:tcPr>
            <w:tcW w:w="1384" w:type="dxa"/>
            <w:vAlign w:val="center"/>
          </w:tcPr>
          <w:p w14:paraId="19D4AB1C">
            <w:r>
              <w:rPr>
                <w:rFonts w:hint="eastAsia"/>
              </w:rPr>
              <w:t>1年以内</w:t>
            </w:r>
          </w:p>
        </w:tc>
        <w:tc>
          <w:tcPr>
            <w:tcW w:w="1384" w:type="dxa"/>
            <w:vAlign w:val="center"/>
          </w:tcPr>
          <w:p w14:paraId="494CAA04">
            <w:r>
              <w:rPr>
                <w:rFonts w:hint="eastAsia"/>
              </w:rPr>
              <w:t>1-5年</w:t>
            </w:r>
          </w:p>
        </w:tc>
        <w:tc>
          <w:tcPr>
            <w:tcW w:w="1384" w:type="dxa"/>
            <w:vAlign w:val="center"/>
          </w:tcPr>
          <w:p w14:paraId="153AAF4B">
            <w:r>
              <w:rPr>
                <w:rFonts w:hint="eastAsia"/>
              </w:rPr>
              <w:t>5年以上</w:t>
            </w:r>
          </w:p>
        </w:tc>
        <w:tc>
          <w:tcPr>
            <w:tcW w:w="1384" w:type="dxa"/>
            <w:vAlign w:val="center"/>
          </w:tcPr>
          <w:p w14:paraId="36F0528C">
            <w:r>
              <w:rPr>
                <w:rFonts w:hint="eastAsia"/>
              </w:rPr>
              <w:t>不计息</w:t>
            </w:r>
          </w:p>
        </w:tc>
        <w:tc>
          <w:tcPr>
            <w:tcW w:w="1384" w:type="dxa"/>
            <w:vAlign w:val="center"/>
          </w:tcPr>
          <w:p w14:paraId="0D983476">
            <w:r>
              <w:rPr>
                <w:rFonts w:hint="eastAsia"/>
              </w:rPr>
              <w:t>合计</w:t>
            </w:r>
          </w:p>
        </w:tc>
      </w:tr>
      <w:tr w14:paraId="5D7C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F1166">
            <w:r>
              <w:rPr>
                <w:rFonts w:hint="eastAsia"/>
              </w:rPr>
              <w:t>资产</w:t>
            </w:r>
          </w:p>
        </w:tc>
        <w:tc>
          <w:tcPr>
            <w:tcW w:w="1384" w:type="dxa"/>
            <w:vAlign w:val="center"/>
          </w:tcPr>
          <w:p w14:paraId="1133BBB5"/>
        </w:tc>
        <w:tc>
          <w:tcPr>
            <w:tcW w:w="1384" w:type="dxa"/>
            <w:vAlign w:val="center"/>
          </w:tcPr>
          <w:p w14:paraId="5133AAF5"/>
        </w:tc>
        <w:tc>
          <w:tcPr>
            <w:tcW w:w="1384" w:type="dxa"/>
            <w:vAlign w:val="center"/>
          </w:tcPr>
          <w:p w14:paraId="1AE1A808"/>
        </w:tc>
        <w:tc>
          <w:tcPr>
            <w:tcW w:w="1384" w:type="dxa"/>
            <w:vAlign w:val="center"/>
          </w:tcPr>
          <w:p w14:paraId="6E7E1A0D"/>
        </w:tc>
        <w:tc>
          <w:tcPr>
            <w:tcW w:w="1384" w:type="dxa"/>
            <w:vAlign w:val="center"/>
          </w:tcPr>
          <w:p w14:paraId="7DED4055"/>
        </w:tc>
      </w:tr>
      <w:tr w14:paraId="05A0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6A5CA">
            <w:r>
              <w:rPr>
                <w:rFonts w:hint="eastAsia"/>
              </w:rPr>
              <w:t>货币资金</w:t>
            </w:r>
          </w:p>
        </w:tc>
        <w:tc>
          <w:tcPr>
            <w:tcW w:w="1384" w:type="dxa"/>
            <w:vAlign w:val="center"/>
          </w:tcPr>
          <w:p w14:paraId="5AA4BC79">
            <w:pPr>
              <w:jc w:val="right"/>
            </w:pPr>
            <w:r>
              <w:rPr>
                <w:rFonts w:hint="eastAsia"/>
              </w:rPr>
              <w:t>5,872,599.25</w:t>
            </w:r>
          </w:p>
        </w:tc>
        <w:tc>
          <w:tcPr>
            <w:tcW w:w="1384" w:type="dxa"/>
            <w:vAlign w:val="center"/>
          </w:tcPr>
          <w:p w14:paraId="44CBD89F">
            <w:pPr>
              <w:jc w:val="right"/>
            </w:pPr>
            <w:r>
              <w:rPr>
                <w:rFonts w:hint="eastAsia"/>
              </w:rPr>
              <w:t>-</w:t>
            </w:r>
          </w:p>
        </w:tc>
        <w:tc>
          <w:tcPr>
            <w:tcW w:w="1384" w:type="dxa"/>
            <w:vAlign w:val="center"/>
          </w:tcPr>
          <w:p w14:paraId="5099205B">
            <w:pPr>
              <w:jc w:val="right"/>
            </w:pPr>
            <w:r>
              <w:rPr>
                <w:rFonts w:hint="eastAsia"/>
              </w:rPr>
              <w:t>-</w:t>
            </w:r>
          </w:p>
        </w:tc>
        <w:tc>
          <w:tcPr>
            <w:tcW w:w="1384" w:type="dxa"/>
            <w:vAlign w:val="center"/>
          </w:tcPr>
          <w:p w14:paraId="31F794FE">
            <w:pPr>
              <w:jc w:val="right"/>
            </w:pPr>
            <w:r>
              <w:rPr>
                <w:rFonts w:hint="eastAsia"/>
              </w:rPr>
              <w:t>-</w:t>
            </w:r>
          </w:p>
        </w:tc>
        <w:tc>
          <w:tcPr>
            <w:tcW w:w="1384" w:type="dxa"/>
            <w:vAlign w:val="center"/>
          </w:tcPr>
          <w:p w14:paraId="64553C6E">
            <w:pPr>
              <w:jc w:val="right"/>
            </w:pPr>
            <w:r>
              <w:rPr>
                <w:rFonts w:hint="eastAsia"/>
              </w:rPr>
              <w:t>5,872,599.25</w:t>
            </w:r>
          </w:p>
        </w:tc>
      </w:tr>
      <w:tr w14:paraId="4471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12072">
            <w:r>
              <w:rPr>
                <w:rFonts w:hint="eastAsia"/>
              </w:rPr>
              <w:t>结算备付金</w:t>
            </w:r>
          </w:p>
        </w:tc>
        <w:tc>
          <w:tcPr>
            <w:tcW w:w="1384" w:type="dxa"/>
            <w:vAlign w:val="center"/>
          </w:tcPr>
          <w:p w14:paraId="3098C64B">
            <w:pPr>
              <w:jc w:val="right"/>
            </w:pPr>
            <w:r>
              <w:rPr>
                <w:rFonts w:hint="eastAsia"/>
              </w:rPr>
              <w:t>-</w:t>
            </w:r>
          </w:p>
        </w:tc>
        <w:tc>
          <w:tcPr>
            <w:tcW w:w="1384" w:type="dxa"/>
            <w:vAlign w:val="center"/>
          </w:tcPr>
          <w:p w14:paraId="30FD6948">
            <w:pPr>
              <w:jc w:val="right"/>
            </w:pPr>
            <w:r>
              <w:rPr>
                <w:rFonts w:hint="eastAsia"/>
              </w:rPr>
              <w:t>-</w:t>
            </w:r>
          </w:p>
        </w:tc>
        <w:tc>
          <w:tcPr>
            <w:tcW w:w="1384" w:type="dxa"/>
            <w:vAlign w:val="center"/>
          </w:tcPr>
          <w:p w14:paraId="3BB725D2">
            <w:pPr>
              <w:jc w:val="right"/>
            </w:pPr>
            <w:r>
              <w:rPr>
                <w:rFonts w:hint="eastAsia"/>
              </w:rPr>
              <w:t>-</w:t>
            </w:r>
          </w:p>
        </w:tc>
        <w:tc>
          <w:tcPr>
            <w:tcW w:w="1384" w:type="dxa"/>
            <w:vAlign w:val="center"/>
          </w:tcPr>
          <w:p w14:paraId="2C976FBF">
            <w:pPr>
              <w:jc w:val="right"/>
            </w:pPr>
            <w:r>
              <w:rPr>
                <w:rFonts w:hint="eastAsia"/>
              </w:rPr>
              <w:t>-</w:t>
            </w:r>
          </w:p>
        </w:tc>
        <w:tc>
          <w:tcPr>
            <w:tcW w:w="1384" w:type="dxa"/>
            <w:vAlign w:val="center"/>
          </w:tcPr>
          <w:p w14:paraId="5A19E936">
            <w:pPr>
              <w:jc w:val="right"/>
            </w:pPr>
            <w:r>
              <w:rPr>
                <w:rFonts w:hint="eastAsia"/>
              </w:rPr>
              <w:t>-</w:t>
            </w:r>
          </w:p>
        </w:tc>
      </w:tr>
      <w:tr w14:paraId="3278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D0C9C">
            <w:r>
              <w:rPr>
                <w:rFonts w:hint="eastAsia"/>
              </w:rPr>
              <w:t>存出保证金</w:t>
            </w:r>
          </w:p>
        </w:tc>
        <w:tc>
          <w:tcPr>
            <w:tcW w:w="1384" w:type="dxa"/>
            <w:vAlign w:val="center"/>
          </w:tcPr>
          <w:p w14:paraId="567A4F1B">
            <w:pPr>
              <w:jc w:val="right"/>
            </w:pPr>
            <w:r>
              <w:rPr>
                <w:rFonts w:hint="eastAsia"/>
              </w:rPr>
              <w:t>-</w:t>
            </w:r>
          </w:p>
        </w:tc>
        <w:tc>
          <w:tcPr>
            <w:tcW w:w="1384" w:type="dxa"/>
            <w:vAlign w:val="center"/>
          </w:tcPr>
          <w:p w14:paraId="20B69369">
            <w:pPr>
              <w:jc w:val="right"/>
            </w:pPr>
            <w:r>
              <w:rPr>
                <w:rFonts w:hint="eastAsia"/>
              </w:rPr>
              <w:t>-</w:t>
            </w:r>
          </w:p>
        </w:tc>
        <w:tc>
          <w:tcPr>
            <w:tcW w:w="1384" w:type="dxa"/>
            <w:vAlign w:val="center"/>
          </w:tcPr>
          <w:p w14:paraId="1A45B5C4">
            <w:pPr>
              <w:jc w:val="right"/>
            </w:pPr>
            <w:r>
              <w:rPr>
                <w:rFonts w:hint="eastAsia"/>
              </w:rPr>
              <w:t>-</w:t>
            </w:r>
          </w:p>
        </w:tc>
        <w:tc>
          <w:tcPr>
            <w:tcW w:w="1384" w:type="dxa"/>
            <w:vAlign w:val="center"/>
          </w:tcPr>
          <w:p w14:paraId="79AAE460">
            <w:pPr>
              <w:jc w:val="right"/>
            </w:pPr>
            <w:r>
              <w:rPr>
                <w:rFonts w:hint="eastAsia"/>
              </w:rPr>
              <w:t>-</w:t>
            </w:r>
          </w:p>
        </w:tc>
        <w:tc>
          <w:tcPr>
            <w:tcW w:w="1384" w:type="dxa"/>
            <w:vAlign w:val="center"/>
          </w:tcPr>
          <w:p w14:paraId="1A19F7C0">
            <w:pPr>
              <w:jc w:val="right"/>
            </w:pPr>
            <w:r>
              <w:rPr>
                <w:rFonts w:hint="eastAsia"/>
              </w:rPr>
              <w:t>-</w:t>
            </w:r>
          </w:p>
        </w:tc>
      </w:tr>
      <w:tr w14:paraId="21BE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83C69">
            <w:r>
              <w:rPr>
                <w:rFonts w:hint="eastAsia"/>
              </w:rPr>
              <w:t>交易性金融资产</w:t>
            </w:r>
          </w:p>
        </w:tc>
        <w:tc>
          <w:tcPr>
            <w:tcW w:w="1384" w:type="dxa"/>
            <w:vAlign w:val="center"/>
          </w:tcPr>
          <w:p w14:paraId="1D756166">
            <w:pPr>
              <w:jc w:val="right"/>
            </w:pPr>
            <w:r>
              <w:rPr>
                <w:rFonts w:hint="eastAsia"/>
              </w:rPr>
              <w:t>-</w:t>
            </w:r>
          </w:p>
        </w:tc>
        <w:tc>
          <w:tcPr>
            <w:tcW w:w="1384" w:type="dxa"/>
            <w:vAlign w:val="center"/>
          </w:tcPr>
          <w:p w14:paraId="1E5ABCC4">
            <w:pPr>
              <w:jc w:val="right"/>
            </w:pPr>
            <w:r>
              <w:rPr>
                <w:rFonts w:hint="eastAsia"/>
              </w:rPr>
              <w:t>-</w:t>
            </w:r>
          </w:p>
        </w:tc>
        <w:tc>
          <w:tcPr>
            <w:tcW w:w="1384" w:type="dxa"/>
            <w:vAlign w:val="center"/>
          </w:tcPr>
          <w:p w14:paraId="1EFF4F47">
            <w:pPr>
              <w:jc w:val="right"/>
            </w:pPr>
            <w:r>
              <w:rPr>
                <w:rFonts w:hint="eastAsia"/>
              </w:rPr>
              <w:t>-</w:t>
            </w:r>
          </w:p>
        </w:tc>
        <w:tc>
          <w:tcPr>
            <w:tcW w:w="1384" w:type="dxa"/>
            <w:vAlign w:val="center"/>
          </w:tcPr>
          <w:p w14:paraId="6D42718E">
            <w:pPr>
              <w:jc w:val="right"/>
            </w:pPr>
            <w:r>
              <w:rPr>
                <w:rFonts w:hint="eastAsia"/>
              </w:rPr>
              <w:t>-</w:t>
            </w:r>
          </w:p>
        </w:tc>
        <w:tc>
          <w:tcPr>
            <w:tcW w:w="1384" w:type="dxa"/>
            <w:vAlign w:val="center"/>
          </w:tcPr>
          <w:p w14:paraId="1EA968DA">
            <w:pPr>
              <w:jc w:val="right"/>
            </w:pPr>
            <w:r>
              <w:rPr>
                <w:rFonts w:hint="eastAsia"/>
              </w:rPr>
              <w:t>-</w:t>
            </w:r>
          </w:p>
        </w:tc>
      </w:tr>
      <w:tr w14:paraId="35AB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4C25B">
            <w:r>
              <w:rPr>
                <w:rFonts w:hint="eastAsia"/>
              </w:rPr>
              <w:t>衍生金融资产</w:t>
            </w:r>
          </w:p>
        </w:tc>
        <w:tc>
          <w:tcPr>
            <w:tcW w:w="1384" w:type="dxa"/>
            <w:vAlign w:val="center"/>
          </w:tcPr>
          <w:p w14:paraId="0D504723">
            <w:pPr>
              <w:jc w:val="right"/>
            </w:pPr>
            <w:r>
              <w:rPr>
                <w:rFonts w:hint="eastAsia"/>
              </w:rPr>
              <w:t>-</w:t>
            </w:r>
          </w:p>
        </w:tc>
        <w:tc>
          <w:tcPr>
            <w:tcW w:w="1384" w:type="dxa"/>
            <w:vAlign w:val="center"/>
          </w:tcPr>
          <w:p w14:paraId="43E720C2">
            <w:pPr>
              <w:jc w:val="right"/>
            </w:pPr>
            <w:r>
              <w:rPr>
                <w:rFonts w:hint="eastAsia"/>
              </w:rPr>
              <w:t>-</w:t>
            </w:r>
          </w:p>
        </w:tc>
        <w:tc>
          <w:tcPr>
            <w:tcW w:w="1384" w:type="dxa"/>
            <w:vAlign w:val="center"/>
          </w:tcPr>
          <w:p w14:paraId="5D5A1DE9">
            <w:pPr>
              <w:jc w:val="right"/>
            </w:pPr>
            <w:r>
              <w:rPr>
                <w:rFonts w:hint="eastAsia"/>
              </w:rPr>
              <w:t>-</w:t>
            </w:r>
          </w:p>
        </w:tc>
        <w:tc>
          <w:tcPr>
            <w:tcW w:w="1384" w:type="dxa"/>
            <w:vAlign w:val="center"/>
          </w:tcPr>
          <w:p w14:paraId="5D0F19BD">
            <w:pPr>
              <w:jc w:val="right"/>
            </w:pPr>
            <w:r>
              <w:rPr>
                <w:rFonts w:hint="eastAsia"/>
              </w:rPr>
              <w:t>-</w:t>
            </w:r>
          </w:p>
        </w:tc>
        <w:tc>
          <w:tcPr>
            <w:tcW w:w="1384" w:type="dxa"/>
            <w:vAlign w:val="center"/>
          </w:tcPr>
          <w:p w14:paraId="0286857C">
            <w:pPr>
              <w:jc w:val="right"/>
            </w:pPr>
            <w:r>
              <w:rPr>
                <w:rFonts w:hint="eastAsia"/>
              </w:rPr>
              <w:t>-</w:t>
            </w:r>
          </w:p>
        </w:tc>
      </w:tr>
      <w:tr w14:paraId="2A3C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7429D">
            <w:r>
              <w:rPr>
                <w:rFonts w:hint="eastAsia"/>
              </w:rPr>
              <w:t>买入返售金融资产</w:t>
            </w:r>
          </w:p>
        </w:tc>
        <w:tc>
          <w:tcPr>
            <w:tcW w:w="1384" w:type="dxa"/>
            <w:vAlign w:val="center"/>
          </w:tcPr>
          <w:p w14:paraId="545BB29D">
            <w:pPr>
              <w:jc w:val="right"/>
            </w:pPr>
            <w:r>
              <w:rPr>
                <w:rFonts w:hint="eastAsia"/>
              </w:rPr>
              <w:t>30,003,791.44</w:t>
            </w:r>
          </w:p>
        </w:tc>
        <w:tc>
          <w:tcPr>
            <w:tcW w:w="1384" w:type="dxa"/>
            <w:vAlign w:val="center"/>
          </w:tcPr>
          <w:p w14:paraId="3BC77BA5">
            <w:pPr>
              <w:jc w:val="right"/>
            </w:pPr>
            <w:r>
              <w:rPr>
                <w:rFonts w:hint="eastAsia"/>
              </w:rPr>
              <w:t>-</w:t>
            </w:r>
          </w:p>
        </w:tc>
        <w:tc>
          <w:tcPr>
            <w:tcW w:w="1384" w:type="dxa"/>
            <w:vAlign w:val="center"/>
          </w:tcPr>
          <w:p w14:paraId="793E3BA0">
            <w:pPr>
              <w:jc w:val="right"/>
            </w:pPr>
            <w:r>
              <w:rPr>
                <w:rFonts w:hint="eastAsia"/>
              </w:rPr>
              <w:t>-</w:t>
            </w:r>
          </w:p>
        </w:tc>
        <w:tc>
          <w:tcPr>
            <w:tcW w:w="1384" w:type="dxa"/>
            <w:vAlign w:val="center"/>
          </w:tcPr>
          <w:p w14:paraId="192A4CBD">
            <w:pPr>
              <w:jc w:val="right"/>
            </w:pPr>
            <w:r>
              <w:rPr>
                <w:rFonts w:hint="eastAsia"/>
              </w:rPr>
              <w:t>-</w:t>
            </w:r>
          </w:p>
        </w:tc>
        <w:tc>
          <w:tcPr>
            <w:tcW w:w="1384" w:type="dxa"/>
            <w:vAlign w:val="center"/>
          </w:tcPr>
          <w:p w14:paraId="77963249">
            <w:pPr>
              <w:jc w:val="right"/>
            </w:pPr>
            <w:r>
              <w:rPr>
                <w:rFonts w:hint="eastAsia"/>
              </w:rPr>
              <w:t>30,003,791.44</w:t>
            </w:r>
          </w:p>
        </w:tc>
      </w:tr>
      <w:tr w14:paraId="35E1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DBF10">
            <w:r>
              <w:rPr>
                <w:rFonts w:hint="eastAsia"/>
              </w:rPr>
              <w:t>债权投资</w:t>
            </w:r>
          </w:p>
        </w:tc>
        <w:tc>
          <w:tcPr>
            <w:tcW w:w="1384" w:type="dxa"/>
            <w:vAlign w:val="center"/>
          </w:tcPr>
          <w:p w14:paraId="3743DA05">
            <w:pPr>
              <w:jc w:val="right"/>
            </w:pPr>
            <w:r>
              <w:rPr>
                <w:rFonts w:hint="eastAsia"/>
              </w:rPr>
              <w:t>-</w:t>
            </w:r>
          </w:p>
        </w:tc>
        <w:tc>
          <w:tcPr>
            <w:tcW w:w="1384" w:type="dxa"/>
            <w:vAlign w:val="center"/>
          </w:tcPr>
          <w:p w14:paraId="173B8673">
            <w:pPr>
              <w:jc w:val="right"/>
            </w:pPr>
            <w:r>
              <w:rPr>
                <w:rFonts w:hint="eastAsia"/>
              </w:rPr>
              <w:t>-</w:t>
            </w:r>
          </w:p>
        </w:tc>
        <w:tc>
          <w:tcPr>
            <w:tcW w:w="1384" w:type="dxa"/>
            <w:vAlign w:val="center"/>
          </w:tcPr>
          <w:p w14:paraId="23CD4402">
            <w:pPr>
              <w:jc w:val="right"/>
            </w:pPr>
            <w:r>
              <w:rPr>
                <w:rFonts w:hint="eastAsia"/>
              </w:rPr>
              <w:t>-</w:t>
            </w:r>
          </w:p>
        </w:tc>
        <w:tc>
          <w:tcPr>
            <w:tcW w:w="1384" w:type="dxa"/>
            <w:vAlign w:val="center"/>
          </w:tcPr>
          <w:p w14:paraId="20669BC5">
            <w:pPr>
              <w:jc w:val="right"/>
            </w:pPr>
            <w:r>
              <w:rPr>
                <w:rFonts w:hint="eastAsia"/>
              </w:rPr>
              <w:t>-</w:t>
            </w:r>
          </w:p>
        </w:tc>
        <w:tc>
          <w:tcPr>
            <w:tcW w:w="1384" w:type="dxa"/>
            <w:vAlign w:val="center"/>
          </w:tcPr>
          <w:p w14:paraId="492F53C9">
            <w:pPr>
              <w:jc w:val="right"/>
            </w:pPr>
            <w:r>
              <w:rPr>
                <w:rFonts w:hint="eastAsia"/>
              </w:rPr>
              <w:t>-</w:t>
            </w:r>
          </w:p>
        </w:tc>
      </w:tr>
      <w:tr w14:paraId="351A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7A604">
            <w:r>
              <w:rPr>
                <w:rFonts w:hint="eastAsia"/>
              </w:rPr>
              <w:t>其他债权投资</w:t>
            </w:r>
          </w:p>
        </w:tc>
        <w:tc>
          <w:tcPr>
            <w:tcW w:w="1384" w:type="dxa"/>
            <w:vAlign w:val="center"/>
          </w:tcPr>
          <w:p w14:paraId="7CE816CF">
            <w:pPr>
              <w:jc w:val="right"/>
            </w:pPr>
            <w:r>
              <w:rPr>
                <w:rFonts w:hint="eastAsia"/>
              </w:rPr>
              <w:t>-</w:t>
            </w:r>
          </w:p>
        </w:tc>
        <w:tc>
          <w:tcPr>
            <w:tcW w:w="1384" w:type="dxa"/>
            <w:vAlign w:val="center"/>
          </w:tcPr>
          <w:p w14:paraId="210B508B">
            <w:pPr>
              <w:jc w:val="right"/>
            </w:pPr>
            <w:r>
              <w:rPr>
                <w:rFonts w:hint="eastAsia"/>
              </w:rPr>
              <w:t>-</w:t>
            </w:r>
          </w:p>
        </w:tc>
        <w:tc>
          <w:tcPr>
            <w:tcW w:w="1384" w:type="dxa"/>
            <w:vAlign w:val="center"/>
          </w:tcPr>
          <w:p w14:paraId="0DC402ED">
            <w:pPr>
              <w:jc w:val="right"/>
            </w:pPr>
            <w:r>
              <w:rPr>
                <w:rFonts w:hint="eastAsia"/>
              </w:rPr>
              <w:t>-</w:t>
            </w:r>
          </w:p>
        </w:tc>
        <w:tc>
          <w:tcPr>
            <w:tcW w:w="1384" w:type="dxa"/>
            <w:vAlign w:val="center"/>
          </w:tcPr>
          <w:p w14:paraId="31887718">
            <w:pPr>
              <w:jc w:val="right"/>
            </w:pPr>
            <w:r>
              <w:rPr>
                <w:rFonts w:hint="eastAsia"/>
              </w:rPr>
              <w:t>-</w:t>
            </w:r>
          </w:p>
        </w:tc>
        <w:tc>
          <w:tcPr>
            <w:tcW w:w="1384" w:type="dxa"/>
            <w:vAlign w:val="center"/>
          </w:tcPr>
          <w:p w14:paraId="55417E85">
            <w:pPr>
              <w:jc w:val="right"/>
            </w:pPr>
            <w:r>
              <w:rPr>
                <w:rFonts w:hint="eastAsia"/>
              </w:rPr>
              <w:t>-</w:t>
            </w:r>
          </w:p>
        </w:tc>
      </w:tr>
      <w:tr w14:paraId="3BF6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46957">
            <w:r>
              <w:rPr>
                <w:rFonts w:hint="eastAsia"/>
              </w:rPr>
              <w:t>其他权益工具投资</w:t>
            </w:r>
          </w:p>
        </w:tc>
        <w:tc>
          <w:tcPr>
            <w:tcW w:w="1384" w:type="dxa"/>
            <w:vAlign w:val="center"/>
          </w:tcPr>
          <w:p w14:paraId="6C9823C9">
            <w:pPr>
              <w:jc w:val="right"/>
            </w:pPr>
            <w:r>
              <w:rPr>
                <w:rFonts w:hint="eastAsia"/>
              </w:rPr>
              <w:t>-</w:t>
            </w:r>
          </w:p>
        </w:tc>
        <w:tc>
          <w:tcPr>
            <w:tcW w:w="1384" w:type="dxa"/>
            <w:vAlign w:val="center"/>
          </w:tcPr>
          <w:p w14:paraId="00B432BB">
            <w:pPr>
              <w:jc w:val="right"/>
            </w:pPr>
            <w:r>
              <w:rPr>
                <w:rFonts w:hint="eastAsia"/>
              </w:rPr>
              <w:t>-</w:t>
            </w:r>
          </w:p>
        </w:tc>
        <w:tc>
          <w:tcPr>
            <w:tcW w:w="1384" w:type="dxa"/>
            <w:vAlign w:val="center"/>
          </w:tcPr>
          <w:p w14:paraId="37275178">
            <w:pPr>
              <w:jc w:val="right"/>
            </w:pPr>
            <w:r>
              <w:rPr>
                <w:rFonts w:hint="eastAsia"/>
              </w:rPr>
              <w:t>-</w:t>
            </w:r>
          </w:p>
        </w:tc>
        <w:tc>
          <w:tcPr>
            <w:tcW w:w="1384" w:type="dxa"/>
            <w:vAlign w:val="center"/>
          </w:tcPr>
          <w:p w14:paraId="5189E5B7">
            <w:pPr>
              <w:jc w:val="right"/>
            </w:pPr>
            <w:r>
              <w:rPr>
                <w:rFonts w:hint="eastAsia"/>
              </w:rPr>
              <w:t>-</w:t>
            </w:r>
          </w:p>
        </w:tc>
        <w:tc>
          <w:tcPr>
            <w:tcW w:w="1384" w:type="dxa"/>
            <w:vAlign w:val="center"/>
          </w:tcPr>
          <w:p w14:paraId="64D64DE9">
            <w:pPr>
              <w:jc w:val="right"/>
            </w:pPr>
            <w:r>
              <w:rPr>
                <w:rFonts w:hint="eastAsia"/>
              </w:rPr>
              <w:t>-</w:t>
            </w:r>
          </w:p>
        </w:tc>
      </w:tr>
      <w:tr w14:paraId="73D9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BBA0B">
            <w:r>
              <w:rPr>
                <w:rFonts w:hint="eastAsia"/>
              </w:rPr>
              <w:t>应收清算款</w:t>
            </w:r>
          </w:p>
        </w:tc>
        <w:tc>
          <w:tcPr>
            <w:tcW w:w="1384" w:type="dxa"/>
            <w:vAlign w:val="center"/>
          </w:tcPr>
          <w:p w14:paraId="18E13AF7">
            <w:pPr>
              <w:jc w:val="right"/>
            </w:pPr>
            <w:r>
              <w:rPr>
                <w:rFonts w:hint="eastAsia"/>
              </w:rPr>
              <w:t>-</w:t>
            </w:r>
          </w:p>
        </w:tc>
        <w:tc>
          <w:tcPr>
            <w:tcW w:w="1384" w:type="dxa"/>
            <w:vAlign w:val="center"/>
          </w:tcPr>
          <w:p w14:paraId="6DB11E10">
            <w:pPr>
              <w:jc w:val="right"/>
            </w:pPr>
            <w:r>
              <w:rPr>
                <w:rFonts w:hint="eastAsia"/>
              </w:rPr>
              <w:t>-</w:t>
            </w:r>
          </w:p>
        </w:tc>
        <w:tc>
          <w:tcPr>
            <w:tcW w:w="1384" w:type="dxa"/>
            <w:vAlign w:val="center"/>
          </w:tcPr>
          <w:p w14:paraId="0DB43DE0">
            <w:pPr>
              <w:jc w:val="right"/>
            </w:pPr>
            <w:r>
              <w:rPr>
                <w:rFonts w:hint="eastAsia"/>
              </w:rPr>
              <w:t>-</w:t>
            </w:r>
          </w:p>
        </w:tc>
        <w:tc>
          <w:tcPr>
            <w:tcW w:w="1384" w:type="dxa"/>
            <w:vAlign w:val="center"/>
          </w:tcPr>
          <w:p w14:paraId="3CBAFD5D">
            <w:pPr>
              <w:jc w:val="right"/>
            </w:pPr>
            <w:r>
              <w:rPr>
                <w:rFonts w:hint="eastAsia"/>
              </w:rPr>
              <w:t>-</w:t>
            </w:r>
          </w:p>
        </w:tc>
        <w:tc>
          <w:tcPr>
            <w:tcW w:w="1384" w:type="dxa"/>
            <w:vAlign w:val="center"/>
          </w:tcPr>
          <w:p w14:paraId="369C1A71">
            <w:pPr>
              <w:jc w:val="right"/>
            </w:pPr>
            <w:r>
              <w:rPr>
                <w:rFonts w:hint="eastAsia"/>
              </w:rPr>
              <w:t>-</w:t>
            </w:r>
          </w:p>
        </w:tc>
      </w:tr>
      <w:tr w14:paraId="3943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00AA7">
            <w:r>
              <w:rPr>
                <w:rFonts w:hint="eastAsia"/>
              </w:rPr>
              <w:t>应收股利</w:t>
            </w:r>
          </w:p>
        </w:tc>
        <w:tc>
          <w:tcPr>
            <w:tcW w:w="1384" w:type="dxa"/>
            <w:vAlign w:val="center"/>
          </w:tcPr>
          <w:p w14:paraId="4BCFB18E">
            <w:pPr>
              <w:jc w:val="right"/>
            </w:pPr>
            <w:r>
              <w:rPr>
                <w:rFonts w:hint="eastAsia"/>
              </w:rPr>
              <w:t>-</w:t>
            </w:r>
          </w:p>
        </w:tc>
        <w:tc>
          <w:tcPr>
            <w:tcW w:w="1384" w:type="dxa"/>
            <w:vAlign w:val="center"/>
          </w:tcPr>
          <w:p w14:paraId="46195E9B">
            <w:pPr>
              <w:jc w:val="right"/>
            </w:pPr>
            <w:r>
              <w:rPr>
                <w:rFonts w:hint="eastAsia"/>
              </w:rPr>
              <w:t>-</w:t>
            </w:r>
          </w:p>
        </w:tc>
        <w:tc>
          <w:tcPr>
            <w:tcW w:w="1384" w:type="dxa"/>
            <w:vAlign w:val="center"/>
          </w:tcPr>
          <w:p w14:paraId="0CE9B3B6">
            <w:pPr>
              <w:jc w:val="right"/>
            </w:pPr>
            <w:r>
              <w:rPr>
                <w:rFonts w:hint="eastAsia"/>
              </w:rPr>
              <w:t>-</w:t>
            </w:r>
          </w:p>
        </w:tc>
        <w:tc>
          <w:tcPr>
            <w:tcW w:w="1384" w:type="dxa"/>
            <w:vAlign w:val="center"/>
          </w:tcPr>
          <w:p w14:paraId="380D548E">
            <w:pPr>
              <w:jc w:val="right"/>
            </w:pPr>
            <w:r>
              <w:rPr>
                <w:rFonts w:hint="eastAsia"/>
              </w:rPr>
              <w:t>-</w:t>
            </w:r>
          </w:p>
        </w:tc>
        <w:tc>
          <w:tcPr>
            <w:tcW w:w="1384" w:type="dxa"/>
            <w:vAlign w:val="center"/>
          </w:tcPr>
          <w:p w14:paraId="63DCEC2B">
            <w:pPr>
              <w:jc w:val="right"/>
            </w:pPr>
            <w:r>
              <w:rPr>
                <w:rFonts w:hint="eastAsia"/>
              </w:rPr>
              <w:t>-</w:t>
            </w:r>
          </w:p>
        </w:tc>
      </w:tr>
      <w:tr w14:paraId="54C1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AA897">
            <w:r>
              <w:rPr>
                <w:rFonts w:hint="eastAsia"/>
              </w:rPr>
              <w:t>应收申购款</w:t>
            </w:r>
          </w:p>
        </w:tc>
        <w:tc>
          <w:tcPr>
            <w:tcW w:w="1384" w:type="dxa"/>
            <w:vAlign w:val="center"/>
          </w:tcPr>
          <w:p w14:paraId="552FE5B4">
            <w:pPr>
              <w:jc w:val="right"/>
            </w:pPr>
            <w:r>
              <w:rPr>
                <w:rFonts w:hint="eastAsia"/>
              </w:rPr>
              <w:t>-</w:t>
            </w:r>
          </w:p>
        </w:tc>
        <w:tc>
          <w:tcPr>
            <w:tcW w:w="1384" w:type="dxa"/>
            <w:vAlign w:val="center"/>
          </w:tcPr>
          <w:p w14:paraId="40F06CED">
            <w:pPr>
              <w:jc w:val="right"/>
            </w:pPr>
            <w:r>
              <w:rPr>
                <w:rFonts w:hint="eastAsia"/>
              </w:rPr>
              <w:t>-</w:t>
            </w:r>
          </w:p>
        </w:tc>
        <w:tc>
          <w:tcPr>
            <w:tcW w:w="1384" w:type="dxa"/>
            <w:vAlign w:val="center"/>
          </w:tcPr>
          <w:p w14:paraId="389E6B77">
            <w:pPr>
              <w:jc w:val="right"/>
            </w:pPr>
            <w:r>
              <w:rPr>
                <w:rFonts w:hint="eastAsia"/>
              </w:rPr>
              <w:t>-</w:t>
            </w:r>
          </w:p>
        </w:tc>
        <w:tc>
          <w:tcPr>
            <w:tcW w:w="1384" w:type="dxa"/>
            <w:vAlign w:val="center"/>
          </w:tcPr>
          <w:p w14:paraId="7362D2F1">
            <w:pPr>
              <w:jc w:val="right"/>
            </w:pPr>
            <w:r>
              <w:rPr>
                <w:rFonts w:hint="eastAsia"/>
              </w:rPr>
              <w:t>609.92</w:t>
            </w:r>
          </w:p>
        </w:tc>
        <w:tc>
          <w:tcPr>
            <w:tcW w:w="1384" w:type="dxa"/>
            <w:vAlign w:val="center"/>
          </w:tcPr>
          <w:p w14:paraId="0B801065">
            <w:pPr>
              <w:jc w:val="right"/>
            </w:pPr>
            <w:r>
              <w:rPr>
                <w:rFonts w:hint="eastAsia"/>
              </w:rPr>
              <w:t>609.92</w:t>
            </w:r>
          </w:p>
        </w:tc>
      </w:tr>
      <w:tr w14:paraId="2057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711E6">
            <w:r>
              <w:rPr>
                <w:rFonts w:hint="eastAsia"/>
              </w:rPr>
              <w:t>递延所得税资产</w:t>
            </w:r>
          </w:p>
        </w:tc>
        <w:tc>
          <w:tcPr>
            <w:tcW w:w="1384" w:type="dxa"/>
            <w:vAlign w:val="center"/>
          </w:tcPr>
          <w:p w14:paraId="1381D142">
            <w:pPr>
              <w:jc w:val="right"/>
            </w:pPr>
            <w:r>
              <w:rPr>
                <w:rFonts w:hint="eastAsia"/>
              </w:rPr>
              <w:t>-</w:t>
            </w:r>
          </w:p>
        </w:tc>
        <w:tc>
          <w:tcPr>
            <w:tcW w:w="1384" w:type="dxa"/>
            <w:vAlign w:val="center"/>
          </w:tcPr>
          <w:p w14:paraId="6E3BE390">
            <w:pPr>
              <w:jc w:val="right"/>
            </w:pPr>
            <w:r>
              <w:rPr>
                <w:rFonts w:hint="eastAsia"/>
              </w:rPr>
              <w:t>-</w:t>
            </w:r>
          </w:p>
        </w:tc>
        <w:tc>
          <w:tcPr>
            <w:tcW w:w="1384" w:type="dxa"/>
            <w:vAlign w:val="center"/>
          </w:tcPr>
          <w:p w14:paraId="651FE587">
            <w:pPr>
              <w:jc w:val="right"/>
            </w:pPr>
            <w:r>
              <w:rPr>
                <w:rFonts w:hint="eastAsia"/>
              </w:rPr>
              <w:t>-</w:t>
            </w:r>
          </w:p>
        </w:tc>
        <w:tc>
          <w:tcPr>
            <w:tcW w:w="1384" w:type="dxa"/>
            <w:vAlign w:val="center"/>
          </w:tcPr>
          <w:p w14:paraId="2C1435EC">
            <w:pPr>
              <w:jc w:val="right"/>
            </w:pPr>
            <w:r>
              <w:rPr>
                <w:rFonts w:hint="eastAsia"/>
              </w:rPr>
              <w:t>-</w:t>
            </w:r>
          </w:p>
        </w:tc>
        <w:tc>
          <w:tcPr>
            <w:tcW w:w="1384" w:type="dxa"/>
            <w:vAlign w:val="center"/>
          </w:tcPr>
          <w:p w14:paraId="20990110">
            <w:pPr>
              <w:jc w:val="right"/>
            </w:pPr>
            <w:r>
              <w:rPr>
                <w:rFonts w:hint="eastAsia"/>
              </w:rPr>
              <w:t>-</w:t>
            </w:r>
          </w:p>
        </w:tc>
      </w:tr>
      <w:tr w14:paraId="694E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66B3F">
            <w:r>
              <w:rPr>
                <w:rFonts w:hint="eastAsia"/>
              </w:rPr>
              <w:t>其他资产</w:t>
            </w:r>
          </w:p>
        </w:tc>
        <w:tc>
          <w:tcPr>
            <w:tcW w:w="1384" w:type="dxa"/>
            <w:vAlign w:val="center"/>
          </w:tcPr>
          <w:p w14:paraId="5BDD6432">
            <w:pPr>
              <w:jc w:val="right"/>
            </w:pPr>
            <w:r>
              <w:rPr>
                <w:rFonts w:hint="eastAsia"/>
              </w:rPr>
              <w:t>-</w:t>
            </w:r>
          </w:p>
        </w:tc>
        <w:tc>
          <w:tcPr>
            <w:tcW w:w="1384" w:type="dxa"/>
            <w:vAlign w:val="center"/>
          </w:tcPr>
          <w:p w14:paraId="1EADC556">
            <w:pPr>
              <w:jc w:val="right"/>
            </w:pPr>
            <w:r>
              <w:rPr>
                <w:rFonts w:hint="eastAsia"/>
              </w:rPr>
              <w:t>-</w:t>
            </w:r>
          </w:p>
        </w:tc>
        <w:tc>
          <w:tcPr>
            <w:tcW w:w="1384" w:type="dxa"/>
            <w:vAlign w:val="center"/>
          </w:tcPr>
          <w:p w14:paraId="1643C23A">
            <w:pPr>
              <w:jc w:val="right"/>
            </w:pPr>
            <w:r>
              <w:rPr>
                <w:rFonts w:hint="eastAsia"/>
              </w:rPr>
              <w:t>-</w:t>
            </w:r>
          </w:p>
        </w:tc>
        <w:tc>
          <w:tcPr>
            <w:tcW w:w="1384" w:type="dxa"/>
            <w:vAlign w:val="center"/>
          </w:tcPr>
          <w:p w14:paraId="4541993C">
            <w:pPr>
              <w:jc w:val="right"/>
            </w:pPr>
            <w:r>
              <w:rPr>
                <w:rFonts w:hint="eastAsia"/>
              </w:rPr>
              <w:t>-</w:t>
            </w:r>
          </w:p>
        </w:tc>
        <w:tc>
          <w:tcPr>
            <w:tcW w:w="1384" w:type="dxa"/>
            <w:vAlign w:val="center"/>
          </w:tcPr>
          <w:p w14:paraId="1C1824BF">
            <w:pPr>
              <w:jc w:val="right"/>
            </w:pPr>
            <w:r>
              <w:rPr>
                <w:rFonts w:hint="eastAsia"/>
              </w:rPr>
              <w:t>-</w:t>
            </w:r>
          </w:p>
        </w:tc>
      </w:tr>
      <w:tr w14:paraId="5C51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3EE4C">
            <w:r>
              <w:rPr>
                <w:rFonts w:hint="eastAsia"/>
              </w:rPr>
              <w:t>资产总计</w:t>
            </w:r>
          </w:p>
        </w:tc>
        <w:tc>
          <w:tcPr>
            <w:tcW w:w="1384" w:type="dxa"/>
            <w:vAlign w:val="center"/>
          </w:tcPr>
          <w:p w14:paraId="57374683">
            <w:pPr>
              <w:jc w:val="right"/>
            </w:pPr>
            <w:r>
              <w:rPr>
                <w:rFonts w:hint="eastAsia"/>
              </w:rPr>
              <w:t>35,876,390.69</w:t>
            </w:r>
          </w:p>
        </w:tc>
        <w:tc>
          <w:tcPr>
            <w:tcW w:w="1384" w:type="dxa"/>
            <w:vAlign w:val="center"/>
          </w:tcPr>
          <w:p w14:paraId="061A242F">
            <w:pPr>
              <w:jc w:val="right"/>
            </w:pPr>
            <w:r>
              <w:rPr>
                <w:rFonts w:hint="eastAsia"/>
              </w:rPr>
              <w:t>-</w:t>
            </w:r>
          </w:p>
        </w:tc>
        <w:tc>
          <w:tcPr>
            <w:tcW w:w="1384" w:type="dxa"/>
            <w:vAlign w:val="center"/>
          </w:tcPr>
          <w:p w14:paraId="0EB6B4B6">
            <w:pPr>
              <w:jc w:val="right"/>
            </w:pPr>
            <w:r>
              <w:rPr>
                <w:rFonts w:hint="eastAsia"/>
              </w:rPr>
              <w:t>-</w:t>
            </w:r>
          </w:p>
        </w:tc>
        <w:tc>
          <w:tcPr>
            <w:tcW w:w="1384" w:type="dxa"/>
            <w:vAlign w:val="center"/>
          </w:tcPr>
          <w:p w14:paraId="04367788">
            <w:pPr>
              <w:jc w:val="right"/>
            </w:pPr>
            <w:r>
              <w:rPr>
                <w:rFonts w:hint="eastAsia"/>
              </w:rPr>
              <w:t>609.92</w:t>
            </w:r>
          </w:p>
        </w:tc>
        <w:tc>
          <w:tcPr>
            <w:tcW w:w="1384" w:type="dxa"/>
            <w:vAlign w:val="center"/>
          </w:tcPr>
          <w:p w14:paraId="34900470">
            <w:pPr>
              <w:jc w:val="right"/>
            </w:pPr>
            <w:r>
              <w:rPr>
                <w:rFonts w:hint="eastAsia"/>
              </w:rPr>
              <w:t>35,877,000.61</w:t>
            </w:r>
          </w:p>
        </w:tc>
      </w:tr>
      <w:tr w14:paraId="79F6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2EDDB">
            <w:r>
              <w:rPr>
                <w:rFonts w:hint="eastAsia"/>
              </w:rPr>
              <w:t>负债</w:t>
            </w:r>
          </w:p>
        </w:tc>
        <w:tc>
          <w:tcPr>
            <w:tcW w:w="1384" w:type="dxa"/>
            <w:vAlign w:val="center"/>
          </w:tcPr>
          <w:p w14:paraId="1AE4313B"/>
        </w:tc>
        <w:tc>
          <w:tcPr>
            <w:tcW w:w="1384" w:type="dxa"/>
            <w:vAlign w:val="center"/>
          </w:tcPr>
          <w:p w14:paraId="117E55D7"/>
        </w:tc>
        <w:tc>
          <w:tcPr>
            <w:tcW w:w="1384" w:type="dxa"/>
            <w:vAlign w:val="center"/>
          </w:tcPr>
          <w:p w14:paraId="0258EBF0"/>
        </w:tc>
        <w:tc>
          <w:tcPr>
            <w:tcW w:w="1384" w:type="dxa"/>
            <w:vAlign w:val="center"/>
          </w:tcPr>
          <w:p w14:paraId="33C26DC7"/>
        </w:tc>
        <w:tc>
          <w:tcPr>
            <w:tcW w:w="1384" w:type="dxa"/>
            <w:vAlign w:val="center"/>
          </w:tcPr>
          <w:p w14:paraId="1DD4F87F"/>
        </w:tc>
      </w:tr>
      <w:tr w14:paraId="1933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BBEE4">
            <w:r>
              <w:rPr>
                <w:rFonts w:hint="eastAsia"/>
              </w:rPr>
              <w:t>短期借款</w:t>
            </w:r>
          </w:p>
        </w:tc>
        <w:tc>
          <w:tcPr>
            <w:tcW w:w="1384" w:type="dxa"/>
            <w:vAlign w:val="center"/>
          </w:tcPr>
          <w:p w14:paraId="6418BA97">
            <w:pPr>
              <w:jc w:val="right"/>
            </w:pPr>
            <w:r>
              <w:rPr>
                <w:rFonts w:hint="eastAsia"/>
              </w:rPr>
              <w:t>-</w:t>
            </w:r>
          </w:p>
        </w:tc>
        <w:tc>
          <w:tcPr>
            <w:tcW w:w="1384" w:type="dxa"/>
            <w:vAlign w:val="center"/>
          </w:tcPr>
          <w:p w14:paraId="7D19615F">
            <w:pPr>
              <w:jc w:val="right"/>
            </w:pPr>
            <w:r>
              <w:rPr>
                <w:rFonts w:hint="eastAsia"/>
              </w:rPr>
              <w:t>-</w:t>
            </w:r>
          </w:p>
        </w:tc>
        <w:tc>
          <w:tcPr>
            <w:tcW w:w="1384" w:type="dxa"/>
            <w:vAlign w:val="center"/>
          </w:tcPr>
          <w:p w14:paraId="1B4B33C3">
            <w:pPr>
              <w:jc w:val="right"/>
            </w:pPr>
            <w:r>
              <w:rPr>
                <w:rFonts w:hint="eastAsia"/>
              </w:rPr>
              <w:t>-</w:t>
            </w:r>
          </w:p>
        </w:tc>
        <w:tc>
          <w:tcPr>
            <w:tcW w:w="1384" w:type="dxa"/>
            <w:vAlign w:val="center"/>
          </w:tcPr>
          <w:p w14:paraId="6629D581">
            <w:pPr>
              <w:jc w:val="right"/>
            </w:pPr>
            <w:r>
              <w:rPr>
                <w:rFonts w:hint="eastAsia"/>
              </w:rPr>
              <w:t>-</w:t>
            </w:r>
          </w:p>
        </w:tc>
        <w:tc>
          <w:tcPr>
            <w:tcW w:w="1384" w:type="dxa"/>
            <w:vAlign w:val="center"/>
          </w:tcPr>
          <w:p w14:paraId="108CBAAC">
            <w:pPr>
              <w:jc w:val="right"/>
            </w:pPr>
            <w:r>
              <w:rPr>
                <w:rFonts w:hint="eastAsia"/>
              </w:rPr>
              <w:t>-</w:t>
            </w:r>
          </w:p>
        </w:tc>
      </w:tr>
      <w:tr w14:paraId="6459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DB03F">
            <w:r>
              <w:rPr>
                <w:rFonts w:hint="eastAsia"/>
              </w:rPr>
              <w:t>交易性金融负债</w:t>
            </w:r>
          </w:p>
        </w:tc>
        <w:tc>
          <w:tcPr>
            <w:tcW w:w="1384" w:type="dxa"/>
            <w:vAlign w:val="center"/>
          </w:tcPr>
          <w:p w14:paraId="50159729">
            <w:pPr>
              <w:jc w:val="right"/>
            </w:pPr>
            <w:r>
              <w:rPr>
                <w:rFonts w:hint="eastAsia"/>
              </w:rPr>
              <w:t>-</w:t>
            </w:r>
          </w:p>
        </w:tc>
        <w:tc>
          <w:tcPr>
            <w:tcW w:w="1384" w:type="dxa"/>
            <w:vAlign w:val="center"/>
          </w:tcPr>
          <w:p w14:paraId="6180594C">
            <w:pPr>
              <w:jc w:val="right"/>
            </w:pPr>
            <w:r>
              <w:rPr>
                <w:rFonts w:hint="eastAsia"/>
              </w:rPr>
              <w:t>-</w:t>
            </w:r>
          </w:p>
        </w:tc>
        <w:tc>
          <w:tcPr>
            <w:tcW w:w="1384" w:type="dxa"/>
            <w:vAlign w:val="center"/>
          </w:tcPr>
          <w:p w14:paraId="51C7AB49">
            <w:pPr>
              <w:jc w:val="right"/>
            </w:pPr>
            <w:r>
              <w:rPr>
                <w:rFonts w:hint="eastAsia"/>
              </w:rPr>
              <w:t>-</w:t>
            </w:r>
          </w:p>
        </w:tc>
        <w:tc>
          <w:tcPr>
            <w:tcW w:w="1384" w:type="dxa"/>
            <w:vAlign w:val="center"/>
          </w:tcPr>
          <w:p w14:paraId="550EF77C">
            <w:pPr>
              <w:jc w:val="right"/>
            </w:pPr>
            <w:r>
              <w:rPr>
                <w:rFonts w:hint="eastAsia"/>
              </w:rPr>
              <w:t>-</w:t>
            </w:r>
          </w:p>
        </w:tc>
        <w:tc>
          <w:tcPr>
            <w:tcW w:w="1384" w:type="dxa"/>
            <w:vAlign w:val="center"/>
          </w:tcPr>
          <w:p w14:paraId="5655F082">
            <w:pPr>
              <w:jc w:val="right"/>
            </w:pPr>
            <w:r>
              <w:rPr>
                <w:rFonts w:hint="eastAsia"/>
              </w:rPr>
              <w:t>-</w:t>
            </w:r>
          </w:p>
        </w:tc>
      </w:tr>
      <w:tr w14:paraId="14B9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298CB">
            <w:r>
              <w:rPr>
                <w:rFonts w:hint="eastAsia"/>
              </w:rPr>
              <w:t>衍生金融负债</w:t>
            </w:r>
          </w:p>
        </w:tc>
        <w:tc>
          <w:tcPr>
            <w:tcW w:w="1384" w:type="dxa"/>
            <w:vAlign w:val="center"/>
          </w:tcPr>
          <w:p w14:paraId="4E426B49">
            <w:pPr>
              <w:jc w:val="right"/>
            </w:pPr>
            <w:r>
              <w:rPr>
                <w:rFonts w:hint="eastAsia"/>
              </w:rPr>
              <w:t>-</w:t>
            </w:r>
          </w:p>
        </w:tc>
        <w:tc>
          <w:tcPr>
            <w:tcW w:w="1384" w:type="dxa"/>
            <w:vAlign w:val="center"/>
          </w:tcPr>
          <w:p w14:paraId="4111A21F">
            <w:pPr>
              <w:jc w:val="right"/>
            </w:pPr>
            <w:r>
              <w:rPr>
                <w:rFonts w:hint="eastAsia"/>
              </w:rPr>
              <w:t>-</w:t>
            </w:r>
          </w:p>
        </w:tc>
        <w:tc>
          <w:tcPr>
            <w:tcW w:w="1384" w:type="dxa"/>
            <w:vAlign w:val="center"/>
          </w:tcPr>
          <w:p w14:paraId="7A9BA01F">
            <w:pPr>
              <w:jc w:val="right"/>
            </w:pPr>
            <w:r>
              <w:rPr>
                <w:rFonts w:hint="eastAsia"/>
              </w:rPr>
              <w:t>-</w:t>
            </w:r>
          </w:p>
        </w:tc>
        <w:tc>
          <w:tcPr>
            <w:tcW w:w="1384" w:type="dxa"/>
            <w:vAlign w:val="center"/>
          </w:tcPr>
          <w:p w14:paraId="68BA4C64">
            <w:pPr>
              <w:jc w:val="right"/>
            </w:pPr>
            <w:r>
              <w:rPr>
                <w:rFonts w:hint="eastAsia"/>
              </w:rPr>
              <w:t>-</w:t>
            </w:r>
          </w:p>
        </w:tc>
        <w:tc>
          <w:tcPr>
            <w:tcW w:w="1384" w:type="dxa"/>
            <w:vAlign w:val="center"/>
          </w:tcPr>
          <w:p w14:paraId="443DD7A7">
            <w:pPr>
              <w:jc w:val="right"/>
            </w:pPr>
            <w:r>
              <w:rPr>
                <w:rFonts w:hint="eastAsia"/>
              </w:rPr>
              <w:t>-</w:t>
            </w:r>
          </w:p>
        </w:tc>
      </w:tr>
      <w:tr w14:paraId="4FE1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20DB5">
            <w:r>
              <w:rPr>
                <w:rFonts w:hint="eastAsia"/>
              </w:rPr>
              <w:t>卖出回购金融资产款</w:t>
            </w:r>
          </w:p>
        </w:tc>
        <w:tc>
          <w:tcPr>
            <w:tcW w:w="1384" w:type="dxa"/>
            <w:vAlign w:val="center"/>
          </w:tcPr>
          <w:p w14:paraId="7D82A8E8">
            <w:pPr>
              <w:jc w:val="right"/>
            </w:pPr>
            <w:r>
              <w:rPr>
                <w:rFonts w:hint="eastAsia"/>
              </w:rPr>
              <w:t>-</w:t>
            </w:r>
          </w:p>
        </w:tc>
        <w:tc>
          <w:tcPr>
            <w:tcW w:w="1384" w:type="dxa"/>
            <w:vAlign w:val="center"/>
          </w:tcPr>
          <w:p w14:paraId="58B795CB">
            <w:pPr>
              <w:jc w:val="right"/>
            </w:pPr>
            <w:r>
              <w:rPr>
                <w:rFonts w:hint="eastAsia"/>
              </w:rPr>
              <w:t>-</w:t>
            </w:r>
          </w:p>
        </w:tc>
        <w:tc>
          <w:tcPr>
            <w:tcW w:w="1384" w:type="dxa"/>
            <w:vAlign w:val="center"/>
          </w:tcPr>
          <w:p w14:paraId="783470E5">
            <w:pPr>
              <w:jc w:val="right"/>
            </w:pPr>
            <w:r>
              <w:rPr>
                <w:rFonts w:hint="eastAsia"/>
              </w:rPr>
              <w:t>-</w:t>
            </w:r>
          </w:p>
        </w:tc>
        <w:tc>
          <w:tcPr>
            <w:tcW w:w="1384" w:type="dxa"/>
            <w:vAlign w:val="center"/>
          </w:tcPr>
          <w:p w14:paraId="1C77220A">
            <w:pPr>
              <w:jc w:val="right"/>
            </w:pPr>
            <w:r>
              <w:rPr>
                <w:rFonts w:hint="eastAsia"/>
              </w:rPr>
              <w:t>-</w:t>
            </w:r>
          </w:p>
        </w:tc>
        <w:tc>
          <w:tcPr>
            <w:tcW w:w="1384" w:type="dxa"/>
            <w:vAlign w:val="center"/>
          </w:tcPr>
          <w:p w14:paraId="02D7BBA5">
            <w:pPr>
              <w:jc w:val="right"/>
            </w:pPr>
            <w:r>
              <w:rPr>
                <w:rFonts w:hint="eastAsia"/>
              </w:rPr>
              <w:t>-</w:t>
            </w:r>
          </w:p>
        </w:tc>
      </w:tr>
      <w:tr w14:paraId="58C5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6582F">
            <w:r>
              <w:rPr>
                <w:rFonts w:hint="eastAsia"/>
              </w:rPr>
              <w:t>应付清算款</w:t>
            </w:r>
          </w:p>
        </w:tc>
        <w:tc>
          <w:tcPr>
            <w:tcW w:w="1384" w:type="dxa"/>
            <w:vAlign w:val="center"/>
          </w:tcPr>
          <w:p w14:paraId="1FB30882">
            <w:pPr>
              <w:jc w:val="right"/>
            </w:pPr>
            <w:r>
              <w:rPr>
                <w:rFonts w:hint="eastAsia"/>
              </w:rPr>
              <w:t>-</w:t>
            </w:r>
          </w:p>
        </w:tc>
        <w:tc>
          <w:tcPr>
            <w:tcW w:w="1384" w:type="dxa"/>
            <w:vAlign w:val="center"/>
          </w:tcPr>
          <w:p w14:paraId="5D45BEC7">
            <w:pPr>
              <w:jc w:val="right"/>
            </w:pPr>
            <w:r>
              <w:rPr>
                <w:rFonts w:hint="eastAsia"/>
              </w:rPr>
              <w:t>-</w:t>
            </w:r>
          </w:p>
        </w:tc>
        <w:tc>
          <w:tcPr>
            <w:tcW w:w="1384" w:type="dxa"/>
            <w:vAlign w:val="center"/>
          </w:tcPr>
          <w:p w14:paraId="40D1FE61">
            <w:pPr>
              <w:jc w:val="right"/>
            </w:pPr>
            <w:r>
              <w:rPr>
                <w:rFonts w:hint="eastAsia"/>
              </w:rPr>
              <w:t>-</w:t>
            </w:r>
          </w:p>
        </w:tc>
        <w:tc>
          <w:tcPr>
            <w:tcW w:w="1384" w:type="dxa"/>
            <w:vAlign w:val="center"/>
          </w:tcPr>
          <w:p w14:paraId="363D13A6">
            <w:pPr>
              <w:jc w:val="right"/>
            </w:pPr>
            <w:r>
              <w:rPr>
                <w:rFonts w:hint="eastAsia"/>
              </w:rPr>
              <w:t>-</w:t>
            </w:r>
          </w:p>
        </w:tc>
        <w:tc>
          <w:tcPr>
            <w:tcW w:w="1384" w:type="dxa"/>
            <w:vAlign w:val="center"/>
          </w:tcPr>
          <w:p w14:paraId="0D143873">
            <w:pPr>
              <w:jc w:val="right"/>
            </w:pPr>
            <w:r>
              <w:rPr>
                <w:rFonts w:hint="eastAsia"/>
              </w:rPr>
              <w:t>-</w:t>
            </w:r>
          </w:p>
        </w:tc>
      </w:tr>
      <w:tr w14:paraId="471F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17C28">
            <w:r>
              <w:rPr>
                <w:rFonts w:hint="eastAsia"/>
              </w:rPr>
              <w:t>应付赎回款</w:t>
            </w:r>
          </w:p>
        </w:tc>
        <w:tc>
          <w:tcPr>
            <w:tcW w:w="1384" w:type="dxa"/>
            <w:vAlign w:val="center"/>
          </w:tcPr>
          <w:p w14:paraId="09F1324E">
            <w:pPr>
              <w:jc w:val="right"/>
            </w:pPr>
            <w:r>
              <w:rPr>
                <w:rFonts w:hint="eastAsia"/>
              </w:rPr>
              <w:t>-</w:t>
            </w:r>
          </w:p>
        </w:tc>
        <w:tc>
          <w:tcPr>
            <w:tcW w:w="1384" w:type="dxa"/>
            <w:vAlign w:val="center"/>
          </w:tcPr>
          <w:p w14:paraId="0C4B95AD">
            <w:pPr>
              <w:jc w:val="right"/>
            </w:pPr>
            <w:r>
              <w:rPr>
                <w:rFonts w:hint="eastAsia"/>
              </w:rPr>
              <w:t>-</w:t>
            </w:r>
          </w:p>
        </w:tc>
        <w:tc>
          <w:tcPr>
            <w:tcW w:w="1384" w:type="dxa"/>
            <w:vAlign w:val="center"/>
          </w:tcPr>
          <w:p w14:paraId="3F66C4F3">
            <w:pPr>
              <w:jc w:val="right"/>
            </w:pPr>
            <w:r>
              <w:rPr>
                <w:rFonts w:hint="eastAsia"/>
              </w:rPr>
              <w:t>-</w:t>
            </w:r>
          </w:p>
        </w:tc>
        <w:tc>
          <w:tcPr>
            <w:tcW w:w="1384" w:type="dxa"/>
            <w:vAlign w:val="center"/>
          </w:tcPr>
          <w:p w14:paraId="286B539D">
            <w:pPr>
              <w:jc w:val="right"/>
            </w:pPr>
            <w:r>
              <w:rPr>
                <w:rFonts w:hint="eastAsia"/>
              </w:rPr>
              <w:t>93,061.42</w:t>
            </w:r>
          </w:p>
        </w:tc>
        <w:tc>
          <w:tcPr>
            <w:tcW w:w="1384" w:type="dxa"/>
            <w:vAlign w:val="center"/>
          </w:tcPr>
          <w:p w14:paraId="5CAF5E88">
            <w:pPr>
              <w:jc w:val="right"/>
            </w:pPr>
            <w:r>
              <w:rPr>
                <w:rFonts w:hint="eastAsia"/>
              </w:rPr>
              <w:t>93,061.42</w:t>
            </w:r>
          </w:p>
        </w:tc>
      </w:tr>
      <w:tr w14:paraId="5504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09FFA">
            <w:r>
              <w:rPr>
                <w:rFonts w:hint="eastAsia"/>
              </w:rPr>
              <w:t>应付管理人报酬</w:t>
            </w:r>
          </w:p>
        </w:tc>
        <w:tc>
          <w:tcPr>
            <w:tcW w:w="1384" w:type="dxa"/>
            <w:vAlign w:val="center"/>
          </w:tcPr>
          <w:p w14:paraId="4FF1C097">
            <w:pPr>
              <w:jc w:val="right"/>
            </w:pPr>
            <w:r>
              <w:rPr>
                <w:rFonts w:hint="eastAsia"/>
              </w:rPr>
              <w:t>-</w:t>
            </w:r>
          </w:p>
        </w:tc>
        <w:tc>
          <w:tcPr>
            <w:tcW w:w="1384" w:type="dxa"/>
            <w:vAlign w:val="center"/>
          </w:tcPr>
          <w:p w14:paraId="05266FE9">
            <w:pPr>
              <w:jc w:val="right"/>
            </w:pPr>
            <w:r>
              <w:rPr>
                <w:rFonts w:hint="eastAsia"/>
              </w:rPr>
              <w:t>-</w:t>
            </w:r>
          </w:p>
        </w:tc>
        <w:tc>
          <w:tcPr>
            <w:tcW w:w="1384" w:type="dxa"/>
            <w:vAlign w:val="center"/>
          </w:tcPr>
          <w:p w14:paraId="690242AC">
            <w:pPr>
              <w:jc w:val="right"/>
            </w:pPr>
            <w:r>
              <w:rPr>
                <w:rFonts w:hint="eastAsia"/>
              </w:rPr>
              <w:t>-</w:t>
            </w:r>
          </w:p>
        </w:tc>
        <w:tc>
          <w:tcPr>
            <w:tcW w:w="1384" w:type="dxa"/>
            <w:vAlign w:val="center"/>
          </w:tcPr>
          <w:p w14:paraId="7F5F44D8">
            <w:pPr>
              <w:jc w:val="right"/>
            </w:pPr>
            <w:r>
              <w:rPr>
                <w:rFonts w:hint="eastAsia"/>
              </w:rPr>
              <w:t>481,917.11</w:t>
            </w:r>
          </w:p>
        </w:tc>
        <w:tc>
          <w:tcPr>
            <w:tcW w:w="1384" w:type="dxa"/>
            <w:vAlign w:val="center"/>
          </w:tcPr>
          <w:p w14:paraId="4DF07731">
            <w:pPr>
              <w:jc w:val="right"/>
            </w:pPr>
            <w:r>
              <w:rPr>
                <w:rFonts w:hint="eastAsia"/>
              </w:rPr>
              <w:t>481,917.11</w:t>
            </w:r>
          </w:p>
        </w:tc>
      </w:tr>
      <w:tr w14:paraId="7327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0BDC2">
            <w:r>
              <w:rPr>
                <w:rFonts w:hint="eastAsia"/>
              </w:rPr>
              <w:t>应付托管费</w:t>
            </w:r>
          </w:p>
        </w:tc>
        <w:tc>
          <w:tcPr>
            <w:tcW w:w="1384" w:type="dxa"/>
            <w:vAlign w:val="center"/>
          </w:tcPr>
          <w:p w14:paraId="49414796">
            <w:pPr>
              <w:jc w:val="right"/>
            </w:pPr>
            <w:r>
              <w:rPr>
                <w:rFonts w:hint="eastAsia"/>
              </w:rPr>
              <w:t>-</w:t>
            </w:r>
          </w:p>
        </w:tc>
        <w:tc>
          <w:tcPr>
            <w:tcW w:w="1384" w:type="dxa"/>
            <w:vAlign w:val="center"/>
          </w:tcPr>
          <w:p w14:paraId="63A0074F">
            <w:pPr>
              <w:jc w:val="right"/>
            </w:pPr>
            <w:r>
              <w:rPr>
                <w:rFonts w:hint="eastAsia"/>
              </w:rPr>
              <w:t>-</w:t>
            </w:r>
          </w:p>
        </w:tc>
        <w:tc>
          <w:tcPr>
            <w:tcW w:w="1384" w:type="dxa"/>
            <w:vAlign w:val="center"/>
          </w:tcPr>
          <w:p w14:paraId="3600C685">
            <w:pPr>
              <w:jc w:val="right"/>
            </w:pPr>
            <w:r>
              <w:rPr>
                <w:rFonts w:hint="eastAsia"/>
              </w:rPr>
              <w:t>-</w:t>
            </w:r>
          </w:p>
        </w:tc>
        <w:tc>
          <w:tcPr>
            <w:tcW w:w="1384" w:type="dxa"/>
            <w:vAlign w:val="center"/>
          </w:tcPr>
          <w:p w14:paraId="18E80804">
            <w:pPr>
              <w:jc w:val="right"/>
            </w:pPr>
            <w:r>
              <w:rPr>
                <w:rFonts w:hint="eastAsia"/>
              </w:rPr>
              <w:t>160,639.07</w:t>
            </w:r>
          </w:p>
        </w:tc>
        <w:tc>
          <w:tcPr>
            <w:tcW w:w="1384" w:type="dxa"/>
            <w:vAlign w:val="center"/>
          </w:tcPr>
          <w:p w14:paraId="19CE3775">
            <w:pPr>
              <w:jc w:val="right"/>
            </w:pPr>
            <w:r>
              <w:rPr>
                <w:rFonts w:hint="eastAsia"/>
              </w:rPr>
              <w:t>160,639.07</w:t>
            </w:r>
          </w:p>
        </w:tc>
      </w:tr>
      <w:tr w14:paraId="1197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3CE19">
            <w:r>
              <w:rPr>
                <w:rFonts w:hint="eastAsia"/>
              </w:rPr>
              <w:t>应付销售服务费</w:t>
            </w:r>
          </w:p>
        </w:tc>
        <w:tc>
          <w:tcPr>
            <w:tcW w:w="1384" w:type="dxa"/>
            <w:vAlign w:val="center"/>
          </w:tcPr>
          <w:p w14:paraId="5431C438">
            <w:pPr>
              <w:jc w:val="right"/>
            </w:pPr>
            <w:r>
              <w:rPr>
                <w:rFonts w:hint="eastAsia"/>
              </w:rPr>
              <w:t>-</w:t>
            </w:r>
          </w:p>
        </w:tc>
        <w:tc>
          <w:tcPr>
            <w:tcW w:w="1384" w:type="dxa"/>
            <w:vAlign w:val="center"/>
          </w:tcPr>
          <w:p w14:paraId="2B116364">
            <w:pPr>
              <w:jc w:val="right"/>
            </w:pPr>
            <w:r>
              <w:rPr>
                <w:rFonts w:hint="eastAsia"/>
              </w:rPr>
              <w:t>-</w:t>
            </w:r>
          </w:p>
        </w:tc>
        <w:tc>
          <w:tcPr>
            <w:tcW w:w="1384" w:type="dxa"/>
            <w:vAlign w:val="center"/>
          </w:tcPr>
          <w:p w14:paraId="05E58E94">
            <w:pPr>
              <w:jc w:val="right"/>
            </w:pPr>
            <w:r>
              <w:rPr>
                <w:rFonts w:hint="eastAsia"/>
              </w:rPr>
              <w:t>-</w:t>
            </w:r>
          </w:p>
        </w:tc>
        <w:tc>
          <w:tcPr>
            <w:tcW w:w="1384" w:type="dxa"/>
            <w:vAlign w:val="center"/>
          </w:tcPr>
          <w:p w14:paraId="33343216">
            <w:pPr>
              <w:jc w:val="right"/>
            </w:pPr>
            <w:r>
              <w:rPr>
                <w:rFonts w:hint="eastAsia"/>
              </w:rPr>
              <w:t>-</w:t>
            </w:r>
          </w:p>
        </w:tc>
        <w:tc>
          <w:tcPr>
            <w:tcW w:w="1384" w:type="dxa"/>
            <w:vAlign w:val="center"/>
          </w:tcPr>
          <w:p w14:paraId="7476F926">
            <w:pPr>
              <w:jc w:val="right"/>
            </w:pPr>
            <w:r>
              <w:rPr>
                <w:rFonts w:hint="eastAsia"/>
              </w:rPr>
              <w:t>-</w:t>
            </w:r>
          </w:p>
        </w:tc>
      </w:tr>
      <w:tr w14:paraId="1D0A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69B0D">
            <w:r>
              <w:rPr>
                <w:rFonts w:hint="eastAsia"/>
              </w:rPr>
              <w:t>应付投资顾问费</w:t>
            </w:r>
          </w:p>
        </w:tc>
        <w:tc>
          <w:tcPr>
            <w:tcW w:w="1384" w:type="dxa"/>
            <w:vAlign w:val="center"/>
          </w:tcPr>
          <w:p w14:paraId="78893169">
            <w:pPr>
              <w:jc w:val="right"/>
            </w:pPr>
            <w:r>
              <w:rPr>
                <w:rFonts w:hint="eastAsia"/>
              </w:rPr>
              <w:t>-</w:t>
            </w:r>
          </w:p>
        </w:tc>
        <w:tc>
          <w:tcPr>
            <w:tcW w:w="1384" w:type="dxa"/>
            <w:vAlign w:val="center"/>
          </w:tcPr>
          <w:p w14:paraId="01C5ABCA">
            <w:pPr>
              <w:jc w:val="right"/>
            </w:pPr>
            <w:r>
              <w:rPr>
                <w:rFonts w:hint="eastAsia"/>
              </w:rPr>
              <w:t>-</w:t>
            </w:r>
          </w:p>
        </w:tc>
        <w:tc>
          <w:tcPr>
            <w:tcW w:w="1384" w:type="dxa"/>
            <w:vAlign w:val="center"/>
          </w:tcPr>
          <w:p w14:paraId="7DFF05C8">
            <w:pPr>
              <w:jc w:val="right"/>
            </w:pPr>
            <w:r>
              <w:rPr>
                <w:rFonts w:hint="eastAsia"/>
              </w:rPr>
              <w:t>-</w:t>
            </w:r>
          </w:p>
        </w:tc>
        <w:tc>
          <w:tcPr>
            <w:tcW w:w="1384" w:type="dxa"/>
            <w:vAlign w:val="center"/>
          </w:tcPr>
          <w:p w14:paraId="0A175F04">
            <w:pPr>
              <w:jc w:val="right"/>
            </w:pPr>
            <w:r>
              <w:rPr>
                <w:rFonts w:hint="eastAsia"/>
              </w:rPr>
              <w:t>-</w:t>
            </w:r>
          </w:p>
        </w:tc>
        <w:tc>
          <w:tcPr>
            <w:tcW w:w="1384" w:type="dxa"/>
            <w:vAlign w:val="center"/>
          </w:tcPr>
          <w:p w14:paraId="4C90148B">
            <w:pPr>
              <w:jc w:val="right"/>
            </w:pPr>
            <w:r>
              <w:rPr>
                <w:rFonts w:hint="eastAsia"/>
              </w:rPr>
              <w:t>-</w:t>
            </w:r>
          </w:p>
        </w:tc>
      </w:tr>
      <w:tr w14:paraId="03D3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4FA6D">
            <w:r>
              <w:rPr>
                <w:rFonts w:hint="eastAsia"/>
              </w:rPr>
              <w:t>应交税费</w:t>
            </w:r>
          </w:p>
        </w:tc>
        <w:tc>
          <w:tcPr>
            <w:tcW w:w="1384" w:type="dxa"/>
            <w:vAlign w:val="center"/>
          </w:tcPr>
          <w:p w14:paraId="0F00B30D">
            <w:pPr>
              <w:jc w:val="right"/>
            </w:pPr>
            <w:r>
              <w:rPr>
                <w:rFonts w:hint="eastAsia"/>
              </w:rPr>
              <w:t>-</w:t>
            </w:r>
          </w:p>
        </w:tc>
        <w:tc>
          <w:tcPr>
            <w:tcW w:w="1384" w:type="dxa"/>
            <w:vAlign w:val="center"/>
          </w:tcPr>
          <w:p w14:paraId="2CD2D10F">
            <w:pPr>
              <w:jc w:val="right"/>
            </w:pPr>
            <w:r>
              <w:rPr>
                <w:rFonts w:hint="eastAsia"/>
              </w:rPr>
              <w:t>-</w:t>
            </w:r>
          </w:p>
        </w:tc>
        <w:tc>
          <w:tcPr>
            <w:tcW w:w="1384" w:type="dxa"/>
            <w:vAlign w:val="center"/>
          </w:tcPr>
          <w:p w14:paraId="042B563D">
            <w:pPr>
              <w:jc w:val="right"/>
            </w:pPr>
            <w:r>
              <w:rPr>
                <w:rFonts w:hint="eastAsia"/>
              </w:rPr>
              <w:t>-</w:t>
            </w:r>
          </w:p>
        </w:tc>
        <w:tc>
          <w:tcPr>
            <w:tcW w:w="1384" w:type="dxa"/>
            <w:vAlign w:val="center"/>
          </w:tcPr>
          <w:p w14:paraId="2EFFFA52">
            <w:pPr>
              <w:jc w:val="right"/>
            </w:pPr>
            <w:r>
              <w:rPr>
                <w:rFonts w:hint="eastAsia"/>
              </w:rPr>
              <w:t>-</w:t>
            </w:r>
          </w:p>
        </w:tc>
        <w:tc>
          <w:tcPr>
            <w:tcW w:w="1384" w:type="dxa"/>
            <w:vAlign w:val="center"/>
          </w:tcPr>
          <w:p w14:paraId="15B65BAC">
            <w:pPr>
              <w:jc w:val="right"/>
            </w:pPr>
            <w:r>
              <w:rPr>
                <w:rFonts w:hint="eastAsia"/>
              </w:rPr>
              <w:t>-</w:t>
            </w:r>
          </w:p>
        </w:tc>
      </w:tr>
      <w:tr w14:paraId="2315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4093F">
            <w:r>
              <w:rPr>
                <w:rFonts w:hint="eastAsia"/>
              </w:rPr>
              <w:t>应付利润</w:t>
            </w:r>
          </w:p>
        </w:tc>
        <w:tc>
          <w:tcPr>
            <w:tcW w:w="1384" w:type="dxa"/>
            <w:vAlign w:val="center"/>
          </w:tcPr>
          <w:p w14:paraId="064D5C76">
            <w:pPr>
              <w:jc w:val="right"/>
            </w:pPr>
            <w:r>
              <w:rPr>
                <w:rFonts w:hint="eastAsia"/>
              </w:rPr>
              <w:t>-</w:t>
            </w:r>
          </w:p>
        </w:tc>
        <w:tc>
          <w:tcPr>
            <w:tcW w:w="1384" w:type="dxa"/>
            <w:vAlign w:val="center"/>
          </w:tcPr>
          <w:p w14:paraId="30C2D4E3">
            <w:pPr>
              <w:jc w:val="right"/>
            </w:pPr>
            <w:r>
              <w:rPr>
                <w:rFonts w:hint="eastAsia"/>
              </w:rPr>
              <w:t>-</w:t>
            </w:r>
          </w:p>
        </w:tc>
        <w:tc>
          <w:tcPr>
            <w:tcW w:w="1384" w:type="dxa"/>
            <w:vAlign w:val="center"/>
          </w:tcPr>
          <w:p w14:paraId="2AAB3154">
            <w:pPr>
              <w:jc w:val="right"/>
            </w:pPr>
            <w:r>
              <w:rPr>
                <w:rFonts w:hint="eastAsia"/>
              </w:rPr>
              <w:t>-</w:t>
            </w:r>
          </w:p>
        </w:tc>
        <w:tc>
          <w:tcPr>
            <w:tcW w:w="1384" w:type="dxa"/>
            <w:vAlign w:val="center"/>
          </w:tcPr>
          <w:p w14:paraId="6C7E01CB">
            <w:pPr>
              <w:jc w:val="right"/>
            </w:pPr>
            <w:r>
              <w:rPr>
                <w:rFonts w:hint="eastAsia"/>
              </w:rPr>
              <w:t>-</w:t>
            </w:r>
          </w:p>
        </w:tc>
        <w:tc>
          <w:tcPr>
            <w:tcW w:w="1384" w:type="dxa"/>
            <w:vAlign w:val="center"/>
          </w:tcPr>
          <w:p w14:paraId="414D4111">
            <w:pPr>
              <w:jc w:val="right"/>
            </w:pPr>
            <w:r>
              <w:rPr>
                <w:rFonts w:hint="eastAsia"/>
              </w:rPr>
              <w:t>-</w:t>
            </w:r>
          </w:p>
        </w:tc>
      </w:tr>
      <w:tr w14:paraId="3F6B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AD6F7">
            <w:r>
              <w:rPr>
                <w:rFonts w:hint="eastAsia"/>
              </w:rPr>
              <w:t>递延所得税负债</w:t>
            </w:r>
          </w:p>
        </w:tc>
        <w:tc>
          <w:tcPr>
            <w:tcW w:w="1384" w:type="dxa"/>
            <w:vAlign w:val="center"/>
          </w:tcPr>
          <w:p w14:paraId="352EF686">
            <w:pPr>
              <w:jc w:val="right"/>
            </w:pPr>
            <w:r>
              <w:rPr>
                <w:rFonts w:hint="eastAsia"/>
              </w:rPr>
              <w:t>-</w:t>
            </w:r>
          </w:p>
        </w:tc>
        <w:tc>
          <w:tcPr>
            <w:tcW w:w="1384" w:type="dxa"/>
            <w:vAlign w:val="center"/>
          </w:tcPr>
          <w:p w14:paraId="2F7A998D">
            <w:pPr>
              <w:jc w:val="right"/>
            </w:pPr>
            <w:r>
              <w:rPr>
                <w:rFonts w:hint="eastAsia"/>
              </w:rPr>
              <w:t>-</w:t>
            </w:r>
          </w:p>
        </w:tc>
        <w:tc>
          <w:tcPr>
            <w:tcW w:w="1384" w:type="dxa"/>
            <w:vAlign w:val="center"/>
          </w:tcPr>
          <w:p w14:paraId="5F67C47B">
            <w:pPr>
              <w:jc w:val="right"/>
            </w:pPr>
            <w:r>
              <w:rPr>
                <w:rFonts w:hint="eastAsia"/>
              </w:rPr>
              <w:t>-</w:t>
            </w:r>
          </w:p>
        </w:tc>
        <w:tc>
          <w:tcPr>
            <w:tcW w:w="1384" w:type="dxa"/>
            <w:vAlign w:val="center"/>
          </w:tcPr>
          <w:p w14:paraId="1262A79B">
            <w:pPr>
              <w:jc w:val="right"/>
            </w:pPr>
            <w:r>
              <w:rPr>
                <w:rFonts w:hint="eastAsia"/>
              </w:rPr>
              <w:t>-</w:t>
            </w:r>
          </w:p>
        </w:tc>
        <w:tc>
          <w:tcPr>
            <w:tcW w:w="1384" w:type="dxa"/>
            <w:vAlign w:val="center"/>
          </w:tcPr>
          <w:p w14:paraId="5D85231B">
            <w:pPr>
              <w:jc w:val="right"/>
            </w:pPr>
            <w:r>
              <w:rPr>
                <w:rFonts w:hint="eastAsia"/>
              </w:rPr>
              <w:t>-</w:t>
            </w:r>
          </w:p>
        </w:tc>
      </w:tr>
      <w:tr w14:paraId="777E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93647">
            <w:r>
              <w:rPr>
                <w:rFonts w:hint="eastAsia"/>
              </w:rPr>
              <w:t>其他负债</w:t>
            </w:r>
          </w:p>
        </w:tc>
        <w:tc>
          <w:tcPr>
            <w:tcW w:w="1384" w:type="dxa"/>
            <w:vAlign w:val="center"/>
          </w:tcPr>
          <w:p w14:paraId="4B195C8C">
            <w:pPr>
              <w:jc w:val="right"/>
            </w:pPr>
            <w:r>
              <w:rPr>
                <w:rFonts w:hint="eastAsia"/>
              </w:rPr>
              <w:t>-</w:t>
            </w:r>
          </w:p>
        </w:tc>
        <w:tc>
          <w:tcPr>
            <w:tcW w:w="1384" w:type="dxa"/>
            <w:vAlign w:val="center"/>
          </w:tcPr>
          <w:p w14:paraId="3D6EA40E">
            <w:pPr>
              <w:jc w:val="right"/>
            </w:pPr>
            <w:r>
              <w:rPr>
                <w:rFonts w:hint="eastAsia"/>
              </w:rPr>
              <w:t>-</w:t>
            </w:r>
          </w:p>
        </w:tc>
        <w:tc>
          <w:tcPr>
            <w:tcW w:w="1384" w:type="dxa"/>
            <w:vAlign w:val="center"/>
          </w:tcPr>
          <w:p w14:paraId="7A12B23F">
            <w:pPr>
              <w:jc w:val="right"/>
            </w:pPr>
            <w:r>
              <w:rPr>
                <w:rFonts w:hint="eastAsia"/>
              </w:rPr>
              <w:t>-</w:t>
            </w:r>
          </w:p>
        </w:tc>
        <w:tc>
          <w:tcPr>
            <w:tcW w:w="1384" w:type="dxa"/>
            <w:vAlign w:val="center"/>
          </w:tcPr>
          <w:p w14:paraId="236D90D3">
            <w:pPr>
              <w:jc w:val="right"/>
            </w:pPr>
            <w:r>
              <w:rPr>
                <w:rFonts w:hint="eastAsia"/>
              </w:rPr>
              <w:t>285,478.48</w:t>
            </w:r>
          </w:p>
        </w:tc>
        <w:tc>
          <w:tcPr>
            <w:tcW w:w="1384" w:type="dxa"/>
            <w:vAlign w:val="center"/>
          </w:tcPr>
          <w:p w14:paraId="0E7BAEBA">
            <w:pPr>
              <w:jc w:val="right"/>
            </w:pPr>
            <w:r>
              <w:rPr>
                <w:rFonts w:hint="eastAsia"/>
              </w:rPr>
              <w:t>285,478.48</w:t>
            </w:r>
          </w:p>
        </w:tc>
      </w:tr>
      <w:tr w14:paraId="013F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0772F">
            <w:r>
              <w:rPr>
                <w:rFonts w:hint="eastAsia"/>
              </w:rPr>
              <w:t>负债总计</w:t>
            </w:r>
          </w:p>
        </w:tc>
        <w:tc>
          <w:tcPr>
            <w:tcW w:w="1384" w:type="dxa"/>
            <w:vAlign w:val="center"/>
          </w:tcPr>
          <w:p w14:paraId="45FF19E8">
            <w:pPr>
              <w:jc w:val="right"/>
            </w:pPr>
            <w:r>
              <w:rPr>
                <w:rFonts w:hint="eastAsia"/>
              </w:rPr>
              <w:t>-</w:t>
            </w:r>
          </w:p>
        </w:tc>
        <w:tc>
          <w:tcPr>
            <w:tcW w:w="1384" w:type="dxa"/>
            <w:vAlign w:val="center"/>
          </w:tcPr>
          <w:p w14:paraId="7AF71980">
            <w:pPr>
              <w:jc w:val="right"/>
            </w:pPr>
            <w:r>
              <w:rPr>
                <w:rFonts w:hint="eastAsia"/>
              </w:rPr>
              <w:t>-</w:t>
            </w:r>
          </w:p>
        </w:tc>
        <w:tc>
          <w:tcPr>
            <w:tcW w:w="1384" w:type="dxa"/>
            <w:vAlign w:val="center"/>
          </w:tcPr>
          <w:p w14:paraId="28BBB806">
            <w:pPr>
              <w:jc w:val="right"/>
            </w:pPr>
            <w:r>
              <w:rPr>
                <w:rFonts w:hint="eastAsia"/>
              </w:rPr>
              <w:t>-</w:t>
            </w:r>
          </w:p>
        </w:tc>
        <w:tc>
          <w:tcPr>
            <w:tcW w:w="1384" w:type="dxa"/>
            <w:vAlign w:val="center"/>
          </w:tcPr>
          <w:p w14:paraId="68B536C5">
            <w:pPr>
              <w:jc w:val="right"/>
            </w:pPr>
            <w:r>
              <w:rPr>
                <w:rFonts w:hint="eastAsia"/>
              </w:rPr>
              <w:t>1,021,096.08</w:t>
            </w:r>
          </w:p>
        </w:tc>
        <w:tc>
          <w:tcPr>
            <w:tcW w:w="1384" w:type="dxa"/>
            <w:vAlign w:val="center"/>
          </w:tcPr>
          <w:p w14:paraId="64017583">
            <w:pPr>
              <w:jc w:val="right"/>
            </w:pPr>
            <w:r>
              <w:rPr>
                <w:rFonts w:hint="eastAsia"/>
              </w:rPr>
              <w:t>1,021,096.08</w:t>
            </w:r>
          </w:p>
        </w:tc>
      </w:tr>
      <w:tr w14:paraId="39CB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463D4">
            <w:r>
              <w:rPr>
                <w:rFonts w:hint="eastAsia"/>
              </w:rPr>
              <w:t>利率敏感度缺口</w:t>
            </w:r>
          </w:p>
        </w:tc>
        <w:tc>
          <w:tcPr>
            <w:tcW w:w="1384" w:type="dxa"/>
            <w:vAlign w:val="center"/>
          </w:tcPr>
          <w:p w14:paraId="2A76E442">
            <w:pPr>
              <w:jc w:val="right"/>
            </w:pPr>
            <w:r>
              <w:rPr>
                <w:rFonts w:hint="eastAsia"/>
              </w:rPr>
              <w:t>35,876,390.69</w:t>
            </w:r>
          </w:p>
        </w:tc>
        <w:tc>
          <w:tcPr>
            <w:tcW w:w="1384" w:type="dxa"/>
            <w:vAlign w:val="center"/>
          </w:tcPr>
          <w:p w14:paraId="05BACBC5">
            <w:pPr>
              <w:jc w:val="right"/>
            </w:pPr>
            <w:r>
              <w:rPr>
                <w:rFonts w:hint="eastAsia"/>
              </w:rPr>
              <w:t>-</w:t>
            </w:r>
          </w:p>
        </w:tc>
        <w:tc>
          <w:tcPr>
            <w:tcW w:w="1384" w:type="dxa"/>
            <w:vAlign w:val="center"/>
          </w:tcPr>
          <w:p w14:paraId="009ADC44">
            <w:pPr>
              <w:jc w:val="right"/>
            </w:pPr>
            <w:r>
              <w:rPr>
                <w:rFonts w:hint="eastAsia"/>
              </w:rPr>
              <w:t>-</w:t>
            </w:r>
          </w:p>
        </w:tc>
        <w:tc>
          <w:tcPr>
            <w:tcW w:w="1384" w:type="dxa"/>
            <w:vAlign w:val="center"/>
          </w:tcPr>
          <w:p w14:paraId="6A38D2FD">
            <w:pPr>
              <w:jc w:val="right"/>
            </w:pPr>
            <w:r>
              <w:rPr>
                <w:rFonts w:hint="eastAsia"/>
              </w:rPr>
              <w:t>-1,020,486.16</w:t>
            </w:r>
          </w:p>
        </w:tc>
        <w:tc>
          <w:tcPr>
            <w:tcW w:w="1384" w:type="dxa"/>
            <w:vAlign w:val="center"/>
          </w:tcPr>
          <w:p w14:paraId="0D4581D4">
            <w:pPr>
              <w:jc w:val="right"/>
            </w:pPr>
            <w:r>
              <w:rPr>
                <w:rFonts w:hint="eastAsia"/>
              </w:rPr>
              <w:t>34,855,904.53</w:t>
            </w:r>
          </w:p>
        </w:tc>
      </w:tr>
      <w:tr w14:paraId="5F7B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3591A">
            <w:r>
              <w:rPr>
                <w:rFonts w:hint="eastAsia"/>
              </w:rPr>
              <w:t>上年度末2024年12月31日</w:t>
            </w:r>
          </w:p>
        </w:tc>
        <w:tc>
          <w:tcPr>
            <w:tcW w:w="1384" w:type="dxa"/>
            <w:vAlign w:val="center"/>
          </w:tcPr>
          <w:p w14:paraId="0AFE271C">
            <w:r>
              <w:rPr>
                <w:rFonts w:hint="eastAsia"/>
              </w:rPr>
              <w:t>1年以内</w:t>
            </w:r>
          </w:p>
        </w:tc>
        <w:tc>
          <w:tcPr>
            <w:tcW w:w="1384" w:type="dxa"/>
            <w:vAlign w:val="center"/>
          </w:tcPr>
          <w:p w14:paraId="71CFF6D3">
            <w:r>
              <w:rPr>
                <w:rFonts w:hint="eastAsia"/>
              </w:rPr>
              <w:t>1-5年</w:t>
            </w:r>
          </w:p>
        </w:tc>
        <w:tc>
          <w:tcPr>
            <w:tcW w:w="1384" w:type="dxa"/>
            <w:vAlign w:val="center"/>
          </w:tcPr>
          <w:p w14:paraId="37DA1AC3">
            <w:r>
              <w:rPr>
                <w:rFonts w:hint="eastAsia"/>
              </w:rPr>
              <w:t>5年以上</w:t>
            </w:r>
          </w:p>
        </w:tc>
        <w:tc>
          <w:tcPr>
            <w:tcW w:w="1384" w:type="dxa"/>
            <w:vAlign w:val="center"/>
          </w:tcPr>
          <w:p w14:paraId="77641ECC">
            <w:r>
              <w:rPr>
                <w:rFonts w:hint="eastAsia"/>
              </w:rPr>
              <w:t>不计息</w:t>
            </w:r>
          </w:p>
        </w:tc>
        <w:tc>
          <w:tcPr>
            <w:tcW w:w="1384" w:type="dxa"/>
            <w:vAlign w:val="center"/>
          </w:tcPr>
          <w:p w14:paraId="2AB613A5">
            <w:r>
              <w:rPr>
                <w:rFonts w:hint="eastAsia"/>
              </w:rPr>
              <w:t>合计</w:t>
            </w:r>
          </w:p>
        </w:tc>
      </w:tr>
      <w:tr w14:paraId="74A0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6E97C">
            <w:r>
              <w:rPr>
                <w:rFonts w:hint="eastAsia"/>
              </w:rPr>
              <w:t>资产</w:t>
            </w:r>
          </w:p>
        </w:tc>
        <w:tc>
          <w:tcPr>
            <w:tcW w:w="1384" w:type="dxa"/>
            <w:vAlign w:val="center"/>
          </w:tcPr>
          <w:p w14:paraId="6AE0AF06"/>
        </w:tc>
        <w:tc>
          <w:tcPr>
            <w:tcW w:w="1384" w:type="dxa"/>
            <w:vAlign w:val="center"/>
          </w:tcPr>
          <w:p w14:paraId="632C5BD8"/>
        </w:tc>
        <w:tc>
          <w:tcPr>
            <w:tcW w:w="1384" w:type="dxa"/>
            <w:vAlign w:val="center"/>
          </w:tcPr>
          <w:p w14:paraId="4DF44243"/>
        </w:tc>
        <w:tc>
          <w:tcPr>
            <w:tcW w:w="1384" w:type="dxa"/>
            <w:vAlign w:val="center"/>
          </w:tcPr>
          <w:p w14:paraId="61B8B2ED"/>
        </w:tc>
        <w:tc>
          <w:tcPr>
            <w:tcW w:w="1384" w:type="dxa"/>
            <w:vAlign w:val="center"/>
          </w:tcPr>
          <w:p w14:paraId="0BBBC0BF"/>
        </w:tc>
      </w:tr>
      <w:tr w14:paraId="5AAF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D05A6">
            <w:r>
              <w:rPr>
                <w:rFonts w:hint="eastAsia"/>
              </w:rPr>
              <w:t>货币资金</w:t>
            </w:r>
          </w:p>
        </w:tc>
        <w:tc>
          <w:tcPr>
            <w:tcW w:w="1384" w:type="dxa"/>
            <w:vAlign w:val="center"/>
          </w:tcPr>
          <w:p w14:paraId="6B7AFD4C">
            <w:pPr>
              <w:jc w:val="right"/>
            </w:pPr>
            <w:r>
              <w:rPr>
                <w:rFonts w:hint="eastAsia"/>
              </w:rPr>
              <w:t>920,828,437.11</w:t>
            </w:r>
          </w:p>
        </w:tc>
        <w:tc>
          <w:tcPr>
            <w:tcW w:w="1384" w:type="dxa"/>
            <w:vAlign w:val="center"/>
          </w:tcPr>
          <w:p w14:paraId="6AF238C3">
            <w:pPr>
              <w:jc w:val="right"/>
            </w:pPr>
            <w:r>
              <w:rPr>
                <w:rFonts w:hint="eastAsia"/>
              </w:rPr>
              <w:t>-</w:t>
            </w:r>
          </w:p>
        </w:tc>
        <w:tc>
          <w:tcPr>
            <w:tcW w:w="1384" w:type="dxa"/>
            <w:vAlign w:val="center"/>
          </w:tcPr>
          <w:p w14:paraId="4F3D65D9">
            <w:pPr>
              <w:jc w:val="right"/>
            </w:pPr>
            <w:r>
              <w:rPr>
                <w:rFonts w:hint="eastAsia"/>
              </w:rPr>
              <w:t>-</w:t>
            </w:r>
          </w:p>
        </w:tc>
        <w:tc>
          <w:tcPr>
            <w:tcW w:w="1384" w:type="dxa"/>
            <w:vAlign w:val="center"/>
          </w:tcPr>
          <w:p w14:paraId="67A003CF">
            <w:pPr>
              <w:jc w:val="right"/>
            </w:pPr>
            <w:r>
              <w:rPr>
                <w:rFonts w:hint="eastAsia"/>
              </w:rPr>
              <w:t>-</w:t>
            </w:r>
          </w:p>
        </w:tc>
        <w:tc>
          <w:tcPr>
            <w:tcW w:w="1384" w:type="dxa"/>
            <w:vAlign w:val="center"/>
          </w:tcPr>
          <w:p w14:paraId="2AE5D9C9">
            <w:pPr>
              <w:jc w:val="right"/>
            </w:pPr>
            <w:r>
              <w:rPr>
                <w:rFonts w:hint="eastAsia"/>
              </w:rPr>
              <w:t>920,828,437.11</w:t>
            </w:r>
          </w:p>
        </w:tc>
      </w:tr>
      <w:tr w14:paraId="6C68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BA1F1">
            <w:r>
              <w:rPr>
                <w:rFonts w:hint="eastAsia"/>
              </w:rPr>
              <w:t>结算备付金</w:t>
            </w:r>
          </w:p>
        </w:tc>
        <w:tc>
          <w:tcPr>
            <w:tcW w:w="1384" w:type="dxa"/>
            <w:vAlign w:val="center"/>
          </w:tcPr>
          <w:p w14:paraId="6E95D6E1">
            <w:pPr>
              <w:jc w:val="right"/>
            </w:pPr>
            <w:r>
              <w:rPr>
                <w:rFonts w:hint="eastAsia"/>
              </w:rPr>
              <w:t>-</w:t>
            </w:r>
          </w:p>
        </w:tc>
        <w:tc>
          <w:tcPr>
            <w:tcW w:w="1384" w:type="dxa"/>
            <w:vAlign w:val="center"/>
          </w:tcPr>
          <w:p w14:paraId="485D0D10">
            <w:pPr>
              <w:jc w:val="right"/>
            </w:pPr>
            <w:r>
              <w:rPr>
                <w:rFonts w:hint="eastAsia"/>
              </w:rPr>
              <w:t>-</w:t>
            </w:r>
          </w:p>
        </w:tc>
        <w:tc>
          <w:tcPr>
            <w:tcW w:w="1384" w:type="dxa"/>
            <w:vAlign w:val="center"/>
          </w:tcPr>
          <w:p w14:paraId="03F29EA9">
            <w:pPr>
              <w:jc w:val="right"/>
            </w:pPr>
            <w:r>
              <w:rPr>
                <w:rFonts w:hint="eastAsia"/>
              </w:rPr>
              <w:t>-</w:t>
            </w:r>
          </w:p>
        </w:tc>
        <w:tc>
          <w:tcPr>
            <w:tcW w:w="1384" w:type="dxa"/>
            <w:vAlign w:val="center"/>
          </w:tcPr>
          <w:p w14:paraId="74A7A000">
            <w:pPr>
              <w:jc w:val="right"/>
            </w:pPr>
            <w:r>
              <w:rPr>
                <w:rFonts w:hint="eastAsia"/>
              </w:rPr>
              <w:t>-</w:t>
            </w:r>
          </w:p>
        </w:tc>
        <w:tc>
          <w:tcPr>
            <w:tcW w:w="1384" w:type="dxa"/>
            <w:vAlign w:val="center"/>
          </w:tcPr>
          <w:p w14:paraId="4E8EA4DF">
            <w:pPr>
              <w:jc w:val="right"/>
            </w:pPr>
            <w:r>
              <w:rPr>
                <w:rFonts w:hint="eastAsia"/>
              </w:rPr>
              <w:t>-</w:t>
            </w:r>
          </w:p>
        </w:tc>
      </w:tr>
      <w:tr w14:paraId="48C3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2A161">
            <w:r>
              <w:rPr>
                <w:rFonts w:hint="eastAsia"/>
              </w:rPr>
              <w:t>存出保证金</w:t>
            </w:r>
          </w:p>
        </w:tc>
        <w:tc>
          <w:tcPr>
            <w:tcW w:w="1384" w:type="dxa"/>
            <w:vAlign w:val="center"/>
          </w:tcPr>
          <w:p w14:paraId="1CE2566D">
            <w:pPr>
              <w:jc w:val="right"/>
            </w:pPr>
            <w:r>
              <w:rPr>
                <w:rFonts w:hint="eastAsia"/>
              </w:rPr>
              <w:t>-</w:t>
            </w:r>
          </w:p>
        </w:tc>
        <w:tc>
          <w:tcPr>
            <w:tcW w:w="1384" w:type="dxa"/>
            <w:vAlign w:val="center"/>
          </w:tcPr>
          <w:p w14:paraId="7AE04DB2">
            <w:pPr>
              <w:jc w:val="right"/>
            </w:pPr>
            <w:r>
              <w:rPr>
                <w:rFonts w:hint="eastAsia"/>
              </w:rPr>
              <w:t>-</w:t>
            </w:r>
          </w:p>
        </w:tc>
        <w:tc>
          <w:tcPr>
            <w:tcW w:w="1384" w:type="dxa"/>
            <w:vAlign w:val="center"/>
          </w:tcPr>
          <w:p w14:paraId="2C870E36">
            <w:pPr>
              <w:jc w:val="right"/>
            </w:pPr>
            <w:r>
              <w:rPr>
                <w:rFonts w:hint="eastAsia"/>
              </w:rPr>
              <w:t>-</w:t>
            </w:r>
          </w:p>
        </w:tc>
        <w:tc>
          <w:tcPr>
            <w:tcW w:w="1384" w:type="dxa"/>
            <w:vAlign w:val="center"/>
          </w:tcPr>
          <w:p w14:paraId="56D57C39">
            <w:pPr>
              <w:jc w:val="right"/>
            </w:pPr>
            <w:r>
              <w:rPr>
                <w:rFonts w:hint="eastAsia"/>
              </w:rPr>
              <w:t>-</w:t>
            </w:r>
          </w:p>
        </w:tc>
        <w:tc>
          <w:tcPr>
            <w:tcW w:w="1384" w:type="dxa"/>
            <w:vAlign w:val="center"/>
          </w:tcPr>
          <w:p w14:paraId="3DE745E2">
            <w:pPr>
              <w:jc w:val="right"/>
            </w:pPr>
            <w:r>
              <w:rPr>
                <w:rFonts w:hint="eastAsia"/>
              </w:rPr>
              <w:t>-</w:t>
            </w:r>
          </w:p>
        </w:tc>
      </w:tr>
      <w:tr w14:paraId="34EF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364FF">
            <w:r>
              <w:rPr>
                <w:rFonts w:hint="eastAsia"/>
              </w:rPr>
              <w:t>交易性金融资产</w:t>
            </w:r>
          </w:p>
        </w:tc>
        <w:tc>
          <w:tcPr>
            <w:tcW w:w="1384" w:type="dxa"/>
            <w:vAlign w:val="center"/>
          </w:tcPr>
          <w:p w14:paraId="3EC52B92">
            <w:pPr>
              <w:jc w:val="right"/>
            </w:pPr>
            <w:r>
              <w:rPr>
                <w:rFonts w:hint="eastAsia"/>
              </w:rPr>
              <w:t>-</w:t>
            </w:r>
          </w:p>
        </w:tc>
        <w:tc>
          <w:tcPr>
            <w:tcW w:w="1384" w:type="dxa"/>
            <w:vAlign w:val="center"/>
          </w:tcPr>
          <w:p w14:paraId="01324689">
            <w:pPr>
              <w:jc w:val="right"/>
            </w:pPr>
            <w:r>
              <w:rPr>
                <w:rFonts w:hint="eastAsia"/>
              </w:rPr>
              <w:t>-</w:t>
            </w:r>
          </w:p>
        </w:tc>
        <w:tc>
          <w:tcPr>
            <w:tcW w:w="1384" w:type="dxa"/>
            <w:vAlign w:val="center"/>
          </w:tcPr>
          <w:p w14:paraId="3DB77F27">
            <w:pPr>
              <w:jc w:val="right"/>
            </w:pPr>
            <w:r>
              <w:rPr>
                <w:rFonts w:hint="eastAsia"/>
              </w:rPr>
              <w:t>-</w:t>
            </w:r>
          </w:p>
        </w:tc>
        <w:tc>
          <w:tcPr>
            <w:tcW w:w="1384" w:type="dxa"/>
            <w:vAlign w:val="center"/>
          </w:tcPr>
          <w:p w14:paraId="538CB239">
            <w:pPr>
              <w:jc w:val="right"/>
            </w:pPr>
            <w:r>
              <w:rPr>
                <w:rFonts w:hint="eastAsia"/>
              </w:rPr>
              <w:t>-</w:t>
            </w:r>
          </w:p>
        </w:tc>
        <w:tc>
          <w:tcPr>
            <w:tcW w:w="1384" w:type="dxa"/>
            <w:vAlign w:val="center"/>
          </w:tcPr>
          <w:p w14:paraId="52425FE3">
            <w:pPr>
              <w:jc w:val="right"/>
            </w:pPr>
            <w:r>
              <w:rPr>
                <w:rFonts w:hint="eastAsia"/>
              </w:rPr>
              <w:t>-</w:t>
            </w:r>
          </w:p>
        </w:tc>
      </w:tr>
      <w:tr w14:paraId="551F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388BA">
            <w:r>
              <w:rPr>
                <w:rFonts w:hint="eastAsia"/>
              </w:rPr>
              <w:t>衍生金融资产</w:t>
            </w:r>
          </w:p>
        </w:tc>
        <w:tc>
          <w:tcPr>
            <w:tcW w:w="1384" w:type="dxa"/>
            <w:vAlign w:val="center"/>
          </w:tcPr>
          <w:p w14:paraId="6584B5BC">
            <w:pPr>
              <w:jc w:val="right"/>
            </w:pPr>
            <w:r>
              <w:rPr>
                <w:rFonts w:hint="eastAsia"/>
              </w:rPr>
              <w:t>-</w:t>
            </w:r>
          </w:p>
        </w:tc>
        <w:tc>
          <w:tcPr>
            <w:tcW w:w="1384" w:type="dxa"/>
            <w:vAlign w:val="center"/>
          </w:tcPr>
          <w:p w14:paraId="1763CE72">
            <w:pPr>
              <w:jc w:val="right"/>
            </w:pPr>
            <w:r>
              <w:rPr>
                <w:rFonts w:hint="eastAsia"/>
              </w:rPr>
              <w:t>-</w:t>
            </w:r>
          </w:p>
        </w:tc>
        <w:tc>
          <w:tcPr>
            <w:tcW w:w="1384" w:type="dxa"/>
            <w:vAlign w:val="center"/>
          </w:tcPr>
          <w:p w14:paraId="5CD2B96A">
            <w:pPr>
              <w:jc w:val="right"/>
            </w:pPr>
            <w:r>
              <w:rPr>
                <w:rFonts w:hint="eastAsia"/>
              </w:rPr>
              <w:t>-</w:t>
            </w:r>
          </w:p>
        </w:tc>
        <w:tc>
          <w:tcPr>
            <w:tcW w:w="1384" w:type="dxa"/>
            <w:vAlign w:val="center"/>
          </w:tcPr>
          <w:p w14:paraId="77344C7A">
            <w:pPr>
              <w:jc w:val="right"/>
            </w:pPr>
            <w:r>
              <w:rPr>
                <w:rFonts w:hint="eastAsia"/>
              </w:rPr>
              <w:t>-</w:t>
            </w:r>
          </w:p>
        </w:tc>
        <w:tc>
          <w:tcPr>
            <w:tcW w:w="1384" w:type="dxa"/>
            <w:vAlign w:val="center"/>
          </w:tcPr>
          <w:p w14:paraId="2A1D2F54">
            <w:pPr>
              <w:jc w:val="right"/>
            </w:pPr>
            <w:r>
              <w:rPr>
                <w:rFonts w:hint="eastAsia"/>
              </w:rPr>
              <w:t>-</w:t>
            </w:r>
          </w:p>
        </w:tc>
      </w:tr>
      <w:tr w14:paraId="4148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498F8">
            <w:r>
              <w:rPr>
                <w:rFonts w:hint="eastAsia"/>
              </w:rPr>
              <w:t>买入返售金融资产</w:t>
            </w:r>
          </w:p>
        </w:tc>
        <w:tc>
          <w:tcPr>
            <w:tcW w:w="1384" w:type="dxa"/>
            <w:vAlign w:val="center"/>
          </w:tcPr>
          <w:p w14:paraId="07EEED70">
            <w:pPr>
              <w:jc w:val="right"/>
            </w:pPr>
            <w:r>
              <w:rPr>
                <w:rFonts w:hint="eastAsia"/>
              </w:rPr>
              <w:t>552,042,723.22</w:t>
            </w:r>
          </w:p>
        </w:tc>
        <w:tc>
          <w:tcPr>
            <w:tcW w:w="1384" w:type="dxa"/>
            <w:vAlign w:val="center"/>
          </w:tcPr>
          <w:p w14:paraId="6EE9E68A">
            <w:pPr>
              <w:jc w:val="right"/>
            </w:pPr>
            <w:r>
              <w:rPr>
                <w:rFonts w:hint="eastAsia"/>
              </w:rPr>
              <w:t>-</w:t>
            </w:r>
          </w:p>
        </w:tc>
        <w:tc>
          <w:tcPr>
            <w:tcW w:w="1384" w:type="dxa"/>
            <w:vAlign w:val="center"/>
          </w:tcPr>
          <w:p w14:paraId="08E92535">
            <w:pPr>
              <w:jc w:val="right"/>
            </w:pPr>
            <w:r>
              <w:rPr>
                <w:rFonts w:hint="eastAsia"/>
              </w:rPr>
              <w:t>-</w:t>
            </w:r>
          </w:p>
        </w:tc>
        <w:tc>
          <w:tcPr>
            <w:tcW w:w="1384" w:type="dxa"/>
            <w:vAlign w:val="center"/>
          </w:tcPr>
          <w:p w14:paraId="476D0C25">
            <w:pPr>
              <w:jc w:val="right"/>
            </w:pPr>
            <w:r>
              <w:rPr>
                <w:rFonts w:hint="eastAsia"/>
              </w:rPr>
              <w:t>-</w:t>
            </w:r>
          </w:p>
        </w:tc>
        <w:tc>
          <w:tcPr>
            <w:tcW w:w="1384" w:type="dxa"/>
            <w:vAlign w:val="center"/>
          </w:tcPr>
          <w:p w14:paraId="11BC2A08">
            <w:pPr>
              <w:jc w:val="right"/>
            </w:pPr>
            <w:r>
              <w:rPr>
                <w:rFonts w:hint="eastAsia"/>
              </w:rPr>
              <w:t>552,042,723.22</w:t>
            </w:r>
          </w:p>
        </w:tc>
      </w:tr>
      <w:tr w14:paraId="50D0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DFE71">
            <w:r>
              <w:rPr>
                <w:rFonts w:hint="eastAsia"/>
              </w:rPr>
              <w:t>债权投资</w:t>
            </w:r>
          </w:p>
        </w:tc>
        <w:tc>
          <w:tcPr>
            <w:tcW w:w="1384" w:type="dxa"/>
            <w:vAlign w:val="center"/>
          </w:tcPr>
          <w:p w14:paraId="41BF1931">
            <w:pPr>
              <w:jc w:val="right"/>
            </w:pPr>
            <w:r>
              <w:rPr>
                <w:rFonts w:hint="eastAsia"/>
              </w:rPr>
              <w:t>3,209,036,570.99</w:t>
            </w:r>
          </w:p>
        </w:tc>
        <w:tc>
          <w:tcPr>
            <w:tcW w:w="1384" w:type="dxa"/>
            <w:vAlign w:val="center"/>
          </w:tcPr>
          <w:p w14:paraId="4A97CB29">
            <w:pPr>
              <w:jc w:val="right"/>
            </w:pPr>
            <w:r>
              <w:rPr>
                <w:rFonts w:hint="eastAsia"/>
              </w:rPr>
              <w:t>-</w:t>
            </w:r>
          </w:p>
        </w:tc>
        <w:tc>
          <w:tcPr>
            <w:tcW w:w="1384" w:type="dxa"/>
            <w:vAlign w:val="center"/>
          </w:tcPr>
          <w:p w14:paraId="4874F1F8">
            <w:pPr>
              <w:jc w:val="right"/>
            </w:pPr>
            <w:r>
              <w:rPr>
                <w:rFonts w:hint="eastAsia"/>
              </w:rPr>
              <w:t>-</w:t>
            </w:r>
          </w:p>
        </w:tc>
        <w:tc>
          <w:tcPr>
            <w:tcW w:w="1384" w:type="dxa"/>
            <w:vAlign w:val="center"/>
          </w:tcPr>
          <w:p w14:paraId="4BEEEA21">
            <w:pPr>
              <w:jc w:val="right"/>
            </w:pPr>
            <w:r>
              <w:rPr>
                <w:rFonts w:hint="eastAsia"/>
              </w:rPr>
              <w:t>-</w:t>
            </w:r>
          </w:p>
        </w:tc>
        <w:tc>
          <w:tcPr>
            <w:tcW w:w="1384" w:type="dxa"/>
            <w:vAlign w:val="center"/>
          </w:tcPr>
          <w:p w14:paraId="314F9ECE">
            <w:pPr>
              <w:jc w:val="right"/>
            </w:pPr>
            <w:r>
              <w:rPr>
                <w:rFonts w:hint="eastAsia"/>
              </w:rPr>
              <w:t>3,209,036,570.99</w:t>
            </w:r>
          </w:p>
        </w:tc>
      </w:tr>
      <w:tr w14:paraId="7D05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39A25">
            <w:r>
              <w:rPr>
                <w:rFonts w:hint="eastAsia"/>
              </w:rPr>
              <w:t>其他债权投资</w:t>
            </w:r>
          </w:p>
        </w:tc>
        <w:tc>
          <w:tcPr>
            <w:tcW w:w="1384" w:type="dxa"/>
            <w:vAlign w:val="center"/>
          </w:tcPr>
          <w:p w14:paraId="5E360A78">
            <w:pPr>
              <w:jc w:val="right"/>
            </w:pPr>
            <w:r>
              <w:rPr>
                <w:rFonts w:hint="eastAsia"/>
              </w:rPr>
              <w:t>-</w:t>
            </w:r>
          </w:p>
        </w:tc>
        <w:tc>
          <w:tcPr>
            <w:tcW w:w="1384" w:type="dxa"/>
            <w:vAlign w:val="center"/>
          </w:tcPr>
          <w:p w14:paraId="0C4AF7EE">
            <w:pPr>
              <w:jc w:val="right"/>
            </w:pPr>
            <w:r>
              <w:rPr>
                <w:rFonts w:hint="eastAsia"/>
              </w:rPr>
              <w:t>-</w:t>
            </w:r>
          </w:p>
        </w:tc>
        <w:tc>
          <w:tcPr>
            <w:tcW w:w="1384" w:type="dxa"/>
            <w:vAlign w:val="center"/>
          </w:tcPr>
          <w:p w14:paraId="7DA0495D">
            <w:pPr>
              <w:jc w:val="right"/>
            </w:pPr>
            <w:r>
              <w:rPr>
                <w:rFonts w:hint="eastAsia"/>
              </w:rPr>
              <w:t>-</w:t>
            </w:r>
          </w:p>
        </w:tc>
        <w:tc>
          <w:tcPr>
            <w:tcW w:w="1384" w:type="dxa"/>
            <w:vAlign w:val="center"/>
          </w:tcPr>
          <w:p w14:paraId="125D3D96">
            <w:pPr>
              <w:jc w:val="right"/>
            </w:pPr>
            <w:r>
              <w:rPr>
                <w:rFonts w:hint="eastAsia"/>
              </w:rPr>
              <w:t>-</w:t>
            </w:r>
          </w:p>
        </w:tc>
        <w:tc>
          <w:tcPr>
            <w:tcW w:w="1384" w:type="dxa"/>
            <w:vAlign w:val="center"/>
          </w:tcPr>
          <w:p w14:paraId="76E5C49A">
            <w:pPr>
              <w:jc w:val="right"/>
            </w:pPr>
            <w:r>
              <w:rPr>
                <w:rFonts w:hint="eastAsia"/>
              </w:rPr>
              <w:t>-</w:t>
            </w:r>
          </w:p>
        </w:tc>
      </w:tr>
      <w:tr w14:paraId="02AA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EF292">
            <w:r>
              <w:rPr>
                <w:rFonts w:hint="eastAsia"/>
              </w:rPr>
              <w:t>其他权益工具投资</w:t>
            </w:r>
          </w:p>
        </w:tc>
        <w:tc>
          <w:tcPr>
            <w:tcW w:w="1384" w:type="dxa"/>
            <w:vAlign w:val="center"/>
          </w:tcPr>
          <w:p w14:paraId="02B5155E">
            <w:pPr>
              <w:jc w:val="right"/>
            </w:pPr>
            <w:r>
              <w:rPr>
                <w:rFonts w:hint="eastAsia"/>
              </w:rPr>
              <w:t>-</w:t>
            </w:r>
          </w:p>
        </w:tc>
        <w:tc>
          <w:tcPr>
            <w:tcW w:w="1384" w:type="dxa"/>
            <w:vAlign w:val="center"/>
          </w:tcPr>
          <w:p w14:paraId="52384043">
            <w:pPr>
              <w:jc w:val="right"/>
            </w:pPr>
            <w:r>
              <w:rPr>
                <w:rFonts w:hint="eastAsia"/>
              </w:rPr>
              <w:t>-</w:t>
            </w:r>
          </w:p>
        </w:tc>
        <w:tc>
          <w:tcPr>
            <w:tcW w:w="1384" w:type="dxa"/>
            <w:vAlign w:val="center"/>
          </w:tcPr>
          <w:p w14:paraId="4CAB04EC">
            <w:pPr>
              <w:jc w:val="right"/>
            </w:pPr>
            <w:r>
              <w:rPr>
                <w:rFonts w:hint="eastAsia"/>
              </w:rPr>
              <w:t>-</w:t>
            </w:r>
          </w:p>
        </w:tc>
        <w:tc>
          <w:tcPr>
            <w:tcW w:w="1384" w:type="dxa"/>
            <w:vAlign w:val="center"/>
          </w:tcPr>
          <w:p w14:paraId="69F2C32B">
            <w:pPr>
              <w:jc w:val="right"/>
            </w:pPr>
            <w:r>
              <w:rPr>
                <w:rFonts w:hint="eastAsia"/>
              </w:rPr>
              <w:t>-</w:t>
            </w:r>
          </w:p>
        </w:tc>
        <w:tc>
          <w:tcPr>
            <w:tcW w:w="1384" w:type="dxa"/>
            <w:vAlign w:val="center"/>
          </w:tcPr>
          <w:p w14:paraId="2B9957AF">
            <w:pPr>
              <w:jc w:val="right"/>
            </w:pPr>
            <w:r>
              <w:rPr>
                <w:rFonts w:hint="eastAsia"/>
              </w:rPr>
              <w:t>-</w:t>
            </w:r>
          </w:p>
        </w:tc>
      </w:tr>
      <w:tr w14:paraId="0639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B0846">
            <w:r>
              <w:rPr>
                <w:rFonts w:hint="eastAsia"/>
              </w:rPr>
              <w:t>应收清算款</w:t>
            </w:r>
          </w:p>
        </w:tc>
        <w:tc>
          <w:tcPr>
            <w:tcW w:w="1384" w:type="dxa"/>
            <w:vAlign w:val="center"/>
          </w:tcPr>
          <w:p w14:paraId="0E4557CD">
            <w:pPr>
              <w:jc w:val="right"/>
            </w:pPr>
            <w:r>
              <w:rPr>
                <w:rFonts w:hint="eastAsia"/>
              </w:rPr>
              <w:t>-</w:t>
            </w:r>
          </w:p>
        </w:tc>
        <w:tc>
          <w:tcPr>
            <w:tcW w:w="1384" w:type="dxa"/>
            <w:vAlign w:val="center"/>
          </w:tcPr>
          <w:p w14:paraId="0C3282F6">
            <w:pPr>
              <w:jc w:val="right"/>
            </w:pPr>
            <w:r>
              <w:rPr>
                <w:rFonts w:hint="eastAsia"/>
              </w:rPr>
              <w:t>-</w:t>
            </w:r>
          </w:p>
        </w:tc>
        <w:tc>
          <w:tcPr>
            <w:tcW w:w="1384" w:type="dxa"/>
            <w:vAlign w:val="center"/>
          </w:tcPr>
          <w:p w14:paraId="17167F2C">
            <w:pPr>
              <w:jc w:val="right"/>
            </w:pPr>
            <w:r>
              <w:rPr>
                <w:rFonts w:hint="eastAsia"/>
              </w:rPr>
              <w:t>-</w:t>
            </w:r>
          </w:p>
        </w:tc>
        <w:tc>
          <w:tcPr>
            <w:tcW w:w="1384" w:type="dxa"/>
            <w:vAlign w:val="center"/>
          </w:tcPr>
          <w:p w14:paraId="1C9FF83C">
            <w:pPr>
              <w:jc w:val="right"/>
            </w:pPr>
            <w:r>
              <w:rPr>
                <w:rFonts w:hint="eastAsia"/>
              </w:rPr>
              <w:t>-</w:t>
            </w:r>
          </w:p>
        </w:tc>
        <w:tc>
          <w:tcPr>
            <w:tcW w:w="1384" w:type="dxa"/>
            <w:vAlign w:val="center"/>
          </w:tcPr>
          <w:p w14:paraId="413F0738">
            <w:pPr>
              <w:jc w:val="right"/>
            </w:pPr>
            <w:r>
              <w:rPr>
                <w:rFonts w:hint="eastAsia"/>
              </w:rPr>
              <w:t>-</w:t>
            </w:r>
          </w:p>
        </w:tc>
      </w:tr>
      <w:tr w14:paraId="0B8E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8B3B2">
            <w:r>
              <w:rPr>
                <w:rFonts w:hint="eastAsia"/>
              </w:rPr>
              <w:t>应收股利</w:t>
            </w:r>
          </w:p>
        </w:tc>
        <w:tc>
          <w:tcPr>
            <w:tcW w:w="1384" w:type="dxa"/>
            <w:vAlign w:val="center"/>
          </w:tcPr>
          <w:p w14:paraId="648CFECB">
            <w:pPr>
              <w:jc w:val="right"/>
            </w:pPr>
            <w:r>
              <w:rPr>
                <w:rFonts w:hint="eastAsia"/>
              </w:rPr>
              <w:t>-</w:t>
            </w:r>
          </w:p>
        </w:tc>
        <w:tc>
          <w:tcPr>
            <w:tcW w:w="1384" w:type="dxa"/>
            <w:vAlign w:val="center"/>
          </w:tcPr>
          <w:p w14:paraId="3058D875">
            <w:pPr>
              <w:jc w:val="right"/>
            </w:pPr>
            <w:r>
              <w:rPr>
                <w:rFonts w:hint="eastAsia"/>
              </w:rPr>
              <w:t>-</w:t>
            </w:r>
          </w:p>
        </w:tc>
        <w:tc>
          <w:tcPr>
            <w:tcW w:w="1384" w:type="dxa"/>
            <w:vAlign w:val="center"/>
          </w:tcPr>
          <w:p w14:paraId="60F48FD1">
            <w:pPr>
              <w:jc w:val="right"/>
            </w:pPr>
            <w:r>
              <w:rPr>
                <w:rFonts w:hint="eastAsia"/>
              </w:rPr>
              <w:t>-</w:t>
            </w:r>
          </w:p>
        </w:tc>
        <w:tc>
          <w:tcPr>
            <w:tcW w:w="1384" w:type="dxa"/>
            <w:vAlign w:val="center"/>
          </w:tcPr>
          <w:p w14:paraId="0D502881">
            <w:pPr>
              <w:jc w:val="right"/>
            </w:pPr>
            <w:r>
              <w:rPr>
                <w:rFonts w:hint="eastAsia"/>
              </w:rPr>
              <w:t>-</w:t>
            </w:r>
          </w:p>
        </w:tc>
        <w:tc>
          <w:tcPr>
            <w:tcW w:w="1384" w:type="dxa"/>
            <w:vAlign w:val="center"/>
          </w:tcPr>
          <w:p w14:paraId="738B6236">
            <w:pPr>
              <w:jc w:val="right"/>
            </w:pPr>
            <w:r>
              <w:rPr>
                <w:rFonts w:hint="eastAsia"/>
              </w:rPr>
              <w:t>-</w:t>
            </w:r>
          </w:p>
        </w:tc>
      </w:tr>
      <w:tr w14:paraId="4ED2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256CC">
            <w:r>
              <w:rPr>
                <w:rFonts w:hint="eastAsia"/>
              </w:rPr>
              <w:t>应收申购款</w:t>
            </w:r>
          </w:p>
        </w:tc>
        <w:tc>
          <w:tcPr>
            <w:tcW w:w="1384" w:type="dxa"/>
            <w:vAlign w:val="center"/>
          </w:tcPr>
          <w:p w14:paraId="33A5E846">
            <w:pPr>
              <w:jc w:val="right"/>
            </w:pPr>
            <w:r>
              <w:rPr>
                <w:rFonts w:hint="eastAsia"/>
              </w:rPr>
              <w:t>-</w:t>
            </w:r>
          </w:p>
        </w:tc>
        <w:tc>
          <w:tcPr>
            <w:tcW w:w="1384" w:type="dxa"/>
            <w:vAlign w:val="center"/>
          </w:tcPr>
          <w:p w14:paraId="272D0BEB">
            <w:pPr>
              <w:jc w:val="right"/>
            </w:pPr>
            <w:r>
              <w:rPr>
                <w:rFonts w:hint="eastAsia"/>
              </w:rPr>
              <w:t>-</w:t>
            </w:r>
          </w:p>
        </w:tc>
        <w:tc>
          <w:tcPr>
            <w:tcW w:w="1384" w:type="dxa"/>
            <w:vAlign w:val="center"/>
          </w:tcPr>
          <w:p w14:paraId="01F98078">
            <w:pPr>
              <w:jc w:val="right"/>
            </w:pPr>
            <w:r>
              <w:rPr>
                <w:rFonts w:hint="eastAsia"/>
              </w:rPr>
              <w:t>-</w:t>
            </w:r>
          </w:p>
        </w:tc>
        <w:tc>
          <w:tcPr>
            <w:tcW w:w="1384" w:type="dxa"/>
            <w:vAlign w:val="center"/>
          </w:tcPr>
          <w:p w14:paraId="68572ABC">
            <w:pPr>
              <w:jc w:val="right"/>
            </w:pPr>
            <w:r>
              <w:rPr>
                <w:rFonts w:hint="eastAsia"/>
              </w:rPr>
              <w:t>-</w:t>
            </w:r>
          </w:p>
        </w:tc>
        <w:tc>
          <w:tcPr>
            <w:tcW w:w="1384" w:type="dxa"/>
            <w:vAlign w:val="center"/>
          </w:tcPr>
          <w:p w14:paraId="64A5C7CC">
            <w:pPr>
              <w:jc w:val="right"/>
            </w:pPr>
            <w:r>
              <w:rPr>
                <w:rFonts w:hint="eastAsia"/>
              </w:rPr>
              <w:t>-</w:t>
            </w:r>
          </w:p>
        </w:tc>
      </w:tr>
      <w:tr w14:paraId="4B1D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C0EAC">
            <w:r>
              <w:rPr>
                <w:rFonts w:hint="eastAsia"/>
              </w:rPr>
              <w:t>递延所得税资产</w:t>
            </w:r>
          </w:p>
        </w:tc>
        <w:tc>
          <w:tcPr>
            <w:tcW w:w="1384" w:type="dxa"/>
            <w:vAlign w:val="center"/>
          </w:tcPr>
          <w:p w14:paraId="43D69192">
            <w:pPr>
              <w:jc w:val="right"/>
            </w:pPr>
            <w:r>
              <w:rPr>
                <w:rFonts w:hint="eastAsia"/>
              </w:rPr>
              <w:t>-</w:t>
            </w:r>
          </w:p>
        </w:tc>
        <w:tc>
          <w:tcPr>
            <w:tcW w:w="1384" w:type="dxa"/>
            <w:vAlign w:val="center"/>
          </w:tcPr>
          <w:p w14:paraId="580B84FD">
            <w:pPr>
              <w:jc w:val="right"/>
            </w:pPr>
            <w:r>
              <w:rPr>
                <w:rFonts w:hint="eastAsia"/>
              </w:rPr>
              <w:t>-</w:t>
            </w:r>
          </w:p>
        </w:tc>
        <w:tc>
          <w:tcPr>
            <w:tcW w:w="1384" w:type="dxa"/>
            <w:vAlign w:val="center"/>
          </w:tcPr>
          <w:p w14:paraId="1E9E421C">
            <w:pPr>
              <w:jc w:val="right"/>
            </w:pPr>
            <w:r>
              <w:rPr>
                <w:rFonts w:hint="eastAsia"/>
              </w:rPr>
              <w:t>-</w:t>
            </w:r>
          </w:p>
        </w:tc>
        <w:tc>
          <w:tcPr>
            <w:tcW w:w="1384" w:type="dxa"/>
            <w:vAlign w:val="center"/>
          </w:tcPr>
          <w:p w14:paraId="02A345D4">
            <w:pPr>
              <w:jc w:val="right"/>
            </w:pPr>
            <w:r>
              <w:rPr>
                <w:rFonts w:hint="eastAsia"/>
              </w:rPr>
              <w:t>-</w:t>
            </w:r>
          </w:p>
        </w:tc>
        <w:tc>
          <w:tcPr>
            <w:tcW w:w="1384" w:type="dxa"/>
            <w:vAlign w:val="center"/>
          </w:tcPr>
          <w:p w14:paraId="1F88DFDD">
            <w:pPr>
              <w:jc w:val="right"/>
            </w:pPr>
            <w:r>
              <w:rPr>
                <w:rFonts w:hint="eastAsia"/>
              </w:rPr>
              <w:t>-</w:t>
            </w:r>
          </w:p>
        </w:tc>
      </w:tr>
      <w:tr w14:paraId="6ECF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68CAA">
            <w:r>
              <w:rPr>
                <w:rFonts w:hint="eastAsia"/>
              </w:rPr>
              <w:t>其他资产</w:t>
            </w:r>
          </w:p>
        </w:tc>
        <w:tc>
          <w:tcPr>
            <w:tcW w:w="1384" w:type="dxa"/>
            <w:vAlign w:val="center"/>
          </w:tcPr>
          <w:p w14:paraId="376E52CC">
            <w:pPr>
              <w:jc w:val="right"/>
            </w:pPr>
            <w:r>
              <w:rPr>
                <w:rFonts w:hint="eastAsia"/>
              </w:rPr>
              <w:t>-</w:t>
            </w:r>
          </w:p>
        </w:tc>
        <w:tc>
          <w:tcPr>
            <w:tcW w:w="1384" w:type="dxa"/>
            <w:vAlign w:val="center"/>
          </w:tcPr>
          <w:p w14:paraId="3EECAA9C">
            <w:pPr>
              <w:jc w:val="right"/>
            </w:pPr>
            <w:r>
              <w:rPr>
                <w:rFonts w:hint="eastAsia"/>
              </w:rPr>
              <w:t>-</w:t>
            </w:r>
          </w:p>
        </w:tc>
        <w:tc>
          <w:tcPr>
            <w:tcW w:w="1384" w:type="dxa"/>
            <w:vAlign w:val="center"/>
          </w:tcPr>
          <w:p w14:paraId="4BD6E63F">
            <w:pPr>
              <w:jc w:val="right"/>
            </w:pPr>
            <w:r>
              <w:rPr>
                <w:rFonts w:hint="eastAsia"/>
              </w:rPr>
              <w:t>-</w:t>
            </w:r>
          </w:p>
        </w:tc>
        <w:tc>
          <w:tcPr>
            <w:tcW w:w="1384" w:type="dxa"/>
            <w:vAlign w:val="center"/>
          </w:tcPr>
          <w:p w14:paraId="69966EB0">
            <w:pPr>
              <w:jc w:val="right"/>
            </w:pPr>
            <w:r>
              <w:rPr>
                <w:rFonts w:hint="eastAsia"/>
              </w:rPr>
              <w:t>-</w:t>
            </w:r>
          </w:p>
        </w:tc>
        <w:tc>
          <w:tcPr>
            <w:tcW w:w="1384" w:type="dxa"/>
            <w:vAlign w:val="center"/>
          </w:tcPr>
          <w:p w14:paraId="214ED9C0">
            <w:pPr>
              <w:jc w:val="right"/>
            </w:pPr>
            <w:r>
              <w:rPr>
                <w:rFonts w:hint="eastAsia"/>
              </w:rPr>
              <w:t>-</w:t>
            </w:r>
          </w:p>
        </w:tc>
      </w:tr>
      <w:tr w14:paraId="0ABD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CD926">
            <w:r>
              <w:rPr>
                <w:rFonts w:hint="eastAsia"/>
              </w:rPr>
              <w:t>资产总计</w:t>
            </w:r>
          </w:p>
        </w:tc>
        <w:tc>
          <w:tcPr>
            <w:tcW w:w="1384" w:type="dxa"/>
            <w:vAlign w:val="center"/>
          </w:tcPr>
          <w:p w14:paraId="6CE0E8E5">
            <w:pPr>
              <w:jc w:val="right"/>
            </w:pPr>
            <w:r>
              <w:rPr>
                <w:rFonts w:hint="eastAsia"/>
              </w:rPr>
              <w:t>4,681,907,731.32</w:t>
            </w:r>
          </w:p>
        </w:tc>
        <w:tc>
          <w:tcPr>
            <w:tcW w:w="1384" w:type="dxa"/>
            <w:vAlign w:val="center"/>
          </w:tcPr>
          <w:p w14:paraId="68A2D90A">
            <w:pPr>
              <w:jc w:val="right"/>
            </w:pPr>
            <w:r>
              <w:rPr>
                <w:rFonts w:hint="eastAsia"/>
              </w:rPr>
              <w:t>-</w:t>
            </w:r>
          </w:p>
        </w:tc>
        <w:tc>
          <w:tcPr>
            <w:tcW w:w="1384" w:type="dxa"/>
            <w:vAlign w:val="center"/>
          </w:tcPr>
          <w:p w14:paraId="6F49273C">
            <w:pPr>
              <w:jc w:val="right"/>
            </w:pPr>
            <w:r>
              <w:rPr>
                <w:rFonts w:hint="eastAsia"/>
              </w:rPr>
              <w:t>-</w:t>
            </w:r>
          </w:p>
        </w:tc>
        <w:tc>
          <w:tcPr>
            <w:tcW w:w="1384" w:type="dxa"/>
            <w:vAlign w:val="center"/>
          </w:tcPr>
          <w:p w14:paraId="6830D27C">
            <w:pPr>
              <w:jc w:val="right"/>
            </w:pPr>
            <w:r>
              <w:rPr>
                <w:rFonts w:hint="eastAsia"/>
              </w:rPr>
              <w:t>-</w:t>
            </w:r>
          </w:p>
        </w:tc>
        <w:tc>
          <w:tcPr>
            <w:tcW w:w="1384" w:type="dxa"/>
            <w:vAlign w:val="center"/>
          </w:tcPr>
          <w:p w14:paraId="25B16682">
            <w:pPr>
              <w:jc w:val="right"/>
            </w:pPr>
            <w:r>
              <w:rPr>
                <w:rFonts w:hint="eastAsia"/>
              </w:rPr>
              <w:t>4,681,907,731.32</w:t>
            </w:r>
          </w:p>
        </w:tc>
      </w:tr>
      <w:tr w14:paraId="104C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15A2">
            <w:r>
              <w:rPr>
                <w:rFonts w:hint="eastAsia"/>
              </w:rPr>
              <w:t>负债</w:t>
            </w:r>
          </w:p>
        </w:tc>
        <w:tc>
          <w:tcPr>
            <w:tcW w:w="1384" w:type="dxa"/>
            <w:vAlign w:val="center"/>
          </w:tcPr>
          <w:p w14:paraId="1130D986"/>
        </w:tc>
        <w:tc>
          <w:tcPr>
            <w:tcW w:w="1384" w:type="dxa"/>
            <w:vAlign w:val="center"/>
          </w:tcPr>
          <w:p w14:paraId="0FEBC9DF"/>
        </w:tc>
        <w:tc>
          <w:tcPr>
            <w:tcW w:w="1384" w:type="dxa"/>
            <w:vAlign w:val="center"/>
          </w:tcPr>
          <w:p w14:paraId="46F2D445"/>
        </w:tc>
        <w:tc>
          <w:tcPr>
            <w:tcW w:w="1384" w:type="dxa"/>
            <w:vAlign w:val="center"/>
          </w:tcPr>
          <w:p w14:paraId="1FE7E76F"/>
        </w:tc>
        <w:tc>
          <w:tcPr>
            <w:tcW w:w="1384" w:type="dxa"/>
            <w:vAlign w:val="center"/>
          </w:tcPr>
          <w:p w14:paraId="1AC96A89"/>
        </w:tc>
      </w:tr>
      <w:tr w14:paraId="5EB8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0D6B5">
            <w:r>
              <w:rPr>
                <w:rFonts w:hint="eastAsia"/>
              </w:rPr>
              <w:t>短期借款</w:t>
            </w:r>
          </w:p>
        </w:tc>
        <w:tc>
          <w:tcPr>
            <w:tcW w:w="1384" w:type="dxa"/>
            <w:vAlign w:val="center"/>
          </w:tcPr>
          <w:p w14:paraId="3A1BF01F">
            <w:pPr>
              <w:jc w:val="right"/>
            </w:pPr>
            <w:r>
              <w:rPr>
                <w:rFonts w:hint="eastAsia"/>
              </w:rPr>
              <w:t>-</w:t>
            </w:r>
          </w:p>
        </w:tc>
        <w:tc>
          <w:tcPr>
            <w:tcW w:w="1384" w:type="dxa"/>
            <w:vAlign w:val="center"/>
          </w:tcPr>
          <w:p w14:paraId="2DE554EC">
            <w:pPr>
              <w:jc w:val="right"/>
            </w:pPr>
            <w:r>
              <w:rPr>
                <w:rFonts w:hint="eastAsia"/>
              </w:rPr>
              <w:t>-</w:t>
            </w:r>
          </w:p>
        </w:tc>
        <w:tc>
          <w:tcPr>
            <w:tcW w:w="1384" w:type="dxa"/>
            <w:vAlign w:val="center"/>
          </w:tcPr>
          <w:p w14:paraId="50C81B30">
            <w:pPr>
              <w:jc w:val="right"/>
            </w:pPr>
            <w:r>
              <w:rPr>
                <w:rFonts w:hint="eastAsia"/>
              </w:rPr>
              <w:t>-</w:t>
            </w:r>
          </w:p>
        </w:tc>
        <w:tc>
          <w:tcPr>
            <w:tcW w:w="1384" w:type="dxa"/>
            <w:vAlign w:val="center"/>
          </w:tcPr>
          <w:p w14:paraId="7559D4FB">
            <w:pPr>
              <w:jc w:val="right"/>
            </w:pPr>
            <w:r>
              <w:rPr>
                <w:rFonts w:hint="eastAsia"/>
              </w:rPr>
              <w:t>-</w:t>
            </w:r>
          </w:p>
        </w:tc>
        <w:tc>
          <w:tcPr>
            <w:tcW w:w="1384" w:type="dxa"/>
            <w:vAlign w:val="center"/>
          </w:tcPr>
          <w:p w14:paraId="2C7B596C">
            <w:pPr>
              <w:jc w:val="right"/>
            </w:pPr>
            <w:r>
              <w:rPr>
                <w:rFonts w:hint="eastAsia"/>
              </w:rPr>
              <w:t>-</w:t>
            </w:r>
          </w:p>
        </w:tc>
      </w:tr>
      <w:tr w14:paraId="2775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B28F6">
            <w:r>
              <w:rPr>
                <w:rFonts w:hint="eastAsia"/>
              </w:rPr>
              <w:t>交易性金融负债</w:t>
            </w:r>
          </w:p>
        </w:tc>
        <w:tc>
          <w:tcPr>
            <w:tcW w:w="1384" w:type="dxa"/>
            <w:vAlign w:val="center"/>
          </w:tcPr>
          <w:p w14:paraId="4CF9BCA8">
            <w:pPr>
              <w:jc w:val="right"/>
            </w:pPr>
            <w:r>
              <w:rPr>
                <w:rFonts w:hint="eastAsia"/>
              </w:rPr>
              <w:t>-</w:t>
            </w:r>
          </w:p>
        </w:tc>
        <w:tc>
          <w:tcPr>
            <w:tcW w:w="1384" w:type="dxa"/>
            <w:vAlign w:val="center"/>
          </w:tcPr>
          <w:p w14:paraId="13E55952">
            <w:pPr>
              <w:jc w:val="right"/>
            </w:pPr>
            <w:r>
              <w:rPr>
                <w:rFonts w:hint="eastAsia"/>
              </w:rPr>
              <w:t>-</w:t>
            </w:r>
          </w:p>
        </w:tc>
        <w:tc>
          <w:tcPr>
            <w:tcW w:w="1384" w:type="dxa"/>
            <w:vAlign w:val="center"/>
          </w:tcPr>
          <w:p w14:paraId="561C871A">
            <w:pPr>
              <w:jc w:val="right"/>
            </w:pPr>
            <w:r>
              <w:rPr>
                <w:rFonts w:hint="eastAsia"/>
              </w:rPr>
              <w:t>-</w:t>
            </w:r>
          </w:p>
        </w:tc>
        <w:tc>
          <w:tcPr>
            <w:tcW w:w="1384" w:type="dxa"/>
            <w:vAlign w:val="center"/>
          </w:tcPr>
          <w:p w14:paraId="2CD6A8D8">
            <w:pPr>
              <w:jc w:val="right"/>
            </w:pPr>
            <w:r>
              <w:rPr>
                <w:rFonts w:hint="eastAsia"/>
              </w:rPr>
              <w:t>-</w:t>
            </w:r>
          </w:p>
        </w:tc>
        <w:tc>
          <w:tcPr>
            <w:tcW w:w="1384" w:type="dxa"/>
            <w:vAlign w:val="center"/>
          </w:tcPr>
          <w:p w14:paraId="6934DD76">
            <w:pPr>
              <w:jc w:val="right"/>
            </w:pPr>
            <w:r>
              <w:rPr>
                <w:rFonts w:hint="eastAsia"/>
              </w:rPr>
              <w:t>-</w:t>
            </w:r>
          </w:p>
        </w:tc>
      </w:tr>
      <w:tr w14:paraId="429D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D0A16">
            <w:r>
              <w:rPr>
                <w:rFonts w:hint="eastAsia"/>
              </w:rPr>
              <w:t>衍生金融负债</w:t>
            </w:r>
          </w:p>
        </w:tc>
        <w:tc>
          <w:tcPr>
            <w:tcW w:w="1384" w:type="dxa"/>
            <w:vAlign w:val="center"/>
          </w:tcPr>
          <w:p w14:paraId="2B11D6F1">
            <w:pPr>
              <w:jc w:val="right"/>
            </w:pPr>
            <w:r>
              <w:rPr>
                <w:rFonts w:hint="eastAsia"/>
              </w:rPr>
              <w:t>-</w:t>
            </w:r>
          </w:p>
        </w:tc>
        <w:tc>
          <w:tcPr>
            <w:tcW w:w="1384" w:type="dxa"/>
            <w:vAlign w:val="center"/>
          </w:tcPr>
          <w:p w14:paraId="12645E2A">
            <w:pPr>
              <w:jc w:val="right"/>
            </w:pPr>
            <w:r>
              <w:rPr>
                <w:rFonts w:hint="eastAsia"/>
              </w:rPr>
              <w:t>-</w:t>
            </w:r>
          </w:p>
        </w:tc>
        <w:tc>
          <w:tcPr>
            <w:tcW w:w="1384" w:type="dxa"/>
            <w:vAlign w:val="center"/>
          </w:tcPr>
          <w:p w14:paraId="2B16248C">
            <w:pPr>
              <w:jc w:val="right"/>
            </w:pPr>
            <w:r>
              <w:rPr>
                <w:rFonts w:hint="eastAsia"/>
              </w:rPr>
              <w:t>-</w:t>
            </w:r>
          </w:p>
        </w:tc>
        <w:tc>
          <w:tcPr>
            <w:tcW w:w="1384" w:type="dxa"/>
            <w:vAlign w:val="center"/>
          </w:tcPr>
          <w:p w14:paraId="4B71B25F">
            <w:pPr>
              <w:jc w:val="right"/>
            </w:pPr>
            <w:r>
              <w:rPr>
                <w:rFonts w:hint="eastAsia"/>
              </w:rPr>
              <w:t>-</w:t>
            </w:r>
          </w:p>
        </w:tc>
        <w:tc>
          <w:tcPr>
            <w:tcW w:w="1384" w:type="dxa"/>
            <w:vAlign w:val="center"/>
          </w:tcPr>
          <w:p w14:paraId="4B3649DA">
            <w:pPr>
              <w:jc w:val="right"/>
            </w:pPr>
            <w:r>
              <w:rPr>
                <w:rFonts w:hint="eastAsia"/>
              </w:rPr>
              <w:t>-</w:t>
            </w:r>
          </w:p>
        </w:tc>
      </w:tr>
      <w:tr w14:paraId="4102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B9508">
            <w:r>
              <w:rPr>
                <w:rFonts w:hint="eastAsia"/>
              </w:rPr>
              <w:t>卖出回购金融资产款</w:t>
            </w:r>
          </w:p>
        </w:tc>
        <w:tc>
          <w:tcPr>
            <w:tcW w:w="1384" w:type="dxa"/>
            <w:vAlign w:val="center"/>
          </w:tcPr>
          <w:p w14:paraId="1E0A088A">
            <w:pPr>
              <w:jc w:val="right"/>
            </w:pPr>
            <w:r>
              <w:rPr>
                <w:rFonts w:hint="eastAsia"/>
              </w:rPr>
              <w:t>51,006,920.80</w:t>
            </w:r>
          </w:p>
        </w:tc>
        <w:tc>
          <w:tcPr>
            <w:tcW w:w="1384" w:type="dxa"/>
            <w:vAlign w:val="center"/>
          </w:tcPr>
          <w:p w14:paraId="706B1A43">
            <w:pPr>
              <w:jc w:val="right"/>
            </w:pPr>
            <w:r>
              <w:rPr>
                <w:rFonts w:hint="eastAsia"/>
              </w:rPr>
              <w:t>-</w:t>
            </w:r>
          </w:p>
        </w:tc>
        <w:tc>
          <w:tcPr>
            <w:tcW w:w="1384" w:type="dxa"/>
            <w:vAlign w:val="center"/>
          </w:tcPr>
          <w:p w14:paraId="1AFCEFD2">
            <w:pPr>
              <w:jc w:val="right"/>
            </w:pPr>
            <w:r>
              <w:rPr>
                <w:rFonts w:hint="eastAsia"/>
              </w:rPr>
              <w:t>-</w:t>
            </w:r>
          </w:p>
        </w:tc>
        <w:tc>
          <w:tcPr>
            <w:tcW w:w="1384" w:type="dxa"/>
            <w:vAlign w:val="center"/>
          </w:tcPr>
          <w:p w14:paraId="208854E6">
            <w:pPr>
              <w:jc w:val="right"/>
            </w:pPr>
            <w:r>
              <w:rPr>
                <w:rFonts w:hint="eastAsia"/>
              </w:rPr>
              <w:t>-</w:t>
            </w:r>
          </w:p>
        </w:tc>
        <w:tc>
          <w:tcPr>
            <w:tcW w:w="1384" w:type="dxa"/>
            <w:vAlign w:val="center"/>
          </w:tcPr>
          <w:p w14:paraId="1A523579">
            <w:pPr>
              <w:jc w:val="right"/>
            </w:pPr>
            <w:r>
              <w:rPr>
                <w:rFonts w:hint="eastAsia"/>
              </w:rPr>
              <w:t>51,006,920.80</w:t>
            </w:r>
          </w:p>
        </w:tc>
      </w:tr>
      <w:tr w14:paraId="5176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627BC">
            <w:r>
              <w:rPr>
                <w:rFonts w:hint="eastAsia"/>
              </w:rPr>
              <w:t>应付清算款</w:t>
            </w:r>
          </w:p>
        </w:tc>
        <w:tc>
          <w:tcPr>
            <w:tcW w:w="1384" w:type="dxa"/>
            <w:vAlign w:val="center"/>
          </w:tcPr>
          <w:p w14:paraId="64B79EB9">
            <w:pPr>
              <w:jc w:val="right"/>
            </w:pPr>
            <w:r>
              <w:rPr>
                <w:rFonts w:hint="eastAsia"/>
              </w:rPr>
              <w:t>-</w:t>
            </w:r>
          </w:p>
        </w:tc>
        <w:tc>
          <w:tcPr>
            <w:tcW w:w="1384" w:type="dxa"/>
            <w:vAlign w:val="center"/>
          </w:tcPr>
          <w:p w14:paraId="6FB3C1CD">
            <w:pPr>
              <w:jc w:val="right"/>
            </w:pPr>
            <w:r>
              <w:rPr>
                <w:rFonts w:hint="eastAsia"/>
              </w:rPr>
              <w:t>-</w:t>
            </w:r>
          </w:p>
        </w:tc>
        <w:tc>
          <w:tcPr>
            <w:tcW w:w="1384" w:type="dxa"/>
            <w:vAlign w:val="center"/>
          </w:tcPr>
          <w:p w14:paraId="2A27F1FE">
            <w:pPr>
              <w:jc w:val="right"/>
            </w:pPr>
            <w:r>
              <w:rPr>
                <w:rFonts w:hint="eastAsia"/>
              </w:rPr>
              <w:t>-</w:t>
            </w:r>
          </w:p>
        </w:tc>
        <w:tc>
          <w:tcPr>
            <w:tcW w:w="1384" w:type="dxa"/>
            <w:vAlign w:val="center"/>
          </w:tcPr>
          <w:p w14:paraId="6257B4A5">
            <w:pPr>
              <w:jc w:val="right"/>
            </w:pPr>
            <w:r>
              <w:rPr>
                <w:rFonts w:hint="eastAsia"/>
              </w:rPr>
              <w:t>-</w:t>
            </w:r>
          </w:p>
        </w:tc>
        <w:tc>
          <w:tcPr>
            <w:tcW w:w="1384" w:type="dxa"/>
            <w:vAlign w:val="center"/>
          </w:tcPr>
          <w:p w14:paraId="39F667A2">
            <w:pPr>
              <w:jc w:val="right"/>
            </w:pPr>
            <w:r>
              <w:rPr>
                <w:rFonts w:hint="eastAsia"/>
              </w:rPr>
              <w:t>-</w:t>
            </w:r>
          </w:p>
        </w:tc>
      </w:tr>
      <w:tr w14:paraId="6E55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25700">
            <w:r>
              <w:rPr>
                <w:rFonts w:hint="eastAsia"/>
              </w:rPr>
              <w:t>应付赎回款</w:t>
            </w:r>
          </w:p>
        </w:tc>
        <w:tc>
          <w:tcPr>
            <w:tcW w:w="1384" w:type="dxa"/>
            <w:vAlign w:val="center"/>
          </w:tcPr>
          <w:p w14:paraId="663983A8">
            <w:pPr>
              <w:jc w:val="right"/>
            </w:pPr>
            <w:r>
              <w:rPr>
                <w:rFonts w:hint="eastAsia"/>
              </w:rPr>
              <w:t>-</w:t>
            </w:r>
          </w:p>
        </w:tc>
        <w:tc>
          <w:tcPr>
            <w:tcW w:w="1384" w:type="dxa"/>
            <w:vAlign w:val="center"/>
          </w:tcPr>
          <w:p w14:paraId="5C0C81FA">
            <w:pPr>
              <w:jc w:val="right"/>
            </w:pPr>
            <w:r>
              <w:rPr>
                <w:rFonts w:hint="eastAsia"/>
              </w:rPr>
              <w:t>-</w:t>
            </w:r>
          </w:p>
        </w:tc>
        <w:tc>
          <w:tcPr>
            <w:tcW w:w="1384" w:type="dxa"/>
            <w:vAlign w:val="center"/>
          </w:tcPr>
          <w:p w14:paraId="3CCD5E2B">
            <w:pPr>
              <w:jc w:val="right"/>
            </w:pPr>
            <w:r>
              <w:rPr>
                <w:rFonts w:hint="eastAsia"/>
              </w:rPr>
              <w:t>-</w:t>
            </w:r>
          </w:p>
        </w:tc>
        <w:tc>
          <w:tcPr>
            <w:tcW w:w="1384" w:type="dxa"/>
            <w:vAlign w:val="center"/>
          </w:tcPr>
          <w:p w14:paraId="3F306F1A">
            <w:pPr>
              <w:jc w:val="right"/>
            </w:pPr>
            <w:r>
              <w:rPr>
                <w:rFonts w:hint="eastAsia"/>
              </w:rPr>
              <w:t>-</w:t>
            </w:r>
          </w:p>
        </w:tc>
        <w:tc>
          <w:tcPr>
            <w:tcW w:w="1384" w:type="dxa"/>
            <w:vAlign w:val="center"/>
          </w:tcPr>
          <w:p w14:paraId="4EAE92D6">
            <w:pPr>
              <w:jc w:val="right"/>
            </w:pPr>
            <w:r>
              <w:rPr>
                <w:rFonts w:hint="eastAsia"/>
              </w:rPr>
              <w:t>-</w:t>
            </w:r>
          </w:p>
        </w:tc>
      </w:tr>
      <w:tr w14:paraId="056B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E09CF">
            <w:r>
              <w:rPr>
                <w:rFonts w:hint="eastAsia"/>
              </w:rPr>
              <w:t>应付管理人报酬</w:t>
            </w:r>
          </w:p>
        </w:tc>
        <w:tc>
          <w:tcPr>
            <w:tcW w:w="1384" w:type="dxa"/>
            <w:vAlign w:val="center"/>
          </w:tcPr>
          <w:p w14:paraId="611055B1">
            <w:pPr>
              <w:jc w:val="right"/>
            </w:pPr>
            <w:r>
              <w:rPr>
                <w:rFonts w:hint="eastAsia"/>
              </w:rPr>
              <w:t>-</w:t>
            </w:r>
          </w:p>
        </w:tc>
        <w:tc>
          <w:tcPr>
            <w:tcW w:w="1384" w:type="dxa"/>
            <w:vAlign w:val="center"/>
          </w:tcPr>
          <w:p w14:paraId="41179D6A">
            <w:pPr>
              <w:jc w:val="right"/>
            </w:pPr>
            <w:r>
              <w:rPr>
                <w:rFonts w:hint="eastAsia"/>
              </w:rPr>
              <w:t>-</w:t>
            </w:r>
          </w:p>
        </w:tc>
        <w:tc>
          <w:tcPr>
            <w:tcW w:w="1384" w:type="dxa"/>
            <w:vAlign w:val="center"/>
          </w:tcPr>
          <w:p w14:paraId="37107382">
            <w:pPr>
              <w:jc w:val="right"/>
            </w:pPr>
            <w:r>
              <w:rPr>
                <w:rFonts w:hint="eastAsia"/>
              </w:rPr>
              <w:t>-</w:t>
            </w:r>
          </w:p>
        </w:tc>
        <w:tc>
          <w:tcPr>
            <w:tcW w:w="1384" w:type="dxa"/>
            <w:vAlign w:val="center"/>
          </w:tcPr>
          <w:p w14:paraId="155C9956">
            <w:pPr>
              <w:jc w:val="right"/>
            </w:pPr>
            <w:r>
              <w:rPr>
                <w:rFonts w:hint="eastAsia"/>
              </w:rPr>
              <w:t>772,704.66</w:t>
            </w:r>
          </w:p>
        </w:tc>
        <w:tc>
          <w:tcPr>
            <w:tcW w:w="1384" w:type="dxa"/>
            <w:vAlign w:val="center"/>
          </w:tcPr>
          <w:p w14:paraId="2BC1A659">
            <w:pPr>
              <w:jc w:val="right"/>
            </w:pPr>
            <w:r>
              <w:rPr>
                <w:rFonts w:hint="eastAsia"/>
              </w:rPr>
              <w:t>772,704.66</w:t>
            </w:r>
          </w:p>
        </w:tc>
      </w:tr>
      <w:tr w14:paraId="433A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EE565">
            <w:r>
              <w:rPr>
                <w:rFonts w:hint="eastAsia"/>
              </w:rPr>
              <w:t>应付托管费</w:t>
            </w:r>
          </w:p>
        </w:tc>
        <w:tc>
          <w:tcPr>
            <w:tcW w:w="1384" w:type="dxa"/>
            <w:vAlign w:val="center"/>
          </w:tcPr>
          <w:p w14:paraId="71CFB7C4">
            <w:pPr>
              <w:jc w:val="right"/>
            </w:pPr>
            <w:r>
              <w:rPr>
                <w:rFonts w:hint="eastAsia"/>
              </w:rPr>
              <w:t>-</w:t>
            </w:r>
          </w:p>
        </w:tc>
        <w:tc>
          <w:tcPr>
            <w:tcW w:w="1384" w:type="dxa"/>
            <w:vAlign w:val="center"/>
          </w:tcPr>
          <w:p w14:paraId="75E3FD33">
            <w:pPr>
              <w:jc w:val="right"/>
            </w:pPr>
            <w:r>
              <w:rPr>
                <w:rFonts w:hint="eastAsia"/>
              </w:rPr>
              <w:t>-</w:t>
            </w:r>
          </w:p>
        </w:tc>
        <w:tc>
          <w:tcPr>
            <w:tcW w:w="1384" w:type="dxa"/>
            <w:vAlign w:val="center"/>
          </w:tcPr>
          <w:p w14:paraId="3F9437A7">
            <w:pPr>
              <w:jc w:val="right"/>
            </w:pPr>
            <w:r>
              <w:rPr>
                <w:rFonts w:hint="eastAsia"/>
              </w:rPr>
              <w:t>-</w:t>
            </w:r>
          </w:p>
        </w:tc>
        <w:tc>
          <w:tcPr>
            <w:tcW w:w="1384" w:type="dxa"/>
            <w:vAlign w:val="center"/>
          </w:tcPr>
          <w:p w14:paraId="4BB9E958">
            <w:pPr>
              <w:jc w:val="right"/>
            </w:pPr>
            <w:r>
              <w:rPr>
                <w:rFonts w:hint="eastAsia"/>
              </w:rPr>
              <w:t>257,568.21</w:t>
            </w:r>
          </w:p>
        </w:tc>
        <w:tc>
          <w:tcPr>
            <w:tcW w:w="1384" w:type="dxa"/>
            <w:vAlign w:val="center"/>
          </w:tcPr>
          <w:p w14:paraId="3EE768CC">
            <w:pPr>
              <w:jc w:val="right"/>
            </w:pPr>
            <w:r>
              <w:rPr>
                <w:rFonts w:hint="eastAsia"/>
              </w:rPr>
              <w:t>257,568.21</w:t>
            </w:r>
          </w:p>
        </w:tc>
      </w:tr>
      <w:tr w14:paraId="57BC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D1B78">
            <w:r>
              <w:rPr>
                <w:rFonts w:hint="eastAsia"/>
              </w:rPr>
              <w:t>应付销售服务费</w:t>
            </w:r>
          </w:p>
        </w:tc>
        <w:tc>
          <w:tcPr>
            <w:tcW w:w="1384" w:type="dxa"/>
            <w:vAlign w:val="center"/>
          </w:tcPr>
          <w:p w14:paraId="4AF4EDFE">
            <w:pPr>
              <w:jc w:val="right"/>
            </w:pPr>
            <w:r>
              <w:rPr>
                <w:rFonts w:hint="eastAsia"/>
              </w:rPr>
              <w:t>-</w:t>
            </w:r>
          </w:p>
        </w:tc>
        <w:tc>
          <w:tcPr>
            <w:tcW w:w="1384" w:type="dxa"/>
            <w:vAlign w:val="center"/>
          </w:tcPr>
          <w:p w14:paraId="1ABF4000">
            <w:pPr>
              <w:jc w:val="right"/>
            </w:pPr>
            <w:r>
              <w:rPr>
                <w:rFonts w:hint="eastAsia"/>
              </w:rPr>
              <w:t>-</w:t>
            </w:r>
          </w:p>
        </w:tc>
        <w:tc>
          <w:tcPr>
            <w:tcW w:w="1384" w:type="dxa"/>
            <w:vAlign w:val="center"/>
          </w:tcPr>
          <w:p w14:paraId="38B5EF2A">
            <w:pPr>
              <w:jc w:val="right"/>
            </w:pPr>
            <w:r>
              <w:rPr>
                <w:rFonts w:hint="eastAsia"/>
              </w:rPr>
              <w:t>-</w:t>
            </w:r>
          </w:p>
        </w:tc>
        <w:tc>
          <w:tcPr>
            <w:tcW w:w="1384" w:type="dxa"/>
            <w:vAlign w:val="center"/>
          </w:tcPr>
          <w:p w14:paraId="44ED92E3">
            <w:pPr>
              <w:jc w:val="right"/>
            </w:pPr>
            <w:r>
              <w:rPr>
                <w:rFonts w:hint="eastAsia"/>
              </w:rPr>
              <w:t>-</w:t>
            </w:r>
          </w:p>
        </w:tc>
        <w:tc>
          <w:tcPr>
            <w:tcW w:w="1384" w:type="dxa"/>
            <w:vAlign w:val="center"/>
          </w:tcPr>
          <w:p w14:paraId="14EC15E7">
            <w:pPr>
              <w:jc w:val="right"/>
            </w:pPr>
            <w:r>
              <w:rPr>
                <w:rFonts w:hint="eastAsia"/>
              </w:rPr>
              <w:t>-</w:t>
            </w:r>
          </w:p>
        </w:tc>
      </w:tr>
      <w:tr w14:paraId="73D3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99B3D">
            <w:r>
              <w:rPr>
                <w:rFonts w:hint="eastAsia"/>
              </w:rPr>
              <w:t>应付投资顾问费</w:t>
            </w:r>
          </w:p>
        </w:tc>
        <w:tc>
          <w:tcPr>
            <w:tcW w:w="1384" w:type="dxa"/>
            <w:vAlign w:val="center"/>
          </w:tcPr>
          <w:p w14:paraId="20706FDE">
            <w:pPr>
              <w:jc w:val="right"/>
            </w:pPr>
            <w:r>
              <w:rPr>
                <w:rFonts w:hint="eastAsia"/>
              </w:rPr>
              <w:t>-</w:t>
            </w:r>
          </w:p>
        </w:tc>
        <w:tc>
          <w:tcPr>
            <w:tcW w:w="1384" w:type="dxa"/>
            <w:vAlign w:val="center"/>
          </w:tcPr>
          <w:p w14:paraId="2BED244E">
            <w:pPr>
              <w:jc w:val="right"/>
            </w:pPr>
            <w:r>
              <w:rPr>
                <w:rFonts w:hint="eastAsia"/>
              </w:rPr>
              <w:t>-</w:t>
            </w:r>
          </w:p>
        </w:tc>
        <w:tc>
          <w:tcPr>
            <w:tcW w:w="1384" w:type="dxa"/>
            <w:vAlign w:val="center"/>
          </w:tcPr>
          <w:p w14:paraId="52646846">
            <w:pPr>
              <w:jc w:val="right"/>
            </w:pPr>
            <w:r>
              <w:rPr>
                <w:rFonts w:hint="eastAsia"/>
              </w:rPr>
              <w:t>-</w:t>
            </w:r>
          </w:p>
        </w:tc>
        <w:tc>
          <w:tcPr>
            <w:tcW w:w="1384" w:type="dxa"/>
            <w:vAlign w:val="center"/>
          </w:tcPr>
          <w:p w14:paraId="4FF58182">
            <w:pPr>
              <w:jc w:val="right"/>
            </w:pPr>
            <w:r>
              <w:rPr>
                <w:rFonts w:hint="eastAsia"/>
              </w:rPr>
              <w:t>-</w:t>
            </w:r>
          </w:p>
        </w:tc>
        <w:tc>
          <w:tcPr>
            <w:tcW w:w="1384" w:type="dxa"/>
            <w:vAlign w:val="center"/>
          </w:tcPr>
          <w:p w14:paraId="55E7A3A0">
            <w:pPr>
              <w:jc w:val="right"/>
            </w:pPr>
            <w:r>
              <w:rPr>
                <w:rFonts w:hint="eastAsia"/>
              </w:rPr>
              <w:t>-</w:t>
            </w:r>
          </w:p>
        </w:tc>
      </w:tr>
      <w:tr w14:paraId="281B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D96C2">
            <w:r>
              <w:rPr>
                <w:rFonts w:hint="eastAsia"/>
              </w:rPr>
              <w:t>应交税费</w:t>
            </w:r>
          </w:p>
        </w:tc>
        <w:tc>
          <w:tcPr>
            <w:tcW w:w="1384" w:type="dxa"/>
            <w:vAlign w:val="center"/>
          </w:tcPr>
          <w:p w14:paraId="185E16B1">
            <w:pPr>
              <w:jc w:val="right"/>
            </w:pPr>
            <w:r>
              <w:rPr>
                <w:rFonts w:hint="eastAsia"/>
              </w:rPr>
              <w:t>-</w:t>
            </w:r>
          </w:p>
        </w:tc>
        <w:tc>
          <w:tcPr>
            <w:tcW w:w="1384" w:type="dxa"/>
            <w:vAlign w:val="center"/>
          </w:tcPr>
          <w:p w14:paraId="6BAED86A">
            <w:pPr>
              <w:jc w:val="right"/>
            </w:pPr>
            <w:r>
              <w:rPr>
                <w:rFonts w:hint="eastAsia"/>
              </w:rPr>
              <w:t>-</w:t>
            </w:r>
          </w:p>
        </w:tc>
        <w:tc>
          <w:tcPr>
            <w:tcW w:w="1384" w:type="dxa"/>
            <w:vAlign w:val="center"/>
          </w:tcPr>
          <w:p w14:paraId="6F7704D4">
            <w:pPr>
              <w:jc w:val="right"/>
            </w:pPr>
            <w:r>
              <w:rPr>
                <w:rFonts w:hint="eastAsia"/>
              </w:rPr>
              <w:t>-</w:t>
            </w:r>
          </w:p>
        </w:tc>
        <w:tc>
          <w:tcPr>
            <w:tcW w:w="1384" w:type="dxa"/>
            <w:vAlign w:val="center"/>
          </w:tcPr>
          <w:p w14:paraId="45FB6165">
            <w:pPr>
              <w:jc w:val="right"/>
            </w:pPr>
            <w:r>
              <w:rPr>
                <w:rFonts w:hint="eastAsia"/>
              </w:rPr>
              <w:t>-</w:t>
            </w:r>
          </w:p>
        </w:tc>
        <w:tc>
          <w:tcPr>
            <w:tcW w:w="1384" w:type="dxa"/>
            <w:vAlign w:val="center"/>
          </w:tcPr>
          <w:p w14:paraId="2C2A0CB1">
            <w:pPr>
              <w:jc w:val="right"/>
            </w:pPr>
            <w:r>
              <w:rPr>
                <w:rFonts w:hint="eastAsia"/>
              </w:rPr>
              <w:t>-</w:t>
            </w:r>
          </w:p>
        </w:tc>
      </w:tr>
      <w:tr w14:paraId="3987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04C74">
            <w:r>
              <w:rPr>
                <w:rFonts w:hint="eastAsia"/>
              </w:rPr>
              <w:t>应付利润</w:t>
            </w:r>
          </w:p>
        </w:tc>
        <w:tc>
          <w:tcPr>
            <w:tcW w:w="1384" w:type="dxa"/>
            <w:vAlign w:val="center"/>
          </w:tcPr>
          <w:p w14:paraId="1BD589BD">
            <w:pPr>
              <w:jc w:val="right"/>
            </w:pPr>
            <w:r>
              <w:rPr>
                <w:rFonts w:hint="eastAsia"/>
              </w:rPr>
              <w:t>-</w:t>
            </w:r>
          </w:p>
        </w:tc>
        <w:tc>
          <w:tcPr>
            <w:tcW w:w="1384" w:type="dxa"/>
            <w:vAlign w:val="center"/>
          </w:tcPr>
          <w:p w14:paraId="237434F9">
            <w:pPr>
              <w:jc w:val="right"/>
            </w:pPr>
            <w:r>
              <w:rPr>
                <w:rFonts w:hint="eastAsia"/>
              </w:rPr>
              <w:t>-</w:t>
            </w:r>
          </w:p>
        </w:tc>
        <w:tc>
          <w:tcPr>
            <w:tcW w:w="1384" w:type="dxa"/>
            <w:vAlign w:val="center"/>
          </w:tcPr>
          <w:p w14:paraId="049BA0EF">
            <w:pPr>
              <w:jc w:val="right"/>
            </w:pPr>
            <w:r>
              <w:rPr>
                <w:rFonts w:hint="eastAsia"/>
              </w:rPr>
              <w:t>-</w:t>
            </w:r>
          </w:p>
        </w:tc>
        <w:tc>
          <w:tcPr>
            <w:tcW w:w="1384" w:type="dxa"/>
            <w:vAlign w:val="center"/>
          </w:tcPr>
          <w:p w14:paraId="173E73A0">
            <w:pPr>
              <w:jc w:val="right"/>
            </w:pPr>
            <w:r>
              <w:rPr>
                <w:rFonts w:hint="eastAsia"/>
              </w:rPr>
              <w:t>-</w:t>
            </w:r>
          </w:p>
        </w:tc>
        <w:tc>
          <w:tcPr>
            <w:tcW w:w="1384" w:type="dxa"/>
            <w:vAlign w:val="center"/>
          </w:tcPr>
          <w:p w14:paraId="53CFC378">
            <w:pPr>
              <w:jc w:val="right"/>
            </w:pPr>
            <w:r>
              <w:rPr>
                <w:rFonts w:hint="eastAsia"/>
              </w:rPr>
              <w:t>-</w:t>
            </w:r>
          </w:p>
        </w:tc>
      </w:tr>
      <w:tr w14:paraId="48F3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2B6D6">
            <w:r>
              <w:rPr>
                <w:rFonts w:hint="eastAsia"/>
              </w:rPr>
              <w:t>递延所得税负债</w:t>
            </w:r>
          </w:p>
        </w:tc>
        <w:tc>
          <w:tcPr>
            <w:tcW w:w="1384" w:type="dxa"/>
            <w:vAlign w:val="center"/>
          </w:tcPr>
          <w:p w14:paraId="392DDB89">
            <w:pPr>
              <w:jc w:val="right"/>
            </w:pPr>
            <w:r>
              <w:rPr>
                <w:rFonts w:hint="eastAsia"/>
              </w:rPr>
              <w:t>-</w:t>
            </w:r>
          </w:p>
        </w:tc>
        <w:tc>
          <w:tcPr>
            <w:tcW w:w="1384" w:type="dxa"/>
            <w:vAlign w:val="center"/>
          </w:tcPr>
          <w:p w14:paraId="61D580CB">
            <w:pPr>
              <w:jc w:val="right"/>
            </w:pPr>
            <w:r>
              <w:rPr>
                <w:rFonts w:hint="eastAsia"/>
              </w:rPr>
              <w:t>-</w:t>
            </w:r>
          </w:p>
        </w:tc>
        <w:tc>
          <w:tcPr>
            <w:tcW w:w="1384" w:type="dxa"/>
            <w:vAlign w:val="center"/>
          </w:tcPr>
          <w:p w14:paraId="308ACFBF">
            <w:pPr>
              <w:jc w:val="right"/>
            </w:pPr>
            <w:r>
              <w:rPr>
                <w:rFonts w:hint="eastAsia"/>
              </w:rPr>
              <w:t>-</w:t>
            </w:r>
          </w:p>
        </w:tc>
        <w:tc>
          <w:tcPr>
            <w:tcW w:w="1384" w:type="dxa"/>
            <w:vAlign w:val="center"/>
          </w:tcPr>
          <w:p w14:paraId="59E33877">
            <w:pPr>
              <w:jc w:val="right"/>
            </w:pPr>
            <w:r>
              <w:rPr>
                <w:rFonts w:hint="eastAsia"/>
              </w:rPr>
              <w:t>-</w:t>
            </w:r>
          </w:p>
        </w:tc>
        <w:tc>
          <w:tcPr>
            <w:tcW w:w="1384" w:type="dxa"/>
            <w:vAlign w:val="center"/>
          </w:tcPr>
          <w:p w14:paraId="5544CBD2">
            <w:pPr>
              <w:jc w:val="right"/>
            </w:pPr>
            <w:r>
              <w:rPr>
                <w:rFonts w:hint="eastAsia"/>
              </w:rPr>
              <w:t>-</w:t>
            </w:r>
          </w:p>
        </w:tc>
      </w:tr>
      <w:tr w14:paraId="4B63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42525">
            <w:r>
              <w:rPr>
                <w:rFonts w:hint="eastAsia"/>
              </w:rPr>
              <w:t>其他负债</w:t>
            </w:r>
          </w:p>
        </w:tc>
        <w:tc>
          <w:tcPr>
            <w:tcW w:w="1384" w:type="dxa"/>
            <w:vAlign w:val="center"/>
          </w:tcPr>
          <w:p w14:paraId="53A0FEA2">
            <w:pPr>
              <w:jc w:val="right"/>
            </w:pPr>
            <w:r>
              <w:rPr>
                <w:rFonts w:hint="eastAsia"/>
              </w:rPr>
              <w:t>-</w:t>
            </w:r>
          </w:p>
        </w:tc>
        <w:tc>
          <w:tcPr>
            <w:tcW w:w="1384" w:type="dxa"/>
            <w:vAlign w:val="center"/>
          </w:tcPr>
          <w:p w14:paraId="0FEDEEA2">
            <w:pPr>
              <w:jc w:val="right"/>
            </w:pPr>
            <w:r>
              <w:rPr>
                <w:rFonts w:hint="eastAsia"/>
              </w:rPr>
              <w:t>-</w:t>
            </w:r>
          </w:p>
        </w:tc>
        <w:tc>
          <w:tcPr>
            <w:tcW w:w="1384" w:type="dxa"/>
            <w:vAlign w:val="center"/>
          </w:tcPr>
          <w:p w14:paraId="7756F315">
            <w:pPr>
              <w:jc w:val="right"/>
            </w:pPr>
            <w:r>
              <w:rPr>
                <w:rFonts w:hint="eastAsia"/>
              </w:rPr>
              <w:t>-</w:t>
            </w:r>
          </w:p>
        </w:tc>
        <w:tc>
          <w:tcPr>
            <w:tcW w:w="1384" w:type="dxa"/>
            <w:vAlign w:val="center"/>
          </w:tcPr>
          <w:p w14:paraId="0FE71446">
            <w:pPr>
              <w:jc w:val="right"/>
            </w:pPr>
            <w:r>
              <w:rPr>
                <w:rFonts w:hint="eastAsia"/>
              </w:rPr>
              <w:t>325,974.53</w:t>
            </w:r>
          </w:p>
        </w:tc>
        <w:tc>
          <w:tcPr>
            <w:tcW w:w="1384" w:type="dxa"/>
            <w:vAlign w:val="center"/>
          </w:tcPr>
          <w:p w14:paraId="283085B9">
            <w:pPr>
              <w:jc w:val="right"/>
            </w:pPr>
            <w:r>
              <w:rPr>
                <w:rFonts w:hint="eastAsia"/>
              </w:rPr>
              <w:t>325,974.53</w:t>
            </w:r>
          </w:p>
        </w:tc>
      </w:tr>
      <w:tr w14:paraId="1CE9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8C147">
            <w:r>
              <w:rPr>
                <w:rFonts w:hint="eastAsia"/>
              </w:rPr>
              <w:t>负债总计</w:t>
            </w:r>
          </w:p>
        </w:tc>
        <w:tc>
          <w:tcPr>
            <w:tcW w:w="1384" w:type="dxa"/>
            <w:vAlign w:val="center"/>
          </w:tcPr>
          <w:p w14:paraId="4D7708EE">
            <w:pPr>
              <w:jc w:val="right"/>
            </w:pPr>
            <w:r>
              <w:rPr>
                <w:rFonts w:hint="eastAsia"/>
              </w:rPr>
              <w:t>51,006,920.80</w:t>
            </w:r>
          </w:p>
        </w:tc>
        <w:tc>
          <w:tcPr>
            <w:tcW w:w="1384" w:type="dxa"/>
            <w:vAlign w:val="center"/>
          </w:tcPr>
          <w:p w14:paraId="5CBF9708">
            <w:pPr>
              <w:jc w:val="right"/>
            </w:pPr>
            <w:r>
              <w:rPr>
                <w:rFonts w:hint="eastAsia"/>
              </w:rPr>
              <w:t>-</w:t>
            </w:r>
          </w:p>
        </w:tc>
        <w:tc>
          <w:tcPr>
            <w:tcW w:w="1384" w:type="dxa"/>
            <w:vAlign w:val="center"/>
          </w:tcPr>
          <w:p w14:paraId="07BAB811">
            <w:pPr>
              <w:jc w:val="right"/>
            </w:pPr>
            <w:r>
              <w:rPr>
                <w:rFonts w:hint="eastAsia"/>
              </w:rPr>
              <w:t>-</w:t>
            </w:r>
          </w:p>
        </w:tc>
        <w:tc>
          <w:tcPr>
            <w:tcW w:w="1384" w:type="dxa"/>
            <w:vAlign w:val="center"/>
          </w:tcPr>
          <w:p w14:paraId="269C8988">
            <w:pPr>
              <w:jc w:val="right"/>
            </w:pPr>
            <w:r>
              <w:rPr>
                <w:rFonts w:hint="eastAsia"/>
              </w:rPr>
              <w:t>1,356,247.40</w:t>
            </w:r>
          </w:p>
        </w:tc>
        <w:tc>
          <w:tcPr>
            <w:tcW w:w="1384" w:type="dxa"/>
            <w:vAlign w:val="center"/>
          </w:tcPr>
          <w:p w14:paraId="02A10458">
            <w:pPr>
              <w:jc w:val="right"/>
            </w:pPr>
            <w:r>
              <w:rPr>
                <w:rFonts w:hint="eastAsia"/>
              </w:rPr>
              <w:t>52,363,168.20</w:t>
            </w:r>
          </w:p>
        </w:tc>
      </w:tr>
      <w:tr w14:paraId="61DA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89F4E">
            <w:r>
              <w:rPr>
                <w:rFonts w:hint="eastAsia"/>
              </w:rPr>
              <w:t>利率敏感度缺口</w:t>
            </w:r>
          </w:p>
        </w:tc>
        <w:tc>
          <w:tcPr>
            <w:tcW w:w="1384" w:type="dxa"/>
            <w:vAlign w:val="center"/>
          </w:tcPr>
          <w:p w14:paraId="147F8FF0">
            <w:pPr>
              <w:jc w:val="right"/>
            </w:pPr>
            <w:r>
              <w:rPr>
                <w:rFonts w:hint="eastAsia"/>
              </w:rPr>
              <w:t>4,630,900,810.52</w:t>
            </w:r>
          </w:p>
        </w:tc>
        <w:tc>
          <w:tcPr>
            <w:tcW w:w="1384" w:type="dxa"/>
            <w:vAlign w:val="center"/>
          </w:tcPr>
          <w:p w14:paraId="20629D54">
            <w:pPr>
              <w:jc w:val="right"/>
            </w:pPr>
            <w:r>
              <w:rPr>
                <w:rFonts w:hint="eastAsia"/>
              </w:rPr>
              <w:t>-</w:t>
            </w:r>
          </w:p>
        </w:tc>
        <w:tc>
          <w:tcPr>
            <w:tcW w:w="1384" w:type="dxa"/>
            <w:vAlign w:val="center"/>
          </w:tcPr>
          <w:p w14:paraId="58F846E5">
            <w:pPr>
              <w:jc w:val="right"/>
            </w:pPr>
            <w:r>
              <w:rPr>
                <w:rFonts w:hint="eastAsia"/>
              </w:rPr>
              <w:t>-</w:t>
            </w:r>
          </w:p>
        </w:tc>
        <w:tc>
          <w:tcPr>
            <w:tcW w:w="1384" w:type="dxa"/>
            <w:vAlign w:val="center"/>
          </w:tcPr>
          <w:p w14:paraId="655C21DB">
            <w:pPr>
              <w:jc w:val="right"/>
            </w:pPr>
            <w:r>
              <w:rPr>
                <w:rFonts w:hint="eastAsia"/>
              </w:rPr>
              <w:t>-1,356,247.40</w:t>
            </w:r>
          </w:p>
        </w:tc>
        <w:tc>
          <w:tcPr>
            <w:tcW w:w="1384" w:type="dxa"/>
            <w:vAlign w:val="center"/>
          </w:tcPr>
          <w:p w14:paraId="03F1F3C4">
            <w:pPr>
              <w:jc w:val="right"/>
            </w:pPr>
            <w:r>
              <w:rPr>
                <w:rFonts w:hint="eastAsia"/>
              </w:rPr>
              <w:t>4,629,544,563.12</w:t>
            </w:r>
          </w:p>
        </w:tc>
      </w:tr>
    </w:tbl>
    <w:p w14:paraId="5CF3359B">
      <w:pPr>
        <w:pStyle w:val="54"/>
        <w:rPr>
          <w:rFonts w:hint="eastAsia"/>
        </w:rPr>
      </w:pPr>
      <w:r>
        <w:rPr>
          <w:rFonts w:hint="eastAsia"/>
        </w:rPr>
        <w:t>注：表中所示为本基金资产及负债的账面价值，并按照合约规定的利率重新定价日或到期日孰早者予以分类。</w:t>
      </w:r>
    </w:p>
    <w:p w14:paraId="684DBBC2">
      <w:pPr>
        <w:pStyle w:val="44"/>
      </w:pPr>
      <w:bookmarkStart w:id="145" w:name="_Toc145"/>
      <w:r>
        <w:t>利率风险的敏感性分析</w:t>
      </w:r>
      <w:bookmarkEnd w:id="145"/>
    </w:p>
    <w:p w14:paraId="412277E2">
      <w:pPr>
        <w:pStyle w:val="25"/>
        <w:rPr>
          <w:rFonts w:hint="eastAsia"/>
        </w:rPr>
      </w:pPr>
      <w:r>
        <w:rPr>
          <w:rFonts w:hint="eastAsia"/>
        </w:rPr>
        <w:t>于本期末，本基金未持有浮动利率的固定收益品种，因此市场利率的变动对于本基金资产净值无重大影响(上期末：同)。</w:t>
      </w:r>
    </w:p>
    <w:p w14:paraId="5F64F6F5">
      <w:pPr>
        <w:pStyle w:val="43"/>
      </w:pPr>
      <w:bookmarkStart w:id="146" w:name="_Toc146"/>
      <w:r>
        <w:t>外汇风险</w:t>
      </w:r>
      <w:bookmarkEnd w:id="146"/>
    </w:p>
    <w:p w14:paraId="1FF048B3">
      <w:pPr>
        <w:pStyle w:val="25"/>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11E5A0E">
      <w:pPr>
        <w:pStyle w:val="43"/>
      </w:pPr>
      <w:bookmarkStart w:id="147" w:name="_Toc147"/>
      <w:r>
        <w:t>其他价格风险</w:t>
      </w:r>
      <w:bookmarkEnd w:id="147"/>
    </w:p>
    <w:p w14:paraId="61A8859D">
      <w:pPr>
        <w:pStyle w:val="25"/>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A355135">
      <w:pPr>
        <w:pStyle w:val="35"/>
      </w:pPr>
      <w:bookmarkStart w:id="148" w:name="_Toc148"/>
      <w:r>
        <w:t>公允价值</w:t>
      </w:r>
      <w:bookmarkEnd w:id="148"/>
    </w:p>
    <w:p w14:paraId="5841F204">
      <w:pPr>
        <w:pStyle w:val="42"/>
      </w:pPr>
      <w:bookmarkStart w:id="149" w:name="_Toc149"/>
      <w:r>
        <w:t>金融工具公允价值计量的方法</w:t>
      </w:r>
      <w:bookmarkEnd w:id="149"/>
    </w:p>
    <w:p w14:paraId="36879B14">
      <w:pPr>
        <w:pStyle w:val="25"/>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ED2F7CD">
      <w:pPr>
        <w:pStyle w:val="42"/>
      </w:pPr>
      <w:bookmarkStart w:id="150" w:name="_Toc150"/>
      <w:r>
        <w:t>持续的以公允价值计量的金融工具</w:t>
      </w:r>
      <w:bookmarkEnd w:id="150"/>
    </w:p>
    <w:p w14:paraId="507E436E">
      <w:pPr>
        <w:pStyle w:val="43"/>
      </w:pPr>
      <w:bookmarkStart w:id="151" w:name="_Toc151"/>
      <w:r>
        <w:t>各层次金融工具的公允价值</w:t>
      </w:r>
      <w:bookmarkEnd w:id="151"/>
    </w:p>
    <w:p w14:paraId="183B1048">
      <w:pPr>
        <w:pStyle w:val="25"/>
        <w:rPr>
          <w:rFonts w:hint="eastAsia"/>
        </w:rPr>
      </w:pPr>
      <w:r>
        <w:rPr>
          <w:rFonts w:hint="eastAsia"/>
        </w:rPr>
        <w:t>于本报告期末，本基金未持有持续的以公允价值计量的金融资产（上年度末：同）。</w:t>
      </w:r>
    </w:p>
    <w:p w14:paraId="1FEA2A38">
      <w:pPr>
        <w:pStyle w:val="42"/>
      </w:pPr>
      <w:bookmarkStart w:id="152" w:name="_Toc152"/>
      <w:r>
        <w:t>非持续的以公允价值计量的金融工具的说明</w:t>
      </w:r>
      <w:bookmarkEnd w:id="152"/>
    </w:p>
    <w:p w14:paraId="1B637BB3">
      <w:pPr>
        <w:pStyle w:val="25"/>
        <w:rPr>
          <w:rFonts w:hint="eastAsia"/>
        </w:rPr>
      </w:pPr>
      <w:r>
        <w:rPr>
          <w:rFonts w:hint="eastAsia"/>
        </w:rPr>
        <w:t>于本报告期末，本基金未持有非持续的以公允价值计量的金融资产（上年度末：同）。</w:t>
      </w:r>
    </w:p>
    <w:p w14:paraId="737FE54D">
      <w:pPr>
        <w:pStyle w:val="42"/>
      </w:pPr>
      <w:bookmarkStart w:id="153" w:name="_Toc153"/>
      <w:r>
        <w:t>不以公允价值计量的金融工具的相关说明</w:t>
      </w:r>
      <w:bookmarkEnd w:id="153"/>
    </w:p>
    <w:p w14:paraId="760E2843">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不以公允价值计量的金融资产和负债主要包括应收款项、债权投资和其他金融负债等(上期末：同)。</w:t>
      </w:r>
    </w:p>
    <w:p w14:paraId="0DE501E5">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除债权投资以外，其他不以公允价值计量的金融资产和金融负债的账面价值与公允价值差异很小。</w:t>
      </w:r>
    </w:p>
    <w:p w14:paraId="78D2AE31">
      <w:pPr>
        <w:pStyle w:val="100"/>
        <w:widowControl/>
        <w:shd w:val="clear" w:color="auto" w:fill="FFFFFF"/>
        <w:wordWrap w:val="0"/>
        <w:spacing w:beforeAutospacing="0" w:afterAutospacing="0" w:line="420" w:lineRule="atLeast"/>
        <w:ind w:firstLine="420"/>
        <w:jc w:val="right"/>
        <w:rPr>
          <w:rFonts w:ascii="宋体" w:hAnsi="宋体" w:eastAsia="宋体" w:cs="宋体"/>
          <w:color w:val="222222"/>
          <w:sz w:val="21"/>
          <w:szCs w:val="21"/>
          <w:shd w:val="clear" w:color="auto" w:fill="FFFFFF"/>
        </w:rPr>
      </w:pPr>
      <w:r>
        <w:rPr>
          <w:rFonts w:hint="eastAsia" w:ascii="宋体" w:hAnsi="宋体" w:eastAsia="宋体" w:cs="宋体"/>
          <w:color w:val="222222"/>
          <w:sz w:val="21"/>
          <w:szCs w:val="21"/>
          <w:shd w:val="clear" w:color="auto" w:fill="FFFFFF"/>
        </w:rPr>
        <w:t>单位：人民币元</w:t>
      </w:r>
    </w:p>
    <w:tbl>
      <w:tblPr>
        <w:tblStyle w:val="20"/>
        <w:tblW w:w="5000" w:type="pct"/>
        <w:jc w:val="center"/>
        <w:tblLayout w:type="fixed"/>
        <w:tblCellMar>
          <w:top w:w="0" w:type="dxa"/>
          <w:left w:w="108" w:type="dxa"/>
          <w:bottom w:w="0" w:type="dxa"/>
          <w:right w:w="108" w:type="dxa"/>
        </w:tblCellMar>
      </w:tblPr>
      <w:tblGrid>
        <w:gridCol w:w="1139"/>
        <w:gridCol w:w="1858"/>
        <w:gridCol w:w="1829"/>
        <w:gridCol w:w="1769"/>
        <w:gridCol w:w="1769"/>
      </w:tblGrid>
      <w:tr w14:paraId="39E43DE7">
        <w:tblPrEx>
          <w:tblCellMar>
            <w:top w:w="0" w:type="dxa"/>
            <w:left w:w="108" w:type="dxa"/>
            <w:bottom w:w="0" w:type="dxa"/>
            <w:right w:w="108" w:type="dxa"/>
          </w:tblCellMar>
        </w:tblPrEx>
        <w:trPr>
          <w:cantSplit/>
          <w:trHeight w:val="240" w:hRule="atLeast"/>
          <w:jc w:val="center"/>
        </w:trPr>
        <w:tc>
          <w:tcPr>
            <w:tcW w:w="1129" w:type="dxa"/>
            <w:vMerge w:val="restart"/>
            <w:tcBorders>
              <w:top w:val="single" w:color="auto" w:sz="4" w:space="0"/>
              <w:left w:val="single" w:color="auto" w:sz="4" w:space="0"/>
              <w:bottom w:val="single" w:color="000000" w:sz="4" w:space="0"/>
              <w:right w:val="single" w:color="auto" w:sz="4" w:space="0"/>
            </w:tcBorders>
            <w:tcMar>
              <w:left w:w="29" w:type="dxa"/>
              <w:right w:w="29" w:type="dxa"/>
            </w:tcMar>
            <w:vAlign w:val="center"/>
          </w:tcPr>
          <w:p w14:paraId="28F3ED25">
            <w:pPr>
              <w:keepNext/>
              <w:keepLines/>
              <w:widowControl/>
              <w:jc w:val="center"/>
              <w:rPr>
                <w:rFonts w:ascii="宋体" w:hAnsi="宋体" w:cs="Arial"/>
                <w:b/>
                <w:bCs/>
                <w:color w:val="000000"/>
                <w:szCs w:val="21"/>
              </w:rPr>
            </w:pPr>
            <w:r>
              <w:rPr>
                <w:rFonts w:hint="eastAsia" w:ascii="宋体" w:hAnsi="宋体" w:cs="Arial"/>
                <w:b/>
                <w:bCs/>
                <w:color w:val="000000"/>
                <w:szCs w:val="21"/>
              </w:rPr>
              <w:t>项目</w:t>
            </w:r>
          </w:p>
        </w:tc>
        <w:tc>
          <w:tcPr>
            <w:tcW w:w="3657" w:type="dxa"/>
            <w:gridSpan w:val="2"/>
            <w:tcBorders>
              <w:top w:val="single" w:color="auto" w:sz="4" w:space="0"/>
              <w:left w:val="nil"/>
              <w:bottom w:val="single" w:color="auto" w:sz="4" w:space="0"/>
              <w:right w:val="single" w:color="auto" w:sz="4" w:space="0"/>
            </w:tcBorders>
            <w:tcMar>
              <w:left w:w="29" w:type="dxa"/>
              <w:right w:w="29" w:type="dxa"/>
            </w:tcMar>
            <w:vAlign w:val="center"/>
          </w:tcPr>
          <w:p w14:paraId="02EE490C">
            <w:pPr>
              <w:keepNext/>
              <w:keepLines/>
              <w:widowControl/>
              <w:jc w:val="center"/>
              <w:rPr>
                <w:rFonts w:ascii="宋体" w:hAnsi="宋体" w:cs="Arial"/>
                <w:b/>
                <w:bCs/>
                <w:color w:val="000000"/>
                <w:szCs w:val="21"/>
              </w:rPr>
            </w:pPr>
            <w:r>
              <w:rPr>
                <w:rFonts w:hint="eastAsia" w:ascii="宋体" w:hAnsi="宋体" w:cs="Arial"/>
                <w:b/>
                <w:bCs/>
                <w:color w:val="000000"/>
                <w:szCs w:val="21"/>
              </w:rPr>
              <w:t>本期末</w:t>
            </w:r>
          </w:p>
        </w:tc>
        <w:tc>
          <w:tcPr>
            <w:tcW w:w="3510" w:type="dxa"/>
            <w:gridSpan w:val="2"/>
            <w:tcBorders>
              <w:top w:val="single" w:color="auto" w:sz="4" w:space="0"/>
              <w:left w:val="nil"/>
              <w:bottom w:val="single" w:color="auto" w:sz="4" w:space="0"/>
              <w:right w:val="single" w:color="auto" w:sz="4" w:space="0"/>
            </w:tcBorders>
            <w:tcMar>
              <w:left w:w="29" w:type="dxa"/>
              <w:right w:w="29" w:type="dxa"/>
            </w:tcMar>
            <w:vAlign w:val="center"/>
          </w:tcPr>
          <w:p w14:paraId="76E17B38">
            <w:pPr>
              <w:keepNext/>
              <w:keepLines/>
              <w:widowControl/>
              <w:jc w:val="center"/>
              <w:rPr>
                <w:rFonts w:ascii="宋体" w:hAnsi="宋体" w:cs="Arial"/>
                <w:b/>
                <w:bCs/>
                <w:color w:val="000000"/>
                <w:szCs w:val="21"/>
              </w:rPr>
            </w:pPr>
            <w:r>
              <w:rPr>
                <w:rFonts w:hint="eastAsia" w:ascii="宋体" w:hAnsi="宋体" w:cs="Arial"/>
                <w:b/>
                <w:bCs/>
                <w:color w:val="000000"/>
                <w:szCs w:val="21"/>
              </w:rPr>
              <w:t>上期末</w:t>
            </w:r>
          </w:p>
        </w:tc>
      </w:tr>
      <w:tr w14:paraId="1C86DFB3">
        <w:tblPrEx>
          <w:tblCellMar>
            <w:top w:w="0" w:type="dxa"/>
            <w:left w:w="108" w:type="dxa"/>
            <w:bottom w:w="0" w:type="dxa"/>
            <w:right w:w="108" w:type="dxa"/>
          </w:tblCellMar>
        </w:tblPrEx>
        <w:trPr>
          <w:cantSplit/>
          <w:trHeight w:val="230" w:hRule="atLeast"/>
          <w:jc w:val="center"/>
        </w:trPr>
        <w:tc>
          <w:tcPr>
            <w:tcW w:w="1129" w:type="dxa"/>
            <w:vMerge w:val="continue"/>
            <w:tcBorders>
              <w:top w:val="single" w:color="auto" w:sz="4" w:space="0"/>
              <w:left w:val="single" w:color="auto" w:sz="4" w:space="0"/>
              <w:bottom w:val="single" w:color="000000" w:sz="4" w:space="0"/>
              <w:right w:val="single" w:color="auto" w:sz="4" w:space="0"/>
            </w:tcBorders>
            <w:vAlign w:val="center"/>
          </w:tcPr>
          <w:p w14:paraId="43B46462">
            <w:pPr>
              <w:keepNext/>
              <w:keepLines/>
              <w:widowControl/>
              <w:jc w:val="left"/>
              <w:rPr>
                <w:rFonts w:ascii="宋体" w:hAnsi="宋体" w:cs="Arial"/>
                <w:b/>
                <w:bCs/>
                <w:color w:val="000000"/>
                <w:szCs w:val="21"/>
              </w:rPr>
            </w:pPr>
          </w:p>
        </w:tc>
        <w:tc>
          <w:tcPr>
            <w:tcW w:w="3657" w:type="dxa"/>
            <w:gridSpan w:val="2"/>
            <w:tcBorders>
              <w:top w:val="single" w:color="auto" w:sz="4" w:space="0"/>
              <w:left w:val="nil"/>
              <w:bottom w:val="single" w:color="auto" w:sz="4" w:space="0"/>
              <w:right w:val="single" w:color="auto" w:sz="4" w:space="0"/>
            </w:tcBorders>
            <w:tcMar>
              <w:left w:w="29" w:type="dxa"/>
              <w:right w:w="29" w:type="dxa"/>
            </w:tcMar>
            <w:vAlign w:val="center"/>
          </w:tcPr>
          <w:p w14:paraId="16659EB6">
            <w:pPr>
              <w:keepNext/>
              <w:keepLines/>
              <w:widowControl/>
              <w:jc w:val="center"/>
              <w:rPr>
                <w:rFonts w:ascii="宋体" w:hAnsi="宋体" w:cs="Arial"/>
                <w:b/>
                <w:bCs/>
                <w:color w:val="000000"/>
                <w:szCs w:val="21"/>
              </w:rPr>
            </w:pPr>
            <w:r>
              <w:rPr>
                <w:rFonts w:ascii="宋体" w:hAnsi="宋体" w:cs="Arial"/>
                <w:b/>
                <w:bCs/>
                <w:color w:val="000000"/>
                <w:szCs w:val="21"/>
              </w:rPr>
              <w:t>202</w:t>
            </w:r>
            <w:r>
              <w:rPr>
                <w:rFonts w:hint="eastAsia" w:ascii="宋体" w:hAnsi="宋体" w:cs="Arial"/>
                <w:b/>
                <w:bCs/>
                <w:color w:val="000000"/>
                <w:szCs w:val="21"/>
              </w:rPr>
              <w:t>5年</w:t>
            </w:r>
            <w:r>
              <w:rPr>
                <w:rFonts w:ascii="宋体" w:hAnsi="宋体" w:cs="Arial"/>
                <w:b/>
                <w:bCs/>
                <w:color w:val="000000"/>
                <w:szCs w:val="21"/>
              </w:rPr>
              <w:t>12</w:t>
            </w:r>
            <w:r>
              <w:rPr>
                <w:rFonts w:hint="eastAsia" w:ascii="宋体" w:hAnsi="宋体" w:cs="Arial"/>
                <w:b/>
                <w:bCs/>
                <w:color w:val="000000"/>
                <w:szCs w:val="21"/>
              </w:rPr>
              <w:t>月</w:t>
            </w:r>
            <w:r>
              <w:rPr>
                <w:rFonts w:ascii="宋体" w:hAnsi="宋体" w:cs="Arial"/>
                <w:b/>
                <w:bCs/>
                <w:color w:val="000000"/>
                <w:szCs w:val="21"/>
              </w:rPr>
              <w:t>31</w:t>
            </w:r>
            <w:r>
              <w:rPr>
                <w:rFonts w:hint="eastAsia" w:ascii="宋体" w:hAnsi="宋体" w:cs="Arial"/>
                <w:b/>
                <w:bCs/>
                <w:color w:val="000000"/>
                <w:szCs w:val="21"/>
              </w:rPr>
              <w:t>日</w:t>
            </w:r>
          </w:p>
        </w:tc>
        <w:tc>
          <w:tcPr>
            <w:tcW w:w="3510" w:type="dxa"/>
            <w:gridSpan w:val="2"/>
            <w:tcBorders>
              <w:top w:val="single" w:color="auto" w:sz="4" w:space="0"/>
              <w:left w:val="nil"/>
              <w:bottom w:val="single" w:color="auto" w:sz="4" w:space="0"/>
              <w:right w:val="single" w:color="auto" w:sz="4" w:space="0"/>
            </w:tcBorders>
            <w:tcMar>
              <w:left w:w="29" w:type="dxa"/>
              <w:right w:w="29" w:type="dxa"/>
            </w:tcMar>
            <w:vAlign w:val="center"/>
          </w:tcPr>
          <w:p w14:paraId="47E69D36">
            <w:pPr>
              <w:keepNext/>
              <w:keepLines/>
              <w:widowControl/>
              <w:jc w:val="center"/>
              <w:rPr>
                <w:rFonts w:ascii="宋体" w:hAnsi="宋体" w:cs="Arial"/>
                <w:b/>
                <w:bCs/>
                <w:color w:val="000000"/>
                <w:szCs w:val="21"/>
              </w:rPr>
            </w:pPr>
            <w:r>
              <w:rPr>
                <w:rFonts w:ascii="宋体" w:hAnsi="宋体" w:cs="Arial"/>
                <w:b/>
                <w:bCs/>
                <w:color w:val="000000"/>
                <w:szCs w:val="21"/>
              </w:rPr>
              <w:t>202</w:t>
            </w:r>
            <w:r>
              <w:rPr>
                <w:rFonts w:hint="eastAsia" w:ascii="宋体" w:hAnsi="宋体" w:cs="Arial"/>
                <w:b/>
                <w:bCs/>
                <w:color w:val="000000"/>
                <w:szCs w:val="21"/>
              </w:rPr>
              <w:t>4年</w:t>
            </w:r>
            <w:r>
              <w:rPr>
                <w:rFonts w:ascii="宋体" w:hAnsi="宋体" w:cs="Arial"/>
                <w:b/>
                <w:bCs/>
                <w:color w:val="000000"/>
                <w:szCs w:val="21"/>
              </w:rPr>
              <w:t>12</w:t>
            </w:r>
            <w:r>
              <w:rPr>
                <w:rFonts w:hint="eastAsia" w:ascii="宋体" w:hAnsi="宋体" w:cs="Arial"/>
                <w:b/>
                <w:bCs/>
                <w:color w:val="000000"/>
                <w:szCs w:val="21"/>
              </w:rPr>
              <w:t>月</w:t>
            </w:r>
            <w:r>
              <w:rPr>
                <w:rFonts w:ascii="宋体" w:hAnsi="宋体" w:cs="Arial"/>
                <w:b/>
                <w:bCs/>
                <w:color w:val="000000"/>
                <w:szCs w:val="21"/>
              </w:rPr>
              <w:t>31</w:t>
            </w:r>
            <w:r>
              <w:rPr>
                <w:rFonts w:hint="eastAsia" w:ascii="宋体" w:hAnsi="宋体" w:cs="Arial"/>
                <w:b/>
                <w:bCs/>
                <w:color w:val="000000"/>
                <w:szCs w:val="21"/>
              </w:rPr>
              <w:t>日</w:t>
            </w:r>
          </w:p>
        </w:tc>
      </w:tr>
      <w:tr w14:paraId="4F1FF359">
        <w:tblPrEx>
          <w:tblCellMar>
            <w:top w:w="0" w:type="dxa"/>
            <w:left w:w="108" w:type="dxa"/>
            <w:bottom w:w="0" w:type="dxa"/>
            <w:right w:w="108" w:type="dxa"/>
          </w:tblCellMar>
        </w:tblPrEx>
        <w:trPr>
          <w:cantSplit/>
          <w:trHeight w:val="230" w:hRule="atLeast"/>
          <w:jc w:val="center"/>
        </w:trPr>
        <w:tc>
          <w:tcPr>
            <w:tcW w:w="1129" w:type="dxa"/>
            <w:vMerge w:val="continue"/>
            <w:tcBorders>
              <w:top w:val="single" w:color="auto" w:sz="4" w:space="0"/>
              <w:left w:val="single" w:color="auto" w:sz="4" w:space="0"/>
              <w:bottom w:val="single" w:color="000000" w:sz="4" w:space="0"/>
              <w:right w:val="single" w:color="auto" w:sz="4" w:space="0"/>
            </w:tcBorders>
            <w:vAlign w:val="center"/>
          </w:tcPr>
          <w:p w14:paraId="1E0895D0">
            <w:pPr>
              <w:keepNext/>
              <w:keepLines/>
              <w:widowControl/>
              <w:jc w:val="left"/>
              <w:rPr>
                <w:rFonts w:ascii="宋体" w:hAnsi="宋体" w:cs="Arial"/>
                <w:b/>
                <w:bCs/>
                <w:color w:val="000000"/>
                <w:szCs w:val="21"/>
              </w:rPr>
            </w:pPr>
          </w:p>
        </w:tc>
        <w:tc>
          <w:tcPr>
            <w:tcW w:w="1843" w:type="dxa"/>
            <w:tcBorders>
              <w:top w:val="nil"/>
              <w:left w:val="nil"/>
              <w:bottom w:val="single" w:color="auto" w:sz="4" w:space="0"/>
              <w:right w:val="single" w:color="auto" w:sz="4" w:space="0"/>
            </w:tcBorders>
            <w:tcMar>
              <w:left w:w="29" w:type="dxa"/>
              <w:right w:w="29" w:type="dxa"/>
            </w:tcMar>
            <w:vAlign w:val="center"/>
          </w:tcPr>
          <w:p w14:paraId="436D150D">
            <w:pPr>
              <w:keepNext/>
              <w:keepLines/>
              <w:widowControl/>
              <w:jc w:val="center"/>
              <w:rPr>
                <w:rFonts w:ascii="宋体" w:hAnsi="宋体" w:cs="Arial"/>
                <w:b/>
                <w:bCs/>
                <w:color w:val="000000"/>
                <w:szCs w:val="21"/>
              </w:rPr>
            </w:pPr>
            <w:r>
              <w:rPr>
                <w:rFonts w:hint="eastAsia" w:ascii="宋体" w:hAnsi="宋体" w:cs="Arial"/>
                <w:b/>
                <w:bCs/>
                <w:color w:val="000000"/>
                <w:szCs w:val="21"/>
              </w:rPr>
              <w:t>账面价值</w:t>
            </w:r>
          </w:p>
        </w:tc>
        <w:tc>
          <w:tcPr>
            <w:tcW w:w="1814" w:type="dxa"/>
            <w:tcBorders>
              <w:top w:val="nil"/>
              <w:left w:val="nil"/>
              <w:bottom w:val="single" w:color="auto" w:sz="4" w:space="0"/>
              <w:right w:val="single" w:color="auto" w:sz="4" w:space="0"/>
            </w:tcBorders>
            <w:tcMar>
              <w:left w:w="29" w:type="dxa"/>
              <w:right w:w="29" w:type="dxa"/>
            </w:tcMar>
            <w:vAlign w:val="center"/>
          </w:tcPr>
          <w:p w14:paraId="6C7A170F">
            <w:pPr>
              <w:keepNext/>
              <w:keepLines/>
              <w:widowControl/>
              <w:jc w:val="center"/>
              <w:rPr>
                <w:rFonts w:ascii="宋体" w:hAnsi="宋体" w:cs="Arial"/>
                <w:b/>
                <w:bCs/>
                <w:color w:val="000000"/>
                <w:szCs w:val="21"/>
              </w:rPr>
            </w:pPr>
            <w:r>
              <w:rPr>
                <w:rFonts w:hint="eastAsia" w:ascii="宋体" w:hAnsi="宋体" w:cs="Arial"/>
                <w:b/>
                <w:bCs/>
                <w:color w:val="000000"/>
                <w:szCs w:val="21"/>
              </w:rPr>
              <w:t>公允价值</w:t>
            </w:r>
          </w:p>
        </w:tc>
        <w:tc>
          <w:tcPr>
            <w:tcW w:w="1755" w:type="dxa"/>
            <w:tcBorders>
              <w:top w:val="nil"/>
              <w:left w:val="nil"/>
              <w:bottom w:val="single" w:color="auto" w:sz="4" w:space="0"/>
              <w:right w:val="single" w:color="auto" w:sz="4" w:space="0"/>
            </w:tcBorders>
            <w:tcMar>
              <w:left w:w="29" w:type="dxa"/>
              <w:right w:w="29" w:type="dxa"/>
            </w:tcMar>
            <w:vAlign w:val="center"/>
          </w:tcPr>
          <w:p w14:paraId="1E50A736">
            <w:pPr>
              <w:keepNext/>
              <w:keepLines/>
              <w:widowControl/>
              <w:jc w:val="center"/>
              <w:rPr>
                <w:rFonts w:ascii="宋体" w:hAnsi="宋体" w:cs="Arial"/>
                <w:b/>
                <w:bCs/>
                <w:color w:val="000000"/>
                <w:szCs w:val="21"/>
              </w:rPr>
            </w:pPr>
            <w:r>
              <w:rPr>
                <w:rFonts w:hint="eastAsia" w:ascii="宋体" w:hAnsi="宋体" w:cs="Arial"/>
                <w:b/>
                <w:bCs/>
                <w:color w:val="000000"/>
                <w:szCs w:val="21"/>
              </w:rPr>
              <w:t>账面价值</w:t>
            </w:r>
          </w:p>
        </w:tc>
        <w:tc>
          <w:tcPr>
            <w:tcW w:w="1755" w:type="dxa"/>
            <w:tcBorders>
              <w:top w:val="nil"/>
              <w:left w:val="nil"/>
              <w:bottom w:val="single" w:color="auto" w:sz="4" w:space="0"/>
              <w:right w:val="single" w:color="auto" w:sz="4" w:space="0"/>
            </w:tcBorders>
            <w:tcMar>
              <w:left w:w="29" w:type="dxa"/>
              <w:right w:w="29" w:type="dxa"/>
            </w:tcMar>
            <w:vAlign w:val="center"/>
          </w:tcPr>
          <w:p w14:paraId="3D9999EA">
            <w:pPr>
              <w:keepNext/>
              <w:keepLines/>
              <w:widowControl/>
              <w:jc w:val="center"/>
              <w:rPr>
                <w:rFonts w:ascii="宋体" w:hAnsi="宋体" w:cs="Arial"/>
                <w:b/>
                <w:bCs/>
                <w:color w:val="000000"/>
                <w:szCs w:val="21"/>
              </w:rPr>
            </w:pPr>
            <w:r>
              <w:rPr>
                <w:rFonts w:hint="eastAsia" w:ascii="宋体" w:hAnsi="宋体" w:cs="Arial"/>
                <w:b/>
                <w:bCs/>
                <w:color w:val="000000"/>
                <w:szCs w:val="21"/>
              </w:rPr>
              <w:t>公允价值</w:t>
            </w:r>
          </w:p>
        </w:tc>
      </w:tr>
      <w:tr w14:paraId="0EF79A18">
        <w:tblPrEx>
          <w:tblCellMar>
            <w:top w:w="0" w:type="dxa"/>
            <w:left w:w="108" w:type="dxa"/>
            <w:bottom w:w="0" w:type="dxa"/>
            <w:right w:w="108" w:type="dxa"/>
          </w:tblCellMar>
        </w:tblPrEx>
        <w:trPr>
          <w:cantSplit/>
          <w:trHeight w:val="230" w:hRule="atLeast"/>
          <w:jc w:val="center"/>
        </w:trPr>
        <w:tc>
          <w:tcPr>
            <w:tcW w:w="1129" w:type="dxa"/>
            <w:tcBorders>
              <w:top w:val="nil"/>
              <w:left w:val="single" w:color="auto" w:sz="4" w:space="0"/>
              <w:bottom w:val="single" w:color="auto" w:sz="4" w:space="0"/>
              <w:right w:val="single" w:color="auto" w:sz="4" w:space="0"/>
            </w:tcBorders>
            <w:tcMar>
              <w:left w:w="29" w:type="dxa"/>
              <w:right w:w="29" w:type="dxa"/>
            </w:tcMar>
            <w:vAlign w:val="center"/>
          </w:tcPr>
          <w:p w14:paraId="71132F34">
            <w:pPr>
              <w:keepLines/>
              <w:widowControl/>
              <w:jc w:val="center"/>
              <w:rPr>
                <w:rFonts w:ascii="宋体" w:hAnsi="宋体" w:cs="Arial"/>
                <w:color w:val="000000"/>
                <w:szCs w:val="21"/>
              </w:rPr>
            </w:pPr>
            <w:r>
              <w:rPr>
                <w:rFonts w:hint="eastAsia" w:ascii="宋体" w:hAnsi="宋体" w:cs="Arial"/>
                <w:color w:val="000000"/>
                <w:szCs w:val="21"/>
              </w:rPr>
              <w:t>债权投资</w:t>
            </w:r>
          </w:p>
        </w:tc>
        <w:tc>
          <w:tcPr>
            <w:tcW w:w="1843" w:type="dxa"/>
            <w:tcBorders>
              <w:top w:val="nil"/>
              <w:left w:val="nil"/>
              <w:bottom w:val="single" w:color="auto" w:sz="4" w:space="0"/>
              <w:right w:val="single" w:color="auto" w:sz="4" w:space="0"/>
            </w:tcBorders>
            <w:noWrap/>
            <w:tcMar>
              <w:left w:w="29" w:type="dxa"/>
              <w:right w:w="29" w:type="dxa"/>
            </w:tcMar>
            <w:vAlign w:val="center"/>
          </w:tcPr>
          <w:p w14:paraId="6DCE6B14">
            <w:pPr>
              <w:keepLines/>
              <w:widowControl/>
              <w:jc w:val="right"/>
              <w:rPr>
                <w:rFonts w:ascii="宋体" w:hAnsi="宋体" w:cs="宋体"/>
                <w:szCs w:val="21"/>
              </w:rPr>
            </w:pPr>
            <w:r>
              <w:rPr>
                <w:rFonts w:hint="eastAsia" w:ascii="宋体" w:hAnsi="宋体" w:cs="宋体"/>
                <w:szCs w:val="21"/>
              </w:rPr>
              <w:t>-</w:t>
            </w:r>
          </w:p>
        </w:tc>
        <w:tc>
          <w:tcPr>
            <w:tcW w:w="1814" w:type="dxa"/>
            <w:tcBorders>
              <w:top w:val="nil"/>
              <w:left w:val="nil"/>
              <w:bottom w:val="single" w:color="auto" w:sz="4" w:space="0"/>
              <w:right w:val="single" w:color="auto" w:sz="4" w:space="0"/>
            </w:tcBorders>
            <w:noWrap/>
            <w:tcMar>
              <w:left w:w="29" w:type="dxa"/>
              <w:right w:w="29" w:type="dxa"/>
            </w:tcMar>
            <w:vAlign w:val="center"/>
          </w:tcPr>
          <w:p w14:paraId="6848D51B">
            <w:pPr>
              <w:keepLines/>
              <w:widowControl/>
              <w:jc w:val="right"/>
              <w:rPr>
                <w:rFonts w:ascii="宋体" w:hAnsi="宋体" w:cs="宋体"/>
                <w:szCs w:val="21"/>
              </w:rPr>
            </w:pPr>
            <w:r>
              <w:rPr>
                <w:rFonts w:hint="eastAsia" w:ascii="宋体" w:hAnsi="宋体" w:cs="宋体"/>
                <w:szCs w:val="21"/>
              </w:rPr>
              <w:t>-</w:t>
            </w:r>
          </w:p>
        </w:tc>
        <w:tc>
          <w:tcPr>
            <w:tcW w:w="1755" w:type="dxa"/>
            <w:tcBorders>
              <w:top w:val="nil"/>
              <w:left w:val="nil"/>
              <w:bottom w:val="single" w:color="auto" w:sz="4" w:space="0"/>
              <w:right w:val="single" w:color="auto" w:sz="4" w:space="0"/>
            </w:tcBorders>
            <w:noWrap/>
            <w:tcMar>
              <w:left w:w="29" w:type="dxa"/>
              <w:right w:w="29" w:type="dxa"/>
            </w:tcMar>
            <w:vAlign w:val="center"/>
          </w:tcPr>
          <w:p w14:paraId="7C2823D9">
            <w:pPr>
              <w:keepLines/>
              <w:widowControl/>
              <w:jc w:val="right"/>
              <w:rPr>
                <w:rFonts w:ascii="宋体" w:hAnsi="宋体" w:cs="宋体"/>
                <w:szCs w:val="21"/>
              </w:rPr>
            </w:pPr>
            <w:r>
              <w:rPr>
                <w:rFonts w:ascii="宋体" w:hAnsi="宋体" w:cs="宋体"/>
                <w:szCs w:val="21"/>
              </w:rPr>
              <w:t>3,209,036,570.99</w:t>
            </w:r>
          </w:p>
        </w:tc>
        <w:tc>
          <w:tcPr>
            <w:tcW w:w="1755" w:type="dxa"/>
            <w:tcBorders>
              <w:top w:val="nil"/>
              <w:left w:val="nil"/>
              <w:bottom w:val="single" w:color="auto" w:sz="4" w:space="0"/>
              <w:right w:val="single" w:color="auto" w:sz="4" w:space="0"/>
            </w:tcBorders>
            <w:noWrap/>
            <w:tcMar>
              <w:left w:w="29" w:type="dxa"/>
              <w:right w:w="29" w:type="dxa"/>
            </w:tcMar>
            <w:vAlign w:val="center"/>
          </w:tcPr>
          <w:p w14:paraId="2F13B4D0">
            <w:pPr>
              <w:keepLines/>
              <w:widowControl/>
              <w:jc w:val="right"/>
              <w:rPr>
                <w:rFonts w:ascii="宋体" w:hAnsi="宋体" w:cs="宋体"/>
                <w:szCs w:val="21"/>
              </w:rPr>
            </w:pPr>
            <w:r>
              <w:rPr>
                <w:rFonts w:ascii="宋体" w:hAnsi="宋体" w:cs="宋体"/>
                <w:szCs w:val="21"/>
              </w:rPr>
              <w:t>3,210,737,364.93</w:t>
            </w:r>
          </w:p>
        </w:tc>
      </w:tr>
    </w:tbl>
    <w:p w14:paraId="3684FA1A">
      <w:pPr>
        <w:pStyle w:val="100"/>
        <w:widowControl/>
        <w:shd w:val="clear" w:color="auto" w:fill="FFFFFF"/>
        <w:wordWrap w:val="0"/>
        <w:spacing w:beforeAutospacing="0" w:afterAutospacing="0" w:line="420" w:lineRule="atLeast"/>
        <w:ind w:firstLine="420"/>
        <w:rPr>
          <w:rFonts w:ascii="宋体" w:hAnsi="宋体" w:eastAsia="宋体" w:cs="宋体"/>
          <w:color w:val="222222"/>
          <w:sz w:val="21"/>
          <w:szCs w:val="21"/>
        </w:rPr>
      </w:pPr>
      <w:r>
        <w:rPr>
          <w:rFonts w:hint="eastAsia" w:ascii="宋体" w:hAnsi="宋体" w:eastAsia="宋体" w:cs="宋体"/>
          <w:color w:val="222222"/>
          <w:sz w:val="21"/>
          <w:szCs w:val="21"/>
          <w:shd w:val="clear" w:color="auto" w:fill="FFFFFF"/>
        </w:rPr>
        <w:t>债权投资按如下原则确定公允价值：(i)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ii)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iii) 如经济环境发生重大变化或证券发行人发生影响金融工具价格的重大事件，应对估值进行调整并确定公允价值。</w:t>
      </w:r>
    </w:p>
    <w:p w14:paraId="07EE6121">
      <w:pPr>
        <w:pStyle w:val="100"/>
        <w:widowControl/>
        <w:shd w:val="clear" w:color="auto" w:fill="FFFFFF"/>
        <w:wordWrap w:val="0"/>
        <w:spacing w:beforeAutospacing="0" w:after="312" w:afterLines="100" w:afterAutospacing="0" w:line="420" w:lineRule="atLeast"/>
        <w:ind w:firstLine="420"/>
        <w:rPr>
          <w:rFonts w:hint="eastAsia" w:ascii="宋体" w:hAnsi="宋体" w:eastAsia="宋体" w:cs="宋体"/>
          <w:color w:val="222222"/>
          <w:sz w:val="21"/>
          <w:szCs w:val="21"/>
        </w:rPr>
      </w:pPr>
      <w:r>
        <w:rPr>
          <w:rFonts w:hint="eastAsia" w:ascii="宋体" w:hAnsi="宋体" w:eastAsia="宋体" w:cs="宋体"/>
          <w:color w:val="222222"/>
          <w:sz w:val="21"/>
          <w:szCs w:val="21"/>
          <w:shd w:val="clear" w:color="auto" w:fill="FFFFFF"/>
        </w:rPr>
        <w:t>根据中国证监会公告[2017]13号《中国证监会关于证券投资基金估值业务的指导意见》及中国基金业协会中基协字[2022]566号《关于发布&lt;关于固定收益品种的估值处理标准&gt;的通知》之附件《关于固定收益品种的估值处理标准》的有关规定，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于本期末，本基金未持有上述投资(上期末：本基金持有的上述投资的公允价值均属于第二层次)。</w:t>
      </w:r>
    </w:p>
    <w:p w14:paraId="2227D021">
      <w:pPr>
        <w:pStyle w:val="35"/>
      </w:pPr>
      <w:bookmarkStart w:id="154" w:name="_Toc154"/>
      <w:r>
        <w:t>有助于理解和分析会计报表需要说明的其他事项</w:t>
      </w:r>
      <w:bookmarkEnd w:id="154"/>
    </w:p>
    <w:p w14:paraId="619F67DF">
      <w:pPr>
        <w:pStyle w:val="25"/>
        <w:rPr>
          <w:rFonts w:hint="eastAsia"/>
        </w:rPr>
      </w:pPr>
      <w:r>
        <w:rPr>
          <w:rFonts w:hint="eastAsia"/>
        </w:rPr>
        <w:t>截至资产负债表日本基金无需要说明的其他重要事项。</w:t>
      </w:r>
    </w:p>
    <w:p w14:paraId="5C6029C0">
      <w:pPr>
        <w:pStyle w:val="33"/>
      </w:pPr>
      <w:bookmarkStart w:id="155" w:name="_Toc20514"/>
      <w:r>
        <w:t>投资组合报告</w:t>
      </w:r>
      <w:bookmarkEnd w:id="155"/>
    </w:p>
    <w:p w14:paraId="0EF4D9BD">
      <w:pPr>
        <w:pStyle w:val="30"/>
      </w:pPr>
      <w:bookmarkStart w:id="156" w:name="_Toc3227"/>
      <w:r>
        <w:t>期末基金资产组合情况</w:t>
      </w:r>
      <w:bookmarkEnd w:id="156"/>
    </w:p>
    <w:p w14:paraId="2F52A891">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C6E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72CA5B0">
            <w:pPr>
              <w:jc w:val="center"/>
            </w:pPr>
            <w:r>
              <w:rPr>
                <w:rFonts w:hint="eastAsia"/>
                <w:b/>
              </w:rPr>
              <w:t>序号</w:t>
            </w:r>
          </w:p>
        </w:tc>
        <w:tc>
          <w:tcPr>
            <w:tcW w:w="3211" w:type="dxa"/>
            <w:shd w:val="clear" w:color="auto" w:fill="BFBFBF"/>
            <w:vAlign w:val="center"/>
          </w:tcPr>
          <w:p w14:paraId="33F1F2B9">
            <w:pPr>
              <w:jc w:val="center"/>
            </w:pPr>
            <w:r>
              <w:rPr>
                <w:rFonts w:hint="eastAsia"/>
                <w:b/>
              </w:rPr>
              <w:t>项目</w:t>
            </w:r>
          </w:p>
        </w:tc>
        <w:tc>
          <w:tcPr>
            <w:tcW w:w="2214" w:type="dxa"/>
            <w:shd w:val="clear" w:color="auto" w:fill="BFBFBF"/>
            <w:vAlign w:val="center"/>
          </w:tcPr>
          <w:p w14:paraId="353B2464">
            <w:pPr>
              <w:jc w:val="center"/>
            </w:pPr>
            <w:r>
              <w:rPr>
                <w:rFonts w:hint="eastAsia"/>
                <w:b/>
              </w:rPr>
              <w:t>金额</w:t>
            </w:r>
          </w:p>
        </w:tc>
        <w:tc>
          <w:tcPr>
            <w:tcW w:w="2214" w:type="dxa"/>
            <w:shd w:val="clear" w:color="auto" w:fill="BFBFBF"/>
            <w:vAlign w:val="center"/>
          </w:tcPr>
          <w:p w14:paraId="063A346D">
            <w:pPr>
              <w:jc w:val="center"/>
            </w:pPr>
            <w:r>
              <w:rPr>
                <w:rFonts w:hint="eastAsia"/>
                <w:b/>
              </w:rPr>
              <w:t>占基金总资产的比例（%）</w:t>
            </w:r>
          </w:p>
        </w:tc>
      </w:tr>
      <w:tr w14:paraId="6B09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0A7F29">
            <w:pPr>
              <w:jc w:val="center"/>
            </w:pPr>
            <w:r>
              <w:rPr>
                <w:rFonts w:hint="eastAsia"/>
              </w:rPr>
              <w:t>1</w:t>
            </w:r>
          </w:p>
        </w:tc>
        <w:tc>
          <w:tcPr>
            <w:tcW w:w="3211" w:type="dxa"/>
            <w:vAlign w:val="center"/>
          </w:tcPr>
          <w:p w14:paraId="2EA8BF78">
            <w:r>
              <w:rPr>
                <w:rFonts w:hint="eastAsia"/>
              </w:rPr>
              <w:t>权益投资</w:t>
            </w:r>
          </w:p>
        </w:tc>
        <w:tc>
          <w:tcPr>
            <w:tcW w:w="2214" w:type="dxa"/>
            <w:vAlign w:val="center"/>
          </w:tcPr>
          <w:p w14:paraId="427C08B3">
            <w:pPr>
              <w:jc w:val="right"/>
            </w:pPr>
            <w:r>
              <w:rPr>
                <w:rFonts w:hint="eastAsia"/>
              </w:rPr>
              <w:t>-</w:t>
            </w:r>
          </w:p>
        </w:tc>
        <w:tc>
          <w:tcPr>
            <w:tcW w:w="2214" w:type="dxa"/>
            <w:vAlign w:val="center"/>
          </w:tcPr>
          <w:p w14:paraId="27AB53F0">
            <w:pPr>
              <w:jc w:val="right"/>
            </w:pPr>
            <w:r>
              <w:rPr>
                <w:rFonts w:hint="eastAsia"/>
              </w:rPr>
              <w:t>-</w:t>
            </w:r>
          </w:p>
        </w:tc>
      </w:tr>
      <w:tr w14:paraId="6459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B9FF9A">
            <w:pPr>
              <w:jc w:val="center"/>
            </w:pPr>
          </w:p>
        </w:tc>
        <w:tc>
          <w:tcPr>
            <w:tcW w:w="3211" w:type="dxa"/>
            <w:vAlign w:val="center"/>
          </w:tcPr>
          <w:p w14:paraId="0B2F6AE4">
            <w:r>
              <w:rPr>
                <w:rFonts w:hint="eastAsia"/>
              </w:rPr>
              <w:t>其中：股票</w:t>
            </w:r>
          </w:p>
        </w:tc>
        <w:tc>
          <w:tcPr>
            <w:tcW w:w="2214" w:type="dxa"/>
            <w:vAlign w:val="center"/>
          </w:tcPr>
          <w:p w14:paraId="04C9934E">
            <w:pPr>
              <w:jc w:val="right"/>
            </w:pPr>
            <w:r>
              <w:rPr>
                <w:rFonts w:hint="eastAsia"/>
              </w:rPr>
              <w:t>-</w:t>
            </w:r>
          </w:p>
        </w:tc>
        <w:tc>
          <w:tcPr>
            <w:tcW w:w="2214" w:type="dxa"/>
            <w:vAlign w:val="center"/>
          </w:tcPr>
          <w:p w14:paraId="6CA6B1A3">
            <w:pPr>
              <w:jc w:val="right"/>
            </w:pPr>
            <w:r>
              <w:rPr>
                <w:rFonts w:hint="eastAsia"/>
              </w:rPr>
              <w:t>-</w:t>
            </w:r>
          </w:p>
        </w:tc>
      </w:tr>
      <w:tr w14:paraId="3DB0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FC9363">
            <w:pPr>
              <w:jc w:val="center"/>
            </w:pPr>
            <w:r>
              <w:rPr>
                <w:rFonts w:hint="eastAsia"/>
              </w:rPr>
              <w:t>2</w:t>
            </w:r>
          </w:p>
        </w:tc>
        <w:tc>
          <w:tcPr>
            <w:tcW w:w="3211" w:type="dxa"/>
            <w:vAlign w:val="center"/>
          </w:tcPr>
          <w:p w14:paraId="317ED800">
            <w:r>
              <w:rPr>
                <w:rFonts w:hint="eastAsia"/>
              </w:rPr>
              <w:t>基金投资</w:t>
            </w:r>
          </w:p>
        </w:tc>
        <w:tc>
          <w:tcPr>
            <w:tcW w:w="2214" w:type="dxa"/>
            <w:vAlign w:val="center"/>
          </w:tcPr>
          <w:p w14:paraId="002A161C">
            <w:pPr>
              <w:jc w:val="right"/>
            </w:pPr>
            <w:r>
              <w:rPr>
                <w:rFonts w:hint="eastAsia"/>
              </w:rPr>
              <w:t>-</w:t>
            </w:r>
          </w:p>
        </w:tc>
        <w:tc>
          <w:tcPr>
            <w:tcW w:w="2214" w:type="dxa"/>
            <w:vAlign w:val="center"/>
          </w:tcPr>
          <w:p w14:paraId="2C58B447">
            <w:pPr>
              <w:jc w:val="right"/>
            </w:pPr>
            <w:r>
              <w:rPr>
                <w:rFonts w:hint="eastAsia"/>
              </w:rPr>
              <w:t>-</w:t>
            </w:r>
          </w:p>
        </w:tc>
      </w:tr>
      <w:tr w14:paraId="6DCE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FD737A">
            <w:pPr>
              <w:jc w:val="center"/>
            </w:pPr>
            <w:r>
              <w:rPr>
                <w:rFonts w:hint="eastAsia"/>
              </w:rPr>
              <w:t>3</w:t>
            </w:r>
          </w:p>
        </w:tc>
        <w:tc>
          <w:tcPr>
            <w:tcW w:w="3211" w:type="dxa"/>
            <w:vAlign w:val="center"/>
          </w:tcPr>
          <w:p w14:paraId="1280845E">
            <w:r>
              <w:rPr>
                <w:rFonts w:hint="eastAsia"/>
              </w:rPr>
              <w:t>固定收益投资</w:t>
            </w:r>
          </w:p>
        </w:tc>
        <w:tc>
          <w:tcPr>
            <w:tcW w:w="2214" w:type="dxa"/>
            <w:vAlign w:val="center"/>
          </w:tcPr>
          <w:p w14:paraId="78C13035">
            <w:pPr>
              <w:jc w:val="right"/>
            </w:pPr>
            <w:r>
              <w:rPr>
                <w:rFonts w:hint="eastAsia"/>
              </w:rPr>
              <w:t>-</w:t>
            </w:r>
          </w:p>
        </w:tc>
        <w:tc>
          <w:tcPr>
            <w:tcW w:w="2214" w:type="dxa"/>
            <w:vAlign w:val="center"/>
          </w:tcPr>
          <w:p w14:paraId="32E836B7">
            <w:pPr>
              <w:jc w:val="right"/>
            </w:pPr>
            <w:r>
              <w:rPr>
                <w:rFonts w:hint="eastAsia"/>
              </w:rPr>
              <w:t>-</w:t>
            </w:r>
          </w:p>
        </w:tc>
      </w:tr>
      <w:tr w14:paraId="77EA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F037BA">
            <w:pPr>
              <w:jc w:val="center"/>
            </w:pPr>
          </w:p>
        </w:tc>
        <w:tc>
          <w:tcPr>
            <w:tcW w:w="3211" w:type="dxa"/>
            <w:vAlign w:val="center"/>
          </w:tcPr>
          <w:p w14:paraId="43D6EA29">
            <w:r>
              <w:rPr>
                <w:rFonts w:hint="eastAsia"/>
              </w:rPr>
              <w:t>其中：债券</w:t>
            </w:r>
          </w:p>
        </w:tc>
        <w:tc>
          <w:tcPr>
            <w:tcW w:w="2214" w:type="dxa"/>
            <w:vAlign w:val="center"/>
          </w:tcPr>
          <w:p w14:paraId="27B61152">
            <w:pPr>
              <w:jc w:val="right"/>
            </w:pPr>
            <w:r>
              <w:rPr>
                <w:rFonts w:hint="eastAsia"/>
              </w:rPr>
              <w:t>-</w:t>
            </w:r>
          </w:p>
        </w:tc>
        <w:tc>
          <w:tcPr>
            <w:tcW w:w="2214" w:type="dxa"/>
            <w:vAlign w:val="center"/>
          </w:tcPr>
          <w:p w14:paraId="2AFE1456">
            <w:pPr>
              <w:jc w:val="right"/>
            </w:pPr>
            <w:r>
              <w:rPr>
                <w:rFonts w:hint="eastAsia"/>
              </w:rPr>
              <w:t>-</w:t>
            </w:r>
          </w:p>
        </w:tc>
      </w:tr>
      <w:tr w14:paraId="65AE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D1FD82">
            <w:pPr>
              <w:jc w:val="center"/>
            </w:pPr>
          </w:p>
        </w:tc>
        <w:tc>
          <w:tcPr>
            <w:tcW w:w="3211" w:type="dxa"/>
            <w:vAlign w:val="center"/>
          </w:tcPr>
          <w:p w14:paraId="1B93B9EC">
            <w:r>
              <w:rPr>
                <w:rFonts w:hint="eastAsia"/>
              </w:rPr>
              <w:t xml:space="preserve">      资产支持证券</w:t>
            </w:r>
          </w:p>
        </w:tc>
        <w:tc>
          <w:tcPr>
            <w:tcW w:w="2214" w:type="dxa"/>
            <w:vAlign w:val="center"/>
          </w:tcPr>
          <w:p w14:paraId="0D5E960D">
            <w:pPr>
              <w:jc w:val="right"/>
            </w:pPr>
            <w:r>
              <w:rPr>
                <w:rFonts w:hint="eastAsia"/>
              </w:rPr>
              <w:t>-</w:t>
            </w:r>
          </w:p>
        </w:tc>
        <w:tc>
          <w:tcPr>
            <w:tcW w:w="2214" w:type="dxa"/>
            <w:vAlign w:val="center"/>
          </w:tcPr>
          <w:p w14:paraId="56954ECC">
            <w:pPr>
              <w:jc w:val="right"/>
            </w:pPr>
            <w:r>
              <w:rPr>
                <w:rFonts w:hint="eastAsia"/>
              </w:rPr>
              <w:t>-</w:t>
            </w:r>
          </w:p>
        </w:tc>
      </w:tr>
      <w:tr w14:paraId="6FB3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2659FD">
            <w:pPr>
              <w:jc w:val="center"/>
            </w:pPr>
            <w:r>
              <w:rPr>
                <w:rFonts w:hint="eastAsia"/>
              </w:rPr>
              <w:t>4</w:t>
            </w:r>
          </w:p>
        </w:tc>
        <w:tc>
          <w:tcPr>
            <w:tcW w:w="3211" w:type="dxa"/>
            <w:vAlign w:val="center"/>
          </w:tcPr>
          <w:p w14:paraId="7721B8D4">
            <w:r>
              <w:rPr>
                <w:rFonts w:hint="eastAsia"/>
              </w:rPr>
              <w:t>贵金属投资</w:t>
            </w:r>
          </w:p>
        </w:tc>
        <w:tc>
          <w:tcPr>
            <w:tcW w:w="2214" w:type="dxa"/>
            <w:vAlign w:val="center"/>
          </w:tcPr>
          <w:p w14:paraId="0AED9265">
            <w:pPr>
              <w:jc w:val="right"/>
            </w:pPr>
            <w:r>
              <w:rPr>
                <w:rFonts w:hint="eastAsia"/>
              </w:rPr>
              <w:t>-</w:t>
            </w:r>
          </w:p>
        </w:tc>
        <w:tc>
          <w:tcPr>
            <w:tcW w:w="2214" w:type="dxa"/>
            <w:vAlign w:val="center"/>
          </w:tcPr>
          <w:p w14:paraId="6DEED487">
            <w:pPr>
              <w:jc w:val="right"/>
            </w:pPr>
            <w:r>
              <w:rPr>
                <w:rFonts w:hint="eastAsia"/>
              </w:rPr>
              <w:t>-</w:t>
            </w:r>
          </w:p>
        </w:tc>
      </w:tr>
      <w:tr w14:paraId="5B17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C98637">
            <w:pPr>
              <w:jc w:val="center"/>
            </w:pPr>
            <w:r>
              <w:rPr>
                <w:rFonts w:hint="eastAsia"/>
              </w:rPr>
              <w:t>5</w:t>
            </w:r>
          </w:p>
        </w:tc>
        <w:tc>
          <w:tcPr>
            <w:tcW w:w="3211" w:type="dxa"/>
            <w:vAlign w:val="center"/>
          </w:tcPr>
          <w:p w14:paraId="57298D7B">
            <w:r>
              <w:rPr>
                <w:rFonts w:hint="eastAsia"/>
              </w:rPr>
              <w:t>金融衍生品投资</w:t>
            </w:r>
          </w:p>
        </w:tc>
        <w:tc>
          <w:tcPr>
            <w:tcW w:w="2214" w:type="dxa"/>
            <w:vAlign w:val="center"/>
          </w:tcPr>
          <w:p w14:paraId="2C01513D">
            <w:pPr>
              <w:jc w:val="right"/>
            </w:pPr>
            <w:r>
              <w:rPr>
                <w:rFonts w:hint="eastAsia"/>
              </w:rPr>
              <w:t>-</w:t>
            </w:r>
          </w:p>
        </w:tc>
        <w:tc>
          <w:tcPr>
            <w:tcW w:w="2214" w:type="dxa"/>
            <w:vAlign w:val="center"/>
          </w:tcPr>
          <w:p w14:paraId="084F12D0">
            <w:pPr>
              <w:jc w:val="right"/>
            </w:pPr>
            <w:r>
              <w:rPr>
                <w:rFonts w:hint="eastAsia"/>
              </w:rPr>
              <w:t>-</w:t>
            </w:r>
          </w:p>
        </w:tc>
      </w:tr>
      <w:tr w14:paraId="1939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2915C5">
            <w:pPr>
              <w:jc w:val="center"/>
            </w:pPr>
            <w:r>
              <w:rPr>
                <w:rFonts w:hint="eastAsia"/>
              </w:rPr>
              <w:t>6</w:t>
            </w:r>
          </w:p>
        </w:tc>
        <w:tc>
          <w:tcPr>
            <w:tcW w:w="3211" w:type="dxa"/>
            <w:vAlign w:val="center"/>
          </w:tcPr>
          <w:p w14:paraId="42F5569E">
            <w:r>
              <w:rPr>
                <w:rFonts w:hint="eastAsia"/>
              </w:rPr>
              <w:t>买入返售金融资产</w:t>
            </w:r>
          </w:p>
        </w:tc>
        <w:tc>
          <w:tcPr>
            <w:tcW w:w="2214" w:type="dxa"/>
            <w:vAlign w:val="center"/>
          </w:tcPr>
          <w:p w14:paraId="609B463D">
            <w:pPr>
              <w:jc w:val="right"/>
            </w:pPr>
            <w:r>
              <w:rPr>
                <w:rFonts w:hint="eastAsia"/>
              </w:rPr>
              <w:t>30,003,791.44</w:t>
            </w:r>
          </w:p>
        </w:tc>
        <w:tc>
          <w:tcPr>
            <w:tcW w:w="2214" w:type="dxa"/>
            <w:vAlign w:val="center"/>
          </w:tcPr>
          <w:p w14:paraId="21CB75FA">
            <w:pPr>
              <w:jc w:val="right"/>
            </w:pPr>
            <w:r>
              <w:rPr>
                <w:rFonts w:hint="eastAsia"/>
              </w:rPr>
              <w:t>83.63</w:t>
            </w:r>
          </w:p>
        </w:tc>
      </w:tr>
      <w:tr w14:paraId="77AD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E7707F">
            <w:pPr>
              <w:jc w:val="center"/>
            </w:pPr>
          </w:p>
        </w:tc>
        <w:tc>
          <w:tcPr>
            <w:tcW w:w="3211" w:type="dxa"/>
            <w:vAlign w:val="center"/>
          </w:tcPr>
          <w:p w14:paraId="7B7977FE">
            <w:r>
              <w:rPr>
                <w:rFonts w:hint="eastAsia"/>
              </w:rPr>
              <w:t>其中：买断式回购的买入返售金融资产</w:t>
            </w:r>
          </w:p>
        </w:tc>
        <w:tc>
          <w:tcPr>
            <w:tcW w:w="2214" w:type="dxa"/>
            <w:vAlign w:val="center"/>
          </w:tcPr>
          <w:p w14:paraId="0490C435">
            <w:pPr>
              <w:jc w:val="right"/>
            </w:pPr>
            <w:r>
              <w:rPr>
                <w:rFonts w:hint="eastAsia"/>
              </w:rPr>
              <w:t>-</w:t>
            </w:r>
          </w:p>
        </w:tc>
        <w:tc>
          <w:tcPr>
            <w:tcW w:w="2214" w:type="dxa"/>
            <w:vAlign w:val="center"/>
          </w:tcPr>
          <w:p w14:paraId="67477C3A">
            <w:pPr>
              <w:jc w:val="right"/>
            </w:pPr>
            <w:r>
              <w:rPr>
                <w:rFonts w:hint="eastAsia"/>
              </w:rPr>
              <w:t>-</w:t>
            </w:r>
          </w:p>
        </w:tc>
      </w:tr>
      <w:tr w14:paraId="4ABE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A599D3">
            <w:pPr>
              <w:jc w:val="center"/>
            </w:pPr>
            <w:r>
              <w:rPr>
                <w:rFonts w:hint="eastAsia"/>
              </w:rPr>
              <w:t>7</w:t>
            </w:r>
          </w:p>
        </w:tc>
        <w:tc>
          <w:tcPr>
            <w:tcW w:w="3211" w:type="dxa"/>
            <w:vAlign w:val="center"/>
          </w:tcPr>
          <w:p w14:paraId="2E60B574">
            <w:r>
              <w:rPr>
                <w:rFonts w:hint="eastAsia"/>
              </w:rPr>
              <w:t>银行存款和结算备付金合计</w:t>
            </w:r>
          </w:p>
        </w:tc>
        <w:tc>
          <w:tcPr>
            <w:tcW w:w="2214" w:type="dxa"/>
            <w:vAlign w:val="center"/>
          </w:tcPr>
          <w:p w14:paraId="166F1FD6">
            <w:pPr>
              <w:jc w:val="right"/>
            </w:pPr>
            <w:r>
              <w:rPr>
                <w:rFonts w:hint="eastAsia"/>
              </w:rPr>
              <w:t>5,872,599.25</w:t>
            </w:r>
          </w:p>
        </w:tc>
        <w:tc>
          <w:tcPr>
            <w:tcW w:w="2214" w:type="dxa"/>
            <w:vAlign w:val="center"/>
          </w:tcPr>
          <w:p w14:paraId="68855895">
            <w:pPr>
              <w:jc w:val="right"/>
            </w:pPr>
            <w:r>
              <w:rPr>
                <w:rFonts w:hint="eastAsia"/>
              </w:rPr>
              <w:t>16.37</w:t>
            </w:r>
          </w:p>
        </w:tc>
      </w:tr>
      <w:tr w14:paraId="5206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449829">
            <w:pPr>
              <w:jc w:val="center"/>
            </w:pPr>
            <w:r>
              <w:rPr>
                <w:rFonts w:hint="eastAsia"/>
              </w:rPr>
              <w:t>8</w:t>
            </w:r>
          </w:p>
        </w:tc>
        <w:tc>
          <w:tcPr>
            <w:tcW w:w="3211" w:type="dxa"/>
            <w:vAlign w:val="center"/>
          </w:tcPr>
          <w:p w14:paraId="1DDBFC2D">
            <w:r>
              <w:rPr>
                <w:rFonts w:hint="eastAsia"/>
              </w:rPr>
              <w:t>其他各项资产</w:t>
            </w:r>
          </w:p>
        </w:tc>
        <w:tc>
          <w:tcPr>
            <w:tcW w:w="2214" w:type="dxa"/>
            <w:vAlign w:val="center"/>
          </w:tcPr>
          <w:p w14:paraId="440EA260">
            <w:pPr>
              <w:jc w:val="right"/>
            </w:pPr>
            <w:r>
              <w:rPr>
                <w:rFonts w:hint="eastAsia"/>
              </w:rPr>
              <w:t>609.92</w:t>
            </w:r>
          </w:p>
        </w:tc>
        <w:tc>
          <w:tcPr>
            <w:tcW w:w="2214" w:type="dxa"/>
            <w:vAlign w:val="center"/>
          </w:tcPr>
          <w:p w14:paraId="1FCF97D0">
            <w:pPr>
              <w:jc w:val="right"/>
            </w:pPr>
            <w:r>
              <w:rPr>
                <w:rFonts w:hint="eastAsia"/>
              </w:rPr>
              <w:t>0.00</w:t>
            </w:r>
          </w:p>
        </w:tc>
      </w:tr>
      <w:tr w14:paraId="2BF2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1A7E28">
            <w:pPr>
              <w:jc w:val="center"/>
            </w:pPr>
            <w:r>
              <w:rPr>
                <w:rFonts w:hint="eastAsia"/>
              </w:rPr>
              <w:t>9</w:t>
            </w:r>
          </w:p>
        </w:tc>
        <w:tc>
          <w:tcPr>
            <w:tcW w:w="3211" w:type="dxa"/>
            <w:vAlign w:val="center"/>
          </w:tcPr>
          <w:p w14:paraId="0CDB14AB">
            <w:r>
              <w:rPr>
                <w:rFonts w:hint="eastAsia"/>
              </w:rPr>
              <w:t>合计</w:t>
            </w:r>
          </w:p>
        </w:tc>
        <w:tc>
          <w:tcPr>
            <w:tcW w:w="2214" w:type="dxa"/>
            <w:vAlign w:val="center"/>
          </w:tcPr>
          <w:p w14:paraId="0CC6C2DA">
            <w:pPr>
              <w:jc w:val="right"/>
            </w:pPr>
            <w:r>
              <w:rPr>
                <w:rFonts w:hint="eastAsia"/>
              </w:rPr>
              <w:t>35,877,000.61</w:t>
            </w:r>
          </w:p>
        </w:tc>
        <w:tc>
          <w:tcPr>
            <w:tcW w:w="2214" w:type="dxa"/>
            <w:vAlign w:val="center"/>
          </w:tcPr>
          <w:p w14:paraId="2F5A99F7">
            <w:pPr>
              <w:jc w:val="right"/>
            </w:pPr>
            <w:r>
              <w:rPr>
                <w:rFonts w:hint="eastAsia"/>
              </w:rPr>
              <w:t>100.00</w:t>
            </w:r>
          </w:p>
        </w:tc>
      </w:tr>
    </w:tbl>
    <w:p w14:paraId="475C7B73">
      <w:pPr>
        <w:pStyle w:val="30"/>
      </w:pPr>
      <w:bookmarkStart w:id="157" w:name="_Toc24550"/>
      <w:r>
        <w:t>报告期末按行业分类的股票投资组合</w:t>
      </w:r>
      <w:bookmarkEnd w:id="157"/>
    </w:p>
    <w:p w14:paraId="13DD13DC">
      <w:pPr>
        <w:pStyle w:val="35"/>
      </w:pPr>
      <w:bookmarkStart w:id="158" w:name="_Toc158"/>
      <w:r>
        <w:t>报告期末按行业分类的境内股票投资组合</w:t>
      </w:r>
      <w:bookmarkEnd w:id="158"/>
    </w:p>
    <w:p w14:paraId="39D270B7">
      <w:pPr>
        <w:pStyle w:val="25"/>
        <w:rPr>
          <w:rFonts w:hint="eastAsia"/>
        </w:rPr>
      </w:pPr>
      <w:r>
        <w:rPr>
          <w:rFonts w:hint="eastAsia"/>
        </w:rPr>
        <w:t>无。</w:t>
      </w:r>
    </w:p>
    <w:p w14:paraId="4B9CCBB4">
      <w:pPr>
        <w:pStyle w:val="35"/>
      </w:pPr>
      <w:bookmarkStart w:id="159" w:name="_Toc159"/>
      <w:r>
        <w:t>报告期末按行业分类的港股通投资股票投资组合</w:t>
      </w:r>
      <w:bookmarkEnd w:id="159"/>
    </w:p>
    <w:p w14:paraId="1D28F253">
      <w:pPr>
        <w:pStyle w:val="25"/>
        <w:rPr>
          <w:rFonts w:hint="eastAsia"/>
        </w:rPr>
      </w:pPr>
      <w:r>
        <w:rPr>
          <w:rFonts w:hint="eastAsia"/>
        </w:rPr>
        <w:t>无。</w:t>
      </w:r>
    </w:p>
    <w:p w14:paraId="0245DD0C">
      <w:pPr>
        <w:pStyle w:val="30"/>
      </w:pPr>
      <w:bookmarkStart w:id="160" w:name="_Toc32595"/>
      <w:r>
        <w:t>期末按公允价值占基金资产净值比例大小排序的所有股票投资明细</w:t>
      </w:r>
      <w:bookmarkEnd w:id="160"/>
    </w:p>
    <w:p w14:paraId="67951A51">
      <w:pPr>
        <w:pStyle w:val="25"/>
        <w:rPr>
          <w:rFonts w:hint="eastAsia"/>
        </w:rPr>
      </w:pPr>
      <w:r>
        <w:rPr>
          <w:rFonts w:hint="eastAsia"/>
        </w:rPr>
        <w:t>无。</w:t>
      </w:r>
    </w:p>
    <w:p w14:paraId="008C4478">
      <w:pPr>
        <w:pStyle w:val="30"/>
      </w:pPr>
      <w:bookmarkStart w:id="161" w:name="_Toc31442"/>
      <w:r>
        <w:t>报告期内股票投资组合的重大变动</w:t>
      </w:r>
      <w:bookmarkEnd w:id="161"/>
    </w:p>
    <w:p w14:paraId="0354876E">
      <w:pPr>
        <w:pStyle w:val="35"/>
      </w:pPr>
      <w:bookmarkStart w:id="162" w:name="_Toc162"/>
      <w:r>
        <w:t>累计买入金额超出期初基金资产净值2%或前20名的股票明细</w:t>
      </w:r>
      <w:bookmarkEnd w:id="162"/>
    </w:p>
    <w:p w14:paraId="02AC12A0">
      <w:pPr>
        <w:pStyle w:val="25"/>
        <w:rPr>
          <w:rFonts w:hint="eastAsia"/>
        </w:rPr>
      </w:pPr>
      <w:r>
        <w:rPr>
          <w:rFonts w:hint="eastAsia"/>
        </w:rPr>
        <w:t>无。</w:t>
      </w:r>
    </w:p>
    <w:p w14:paraId="49A7A094">
      <w:pPr>
        <w:pStyle w:val="35"/>
      </w:pPr>
      <w:bookmarkStart w:id="163" w:name="_Toc163"/>
      <w:r>
        <w:t>累计卖出金额超出期初基金资产净值2%或前20名的股票明细</w:t>
      </w:r>
      <w:bookmarkEnd w:id="163"/>
    </w:p>
    <w:p w14:paraId="78F62ADF">
      <w:pPr>
        <w:pStyle w:val="25"/>
        <w:rPr>
          <w:rFonts w:hint="eastAsia"/>
        </w:rPr>
      </w:pPr>
      <w:r>
        <w:rPr>
          <w:rFonts w:hint="eastAsia"/>
        </w:rPr>
        <w:t>无。</w:t>
      </w:r>
    </w:p>
    <w:p w14:paraId="5E5950E2">
      <w:pPr>
        <w:pStyle w:val="35"/>
      </w:pPr>
      <w:bookmarkStart w:id="164" w:name="_Toc164"/>
      <w:r>
        <w:t>买入股票的成本总额及卖出股票的收入总额</w:t>
      </w:r>
      <w:bookmarkEnd w:id="164"/>
    </w:p>
    <w:p w14:paraId="5DB73F51">
      <w:pPr>
        <w:pStyle w:val="25"/>
        <w:rPr>
          <w:rFonts w:hint="eastAsia"/>
        </w:rPr>
      </w:pPr>
      <w:r>
        <w:rPr>
          <w:rFonts w:hint="eastAsia"/>
        </w:rPr>
        <w:t>无。</w:t>
      </w:r>
    </w:p>
    <w:p w14:paraId="542140AC">
      <w:pPr>
        <w:pStyle w:val="30"/>
      </w:pPr>
      <w:bookmarkStart w:id="165" w:name="_Toc18929"/>
      <w:r>
        <w:t>期末按债券品种分类的债券投资组合</w:t>
      </w:r>
      <w:bookmarkEnd w:id="165"/>
    </w:p>
    <w:p w14:paraId="7B4CA0B5">
      <w:pPr>
        <w:pStyle w:val="25"/>
        <w:rPr>
          <w:rFonts w:hint="eastAsia"/>
        </w:rPr>
      </w:pPr>
      <w:r>
        <w:rPr>
          <w:rFonts w:hint="eastAsia"/>
        </w:rPr>
        <w:t>无。</w:t>
      </w:r>
    </w:p>
    <w:p w14:paraId="304C9354">
      <w:pPr>
        <w:pStyle w:val="30"/>
      </w:pPr>
      <w:bookmarkStart w:id="166" w:name="_Toc27379"/>
      <w:r>
        <w:t>期末按公允价值占基金资产净值比例大小排序的前五名债券投资明细</w:t>
      </w:r>
      <w:bookmarkEnd w:id="166"/>
    </w:p>
    <w:p w14:paraId="0F193C47">
      <w:pPr>
        <w:pStyle w:val="25"/>
        <w:rPr>
          <w:rFonts w:hint="eastAsia"/>
        </w:rPr>
      </w:pPr>
      <w:r>
        <w:rPr>
          <w:rFonts w:hint="eastAsia"/>
        </w:rPr>
        <w:t>无。</w:t>
      </w:r>
    </w:p>
    <w:p w14:paraId="5575BC80">
      <w:pPr>
        <w:pStyle w:val="30"/>
      </w:pPr>
      <w:bookmarkStart w:id="167" w:name="_Toc9024"/>
      <w:r>
        <w:t>期末按公允价值占基金资产净值比例大小排序的所有资产支持证券投资明细</w:t>
      </w:r>
      <w:bookmarkEnd w:id="167"/>
    </w:p>
    <w:p w14:paraId="3DB7392C">
      <w:pPr>
        <w:pStyle w:val="25"/>
        <w:rPr>
          <w:rFonts w:hint="eastAsia"/>
        </w:rPr>
      </w:pPr>
      <w:r>
        <w:rPr>
          <w:rFonts w:hint="eastAsia"/>
        </w:rPr>
        <w:t>无。</w:t>
      </w:r>
    </w:p>
    <w:p w14:paraId="61126C3E">
      <w:pPr>
        <w:pStyle w:val="30"/>
      </w:pPr>
      <w:bookmarkStart w:id="168" w:name="_Toc5390"/>
      <w:r>
        <w:t>报告期末按公允价值占基金资产净值比例大小排序的前五名贵金属投资明细</w:t>
      </w:r>
      <w:bookmarkEnd w:id="168"/>
    </w:p>
    <w:p w14:paraId="78AD15A9">
      <w:pPr>
        <w:pStyle w:val="25"/>
        <w:rPr>
          <w:rFonts w:hint="eastAsia"/>
        </w:rPr>
      </w:pPr>
      <w:r>
        <w:rPr>
          <w:rFonts w:hint="eastAsia"/>
        </w:rPr>
        <w:t>无。</w:t>
      </w:r>
    </w:p>
    <w:p w14:paraId="032A7864">
      <w:pPr>
        <w:pStyle w:val="30"/>
      </w:pPr>
      <w:bookmarkStart w:id="169" w:name="_Toc26996"/>
      <w:r>
        <w:t>期末按公允价值占基金资产净值比例大小排序的前五名权证投资明细</w:t>
      </w:r>
      <w:bookmarkEnd w:id="169"/>
    </w:p>
    <w:p w14:paraId="40A9D37E">
      <w:pPr>
        <w:pStyle w:val="25"/>
        <w:rPr>
          <w:rFonts w:hint="eastAsia"/>
        </w:rPr>
      </w:pPr>
      <w:r>
        <w:rPr>
          <w:rFonts w:hint="eastAsia"/>
        </w:rPr>
        <w:t>无。</w:t>
      </w:r>
    </w:p>
    <w:p w14:paraId="27323E6A">
      <w:pPr>
        <w:pStyle w:val="30"/>
      </w:pPr>
      <w:bookmarkStart w:id="170" w:name="_Toc16646"/>
      <w:r>
        <w:t>本基金投资股指期货的投资政策</w:t>
      </w:r>
      <w:bookmarkEnd w:id="170"/>
    </w:p>
    <w:p w14:paraId="10DFAB45">
      <w:pPr>
        <w:pStyle w:val="25"/>
        <w:rPr>
          <w:rFonts w:hint="eastAsia"/>
        </w:rPr>
      </w:pPr>
      <w:r>
        <w:rPr>
          <w:rFonts w:hint="eastAsia"/>
        </w:rPr>
        <w:t>无。</w:t>
      </w:r>
    </w:p>
    <w:p w14:paraId="7CFAF139">
      <w:pPr>
        <w:pStyle w:val="30"/>
      </w:pPr>
      <w:bookmarkStart w:id="171" w:name="_Toc1396"/>
      <w:r>
        <w:t>报告期末本基金投资的国债期货交易情况说明</w:t>
      </w:r>
      <w:bookmarkEnd w:id="171"/>
    </w:p>
    <w:p w14:paraId="221DC8D9">
      <w:pPr>
        <w:pStyle w:val="35"/>
      </w:pPr>
      <w:bookmarkStart w:id="172" w:name="_Toc172"/>
      <w:r>
        <w:t>本期国债期货投资政策</w:t>
      </w:r>
      <w:bookmarkEnd w:id="172"/>
    </w:p>
    <w:p w14:paraId="3045E6C4">
      <w:pPr>
        <w:pStyle w:val="25"/>
        <w:rPr>
          <w:rFonts w:hint="eastAsia"/>
        </w:rPr>
      </w:pPr>
      <w:r>
        <w:rPr>
          <w:rFonts w:hint="eastAsia"/>
        </w:rPr>
        <w:t>无。</w:t>
      </w:r>
    </w:p>
    <w:p w14:paraId="5DC4BA8A">
      <w:pPr>
        <w:pStyle w:val="35"/>
      </w:pPr>
      <w:bookmarkStart w:id="173" w:name="_Toc173"/>
      <w:r>
        <w:t>本期国债期货投资评价</w:t>
      </w:r>
      <w:bookmarkEnd w:id="173"/>
    </w:p>
    <w:p w14:paraId="14731DE3">
      <w:pPr>
        <w:pStyle w:val="25"/>
        <w:rPr>
          <w:rFonts w:hint="eastAsia"/>
        </w:rPr>
      </w:pPr>
      <w:r>
        <w:rPr>
          <w:rFonts w:hint="eastAsia"/>
        </w:rPr>
        <w:t>无。</w:t>
      </w:r>
    </w:p>
    <w:p w14:paraId="7C0A004E">
      <w:pPr>
        <w:pStyle w:val="30"/>
      </w:pPr>
      <w:bookmarkStart w:id="174" w:name="_Toc14954"/>
      <w:r>
        <w:t>投资组合报告附注</w:t>
      </w:r>
      <w:bookmarkEnd w:id="174"/>
    </w:p>
    <w:p w14:paraId="709E60DC">
      <w:pPr>
        <w:pStyle w:val="35"/>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12EA0D74">
      <w:pPr>
        <w:pStyle w:val="25"/>
        <w:rPr>
          <w:rFonts w:hint="eastAsia"/>
        </w:rPr>
      </w:pPr>
      <w:r>
        <w:rPr>
          <w:rFonts w:hint="eastAsia"/>
        </w:rPr>
        <w:t>报告期内基金投资的前十名证券的发行主体未有被监管部门立案调查，不存在报告编制日前一年内受到公开谴责、处罚的情形。</w:t>
      </w:r>
    </w:p>
    <w:p w14:paraId="51AF59A1">
      <w:pPr>
        <w:pStyle w:val="35"/>
      </w:pPr>
      <w:bookmarkStart w:id="176" w:name="_Toc176"/>
      <w:r>
        <w:t xml:space="preserve">声明基金投资的前十名股票是否超出基金合同规定的备选股票库。如是，还应对相关股票的投资决策程序做出说明 </w:t>
      </w:r>
      <w:bookmarkEnd w:id="176"/>
    </w:p>
    <w:p w14:paraId="2224A5DC">
      <w:pPr>
        <w:pStyle w:val="25"/>
        <w:rPr>
          <w:rFonts w:hint="eastAsia"/>
        </w:rPr>
      </w:pPr>
      <w:r>
        <w:rPr>
          <w:rFonts w:hint="eastAsia"/>
        </w:rPr>
        <w:t>本基金投资的前十名股票（如有）没有超出基金合同规定的备选股票库，本基金管理人从制度和流程上要求股票必须先入库再买入。</w:t>
      </w:r>
    </w:p>
    <w:p w14:paraId="74DCD137">
      <w:pPr>
        <w:pStyle w:val="35"/>
      </w:pPr>
      <w:bookmarkStart w:id="177" w:name="_Toc177"/>
      <w:r>
        <w:t>期末其他各项资产构成</w:t>
      </w:r>
      <w:bookmarkEnd w:id="177"/>
    </w:p>
    <w:p w14:paraId="767480F4">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044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360301BB">
            <w:pPr>
              <w:jc w:val="center"/>
            </w:pPr>
            <w:r>
              <w:rPr>
                <w:rFonts w:hint="eastAsia"/>
                <w:b/>
              </w:rPr>
              <w:t>序号</w:t>
            </w:r>
          </w:p>
        </w:tc>
        <w:tc>
          <w:tcPr>
            <w:tcW w:w="2907" w:type="dxa"/>
            <w:shd w:val="clear" w:color="auto" w:fill="BFBFBF"/>
            <w:vAlign w:val="center"/>
          </w:tcPr>
          <w:p w14:paraId="1B8B4DEC">
            <w:pPr>
              <w:jc w:val="center"/>
            </w:pPr>
            <w:r>
              <w:rPr>
                <w:rFonts w:hint="eastAsia"/>
                <w:b/>
              </w:rPr>
              <w:t>名称</w:t>
            </w:r>
          </w:p>
        </w:tc>
        <w:tc>
          <w:tcPr>
            <w:tcW w:w="4673" w:type="dxa"/>
            <w:shd w:val="clear" w:color="auto" w:fill="BFBFBF"/>
            <w:vAlign w:val="center"/>
          </w:tcPr>
          <w:p w14:paraId="429B6C81">
            <w:pPr>
              <w:jc w:val="center"/>
            </w:pPr>
            <w:r>
              <w:rPr>
                <w:rFonts w:hint="eastAsia"/>
                <w:b/>
              </w:rPr>
              <w:t>金额（元）</w:t>
            </w:r>
          </w:p>
        </w:tc>
      </w:tr>
      <w:tr w14:paraId="7DE1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5856C4">
            <w:pPr>
              <w:jc w:val="center"/>
            </w:pPr>
            <w:r>
              <w:rPr>
                <w:rFonts w:hint="eastAsia"/>
              </w:rPr>
              <w:t>1</w:t>
            </w:r>
          </w:p>
        </w:tc>
        <w:tc>
          <w:tcPr>
            <w:tcW w:w="2907" w:type="dxa"/>
            <w:vAlign w:val="center"/>
          </w:tcPr>
          <w:p w14:paraId="270B5FF2">
            <w:r>
              <w:rPr>
                <w:rFonts w:hint="eastAsia"/>
              </w:rPr>
              <w:t>存出保证金</w:t>
            </w:r>
          </w:p>
        </w:tc>
        <w:tc>
          <w:tcPr>
            <w:tcW w:w="4673" w:type="dxa"/>
            <w:vAlign w:val="center"/>
          </w:tcPr>
          <w:p w14:paraId="0A06DE5D">
            <w:pPr>
              <w:jc w:val="right"/>
            </w:pPr>
            <w:r>
              <w:rPr>
                <w:rFonts w:hint="eastAsia"/>
              </w:rPr>
              <w:t>-</w:t>
            </w:r>
          </w:p>
        </w:tc>
      </w:tr>
      <w:tr w14:paraId="3BE0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CD68F8">
            <w:pPr>
              <w:jc w:val="center"/>
            </w:pPr>
            <w:r>
              <w:rPr>
                <w:rFonts w:hint="eastAsia"/>
              </w:rPr>
              <w:t>2</w:t>
            </w:r>
          </w:p>
        </w:tc>
        <w:tc>
          <w:tcPr>
            <w:tcW w:w="2907" w:type="dxa"/>
            <w:vAlign w:val="center"/>
          </w:tcPr>
          <w:p w14:paraId="10C26AAF">
            <w:r>
              <w:rPr>
                <w:rFonts w:hint="eastAsia"/>
              </w:rPr>
              <w:t>应收清算款</w:t>
            </w:r>
          </w:p>
        </w:tc>
        <w:tc>
          <w:tcPr>
            <w:tcW w:w="4673" w:type="dxa"/>
            <w:vAlign w:val="center"/>
          </w:tcPr>
          <w:p w14:paraId="363DECBD">
            <w:pPr>
              <w:jc w:val="right"/>
            </w:pPr>
            <w:r>
              <w:rPr>
                <w:rFonts w:hint="eastAsia"/>
              </w:rPr>
              <w:t>-</w:t>
            </w:r>
          </w:p>
        </w:tc>
      </w:tr>
      <w:tr w14:paraId="0ABC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012171">
            <w:pPr>
              <w:jc w:val="center"/>
            </w:pPr>
            <w:r>
              <w:rPr>
                <w:rFonts w:hint="eastAsia"/>
              </w:rPr>
              <w:t>3</w:t>
            </w:r>
          </w:p>
        </w:tc>
        <w:tc>
          <w:tcPr>
            <w:tcW w:w="2907" w:type="dxa"/>
            <w:vAlign w:val="center"/>
          </w:tcPr>
          <w:p w14:paraId="045D9398">
            <w:r>
              <w:rPr>
                <w:rFonts w:hint="eastAsia"/>
              </w:rPr>
              <w:t>应收股利</w:t>
            </w:r>
          </w:p>
        </w:tc>
        <w:tc>
          <w:tcPr>
            <w:tcW w:w="4673" w:type="dxa"/>
            <w:vAlign w:val="center"/>
          </w:tcPr>
          <w:p w14:paraId="6FC9AD88">
            <w:pPr>
              <w:jc w:val="right"/>
            </w:pPr>
            <w:r>
              <w:rPr>
                <w:rFonts w:hint="eastAsia"/>
              </w:rPr>
              <w:t>-</w:t>
            </w:r>
          </w:p>
        </w:tc>
      </w:tr>
      <w:tr w14:paraId="1CA2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6DB483">
            <w:pPr>
              <w:jc w:val="center"/>
            </w:pPr>
            <w:r>
              <w:rPr>
                <w:rFonts w:hint="eastAsia"/>
              </w:rPr>
              <w:t>4</w:t>
            </w:r>
          </w:p>
        </w:tc>
        <w:tc>
          <w:tcPr>
            <w:tcW w:w="2907" w:type="dxa"/>
            <w:vAlign w:val="center"/>
          </w:tcPr>
          <w:p w14:paraId="439D086F">
            <w:r>
              <w:rPr>
                <w:rFonts w:hint="eastAsia"/>
              </w:rPr>
              <w:t>应收利息</w:t>
            </w:r>
          </w:p>
        </w:tc>
        <w:tc>
          <w:tcPr>
            <w:tcW w:w="4673" w:type="dxa"/>
            <w:vAlign w:val="center"/>
          </w:tcPr>
          <w:p w14:paraId="0F8E8097">
            <w:pPr>
              <w:jc w:val="right"/>
            </w:pPr>
            <w:r>
              <w:rPr>
                <w:rFonts w:hint="eastAsia"/>
              </w:rPr>
              <w:t>-</w:t>
            </w:r>
          </w:p>
        </w:tc>
      </w:tr>
      <w:tr w14:paraId="2E0D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7DD41B">
            <w:pPr>
              <w:jc w:val="center"/>
            </w:pPr>
            <w:r>
              <w:rPr>
                <w:rFonts w:hint="eastAsia"/>
              </w:rPr>
              <w:t>5</w:t>
            </w:r>
          </w:p>
        </w:tc>
        <w:tc>
          <w:tcPr>
            <w:tcW w:w="2907" w:type="dxa"/>
            <w:vAlign w:val="center"/>
          </w:tcPr>
          <w:p w14:paraId="1BD4A655">
            <w:r>
              <w:rPr>
                <w:rFonts w:hint="eastAsia"/>
              </w:rPr>
              <w:t>应收申购款</w:t>
            </w:r>
          </w:p>
        </w:tc>
        <w:tc>
          <w:tcPr>
            <w:tcW w:w="4673" w:type="dxa"/>
            <w:vAlign w:val="center"/>
          </w:tcPr>
          <w:p w14:paraId="7E534BC1">
            <w:pPr>
              <w:jc w:val="right"/>
            </w:pPr>
            <w:r>
              <w:rPr>
                <w:rFonts w:hint="eastAsia"/>
              </w:rPr>
              <w:t>609.92</w:t>
            </w:r>
          </w:p>
        </w:tc>
      </w:tr>
      <w:tr w14:paraId="45E5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924CFC">
            <w:pPr>
              <w:jc w:val="center"/>
            </w:pPr>
            <w:r>
              <w:rPr>
                <w:rFonts w:hint="eastAsia"/>
              </w:rPr>
              <w:t>6</w:t>
            </w:r>
          </w:p>
        </w:tc>
        <w:tc>
          <w:tcPr>
            <w:tcW w:w="2907" w:type="dxa"/>
            <w:vAlign w:val="center"/>
          </w:tcPr>
          <w:p w14:paraId="1B123404">
            <w:r>
              <w:rPr>
                <w:rFonts w:hint="eastAsia"/>
              </w:rPr>
              <w:t>其他应收款</w:t>
            </w:r>
          </w:p>
        </w:tc>
        <w:tc>
          <w:tcPr>
            <w:tcW w:w="4673" w:type="dxa"/>
            <w:vAlign w:val="center"/>
          </w:tcPr>
          <w:p w14:paraId="26AAF61B">
            <w:pPr>
              <w:jc w:val="right"/>
            </w:pPr>
            <w:r>
              <w:rPr>
                <w:rFonts w:hint="eastAsia"/>
              </w:rPr>
              <w:t>-</w:t>
            </w:r>
          </w:p>
        </w:tc>
      </w:tr>
      <w:tr w14:paraId="402F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88BC32">
            <w:pPr>
              <w:jc w:val="center"/>
            </w:pPr>
            <w:r>
              <w:rPr>
                <w:rFonts w:hint="eastAsia"/>
              </w:rPr>
              <w:t>7</w:t>
            </w:r>
          </w:p>
        </w:tc>
        <w:tc>
          <w:tcPr>
            <w:tcW w:w="2907" w:type="dxa"/>
            <w:vAlign w:val="center"/>
          </w:tcPr>
          <w:p w14:paraId="49811785">
            <w:r>
              <w:rPr>
                <w:rFonts w:hint="eastAsia"/>
              </w:rPr>
              <w:t>待摊费用</w:t>
            </w:r>
          </w:p>
        </w:tc>
        <w:tc>
          <w:tcPr>
            <w:tcW w:w="4673" w:type="dxa"/>
            <w:vAlign w:val="center"/>
          </w:tcPr>
          <w:p w14:paraId="2F92F037">
            <w:pPr>
              <w:jc w:val="right"/>
            </w:pPr>
            <w:r>
              <w:rPr>
                <w:rFonts w:hint="eastAsia"/>
              </w:rPr>
              <w:t>-</w:t>
            </w:r>
          </w:p>
        </w:tc>
      </w:tr>
      <w:tr w14:paraId="48DD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386497">
            <w:pPr>
              <w:jc w:val="center"/>
            </w:pPr>
            <w:r>
              <w:rPr>
                <w:rFonts w:hint="eastAsia"/>
              </w:rPr>
              <w:t>8</w:t>
            </w:r>
          </w:p>
        </w:tc>
        <w:tc>
          <w:tcPr>
            <w:tcW w:w="2907" w:type="dxa"/>
            <w:vAlign w:val="center"/>
          </w:tcPr>
          <w:p w14:paraId="13303153">
            <w:r>
              <w:rPr>
                <w:rFonts w:hint="eastAsia"/>
              </w:rPr>
              <w:t>其他</w:t>
            </w:r>
          </w:p>
        </w:tc>
        <w:tc>
          <w:tcPr>
            <w:tcW w:w="4673" w:type="dxa"/>
            <w:vAlign w:val="center"/>
          </w:tcPr>
          <w:p w14:paraId="7E5EB270">
            <w:pPr>
              <w:jc w:val="right"/>
            </w:pPr>
            <w:r>
              <w:rPr>
                <w:rFonts w:hint="eastAsia"/>
              </w:rPr>
              <w:t>-</w:t>
            </w:r>
          </w:p>
        </w:tc>
      </w:tr>
      <w:tr w14:paraId="6E7E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37E69B">
            <w:pPr>
              <w:jc w:val="center"/>
            </w:pPr>
            <w:r>
              <w:rPr>
                <w:rFonts w:hint="eastAsia"/>
              </w:rPr>
              <w:t>9</w:t>
            </w:r>
          </w:p>
        </w:tc>
        <w:tc>
          <w:tcPr>
            <w:tcW w:w="2907" w:type="dxa"/>
            <w:vAlign w:val="center"/>
          </w:tcPr>
          <w:p w14:paraId="555CCEC1">
            <w:r>
              <w:rPr>
                <w:rFonts w:hint="eastAsia"/>
              </w:rPr>
              <w:t>合计</w:t>
            </w:r>
          </w:p>
        </w:tc>
        <w:tc>
          <w:tcPr>
            <w:tcW w:w="4673" w:type="dxa"/>
            <w:vAlign w:val="center"/>
          </w:tcPr>
          <w:p w14:paraId="78FFF2D1">
            <w:pPr>
              <w:jc w:val="right"/>
            </w:pPr>
            <w:r>
              <w:rPr>
                <w:rFonts w:hint="eastAsia"/>
              </w:rPr>
              <w:t>609.92</w:t>
            </w:r>
          </w:p>
        </w:tc>
      </w:tr>
    </w:tbl>
    <w:p w14:paraId="2631F3C6">
      <w:pPr>
        <w:pStyle w:val="35"/>
      </w:pPr>
      <w:bookmarkStart w:id="178" w:name="_Toc178"/>
      <w:r>
        <w:t>期末持有的处于转股期的可转换债券明细</w:t>
      </w:r>
      <w:bookmarkEnd w:id="178"/>
    </w:p>
    <w:p w14:paraId="7044ED4E">
      <w:pPr>
        <w:pStyle w:val="25"/>
        <w:rPr>
          <w:rFonts w:hint="eastAsia"/>
        </w:rPr>
      </w:pPr>
      <w:r>
        <w:rPr>
          <w:rFonts w:hint="eastAsia"/>
        </w:rPr>
        <w:t>本基金本报告期末未持有处于转股期的可转换债券。</w:t>
      </w:r>
    </w:p>
    <w:p w14:paraId="61D67A16">
      <w:pPr>
        <w:pStyle w:val="35"/>
      </w:pPr>
      <w:bookmarkStart w:id="179" w:name="_Toc179"/>
      <w:r>
        <w:t>期末前十名股票中存在流通受限情况的说明</w:t>
      </w:r>
      <w:bookmarkEnd w:id="179"/>
    </w:p>
    <w:p w14:paraId="1E32CEB2">
      <w:pPr>
        <w:pStyle w:val="25"/>
        <w:rPr>
          <w:rFonts w:hint="eastAsia"/>
        </w:rPr>
      </w:pPr>
      <w:r>
        <w:rPr>
          <w:rFonts w:hint="eastAsia"/>
        </w:rPr>
        <w:t>无。</w:t>
      </w:r>
    </w:p>
    <w:p w14:paraId="6881E81F">
      <w:pPr>
        <w:pStyle w:val="33"/>
      </w:pPr>
      <w:bookmarkStart w:id="180" w:name="_Toc10679"/>
      <w:r>
        <w:t>基金份额持有人信息</w:t>
      </w:r>
      <w:bookmarkEnd w:id="180"/>
    </w:p>
    <w:p w14:paraId="4215121A">
      <w:pPr>
        <w:pStyle w:val="30"/>
      </w:pPr>
      <w:bookmarkStart w:id="181" w:name="_Toc12916"/>
      <w:r>
        <w:t>期末基金份额持有人户数及持有人结构</w:t>
      </w:r>
      <w:bookmarkEnd w:id="181"/>
    </w:p>
    <w:p w14:paraId="612231C7">
      <w:pPr>
        <w:jc w:val="right"/>
        <w:rPr>
          <w:rFonts w:hint="eastAsia"/>
        </w:rPr>
      </w:pPr>
      <w:r>
        <w:rPr>
          <w:rFonts w:hint="eastAsia"/>
        </w:rPr>
        <w:t>份额单位：份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508D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vMerge w:val="restart"/>
            <w:shd w:val="clear" w:color="auto" w:fill="BFBFBF"/>
            <w:vAlign w:val="center"/>
          </w:tcPr>
          <w:p w14:paraId="70E84803">
            <w:pPr>
              <w:jc w:val="center"/>
            </w:pPr>
            <w:r>
              <w:rPr>
                <w:rFonts w:hint="eastAsia"/>
                <w:b/>
              </w:rPr>
              <w:t>持有人户数（户）</w:t>
            </w:r>
          </w:p>
        </w:tc>
        <w:tc>
          <w:tcPr>
            <w:tcW w:w="1960" w:type="dxa"/>
            <w:vMerge w:val="restart"/>
            <w:shd w:val="clear" w:color="auto" w:fill="BFBFBF"/>
            <w:vAlign w:val="center"/>
          </w:tcPr>
          <w:p w14:paraId="388E0659">
            <w:pPr>
              <w:jc w:val="center"/>
            </w:pPr>
            <w:r>
              <w:rPr>
                <w:rFonts w:hint="eastAsia"/>
                <w:b/>
              </w:rPr>
              <w:t>户均持有的基金份额</w:t>
            </w:r>
          </w:p>
        </w:tc>
        <w:tc>
          <w:tcPr>
            <w:tcW w:w="2063" w:type="dxa"/>
            <w:gridSpan w:val="4"/>
            <w:shd w:val="clear" w:color="auto" w:fill="BFBFBF"/>
            <w:vAlign w:val="center"/>
          </w:tcPr>
          <w:p w14:paraId="386A1CB9">
            <w:pPr>
              <w:jc w:val="center"/>
            </w:pPr>
            <w:r>
              <w:rPr>
                <w:rFonts w:hint="eastAsia"/>
                <w:b/>
              </w:rPr>
              <w:t>持有人结构</w:t>
            </w:r>
          </w:p>
        </w:tc>
      </w:tr>
      <w:tr w14:paraId="05FD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DC6F7F4"/>
        </w:tc>
        <w:tc>
          <w:tcPr>
            <w:tcW w:w="1960" w:type="dxa"/>
            <w:vMerge w:val="continue"/>
            <w:vAlign w:val="center"/>
          </w:tcPr>
          <w:p w14:paraId="0C3C09E9"/>
        </w:tc>
        <w:tc>
          <w:tcPr>
            <w:tcW w:w="2063" w:type="dxa"/>
            <w:gridSpan w:val="2"/>
            <w:shd w:val="clear" w:color="auto" w:fill="BFBFBF"/>
            <w:vAlign w:val="center"/>
          </w:tcPr>
          <w:p w14:paraId="499F217B">
            <w:pPr>
              <w:jc w:val="center"/>
            </w:pPr>
            <w:r>
              <w:rPr>
                <w:rFonts w:hint="eastAsia"/>
                <w:b/>
              </w:rPr>
              <w:t>机构投资者</w:t>
            </w:r>
          </w:p>
        </w:tc>
        <w:tc>
          <w:tcPr>
            <w:tcW w:w="2063" w:type="dxa"/>
            <w:gridSpan w:val="2"/>
            <w:shd w:val="clear" w:color="auto" w:fill="BFBFBF"/>
            <w:vAlign w:val="center"/>
          </w:tcPr>
          <w:p w14:paraId="03A7C8BF">
            <w:pPr>
              <w:jc w:val="center"/>
            </w:pPr>
            <w:r>
              <w:rPr>
                <w:rFonts w:hint="eastAsia"/>
                <w:b/>
              </w:rPr>
              <w:t>个人投资者</w:t>
            </w:r>
          </w:p>
        </w:tc>
      </w:tr>
      <w:tr w14:paraId="011D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50F9C77"/>
        </w:tc>
        <w:tc>
          <w:tcPr>
            <w:tcW w:w="1960" w:type="dxa"/>
            <w:vMerge w:val="continue"/>
            <w:vAlign w:val="center"/>
          </w:tcPr>
          <w:p w14:paraId="6B1B6B46"/>
        </w:tc>
        <w:tc>
          <w:tcPr>
            <w:tcW w:w="2063" w:type="dxa"/>
            <w:shd w:val="clear" w:color="auto" w:fill="BFBFBF"/>
            <w:vAlign w:val="center"/>
          </w:tcPr>
          <w:p w14:paraId="37E20C2E">
            <w:pPr>
              <w:jc w:val="center"/>
            </w:pPr>
            <w:r>
              <w:rPr>
                <w:rFonts w:hint="eastAsia"/>
                <w:b/>
              </w:rPr>
              <w:t>持有份额</w:t>
            </w:r>
          </w:p>
        </w:tc>
        <w:tc>
          <w:tcPr>
            <w:tcW w:w="773" w:type="dxa"/>
            <w:shd w:val="clear" w:color="auto" w:fill="BFBFBF"/>
            <w:vAlign w:val="center"/>
          </w:tcPr>
          <w:p w14:paraId="722A4D25">
            <w:pPr>
              <w:jc w:val="center"/>
            </w:pPr>
            <w:r>
              <w:rPr>
                <w:rFonts w:hint="eastAsia"/>
                <w:b/>
              </w:rPr>
              <w:t>占总份额比例</w:t>
            </w:r>
          </w:p>
        </w:tc>
        <w:tc>
          <w:tcPr>
            <w:tcW w:w="2063" w:type="dxa"/>
            <w:shd w:val="clear" w:color="auto" w:fill="BFBFBF"/>
            <w:vAlign w:val="center"/>
          </w:tcPr>
          <w:p w14:paraId="3A4A65CB">
            <w:pPr>
              <w:jc w:val="center"/>
            </w:pPr>
            <w:r>
              <w:rPr>
                <w:rFonts w:hint="eastAsia"/>
                <w:b/>
              </w:rPr>
              <w:t>持有份额</w:t>
            </w:r>
          </w:p>
        </w:tc>
        <w:tc>
          <w:tcPr>
            <w:tcW w:w="773" w:type="dxa"/>
            <w:shd w:val="clear" w:color="auto" w:fill="BFBFBF"/>
            <w:vAlign w:val="center"/>
          </w:tcPr>
          <w:p w14:paraId="1499F0DF">
            <w:pPr>
              <w:jc w:val="center"/>
            </w:pPr>
            <w:r>
              <w:rPr>
                <w:rFonts w:hint="eastAsia"/>
                <w:b/>
              </w:rPr>
              <w:t>占总份额比例</w:t>
            </w:r>
          </w:p>
        </w:tc>
      </w:tr>
      <w:tr w14:paraId="6E6E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EA4D0E0">
            <w:pPr>
              <w:jc w:val="right"/>
            </w:pPr>
            <w:r>
              <w:rPr>
                <w:rFonts w:hint="eastAsia"/>
              </w:rPr>
              <w:t>735</w:t>
            </w:r>
          </w:p>
        </w:tc>
        <w:tc>
          <w:tcPr>
            <w:tcW w:w="1960" w:type="dxa"/>
            <w:vAlign w:val="center"/>
          </w:tcPr>
          <w:p w14:paraId="6E010FE1">
            <w:pPr>
              <w:jc w:val="right"/>
            </w:pPr>
            <w:r>
              <w:rPr>
                <w:rFonts w:hint="eastAsia"/>
              </w:rPr>
              <w:t>45,511.98</w:t>
            </w:r>
          </w:p>
        </w:tc>
        <w:tc>
          <w:tcPr>
            <w:tcW w:w="2063" w:type="dxa"/>
            <w:vAlign w:val="center"/>
          </w:tcPr>
          <w:p w14:paraId="6FEE048B">
            <w:pPr>
              <w:jc w:val="right"/>
            </w:pPr>
            <w:r>
              <w:rPr>
                <w:rFonts w:hint="eastAsia"/>
              </w:rPr>
              <w:t>29,241,641.49</w:t>
            </w:r>
          </w:p>
        </w:tc>
        <w:tc>
          <w:tcPr>
            <w:tcW w:w="773" w:type="dxa"/>
            <w:vAlign w:val="center"/>
          </w:tcPr>
          <w:p w14:paraId="7A542810">
            <w:pPr>
              <w:jc w:val="right"/>
            </w:pPr>
            <w:r>
              <w:rPr>
                <w:rFonts w:hint="eastAsia"/>
              </w:rPr>
              <w:t>87.42%</w:t>
            </w:r>
          </w:p>
        </w:tc>
        <w:tc>
          <w:tcPr>
            <w:tcW w:w="2063" w:type="dxa"/>
            <w:vAlign w:val="center"/>
          </w:tcPr>
          <w:p w14:paraId="5B180D31">
            <w:pPr>
              <w:jc w:val="right"/>
            </w:pPr>
            <w:r>
              <w:rPr>
                <w:rFonts w:hint="eastAsia"/>
              </w:rPr>
              <w:t>4,209,662.14</w:t>
            </w:r>
          </w:p>
        </w:tc>
        <w:tc>
          <w:tcPr>
            <w:tcW w:w="773" w:type="dxa"/>
            <w:vAlign w:val="center"/>
          </w:tcPr>
          <w:p w14:paraId="4199753A">
            <w:pPr>
              <w:jc w:val="right"/>
            </w:pPr>
            <w:r>
              <w:rPr>
                <w:rFonts w:hint="eastAsia"/>
              </w:rPr>
              <w:t>12.58%</w:t>
            </w:r>
          </w:p>
        </w:tc>
      </w:tr>
    </w:tbl>
    <w:p w14:paraId="16A44AC5">
      <w:pPr>
        <w:pStyle w:val="30"/>
      </w:pPr>
      <w:bookmarkStart w:id="182" w:name="_Toc20673"/>
      <w:r>
        <w:t>期末基金管理人的从业人员持有本基金的情况</w:t>
      </w:r>
      <w:bookmarkEnd w:id="18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64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B7C1D">
            <w:r>
              <w:rPr>
                <w:rFonts w:hint="eastAsia"/>
              </w:rPr>
              <w:t>项目</w:t>
            </w:r>
          </w:p>
        </w:tc>
        <w:tc>
          <w:tcPr>
            <w:tcW w:w="2768" w:type="dxa"/>
            <w:vAlign w:val="center"/>
          </w:tcPr>
          <w:p w14:paraId="184A4602">
            <w:r>
              <w:rPr>
                <w:rFonts w:hint="eastAsia"/>
              </w:rPr>
              <w:t>持有份额总数（份）</w:t>
            </w:r>
          </w:p>
        </w:tc>
        <w:tc>
          <w:tcPr>
            <w:tcW w:w="2768" w:type="dxa"/>
            <w:vAlign w:val="center"/>
          </w:tcPr>
          <w:p w14:paraId="72B3DD53">
            <w:r>
              <w:rPr>
                <w:rFonts w:hint="eastAsia"/>
              </w:rPr>
              <w:t>占基金总份额比例</w:t>
            </w:r>
          </w:p>
        </w:tc>
      </w:tr>
      <w:tr w14:paraId="486A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8E5A0">
            <w:r>
              <w:rPr>
                <w:rFonts w:hint="eastAsia"/>
              </w:rPr>
              <w:t>基金管理人所有从业人员持有本基金</w:t>
            </w:r>
          </w:p>
        </w:tc>
        <w:tc>
          <w:tcPr>
            <w:tcW w:w="2768" w:type="dxa"/>
            <w:vAlign w:val="center"/>
          </w:tcPr>
          <w:p w14:paraId="2AF9D8A1">
            <w:pPr>
              <w:jc w:val="right"/>
            </w:pPr>
            <w:r>
              <w:rPr>
                <w:rFonts w:hint="eastAsia"/>
              </w:rPr>
              <w:t>306.65</w:t>
            </w:r>
          </w:p>
        </w:tc>
        <w:tc>
          <w:tcPr>
            <w:tcW w:w="2768" w:type="dxa"/>
            <w:vAlign w:val="center"/>
          </w:tcPr>
          <w:p w14:paraId="47A42458">
            <w:pPr>
              <w:jc w:val="right"/>
            </w:pPr>
            <w:r>
              <w:rPr>
                <w:rFonts w:hint="eastAsia"/>
              </w:rPr>
              <w:t>0.0009%</w:t>
            </w:r>
          </w:p>
        </w:tc>
      </w:tr>
    </w:tbl>
    <w:p w14:paraId="05F3BC83">
      <w:pPr>
        <w:pStyle w:val="30"/>
      </w:pPr>
      <w:bookmarkStart w:id="183" w:name="_Toc22272"/>
      <w:r>
        <w:t>期末基金管理人的从业人员持有本开放式基金份额总量区间情况</w:t>
      </w:r>
      <w:bookmarkEnd w:id="183"/>
    </w:p>
    <w:p w14:paraId="6228CF45">
      <w:pPr>
        <w:pStyle w:val="25"/>
        <w:rPr>
          <w:rFonts w:hint="eastAsia"/>
        </w:rPr>
      </w:pPr>
      <w:r>
        <w:rPr>
          <w:rFonts w:hint="eastAsia"/>
        </w:rPr>
        <w:t>本公司的高级管理人员、基金投资和研究部门负责人和本基金基金经理均未持有本基金份额。</w:t>
      </w:r>
    </w:p>
    <w:p w14:paraId="7F405A19">
      <w:pPr>
        <w:pStyle w:val="33"/>
      </w:pPr>
      <w:bookmarkStart w:id="184" w:name="_Toc16572"/>
      <w:r>
        <w:t>开放式基金份额变动</w:t>
      </w:r>
      <w:bookmarkEnd w:id="184"/>
    </w:p>
    <w:p w14:paraId="53DB71FD">
      <w:pPr>
        <w:jc w:val="right"/>
        <w:rPr>
          <w:rFonts w:hint="eastAsia"/>
        </w:rPr>
      </w:pPr>
      <w:r>
        <w:rPr>
          <w:rFonts w:hint="eastAsia"/>
        </w:rPr>
        <w:t>单位：份</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61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6BD912">
            <w:r>
              <w:rPr>
                <w:rFonts w:hint="eastAsia"/>
              </w:rPr>
              <w:t>基金合同生效日(2019年5月21日)基金份额总额</w:t>
            </w:r>
          </w:p>
        </w:tc>
        <w:tc>
          <w:tcPr>
            <w:tcW w:w="4153" w:type="dxa"/>
            <w:vAlign w:val="center"/>
          </w:tcPr>
          <w:p w14:paraId="4A0ADEEB">
            <w:pPr>
              <w:jc w:val="right"/>
            </w:pPr>
            <w:r>
              <w:rPr>
                <w:rFonts w:hint="eastAsia"/>
              </w:rPr>
              <w:t>6,001,066,734.10</w:t>
            </w:r>
          </w:p>
        </w:tc>
      </w:tr>
      <w:tr w14:paraId="04CA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7C6CC0">
            <w:r>
              <w:rPr>
                <w:rFonts w:hint="eastAsia"/>
              </w:rPr>
              <w:t>本报告期期初基金份额总额</w:t>
            </w:r>
          </w:p>
        </w:tc>
        <w:tc>
          <w:tcPr>
            <w:tcW w:w="4153" w:type="dxa"/>
            <w:vAlign w:val="center"/>
          </w:tcPr>
          <w:p w14:paraId="3E0E65E4">
            <w:pPr>
              <w:jc w:val="right"/>
            </w:pPr>
            <w:r>
              <w:rPr>
                <w:rFonts w:hint="eastAsia"/>
              </w:rPr>
              <w:t>4,511,718,215.35</w:t>
            </w:r>
          </w:p>
        </w:tc>
      </w:tr>
      <w:tr w14:paraId="1487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4199A">
            <w:r>
              <w:rPr>
                <w:rFonts w:hint="eastAsia"/>
              </w:rPr>
              <w:t>本报告期基金总申购份额</w:t>
            </w:r>
          </w:p>
        </w:tc>
        <w:tc>
          <w:tcPr>
            <w:tcW w:w="4153" w:type="dxa"/>
            <w:vAlign w:val="center"/>
          </w:tcPr>
          <w:p w14:paraId="25C3B1DB">
            <w:pPr>
              <w:jc w:val="right"/>
            </w:pPr>
            <w:r>
              <w:rPr>
                <w:rFonts w:hint="eastAsia"/>
              </w:rPr>
              <w:t>8,010.20</w:t>
            </w:r>
          </w:p>
        </w:tc>
      </w:tr>
      <w:tr w14:paraId="7504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0F3264">
            <w:r>
              <w:rPr>
                <w:rFonts w:hint="eastAsia"/>
              </w:rPr>
              <w:t>减：本报告期基金总赎回份额</w:t>
            </w:r>
          </w:p>
        </w:tc>
        <w:tc>
          <w:tcPr>
            <w:tcW w:w="4153" w:type="dxa"/>
            <w:vAlign w:val="center"/>
          </w:tcPr>
          <w:p w14:paraId="0BABC58F">
            <w:pPr>
              <w:jc w:val="right"/>
            </w:pPr>
            <w:r>
              <w:rPr>
                <w:rFonts w:hint="eastAsia"/>
              </w:rPr>
              <w:t>4,478,274,921.92</w:t>
            </w:r>
          </w:p>
        </w:tc>
      </w:tr>
      <w:tr w14:paraId="1DBA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DB5A04">
            <w:r>
              <w:rPr>
                <w:rFonts w:hint="eastAsia"/>
              </w:rPr>
              <w:t>本报告期基金拆分变动份额</w:t>
            </w:r>
          </w:p>
        </w:tc>
        <w:tc>
          <w:tcPr>
            <w:tcW w:w="4153" w:type="dxa"/>
            <w:vAlign w:val="center"/>
          </w:tcPr>
          <w:p w14:paraId="71B49A1B">
            <w:pPr>
              <w:jc w:val="right"/>
            </w:pPr>
            <w:r>
              <w:rPr>
                <w:rFonts w:hint="eastAsia"/>
              </w:rPr>
              <w:t>-</w:t>
            </w:r>
          </w:p>
        </w:tc>
      </w:tr>
      <w:tr w14:paraId="0566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9EFDE">
            <w:r>
              <w:rPr>
                <w:rFonts w:hint="eastAsia"/>
              </w:rPr>
              <w:t>本报告期期末基金份额总额</w:t>
            </w:r>
          </w:p>
        </w:tc>
        <w:tc>
          <w:tcPr>
            <w:tcW w:w="4153" w:type="dxa"/>
            <w:vAlign w:val="center"/>
          </w:tcPr>
          <w:p w14:paraId="0164F1F6">
            <w:pPr>
              <w:jc w:val="right"/>
            </w:pPr>
            <w:r>
              <w:rPr>
                <w:rFonts w:hint="eastAsia"/>
              </w:rPr>
              <w:t>33,451,303.63</w:t>
            </w:r>
          </w:p>
        </w:tc>
      </w:tr>
    </w:tbl>
    <w:p w14:paraId="69271912">
      <w:pPr>
        <w:pStyle w:val="33"/>
      </w:pPr>
      <w:bookmarkStart w:id="185" w:name="_Toc28233"/>
      <w:r>
        <w:t>重大事件揭示</w:t>
      </w:r>
      <w:bookmarkEnd w:id="185"/>
    </w:p>
    <w:p w14:paraId="7D509A7C">
      <w:pPr>
        <w:pStyle w:val="30"/>
      </w:pPr>
      <w:bookmarkStart w:id="186" w:name="_Toc17616"/>
      <w:r>
        <w:t>基金份额持有人大会决议</w:t>
      </w:r>
      <w:bookmarkEnd w:id="186"/>
    </w:p>
    <w:p w14:paraId="20FD5659">
      <w:pPr>
        <w:pStyle w:val="25"/>
        <w:rPr>
          <w:rFonts w:hint="eastAsia"/>
        </w:rPr>
      </w:pPr>
      <w:r>
        <w:rPr>
          <w:rFonts w:hint="eastAsia"/>
        </w:rPr>
        <w:t>根据南方基金管理股份有限公司2025年8月27日发布的《南方恒庆一年定期开放债券型证券投资基金基金份额持有人大会表决结果暨决议生效的公告》，本报告期本基金审议并通过了《关于南方恒庆一年定期开放债券型证券投资基金调整开放期时限、删除投资组合限制等条款并修订基金合同、托管协议的议案》。基金份额持有人大会决定的事项自表决通过之日起生效，本次会议决议生效日为2025年8月26日。</w:t>
      </w:r>
    </w:p>
    <w:p w14:paraId="31F0C59A">
      <w:pPr>
        <w:pStyle w:val="30"/>
      </w:pPr>
      <w:r>
        <w:t xml:space="preserve"> </w:t>
      </w:r>
      <w:bookmarkStart w:id="187" w:name="_Toc1382"/>
      <w:r>
        <w:t>基金管理人、基金托管人的专门基金托管部门的重大人事变动</w:t>
      </w:r>
      <w:bookmarkEnd w:id="187"/>
    </w:p>
    <w:p w14:paraId="60134203">
      <w:pPr>
        <w:pStyle w:val="25"/>
        <w:rPr>
          <w:rFonts w:hint="eastAsia"/>
        </w:rPr>
      </w:pPr>
      <w:r>
        <w:rPr>
          <w:rFonts w:hint="eastAsia"/>
        </w:rPr>
        <w:t>本报告期内，本基金的基金管理人未发生重大人事变动。</w:t>
      </w:r>
    </w:p>
    <w:p w14:paraId="2E3D29A4">
      <w:pPr>
        <w:pStyle w:val="25"/>
        <w:rPr>
          <w:rFonts w:hint="eastAsia"/>
        </w:rPr>
      </w:pPr>
      <w:r>
        <w:rPr>
          <w:rFonts w:hint="eastAsia"/>
        </w:rPr>
        <w:t>本报告期内，孟羽任交通银行资产托管部/资产托管业务发展中心总经理。</w:t>
      </w:r>
    </w:p>
    <w:p w14:paraId="447AF3D0">
      <w:pPr>
        <w:pStyle w:val="30"/>
      </w:pPr>
      <w:r>
        <w:t xml:space="preserve"> </w:t>
      </w:r>
      <w:bookmarkStart w:id="188" w:name="_Toc4630"/>
      <w:r>
        <w:t>涉及基金管理人、基金财产、基金托管业务的诉讼</w:t>
      </w:r>
      <w:bookmarkEnd w:id="188"/>
    </w:p>
    <w:p w14:paraId="7984A61D">
      <w:pPr>
        <w:pStyle w:val="25"/>
        <w:rPr>
          <w:rFonts w:hint="eastAsia"/>
        </w:rPr>
      </w:pPr>
      <w:r>
        <w:rPr>
          <w:rFonts w:hint="eastAsia"/>
        </w:rPr>
        <w:t>本报告期内，无涉及基金管理人主营业务的诉讼。</w:t>
      </w:r>
    </w:p>
    <w:p w14:paraId="22DFBD70">
      <w:pPr>
        <w:pStyle w:val="25"/>
        <w:rPr>
          <w:rFonts w:hint="eastAsia"/>
        </w:rPr>
      </w:pPr>
      <w:r>
        <w:rPr>
          <w:rFonts w:hint="eastAsia"/>
        </w:rPr>
        <w:t>本报告期内无涉及基金财产的诉讼事项。</w:t>
      </w:r>
    </w:p>
    <w:p w14:paraId="4E01D2D8">
      <w:pPr>
        <w:pStyle w:val="25"/>
        <w:rPr>
          <w:rFonts w:hint="eastAsia"/>
        </w:rPr>
      </w:pPr>
      <w:r>
        <w:rPr>
          <w:rFonts w:hint="eastAsia"/>
        </w:rPr>
        <w:t>本报告期内无涉及基金托管业务的诉讼事项。</w:t>
      </w:r>
    </w:p>
    <w:p w14:paraId="588088D1">
      <w:pPr>
        <w:pStyle w:val="30"/>
      </w:pPr>
      <w:bookmarkStart w:id="189" w:name="_Toc28640"/>
      <w:r>
        <w:t>基金投资策略的改变</w:t>
      </w:r>
      <w:bookmarkEnd w:id="189"/>
    </w:p>
    <w:p w14:paraId="015B2E4C">
      <w:pPr>
        <w:pStyle w:val="25"/>
        <w:rPr>
          <w:rFonts w:hint="eastAsia"/>
        </w:rPr>
      </w:pPr>
      <w:r>
        <w:rPr>
          <w:rFonts w:hint="eastAsia"/>
        </w:rPr>
        <w:t>本报告期内本基金的投资策略未有重大变化。</w:t>
      </w:r>
    </w:p>
    <w:p w14:paraId="4F164ADB">
      <w:pPr>
        <w:pStyle w:val="30"/>
      </w:pPr>
      <w:bookmarkStart w:id="190" w:name="_Toc15717"/>
      <w:r>
        <w:t>为基金进行审计的会计师事务所情况</w:t>
      </w:r>
      <w:bookmarkEnd w:id="190"/>
    </w:p>
    <w:p w14:paraId="2C14FA1C">
      <w:pPr>
        <w:pStyle w:val="25"/>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7EBC3E11">
      <w:pPr>
        <w:pStyle w:val="30"/>
      </w:pPr>
      <w:bookmarkStart w:id="191" w:name="_Toc2269"/>
      <w:r>
        <w:t>管理人、托管人及相关从业人员受调查或处罚等情况</w:t>
      </w:r>
      <w:bookmarkEnd w:id="191"/>
    </w:p>
    <w:p w14:paraId="036574DE">
      <w:pPr>
        <w:pStyle w:val="35"/>
      </w:pPr>
      <w:bookmarkStart w:id="192" w:name="_Toc192"/>
      <w:r>
        <w:t>管理人受调查或处罚等情况</w:t>
      </w:r>
      <w:bookmarkEnd w:id="192"/>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31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DBC8D0">
            <w:pPr>
              <w:jc w:val="center"/>
            </w:pPr>
            <w:r>
              <w:rPr>
                <w:rFonts w:hint="eastAsia"/>
                <w:b/>
              </w:rPr>
              <w:t>管理人受调查或处罚等情况</w:t>
            </w:r>
          </w:p>
        </w:tc>
        <w:tc>
          <w:tcPr>
            <w:tcW w:w="4153" w:type="dxa"/>
            <w:shd w:val="clear" w:color="auto" w:fill="BFBFBF"/>
            <w:vAlign w:val="center"/>
          </w:tcPr>
          <w:p w14:paraId="0BFD77F2">
            <w:pPr>
              <w:jc w:val="center"/>
            </w:pPr>
            <w:r>
              <w:rPr>
                <w:rFonts w:hint="eastAsia"/>
                <w:b/>
              </w:rPr>
              <w:t>内容</w:t>
            </w:r>
          </w:p>
        </w:tc>
      </w:tr>
      <w:tr w14:paraId="5132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68C0BA">
            <w:r>
              <w:rPr>
                <w:rFonts w:hint="eastAsia"/>
              </w:rPr>
              <w:t>受到调查或处罚等措施的主体</w:t>
            </w:r>
          </w:p>
        </w:tc>
        <w:tc>
          <w:tcPr>
            <w:tcW w:w="4153" w:type="dxa"/>
            <w:vAlign w:val="center"/>
          </w:tcPr>
          <w:p w14:paraId="0C09C01C">
            <w:r>
              <w:rPr>
                <w:rFonts w:hint="eastAsia"/>
              </w:rPr>
              <w:t>管理人</w:t>
            </w:r>
          </w:p>
        </w:tc>
      </w:tr>
      <w:tr w14:paraId="4B3F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503EF">
            <w:r>
              <w:rPr>
                <w:rFonts w:hint="eastAsia"/>
              </w:rPr>
              <w:t>受到调查或处罚等措施的时间</w:t>
            </w:r>
          </w:p>
        </w:tc>
        <w:tc>
          <w:tcPr>
            <w:tcW w:w="4153" w:type="dxa"/>
            <w:vAlign w:val="center"/>
          </w:tcPr>
          <w:p w14:paraId="1338E258">
            <w:pPr>
              <w:rPr>
                <w:rFonts w:hint="eastAsia"/>
              </w:rPr>
            </w:pPr>
            <w:r>
              <w:rPr>
                <w:rFonts w:hint="eastAsia"/>
              </w:rPr>
              <w:t>2025-10-17；
</w:t>
            </w:r>
            <w:r>
              <w:rPr>
                <w:rFonts w:hint="eastAsia"/>
              </w:rPr>
              <w:br w:type="textWrapping"/>
            </w:r>
            <w:r>
              <w:rPr>
                <w:rFonts w:hint="eastAsia"/>
              </w:rPr>
              <w:t>2025-11-18</w:t>
            </w:r>
          </w:p>
        </w:tc>
      </w:tr>
      <w:tr w14:paraId="284D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580F5">
            <w:r>
              <w:rPr>
                <w:rFonts w:hint="eastAsia"/>
              </w:rPr>
              <w:t>采取调查或处罚等措施的机构</w:t>
            </w:r>
          </w:p>
        </w:tc>
        <w:tc>
          <w:tcPr>
            <w:tcW w:w="4153" w:type="dxa"/>
            <w:vAlign w:val="center"/>
          </w:tcPr>
          <w:p w14:paraId="3D48B1F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48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4E9F3E">
            <w:r>
              <w:rPr>
                <w:rFonts w:hint="eastAsia"/>
              </w:rPr>
              <w:t>受到调查或处罚等措施类型</w:t>
            </w:r>
          </w:p>
        </w:tc>
        <w:tc>
          <w:tcPr>
            <w:tcW w:w="4153" w:type="dxa"/>
            <w:vAlign w:val="center"/>
          </w:tcPr>
          <w:p w14:paraId="05922401">
            <w:pPr>
              <w:rPr>
                <w:rFonts w:hint="eastAsia"/>
              </w:rPr>
            </w:pPr>
            <w:r>
              <w:rPr>
                <w:rFonts w:hint="eastAsia"/>
              </w:rPr>
              <w:t>行政监管措施；
</w:t>
            </w:r>
            <w:r>
              <w:rPr>
                <w:rFonts w:hint="eastAsia"/>
              </w:rPr>
              <w:br w:type="textWrapping"/>
            </w:r>
            <w:r>
              <w:rPr>
                <w:rFonts w:hint="eastAsia"/>
              </w:rPr>
              <w:t>行政处罚</w:t>
            </w:r>
          </w:p>
        </w:tc>
      </w:tr>
      <w:tr w14:paraId="6365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8E2968">
            <w:r>
              <w:rPr>
                <w:rFonts w:hint="eastAsia"/>
              </w:rPr>
              <w:t>受到的具体措施类型</w:t>
            </w:r>
          </w:p>
        </w:tc>
        <w:tc>
          <w:tcPr>
            <w:tcW w:w="4153" w:type="dxa"/>
            <w:vAlign w:val="center"/>
          </w:tcPr>
          <w:p w14:paraId="50F15F69">
            <w:pPr>
              <w:rPr>
                <w:rFonts w:hint="eastAsia"/>
              </w:rPr>
            </w:pPr>
            <w:r>
              <w:rPr>
                <w:rFonts w:hint="eastAsia"/>
              </w:rPr>
              <w:t>责令改正；
</w:t>
            </w:r>
            <w:r>
              <w:rPr>
                <w:rFonts w:hint="eastAsia"/>
              </w:rPr>
              <w:br w:type="textWrapping"/>
            </w:r>
            <w:r>
              <w:rPr>
                <w:rFonts w:hint="eastAsia"/>
              </w:rPr>
              <w:t>警告、罚款</w:t>
            </w:r>
          </w:p>
        </w:tc>
      </w:tr>
      <w:tr w14:paraId="3044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9E472C">
            <w:r>
              <w:rPr>
                <w:rFonts w:hint="eastAsia"/>
              </w:rPr>
              <w:t>受到调查或处罚等措施的原因</w:t>
            </w:r>
          </w:p>
        </w:tc>
        <w:tc>
          <w:tcPr>
            <w:tcW w:w="4153" w:type="dxa"/>
            <w:vAlign w:val="center"/>
          </w:tcPr>
          <w:p w14:paraId="222F1F3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1E4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D92AC2">
            <w:r>
              <w:rPr>
                <w:rFonts w:hint="eastAsia"/>
              </w:rPr>
              <w:t>受到处罚的依据</w:t>
            </w:r>
          </w:p>
        </w:tc>
        <w:tc>
          <w:tcPr>
            <w:tcW w:w="4153" w:type="dxa"/>
            <w:vAlign w:val="center"/>
          </w:tcPr>
          <w:p w14:paraId="63A631F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237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9DC20E">
            <w:r>
              <w:rPr>
                <w:rFonts w:hint="eastAsia"/>
              </w:rPr>
              <w:t>管理人采取整改措施的情况</w:t>
            </w:r>
          </w:p>
        </w:tc>
        <w:tc>
          <w:tcPr>
            <w:tcW w:w="4153" w:type="dxa"/>
            <w:vAlign w:val="center"/>
          </w:tcPr>
          <w:p w14:paraId="204819E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B68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CDCD65">
            <w:r>
              <w:rPr>
                <w:rFonts w:hint="eastAsia"/>
              </w:rPr>
              <w:t>其他</w:t>
            </w:r>
          </w:p>
        </w:tc>
        <w:tc>
          <w:tcPr>
            <w:tcW w:w="4153" w:type="dxa"/>
            <w:vAlign w:val="center"/>
          </w:tcPr>
          <w:p w14:paraId="718E4E31">
            <w:r>
              <w:rPr>
                <w:rFonts w:hint="eastAsia"/>
              </w:rPr>
              <w:t>-</w:t>
            </w:r>
          </w:p>
        </w:tc>
      </w:tr>
    </w:tbl>
    <w:p w14:paraId="18E116E2">
      <w:pPr>
        <w:pStyle w:val="35"/>
      </w:pPr>
      <w:bookmarkStart w:id="193" w:name="_Toc193"/>
      <w:r>
        <w:t>管理人相关从业人员受调查或处罚等情况</w:t>
      </w:r>
      <w:bookmarkEnd w:id="19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C6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646A80E3">
            <w:pPr>
              <w:jc w:val="center"/>
            </w:pPr>
            <w:r>
              <w:rPr>
                <w:rFonts w:hint="eastAsia"/>
                <w:b/>
              </w:rPr>
              <w:t>管理人相关从业人员受调查或处罚等情况</w:t>
            </w:r>
          </w:p>
        </w:tc>
        <w:tc>
          <w:tcPr>
            <w:tcW w:w="4153" w:type="dxa"/>
            <w:shd w:val="clear" w:color="auto" w:fill="BFBFBF"/>
            <w:vAlign w:val="center"/>
          </w:tcPr>
          <w:p w14:paraId="3C0D0E2B">
            <w:pPr>
              <w:jc w:val="center"/>
            </w:pPr>
            <w:r>
              <w:rPr>
                <w:rFonts w:hint="eastAsia"/>
                <w:b/>
              </w:rPr>
              <w:t>内容</w:t>
            </w:r>
          </w:p>
        </w:tc>
      </w:tr>
      <w:tr w14:paraId="62F4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3E7E52">
            <w:r>
              <w:rPr>
                <w:rFonts w:hint="eastAsia"/>
              </w:rPr>
              <w:t>受到调查或处罚等措施的主体</w:t>
            </w:r>
          </w:p>
        </w:tc>
        <w:tc>
          <w:tcPr>
            <w:tcW w:w="4153" w:type="dxa"/>
            <w:vAlign w:val="center"/>
          </w:tcPr>
          <w:p w14:paraId="2C81045D">
            <w:r>
              <w:rPr>
                <w:rFonts w:hint="eastAsia"/>
              </w:rPr>
              <w:t>高级管理人员</w:t>
            </w:r>
          </w:p>
        </w:tc>
      </w:tr>
      <w:tr w14:paraId="362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3C473">
            <w:r>
              <w:rPr>
                <w:rFonts w:hint="eastAsia"/>
              </w:rPr>
              <w:t>受到调查或处罚等措施的时间</w:t>
            </w:r>
          </w:p>
        </w:tc>
        <w:tc>
          <w:tcPr>
            <w:tcW w:w="4153" w:type="dxa"/>
            <w:vAlign w:val="center"/>
          </w:tcPr>
          <w:p w14:paraId="0CB05410">
            <w:r>
              <w:rPr>
                <w:rFonts w:hint="eastAsia"/>
              </w:rPr>
              <w:t>2025-10-17</w:t>
            </w:r>
          </w:p>
        </w:tc>
      </w:tr>
      <w:tr w14:paraId="5E6B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0CEBF8">
            <w:r>
              <w:rPr>
                <w:rFonts w:hint="eastAsia"/>
              </w:rPr>
              <w:t>采取调查或处罚等措施的机构</w:t>
            </w:r>
          </w:p>
        </w:tc>
        <w:tc>
          <w:tcPr>
            <w:tcW w:w="4153" w:type="dxa"/>
            <w:vAlign w:val="center"/>
          </w:tcPr>
          <w:p w14:paraId="1FD89C21">
            <w:r>
              <w:rPr>
                <w:rFonts w:hint="eastAsia"/>
              </w:rPr>
              <w:t>中国证监会深圳监管局</w:t>
            </w:r>
          </w:p>
        </w:tc>
      </w:tr>
      <w:tr w14:paraId="2F73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9AA5F6">
            <w:r>
              <w:rPr>
                <w:rFonts w:hint="eastAsia"/>
              </w:rPr>
              <w:t>受到调查或处罚等措施类型</w:t>
            </w:r>
          </w:p>
        </w:tc>
        <w:tc>
          <w:tcPr>
            <w:tcW w:w="4153" w:type="dxa"/>
            <w:vAlign w:val="center"/>
          </w:tcPr>
          <w:p w14:paraId="73A63FEF">
            <w:r>
              <w:rPr>
                <w:rFonts w:hint="eastAsia"/>
              </w:rPr>
              <w:t>行政监管措施</w:t>
            </w:r>
          </w:p>
        </w:tc>
      </w:tr>
      <w:tr w14:paraId="0467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CD00F6">
            <w:r>
              <w:rPr>
                <w:rFonts w:hint="eastAsia"/>
              </w:rPr>
              <w:t>受到的具体措施类型</w:t>
            </w:r>
          </w:p>
        </w:tc>
        <w:tc>
          <w:tcPr>
            <w:tcW w:w="4153" w:type="dxa"/>
            <w:vAlign w:val="center"/>
          </w:tcPr>
          <w:p w14:paraId="2695F3DC">
            <w:r>
              <w:rPr>
                <w:rFonts w:hint="eastAsia"/>
              </w:rPr>
              <w:t>出具警示函</w:t>
            </w:r>
          </w:p>
        </w:tc>
      </w:tr>
      <w:tr w14:paraId="440B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FC264">
            <w:r>
              <w:rPr>
                <w:rFonts w:hint="eastAsia"/>
              </w:rPr>
              <w:t>受到调查或处罚等措施的原因</w:t>
            </w:r>
          </w:p>
        </w:tc>
        <w:tc>
          <w:tcPr>
            <w:tcW w:w="4153" w:type="dxa"/>
            <w:vAlign w:val="center"/>
          </w:tcPr>
          <w:p w14:paraId="717F1F81">
            <w:r>
              <w:rPr>
                <w:rFonts w:hint="eastAsia"/>
              </w:rPr>
              <w:t>人员管理、其他问题(销售管理)</w:t>
            </w:r>
          </w:p>
        </w:tc>
      </w:tr>
      <w:tr w14:paraId="6361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BD10C3">
            <w:r>
              <w:rPr>
                <w:rFonts w:hint="eastAsia"/>
              </w:rPr>
              <w:t>受到处罚的依据</w:t>
            </w:r>
          </w:p>
        </w:tc>
        <w:tc>
          <w:tcPr>
            <w:tcW w:w="4153" w:type="dxa"/>
            <w:vAlign w:val="center"/>
          </w:tcPr>
          <w:p w14:paraId="26C6F18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58D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89F90C">
            <w:r>
              <w:rPr>
                <w:rFonts w:hint="eastAsia"/>
              </w:rPr>
              <w:t>管理人采取整改措施的情况（如提出整改意见）</w:t>
            </w:r>
          </w:p>
        </w:tc>
        <w:tc>
          <w:tcPr>
            <w:tcW w:w="4153" w:type="dxa"/>
            <w:vAlign w:val="center"/>
          </w:tcPr>
          <w:p w14:paraId="14C1493C">
            <w:r>
              <w:rPr>
                <w:rFonts w:hint="eastAsia"/>
              </w:rPr>
              <w:t>截至报告期末公司已通过完善制度、优化流程等整改措施完成整改，整改成果已经中国证监会深圳监管局验收通过</w:t>
            </w:r>
          </w:p>
        </w:tc>
      </w:tr>
      <w:tr w14:paraId="1509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D350D">
            <w:r>
              <w:rPr>
                <w:rFonts w:hint="eastAsia"/>
              </w:rPr>
              <w:t>其他</w:t>
            </w:r>
          </w:p>
        </w:tc>
        <w:tc>
          <w:tcPr>
            <w:tcW w:w="4153" w:type="dxa"/>
            <w:vAlign w:val="center"/>
          </w:tcPr>
          <w:p w14:paraId="1868072B">
            <w:pPr>
              <w:jc w:val="right"/>
            </w:pPr>
            <w:r>
              <w:rPr>
                <w:rFonts w:hint="eastAsia"/>
              </w:rPr>
              <w:t>-</w:t>
            </w:r>
          </w:p>
        </w:tc>
      </w:tr>
    </w:tbl>
    <w:p w14:paraId="4A0EB153">
      <w:pPr>
        <w:pStyle w:val="35"/>
      </w:pPr>
      <w:bookmarkStart w:id="194" w:name="_Toc194"/>
      <w:r>
        <w:t>托管人受调查或处罚等情况</w:t>
      </w:r>
      <w:bookmarkEnd w:id="194"/>
    </w:p>
    <w:p w14:paraId="7D988762">
      <w:pPr>
        <w:pStyle w:val="25"/>
        <w:rPr>
          <w:rFonts w:hint="eastAsia"/>
        </w:rPr>
      </w:pPr>
      <w:r>
        <w:rPr>
          <w:rFonts w:hint="eastAsia"/>
        </w:rPr>
        <w:t>无。</w:t>
      </w:r>
    </w:p>
    <w:p w14:paraId="5980C431">
      <w:pPr>
        <w:pStyle w:val="35"/>
      </w:pPr>
      <w:bookmarkStart w:id="195" w:name="_Toc195"/>
      <w:r>
        <w:t>托管人相关从业人员受调查或处罚等情况</w:t>
      </w:r>
      <w:bookmarkEnd w:id="195"/>
    </w:p>
    <w:p w14:paraId="6E4ED665">
      <w:pPr>
        <w:pStyle w:val="25"/>
        <w:rPr>
          <w:rFonts w:hint="eastAsia"/>
        </w:rPr>
      </w:pPr>
      <w:r>
        <w:rPr>
          <w:rFonts w:hint="eastAsia"/>
        </w:rPr>
        <w:t>无。</w:t>
      </w:r>
    </w:p>
    <w:p w14:paraId="7E47663E">
      <w:pPr>
        <w:pStyle w:val="30"/>
      </w:pPr>
      <w:bookmarkStart w:id="196" w:name="_Toc4171"/>
      <w:r>
        <w:t>基金租用证券公司交易单元的有关情况</w:t>
      </w:r>
      <w:bookmarkEnd w:id="196"/>
    </w:p>
    <w:p w14:paraId="57008334">
      <w:pPr>
        <w:pStyle w:val="35"/>
      </w:pPr>
      <w:bookmarkStart w:id="197" w:name="_Toc197"/>
      <w:r>
        <w:t>基金租用证券公司交易单元进行股票投资及佣金支付情况</w:t>
      </w:r>
      <w:bookmarkEnd w:id="197"/>
    </w:p>
    <w:p w14:paraId="2F4A0A7D">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AD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4203369">
            <w:pPr>
              <w:jc w:val="center"/>
            </w:pPr>
            <w:r>
              <w:rPr>
                <w:rFonts w:hint="eastAsia"/>
                <w:b/>
              </w:rPr>
              <w:t>券商名称</w:t>
            </w:r>
          </w:p>
        </w:tc>
        <w:tc>
          <w:tcPr>
            <w:tcW w:w="775" w:type="dxa"/>
            <w:vMerge w:val="restart"/>
            <w:shd w:val="clear" w:color="auto" w:fill="BFBFBF"/>
            <w:vAlign w:val="center"/>
          </w:tcPr>
          <w:p w14:paraId="51A316BC">
            <w:pPr>
              <w:jc w:val="center"/>
            </w:pPr>
            <w:r>
              <w:rPr>
                <w:rFonts w:hint="eastAsia"/>
                <w:b/>
              </w:rPr>
              <w:t>交易单元数量</w:t>
            </w:r>
          </w:p>
        </w:tc>
        <w:tc>
          <w:tcPr>
            <w:tcW w:w="1699" w:type="dxa"/>
            <w:gridSpan w:val="2"/>
            <w:shd w:val="clear" w:color="auto" w:fill="BFBFBF"/>
            <w:vAlign w:val="center"/>
          </w:tcPr>
          <w:p w14:paraId="2D04326C">
            <w:pPr>
              <w:jc w:val="center"/>
            </w:pPr>
            <w:r>
              <w:rPr>
                <w:rFonts w:hint="eastAsia"/>
                <w:b/>
              </w:rPr>
              <w:t>股票交易</w:t>
            </w:r>
          </w:p>
        </w:tc>
        <w:tc>
          <w:tcPr>
            <w:tcW w:w="1312" w:type="dxa"/>
            <w:gridSpan w:val="2"/>
            <w:shd w:val="clear" w:color="auto" w:fill="BFBFBF"/>
            <w:vAlign w:val="center"/>
          </w:tcPr>
          <w:p w14:paraId="375181AD">
            <w:pPr>
              <w:jc w:val="center"/>
            </w:pPr>
            <w:r>
              <w:rPr>
                <w:rFonts w:hint="eastAsia"/>
                <w:b/>
              </w:rPr>
              <w:t>应支付该券商的佣金</w:t>
            </w:r>
          </w:p>
        </w:tc>
        <w:tc>
          <w:tcPr>
            <w:tcW w:w="946" w:type="dxa"/>
            <w:vMerge w:val="restart"/>
            <w:shd w:val="clear" w:color="auto" w:fill="BFBFBF"/>
            <w:vAlign w:val="center"/>
          </w:tcPr>
          <w:p w14:paraId="7118DBB3">
            <w:pPr>
              <w:jc w:val="center"/>
            </w:pPr>
            <w:r>
              <w:rPr>
                <w:rFonts w:hint="eastAsia"/>
                <w:b/>
              </w:rPr>
              <w:t>备注</w:t>
            </w:r>
          </w:p>
        </w:tc>
      </w:tr>
      <w:tr w14:paraId="33B2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9B7C3B3"/>
        </w:tc>
        <w:tc>
          <w:tcPr>
            <w:tcW w:w="775" w:type="dxa"/>
            <w:vMerge w:val="continue"/>
            <w:vAlign w:val="center"/>
          </w:tcPr>
          <w:p w14:paraId="2F0962C9"/>
        </w:tc>
        <w:tc>
          <w:tcPr>
            <w:tcW w:w="1699" w:type="dxa"/>
            <w:shd w:val="clear" w:color="auto" w:fill="BFBFBF"/>
            <w:vAlign w:val="center"/>
          </w:tcPr>
          <w:p w14:paraId="4BF9A739">
            <w:pPr>
              <w:jc w:val="center"/>
            </w:pPr>
            <w:r>
              <w:rPr>
                <w:rFonts w:hint="eastAsia"/>
                <w:b/>
              </w:rPr>
              <w:t>成交金额</w:t>
            </w:r>
          </w:p>
        </w:tc>
        <w:tc>
          <w:tcPr>
            <w:tcW w:w="1201" w:type="dxa"/>
            <w:shd w:val="clear" w:color="auto" w:fill="BFBFBF"/>
            <w:vAlign w:val="center"/>
          </w:tcPr>
          <w:p w14:paraId="249A0F49">
            <w:pPr>
              <w:jc w:val="center"/>
            </w:pPr>
            <w:r>
              <w:rPr>
                <w:rFonts w:hint="eastAsia"/>
                <w:b/>
              </w:rPr>
              <w:t>占当期股票成交总额的比例</w:t>
            </w:r>
          </w:p>
        </w:tc>
        <w:tc>
          <w:tcPr>
            <w:tcW w:w="1312" w:type="dxa"/>
            <w:shd w:val="clear" w:color="auto" w:fill="BFBFBF"/>
            <w:vAlign w:val="center"/>
          </w:tcPr>
          <w:p w14:paraId="1691E939">
            <w:pPr>
              <w:jc w:val="center"/>
            </w:pPr>
            <w:r>
              <w:rPr>
                <w:rFonts w:hint="eastAsia"/>
                <w:b/>
              </w:rPr>
              <w:t>佣金</w:t>
            </w:r>
          </w:p>
        </w:tc>
        <w:tc>
          <w:tcPr>
            <w:tcW w:w="1256" w:type="dxa"/>
            <w:shd w:val="clear" w:color="auto" w:fill="BFBFBF"/>
            <w:vAlign w:val="center"/>
          </w:tcPr>
          <w:p w14:paraId="586CF6C0">
            <w:pPr>
              <w:jc w:val="center"/>
            </w:pPr>
            <w:r>
              <w:rPr>
                <w:rFonts w:hint="eastAsia"/>
                <w:b/>
              </w:rPr>
              <w:t>占当期佣金总量的比例</w:t>
            </w:r>
          </w:p>
        </w:tc>
        <w:tc>
          <w:tcPr>
            <w:tcW w:w="946" w:type="dxa"/>
            <w:vMerge w:val="continue"/>
            <w:vAlign w:val="center"/>
          </w:tcPr>
          <w:p w14:paraId="2177A6D0"/>
        </w:tc>
      </w:tr>
      <w:tr w14:paraId="28AE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E21256">
            <w:r>
              <w:rPr>
                <w:rFonts w:hint="eastAsia"/>
              </w:rPr>
              <w:t>广发证券</w:t>
            </w:r>
          </w:p>
        </w:tc>
        <w:tc>
          <w:tcPr>
            <w:tcW w:w="775" w:type="dxa"/>
            <w:vAlign w:val="center"/>
          </w:tcPr>
          <w:p w14:paraId="23783B15">
            <w:pPr>
              <w:jc w:val="right"/>
            </w:pPr>
            <w:r>
              <w:rPr>
                <w:rFonts w:hint="eastAsia"/>
              </w:rPr>
              <w:t>2</w:t>
            </w:r>
          </w:p>
        </w:tc>
        <w:tc>
          <w:tcPr>
            <w:tcW w:w="1699" w:type="dxa"/>
            <w:vAlign w:val="center"/>
          </w:tcPr>
          <w:p w14:paraId="3A8352C1">
            <w:pPr>
              <w:jc w:val="right"/>
            </w:pPr>
            <w:r>
              <w:rPr>
                <w:rFonts w:hint="eastAsia"/>
              </w:rPr>
              <w:t>-</w:t>
            </w:r>
          </w:p>
        </w:tc>
        <w:tc>
          <w:tcPr>
            <w:tcW w:w="1201" w:type="dxa"/>
            <w:vAlign w:val="center"/>
          </w:tcPr>
          <w:p w14:paraId="31396656">
            <w:pPr>
              <w:jc w:val="right"/>
            </w:pPr>
            <w:r>
              <w:rPr>
                <w:rFonts w:hint="eastAsia"/>
              </w:rPr>
              <w:t>-</w:t>
            </w:r>
          </w:p>
        </w:tc>
        <w:tc>
          <w:tcPr>
            <w:tcW w:w="1312" w:type="dxa"/>
            <w:vAlign w:val="center"/>
          </w:tcPr>
          <w:p w14:paraId="2372AA61">
            <w:pPr>
              <w:jc w:val="right"/>
            </w:pPr>
            <w:r>
              <w:rPr>
                <w:rFonts w:hint="eastAsia"/>
              </w:rPr>
              <w:t>-</w:t>
            </w:r>
          </w:p>
        </w:tc>
        <w:tc>
          <w:tcPr>
            <w:tcW w:w="1256" w:type="dxa"/>
            <w:vAlign w:val="center"/>
          </w:tcPr>
          <w:p w14:paraId="3512E41D">
            <w:pPr>
              <w:jc w:val="right"/>
            </w:pPr>
            <w:r>
              <w:rPr>
                <w:rFonts w:hint="eastAsia"/>
              </w:rPr>
              <w:t>-</w:t>
            </w:r>
          </w:p>
        </w:tc>
        <w:tc>
          <w:tcPr>
            <w:tcW w:w="946" w:type="dxa"/>
            <w:vAlign w:val="center"/>
          </w:tcPr>
          <w:p w14:paraId="67D9306B">
            <w:pPr>
              <w:jc w:val="right"/>
            </w:pPr>
            <w:r>
              <w:rPr>
                <w:rFonts w:hint="eastAsia"/>
              </w:rPr>
              <w:t>-</w:t>
            </w:r>
          </w:p>
        </w:tc>
      </w:tr>
      <w:tr w14:paraId="3904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010C64">
            <w:r>
              <w:rPr>
                <w:rFonts w:hint="eastAsia"/>
              </w:rPr>
              <w:t>申万宏源</w:t>
            </w:r>
          </w:p>
        </w:tc>
        <w:tc>
          <w:tcPr>
            <w:tcW w:w="775" w:type="dxa"/>
            <w:vAlign w:val="center"/>
          </w:tcPr>
          <w:p w14:paraId="7C6952BE">
            <w:pPr>
              <w:jc w:val="right"/>
            </w:pPr>
            <w:r>
              <w:rPr>
                <w:rFonts w:hint="eastAsia"/>
              </w:rPr>
              <w:t>2</w:t>
            </w:r>
          </w:p>
        </w:tc>
        <w:tc>
          <w:tcPr>
            <w:tcW w:w="1699" w:type="dxa"/>
            <w:vAlign w:val="center"/>
          </w:tcPr>
          <w:p w14:paraId="642747C5">
            <w:pPr>
              <w:jc w:val="right"/>
            </w:pPr>
            <w:r>
              <w:rPr>
                <w:rFonts w:hint="eastAsia"/>
              </w:rPr>
              <w:t>-</w:t>
            </w:r>
          </w:p>
        </w:tc>
        <w:tc>
          <w:tcPr>
            <w:tcW w:w="1201" w:type="dxa"/>
            <w:vAlign w:val="center"/>
          </w:tcPr>
          <w:p w14:paraId="18012CC6">
            <w:pPr>
              <w:jc w:val="right"/>
            </w:pPr>
            <w:r>
              <w:rPr>
                <w:rFonts w:hint="eastAsia"/>
              </w:rPr>
              <w:t>-</w:t>
            </w:r>
          </w:p>
        </w:tc>
        <w:tc>
          <w:tcPr>
            <w:tcW w:w="1312" w:type="dxa"/>
            <w:vAlign w:val="center"/>
          </w:tcPr>
          <w:p w14:paraId="723FA479">
            <w:pPr>
              <w:jc w:val="right"/>
            </w:pPr>
            <w:r>
              <w:rPr>
                <w:rFonts w:hint="eastAsia"/>
              </w:rPr>
              <w:t>-</w:t>
            </w:r>
          </w:p>
        </w:tc>
        <w:tc>
          <w:tcPr>
            <w:tcW w:w="1256" w:type="dxa"/>
            <w:vAlign w:val="center"/>
          </w:tcPr>
          <w:p w14:paraId="4B87CB40">
            <w:pPr>
              <w:jc w:val="right"/>
            </w:pPr>
            <w:r>
              <w:rPr>
                <w:rFonts w:hint="eastAsia"/>
              </w:rPr>
              <w:t>-</w:t>
            </w:r>
          </w:p>
        </w:tc>
        <w:tc>
          <w:tcPr>
            <w:tcW w:w="946" w:type="dxa"/>
            <w:vAlign w:val="center"/>
          </w:tcPr>
          <w:p w14:paraId="58C50711">
            <w:pPr>
              <w:jc w:val="right"/>
            </w:pPr>
            <w:r>
              <w:rPr>
                <w:rFonts w:hint="eastAsia"/>
              </w:rPr>
              <w:t>-</w:t>
            </w:r>
          </w:p>
        </w:tc>
      </w:tr>
      <w:tr w14:paraId="0974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0C69C1">
            <w:r>
              <w:rPr>
                <w:rFonts w:hint="eastAsia"/>
              </w:rPr>
              <w:t>长江证券</w:t>
            </w:r>
          </w:p>
        </w:tc>
        <w:tc>
          <w:tcPr>
            <w:tcW w:w="775" w:type="dxa"/>
            <w:vAlign w:val="center"/>
          </w:tcPr>
          <w:p w14:paraId="0B72CC40">
            <w:pPr>
              <w:jc w:val="right"/>
            </w:pPr>
            <w:r>
              <w:rPr>
                <w:rFonts w:hint="eastAsia"/>
              </w:rPr>
              <w:t>1</w:t>
            </w:r>
          </w:p>
        </w:tc>
        <w:tc>
          <w:tcPr>
            <w:tcW w:w="1699" w:type="dxa"/>
            <w:vAlign w:val="center"/>
          </w:tcPr>
          <w:p w14:paraId="2C525CDC">
            <w:pPr>
              <w:jc w:val="right"/>
            </w:pPr>
            <w:r>
              <w:rPr>
                <w:rFonts w:hint="eastAsia"/>
              </w:rPr>
              <w:t>-</w:t>
            </w:r>
          </w:p>
        </w:tc>
        <w:tc>
          <w:tcPr>
            <w:tcW w:w="1201" w:type="dxa"/>
            <w:vAlign w:val="center"/>
          </w:tcPr>
          <w:p w14:paraId="317253D9">
            <w:pPr>
              <w:jc w:val="right"/>
            </w:pPr>
            <w:r>
              <w:rPr>
                <w:rFonts w:hint="eastAsia"/>
              </w:rPr>
              <w:t>-</w:t>
            </w:r>
          </w:p>
        </w:tc>
        <w:tc>
          <w:tcPr>
            <w:tcW w:w="1312" w:type="dxa"/>
            <w:vAlign w:val="center"/>
          </w:tcPr>
          <w:p w14:paraId="5668376A">
            <w:pPr>
              <w:jc w:val="right"/>
            </w:pPr>
            <w:r>
              <w:rPr>
                <w:rFonts w:hint="eastAsia"/>
              </w:rPr>
              <w:t>-</w:t>
            </w:r>
          </w:p>
        </w:tc>
        <w:tc>
          <w:tcPr>
            <w:tcW w:w="1256" w:type="dxa"/>
            <w:vAlign w:val="center"/>
          </w:tcPr>
          <w:p w14:paraId="634D4211">
            <w:pPr>
              <w:jc w:val="right"/>
            </w:pPr>
            <w:r>
              <w:rPr>
                <w:rFonts w:hint="eastAsia"/>
              </w:rPr>
              <w:t>-</w:t>
            </w:r>
          </w:p>
        </w:tc>
        <w:tc>
          <w:tcPr>
            <w:tcW w:w="946" w:type="dxa"/>
            <w:vAlign w:val="center"/>
          </w:tcPr>
          <w:p w14:paraId="02C920CB">
            <w:pPr>
              <w:jc w:val="right"/>
            </w:pPr>
            <w:r>
              <w:rPr>
                <w:rFonts w:hint="eastAsia"/>
              </w:rPr>
              <w:t>-</w:t>
            </w:r>
          </w:p>
        </w:tc>
      </w:tr>
      <w:tr w14:paraId="47C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A79B30">
            <w:r>
              <w:rPr>
                <w:rFonts w:hint="eastAsia"/>
              </w:rPr>
              <w:t>东吴证券</w:t>
            </w:r>
          </w:p>
        </w:tc>
        <w:tc>
          <w:tcPr>
            <w:tcW w:w="775" w:type="dxa"/>
            <w:vAlign w:val="center"/>
          </w:tcPr>
          <w:p w14:paraId="141C7A09">
            <w:pPr>
              <w:jc w:val="right"/>
            </w:pPr>
            <w:r>
              <w:rPr>
                <w:rFonts w:hint="eastAsia"/>
              </w:rPr>
              <w:t>1</w:t>
            </w:r>
          </w:p>
        </w:tc>
        <w:tc>
          <w:tcPr>
            <w:tcW w:w="1699" w:type="dxa"/>
            <w:vAlign w:val="center"/>
          </w:tcPr>
          <w:p w14:paraId="19A620DC">
            <w:pPr>
              <w:jc w:val="right"/>
            </w:pPr>
            <w:r>
              <w:rPr>
                <w:rFonts w:hint="eastAsia"/>
              </w:rPr>
              <w:t>-</w:t>
            </w:r>
          </w:p>
        </w:tc>
        <w:tc>
          <w:tcPr>
            <w:tcW w:w="1201" w:type="dxa"/>
            <w:vAlign w:val="center"/>
          </w:tcPr>
          <w:p w14:paraId="6711C561">
            <w:pPr>
              <w:jc w:val="right"/>
            </w:pPr>
            <w:r>
              <w:rPr>
                <w:rFonts w:hint="eastAsia"/>
              </w:rPr>
              <w:t>-</w:t>
            </w:r>
          </w:p>
        </w:tc>
        <w:tc>
          <w:tcPr>
            <w:tcW w:w="1312" w:type="dxa"/>
            <w:vAlign w:val="center"/>
          </w:tcPr>
          <w:p w14:paraId="61B71B97">
            <w:pPr>
              <w:jc w:val="right"/>
            </w:pPr>
            <w:r>
              <w:rPr>
                <w:rFonts w:hint="eastAsia"/>
              </w:rPr>
              <w:t>-</w:t>
            </w:r>
          </w:p>
        </w:tc>
        <w:tc>
          <w:tcPr>
            <w:tcW w:w="1256" w:type="dxa"/>
            <w:vAlign w:val="center"/>
          </w:tcPr>
          <w:p w14:paraId="3DC63765">
            <w:pPr>
              <w:jc w:val="right"/>
            </w:pPr>
            <w:r>
              <w:rPr>
                <w:rFonts w:hint="eastAsia"/>
              </w:rPr>
              <w:t>-</w:t>
            </w:r>
          </w:p>
        </w:tc>
        <w:tc>
          <w:tcPr>
            <w:tcW w:w="946" w:type="dxa"/>
            <w:vAlign w:val="center"/>
          </w:tcPr>
          <w:p w14:paraId="7F558C75">
            <w:pPr>
              <w:jc w:val="right"/>
            </w:pPr>
            <w:r>
              <w:rPr>
                <w:rFonts w:hint="eastAsia"/>
              </w:rPr>
              <w:t>-</w:t>
            </w:r>
          </w:p>
        </w:tc>
      </w:tr>
      <w:tr w14:paraId="2252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14FAF6">
            <w:r>
              <w:rPr>
                <w:rFonts w:hint="eastAsia"/>
              </w:rPr>
              <w:t>国泰海通</w:t>
            </w:r>
          </w:p>
        </w:tc>
        <w:tc>
          <w:tcPr>
            <w:tcW w:w="775" w:type="dxa"/>
            <w:vAlign w:val="center"/>
          </w:tcPr>
          <w:p w14:paraId="77274116">
            <w:pPr>
              <w:jc w:val="right"/>
            </w:pPr>
            <w:r>
              <w:rPr>
                <w:rFonts w:hint="eastAsia"/>
              </w:rPr>
              <w:t>1</w:t>
            </w:r>
          </w:p>
        </w:tc>
        <w:tc>
          <w:tcPr>
            <w:tcW w:w="1699" w:type="dxa"/>
            <w:vAlign w:val="center"/>
          </w:tcPr>
          <w:p w14:paraId="2EA68DBE">
            <w:pPr>
              <w:jc w:val="right"/>
            </w:pPr>
            <w:r>
              <w:rPr>
                <w:rFonts w:hint="eastAsia"/>
              </w:rPr>
              <w:t>-</w:t>
            </w:r>
          </w:p>
        </w:tc>
        <w:tc>
          <w:tcPr>
            <w:tcW w:w="1201" w:type="dxa"/>
            <w:vAlign w:val="center"/>
          </w:tcPr>
          <w:p w14:paraId="01E53F31">
            <w:pPr>
              <w:jc w:val="right"/>
            </w:pPr>
            <w:r>
              <w:rPr>
                <w:rFonts w:hint="eastAsia"/>
              </w:rPr>
              <w:t>-</w:t>
            </w:r>
          </w:p>
        </w:tc>
        <w:tc>
          <w:tcPr>
            <w:tcW w:w="1312" w:type="dxa"/>
            <w:vAlign w:val="center"/>
          </w:tcPr>
          <w:p w14:paraId="6A886CCD">
            <w:pPr>
              <w:jc w:val="right"/>
            </w:pPr>
            <w:r>
              <w:rPr>
                <w:rFonts w:hint="eastAsia"/>
              </w:rPr>
              <w:t>-</w:t>
            </w:r>
          </w:p>
        </w:tc>
        <w:tc>
          <w:tcPr>
            <w:tcW w:w="1256" w:type="dxa"/>
            <w:vAlign w:val="center"/>
          </w:tcPr>
          <w:p w14:paraId="0466C227">
            <w:pPr>
              <w:jc w:val="right"/>
            </w:pPr>
            <w:r>
              <w:rPr>
                <w:rFonts w:hint="eastAsia"/>
              </w:rPr>
              <w:t>-</w:t>
            </w:r>
          </w:p>
        </w:tc>
        <w:tc>
          <w:tcPr>
            <w:tcW w:w="946" w:type="dxa"/>
            <w:vAlign w:val="center"/>
          </w:tcPr>
          <w:p w14:paraId="514394CB">
            <w:pPr>
              <w:jc w:val="right"/>
            </w:pPr>
            <w:r>
              <w:rPr>
                <w:rFonts w:hint="eastAsia"/>
              </w:rPr>
              <w:t>-</w:t>
            </w:r>
          </w:p>
        </w:tc>
      </w:tr>
      <w:tr w14:paraId="55D4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CB7414">
            <w:r>
              <w:rPr>
                <w:rFonts w:hint="eastAsia"/>
              </w:rPr>
              <w:t>华创证券</w:t>
            </w:r>
          </w:p>
        </w:tc>
        <w:tc>
          <w:tcPr>
            <w:tcW w:w="775" w:type="dxa"/>
            <w:vAlign w:val="center"/>
          </w:tcPr>
          <w:p w14:paraId="6C7C8D23">
            <w:pPr>
              <w:jc w:val="right"/>
            </w:pPr>
            <w:r>
              <w:rPr>
                <w:rFonts w:hint="eastAsia"/>
              </w:rPr>
              <w:t>1</w:t>
            </w:r>
          </w:p>
        </w:tc>
        <w:tc>
          <w:tcPr>
            <w:tcW w:w="1699" w:type="dxa"/>
            <w:vAlign w:val="center"/>
          </w:tcPr>
          <w:p w14:paraId="4DDAEA33">
            <w:pPr>
              <w:jc w:val="right"/>
            </w:pPr>
            <w:r>
              <w:rPr>
                <w:rFonts w:hint="eastAsia"/>
              </w:rPr>
              <w:t>-</w:t>
            </w:r>
          </w:p>
        </w:tc>
        <w:tc>
          <w:tcPr>
            <w:tcW w:w="1201" w:type="dxa"/>
            <w:vAlign w:val="center"/>
          </w:tcPr>
          <w:p w14:paraId="15FC8716">
            <w:pPr>
              <w:jc w:val="right"/>
            </w:pPr>
            <w:r>
              <w:rPr>
                <w:rFonts w:hint="eastAsia"/>
              </w:rPr>
              <w:t>-</w:t>
            </w:r>
          </w:p>
        </w:tc>
        <w:tc>
          <w:tcPr>
            <w:tcW w:w="1312" w:type="dxa"/>
            <w:vAlign w:val="center"/>
          </w:tcPr>
          <w:p w14:paraId="22CDCE87">
            <w:pPr>
              <w:jc w:val="right"/>
            </w:pPr>
            <w:r>
              <w:rPr>
                <w:rFonts w:hint="eastAsia"/>
              </w:rPr>
              <w:t>-</w:t>
            </w:r>
          </w:p>
        </w:tc>
        <w:tc>
          <w:tcPr>
            <w:tcW w:w="1256" w:type="dxa"/>
            <w:vAlign w:val="center"/>
          </w:tcPr>
          <w:p w14:paraId="6B99B1E8">
            <w:pPr>
              <w:jc w:val="right"/>
            </w:pPr>
            <w:r>
              <w:rPr>
                <w:rFonts w:hint="eastAsia"/>
              </w:rPr>
              <w:t>-</w:t>
            </w:r>
          </w:p>
        </w:tc>
        <w:tc>
          <w:tcPr>
            <w:tcW w:w="946" w:type="dxa"/>
            <w:vAlign w:val="center"/>
          </w:tcPr>
          <w:p w14:paraId="36C54221">
            <w:pPr>
              <w:jc w:val="right"/>
            </w:pPr>
            <w:r>
              <w:rPr>
                <w:rFonts w:hint="eastAsia"/>
              </w:rPr>
              <w:t>-</w:t>
            </w:r>
          </w:p>
        </w:tc>
      </w:tr>
      <w:tr w14:paraId="2B3B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67ECFC">
            <w:r>
              <w:rPr>
                <w:rFonts w:hint="eastAsia"/>
              </w:rPr>
              <w:t>华泰证券</w:t>
            </w:r>
          </w:p>
        </w:tc>
        <w:tc>
          <w:tcPr>
            <w:tcW w:w="775" w:type="dxa"/>
            <w:vAlign w:val="center"/>
          </w:tcPr>
          <w:p w14:paraId="2C2E8CEC">
            <w:pPr>
              <w:jc w:val="right"/>
            </w:pPr>
            <w:r>
              <w:rPr>
                <w:rFonts w:hint="eastAsia"/>
              </w:rPr>
              <w:t>1</w:t>
            </w:r>
          </w:p>
        </w:tc>
        <w:tc>
          <w:tcPr>
            <w:tcW w:w="1699" w:type="dxa"/>
            <w:vAlign w:val="center"/>
          </w:tcPr>
          <w:p w14:paraId="4E29EC0C">
            <w:pPr>
              <w:jc w:val="right"/>
            </w:pPr>
            <w:r>
              <w:rPr>
                <w:rFonts w:hint="eastAsia"/>
              </w:rPr>
              <w:t>-</w:t>
            </w:r>
          </w:p>
        </w:tc>
        <w:tc>
          <w:tcPr>
            <w:tcW w:w="1201" w:type="dxa"/>
            <w:vAlign w:val="center"/>
          </w:tcPr>
          <w:p w14:paraId="5448F796">
            <w:pPr>
              <w:jc w:val="right"/>
            </w:pPr>
            <w:r>
              <w:rPr>
                <w:rFonts w:hint="eastAsia"/>
              </w:rPr>
              <w:t>-</w:t>
            </w:r>
          </w:p>
        </w:tc>
        <w:tc>
          <w:tcPr>
            <w:tcW w:w="1312" w:type="dxa"/>
            <w:vAlign w:val="center"/>
          </w:tcPr>
          <w:p w14:paraId="3FCAC22E">
            <w:pPr>
              <w:jc w:val="right"/>
            </w:pPr>
            <w:r>
              <w:rPr>
                <w:rFonts w:hint="eastAsia"/>
              </w:rPr>
              <w:t>-</w:t>
            </w:r>
          </w:p>
        </w:tc>
        <w:tc>
          <w:tcPr>
            <w:tcW w:w="1256" w:type="dxa"/>
            <w:vAlign w:val="center"/>
          </w:tcPr>
          <w:p w14:paraId="4B38145F">
            <w:pPr>
              <w:jc w:val="right"/>
            </w:pPr>
            <w:r>
              <w:rPr>
                <w:rFonts w:hint="eastAsia"/>
              </w:rPr>
              <w:t>-</w:t>
            </w:r>
          </w:p>
        </w:tc>
        <w:tc>
          <w:tcPr>
            <w:tcW w:w="946" w:type="dxa"/>
            <w:vAlign w:val="center"/>
          </w:tcPr>
          <w:p w14:paraId="068C514B">
            <w:pPr>
              <w:jc w:val="right"/>
            </w:pPr>
            <w:r>
              <w:rPr>
                <w:rFonts w:hint="eastAsia"/>
              </w:rPr>
              <w:t>-</w:t>
            </w:r>
          </w:p>
        </w:tc>
      </w:tr>
      <w:tr w14:paraId="281A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7BB6CE">
            <w:r>
              <w:rPr>
                <w:rFonts w:hint="eastAsia"/>
              </w:rPr>
              <w:t>中信证券</w:t>
            </w:r>
          </w:p>
        </w:tc>
        <w:tc>
          <w:tcPr>
            <w:tcW w:w="775" w:type="dxa"/>
            <w:vAlign w:val="center"/>
          </w:tcPr>
          <w:p w14:paraId="79805E41">
            <w:pPr>
              <w:jc w:val="right"/>
            </w:pPr>
            <w:r>
              <w:rPr>
                <w:rFonts w:hint="eastAsia"/>
              </w:rPr>
              <w:t>1</w:t>
            </w:r>
          </w:p>
        </w:tc>
        <w:tc>
          <w:tcPr>
            <w:tcW w:w="1699" w:type="dxa"/>
            <w:vAlign w:val="center"/>
          </w:tcPr>
          <w:p w14:paraId="671F98BC">
            <w:pPr>
              <w:jc w:val="right"/>
            </w:pPr>
            <w:r>
              <w:rPr>
                <w:rFonts w:hint="eastAsia"/>
              </w:rPr>
              <w:t>-</w:t>
            </w:r>
          </w:p>
        </w:tc>
        <w:tc>
          <w:tcPr>
            <w:tcW w:w="1201" w:type="dxa"/>
            <w:vAlign w:val="center"/>
          </w:tcPr>
          <w:p w14:paraId="4ED9976E">
            <w:pPr>
              <w:jc w:val="right"/>
            </w:pPr>
            <w:r>
              <w:rPr>
                <w:rFonts w:hint="eastAsia"/>
              </w:rPr>
              <w:t>-</w:t>
            </w:r>
          </w:p>
        </w:tc>
        <w:tc>
          <w:tcPr>
            <w:tcW w:w="1312" w:type="dxa"/>
            <w:vAlign w:val="center"/>
          </w:tcPr>
          <w:p w14:paraId="5E05F7F1">
            <w:pPr>
              <w:jc w:val="right"/>
            </w:pPr>
            <w:r>
              <w:rPr>
                <w:rFonts w:hint="eastAsia"/>
              </w:rPr>
              <w:t>-</w:t>
            </w:r>
          </w:p>
        </w:tc>
        <w:tc>
          <w:tcPr>
            <w:tcW w:w="1256" w:type="dxa"/>
            <w:vAlign w:val="center"/>
          </w:tcPr>
          <w:p w14:paraId="6941FD10">
            <w:pPr>
              <w:jc w:val="right"/>
            </w:pPr>
            <w:r>
              <w:rPr>
                <w:rFonts w:hint="eastAsia"/>
              </w:rPr>
              <w:t>-</w:t>
            </w:r>
          </w:p>
        </w:tc>
        <w:tc>
          <w:tcPr>
            <w:tcW w:w="946" w:type="dxa"/>
            <w:vAlign w:val="center"/>
          </w:tcPr>
          <w:p w14:paraId="3BD83EED">
            <w:pPr>
              <w:jc w:val="right"/>
            </w:pPr>
            <w:r>
              <w:rPr>
                <w:rFonts w:hint="eastAsia"/>
              </w:rPr>
              <w:t>-</w:t>
            </w:r>
          </w:p>
        </w:tc>
      </w:tr>
    </w:tbl>
    <w:p w14:paraId="512407D5">
      <w:pPr>
        <w:pStyle w:val="54"/>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DA5168">
      <w:pPr>
        <w:pStyle w:val="54"/>
        <w:rPr>
          <w:rFonts w:hint="eastAsia"/>
        </w:rPr>
      </w:pPr>
      <w:r>
        <w:tab/>
      </w:r>
      <w:r>
        <w:rPr>
          <w:rFonts w:hint="eastAsia"/>
        </w:rPr>
        <w:t>1、选择标准</w:t>
      </w:r>
    </w:p>
    <w:p w14:paraId="2183BA66">
      <w:pPr>
        <w:pStyle w:val="54"/>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8E83B3A">
      <w:pPr>
        <w:pStyle w:val="54"/>
        <w:rPr>
          <w:rFonts w:hint="eastAsia"/>
        </w:rPr>
      </w:pPr>
      <w:r>
        <w:tab/>
      </w:r>
      <w:r>
        <w:rPr>
          <w:rFonts w:hint="eastAsia"/>
        </w:rPr>
        <w:t>2、选择程序</w:t>
      </w:r>
    </w:p>
    <w:p w14:paraId="2FD2C9F9">
      <w:pPr>
        <w:pStyle w:val="54"/>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5298568">
      <w:pPr>
        <w:pStyle w:val="54"/>
        <w:rPr>
          <w:rFonts w:hint="eastAsia"/>
        </w:rPr>
      </w:pPr>
      <w:r>
        <w:tab/>
      </w:r>
      <w:r>
        <w:rPr>
          <w:rFonts w:hint="eastAsia"/>
        </w:rPr>
        <w:t>（2）基金管理人根据其建立的服务评价及交易量分配机制，定期对证券公司开展评价后，根据评价结果进行交易量的分配。</w:t>
      </w:r>
    </w:p>
    <w:p w14:paraId="319FA4EC">
      <w:pPr>
        <w:pStyle w:val="54"/>
        <w:rPr>
          <w:rFonts w:hint="eastAsia"/>
        </w:rPr>
      </w:pPr>
      <w:r>
        <w:tab/>
      </w:r>
      <w:r>
        <w:rPr>
          <w:rFonts w:hint="eastAsia"/>
        </w:rPr>
        <w:t>3、报告期内基金租用券商交易单元的变更情况：新增交易单元：无；减少交易单元：国投证券。</w:t>
      </w:r>
    </w:p>
    <w:p w14:paraId="2617CDE2">
      <w:pPr>
        <w:pStyle w:val="35"/>
      </w:pPr>
      <w:bookmarkStart w:id="198" w:name="_Toc198"/>
      <w:r>
        <w:t>基金租用证券公司交易单元进行其他证券投资的情况</w:t>
      </w:r>
      <w:bookmarkEnd w:id="198"/>
    </w:p>
    <w:p w14:paraId="3CCACF88">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8F4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959D701">
            <w:pPr>
              <w:jc w:val="center"/>
            </w:pPr>
            <w:r>
              <w:rPr>
                <w:rFonts w:hint="eastAsia"/>
                <w:b/>
              </w:rPr>
              <w:t>券商名称</w:t>
            </w:r>
          </w:p>
        </w:tc>
        <w:tc>
          <w:tcPr>
            <w:tcW w:w="1508" w:type="dxa"/>
            <w:gridSpan w:val="2"/>
            <w:shd w:val="clear" w:color="auto" w:fill="BFBFBF"/>
            <w:vAlign w:val="center"/>
          </w:tcPr>
          <w:p w14:paraId="2DD4B217">
            <w:pPr>
              <w:jc w:val="center"/>
            </w:pPr>
            <w:r>
              <w:rPr>
                <w:rFonts w:hint="eastAsia"/>
                <w:b/>
              </w:rPr>
              <w:t>债券交易</w:t>
            </w:r>
          </w:p>
        </w:tc>
        <w:tc>
          <w:tcPr>
            <w:tcW w:w="1697" w:type="dxa"/>
            <w:gridSpan w:val="2"/>
            <w:shd w:val="clear" w:color="auto" w:fill="BFBFBF"/>
            <w:vAlign w:val="center"/>
          </w:tcPr>
          <w:p w14:paraId="46B82FDB">
            <w:pPr>
              <w:jc w:val="center"/>
            </w:pPr>
            <w:r>
              <w:rPr>
                <w:rFonts w:hint="eastAsia"/>
                <w:b/>
              </w:rPr>
              <w:t>债券回购交易</w:t>
            </w:r>
          </w:p>
        </w:tc>
        <w:tc>
          <w:tcPr>
            <w:tcW w:w="1508" w:type="dxa"/>
            <w:gridSpan w:val="2"/>
            <w:shd w:val="clear" w:color="auto" w:fill="BFBFBF"/>
            <w:vAlign w:val="center"/>
          </w:tcPr>
          <w:p w14:paraId="65CBA8E3">
            <w:pPr>
              <w:jc w:val="center"/>
            </w:pPr>
            <w:r>
              <w:rPr>
                <w:rFonts w:hint="eastAsia"/>
                <w:b/>
              </w:rPr>
              <w:t>权证交易</w:t>
            </w:r>
          </w:p>
        </w:tc>
      </w:tr>
      <w:tr w14:paraId="6DB5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9A8CD13"/>
        </w:tc>
        <w:tc>
          <w:tcPr>
            <w:tcW w:w="1508" w:type="dxa"/>
            <w:shd w:val="clear" w:color="auto" w:fill="BFBFBF"/>
            <w:vAlign w:val="center"/>
          </w:tcPr>
          <w:p w14:paraId="3EC96D42">
            <w:pPr>
              <w:jc w:val="center"/>
            </w:pPr>
            <w:r>
              <w:rPr>
                <w:rFonts w:hint="eastAsia"/>
                <w:b/>
              </w:rPr>
              <w:t>成交金额</w:t>
            </w:r>
          </w:p>
        </w:tc>
        <w:tc>
          <w:tcPr>
            <w:tcW w:w="895" w:type="dxa"/>
            <w:shd w:val="clear" w:color="auto" w:fill="BFBFBF"/>
            <w:vAlign w:val="center"/>
          </w:tcPr>
          <w:p w14:paraId="74C3E83E">
            <w:pPr>
              <w:jc w:val="center"/>
            </w:pPr>
            <w:r>
              <w:rPr>
                <w:rFonts w:hint="eastAsia"/>
                <w:b/>
              </w:rPr>
              <w:t>占当期债券成交总额的比例</w:t>
            </w:r>
          </w:p>
        </w:tc>
        <w:tc>
          <w:tcPr>
            <w:tcW w:w="1697" w:type="dxa"/>
            <w:shd w:val="clear" w:color="auto" w:fill="BFBFBF"/>
            <w:vAlign w:val="center"/>
          </w:tcPr>
          <w:p w14:paraId="53CC0D2C">
            <w:pPr>
              <w:jc w:val="center"/>
            </w:pPr>
            <w:r>
              <w:rPr>
                <w:rFonts w:hint="eastAsia"/>
                <w:b/>
              </w:rPr>
              <w:t>成交金额</w:t>
            </w:r>
          </w:p>
        </w:tc>
        <w:tc>
          <w:tcPr>
            <w:tcW w:w="895" w:type="dxa"/>
            <w:shd w:val="clear" w:color="auto" w:fill="BFBFBF"/>
            <w:vAlign w:val="center"/>
          </w:tcPr>
          <w:p w14:paraId="3D819368">
            <w:pPr>
              <w:jc w:val="center"/>
            </w:pPr>
            <w:r>
              <w:rPr>
                <w:rFonts w:hint="eastAsia"/>
                <w:b/>
              </w:rPr>
              <w:t>占当期债券回购成交总额的比例</w:t>
            </w:r>
          </w:p>
        </w:tc>
        <w:tc>
          <w:tcPr>
            <w:tcW w:w="1508" w:type="dxa"/>
            <w:shd w:val="clear" w:color="auto" w:fill="BFBFBF"/>
            <w:vAlign w:val="center"/>
          </w:tcPr>
          <w:p w14:paraId="099F7F21">
            <w:pPr>
              <w:jc w:val="center"/>
            </w:pPr>
            <w:r>
              <w:rPr>
                <w:rFonts w:hint="eastAsia"/>
                <w:b/>
              </w:rPr>
              <w:t>成交金额</w:t>
            </w:r>
          </w:p>
        </w:tc>
        <w:tc>
          <w:tcPr>
            <w:tcW w:w="900" w:type="dxa"/>
            <w:shd w:val="clear" w:color="auto" w:fill="BFBFBF"/>
            <w:vAlign w:val="center"/>
          </w:tcPr>
          <w:p w14:paraId="733E3B59">
            <w:pPr>
              <w:jc w:val="center"/>
            </w:pPr>
            <w:r>
              <w:rPr>
                <w:rFonts w:hint="eastAsia"/>
                <w:b/>
              </w:rPr>
              <w:t>占当期权证成交总额的比例</w:t>
            </w:r>
          </w:p>
        </w:tc>
      </w:tr>
      <w:tr w14:paraId="4C3D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557D7A">
            <w:r>
              <w:rPr>
                <w:rFonts w:hint="eastAsia"/>
              </w:rPr>
              <w:t>广发证券</w:t>
            </w:r>
          </w:p>
        </w:tc>
        <w:tc>
          <w:tcPr>
            <w:tcW w:w="1508" w:type="dxa"/>
            <w:vAlign w:val="center"/>
          </w:tcPr>
          <w:p w14:paraId="00B13A16">
            <w:pPr>
              <w:jc w:val="right"/>
            </w:pPr>
            <w:r>
              <w:rPr>
                <w:rFonts w:hint="eastAsia"/>
              </w:rPr>
              <w:t>-</w:t>
            </w:r>
          </w:p>
        </w:tc>
        <w:tc>
          <w:tcPr>
            <w:tcW w:w="895" w:type="dxa"/>
            <w:vAlign w:val="center"/>
          </w:tcPr>
          <w:p w14:paraId="2415C6D5">
            <w:pPr>
              <w:jc w:val="right"/>
            </w:pPr>
            <w:r>
              <w:rPr>
                <w:rFonts w:hint="eastAsia"/>
              </w:rPr>
              <w:t>-</w:t>
            </w:r>
          </w:p>
        </w:tc>
        <w:tc>
          <w:tcPr>
            <w:tcW w:w="1697" w:type="dxa"/>
            <w:vAlign w:val="center"/>
          </w:tcPr>
          <w:p w14:paraId="63A1E6B3">
            <w:pPr>
              <w:jc w:val="right"/>
            </w:pPr>
            <w:r>
              <w:rPr>
                <w:rFonts w:hint="eastAsia"/>
              </w:rPr>
              <w:t>-</w:t>
            </w:r>
          </w:p>
        </w:tc>
        <w:tc>
          <w:tcPr>
            <w:tcW w:w="895" w:type="dxa"/>
            <w:vAlign w:val="center"/>
          </w:tcPr>
          <w:p w14:paraId="5C393A06">
            <w:pPr>
              <w:jc w:val="right"/>
            </w:pPr>
            <w:r>
              <w:rPr>
                <w:rFonts w:hint="eastAsia"/>
              </w:rPr>
              <w:t>-</w:t>
            </w:r>
          </w:p>
        </w:tc>
        <w:tc>
          <w:tcPr>
            <w:tcW w:w="1508" w:type="dxa"/>
            <w:vAlign w:val="center"/>
          </w:tcPr>
          <w:p w14:paraId="53A03C54">
            <w:pPr>
              <w:jc w:val="right"/>
            </w:pPr>
            <w:r>
              <w:rPr>
                <w:rFonts w:hint="eastAsia"/>
              </w:rPr>
              <w:t>-</w:t>
            </w:r>
          </w:p>
        </w:tc>
        <w:tc>
          <w:tcPr>
            <w:tcW w:w="900" w:type="dxa"/>
            <w:vAlign w:val="center"/>
          </w:tcPr>
          <w:p w14:paraId="646B7AB6">
            <w:pPr>
              <w:jc w:val="right"/>
            </w:pPr>
            <w:r>
              <w:rPr>
                <w:rFonts w:hint="eastAsia"/>
              </w:rPr>
              <w:t>-</w:t>
            </w:r>
          </w:p>
        </w:tc>
      </w:tr>
      <w:tr w14:paraId="11E6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F86923">
            <w:r>
              <w:rPr>
                <w:rFonts w:hint="eastAsia"/>
              </w:rPr>
              <w:t>申万宏源</w:t>
            </w:r>
          </w:p>
        </w:tc>
        <w:tc>
          <w:tcPr>
            <w:tcW w:w="1508" w:type="dxa"/>
            <w:vAlign w:val="center"/>
          </w:tcPr>
          <w:p w14:paraId="48C94DF5">
            <w:pPr>
              <w:jc w:val="right"/>
            </w:pPr>
            <w:r>
              <w:rPr>
                <w:rFonts w:hint="eastAsia"/>
              </w:rPr>
              <w:t>-</w:t>
            </w:r>
          </w:p>
        </w:tc>
        <w:tc>
          <w:tcPr>
            <w:tcW w:w="895" w:type="dxa"/>
            <w:vAlign w:val="center"/>
          </w:tcPr>
          <w:p w14:paraId="45CE02E9">
            <w:pPr>
              <w:jc w:val="right"/>
            </w:pPr>
            <w:r>
              <w:rPr>
                <w:rFonts w:hint="eastAsia"/>
              </w:rPr>
              <w:t>-</w:t>
            </w:r>
          </w:p>
        </w:tc>
        <w:tc>
          <w:tcPr>
            <w:tcW w:w="1697" w:type="dxa"/>
            <w:vAlign w:val="center"/>
          </w:tcPr>
          <w:p w14:paraId="20E7E10E">
            <w:pPr>
              <w:jc w:val="right"/>
            </w:pPr>
            <w:r>
              <w:rPr>
                <w:rFonts w:hint="eastAsia"/>
              </w:rPr>
              <w:t>-</w:t>
            </w:r>
          </w:p>
        </w:tc>
        <w:tc>
          <w:tcPr>
            <w:tcW w:w="895" w:type="dxa"/>
            <w:vAlign w:val="center"/>
          </w:tcPr>
          <w:p w14:paraId="517F3F62">
            <w:pPr>
              <w:jc w:val="right"/>
            </w:pPr>
            <w:r>
              <w:rPr>
                <w:rFonts w:hint="eastAsia"/>
              </w:rPr>
              <w:t>-</w:t>
            </w:r>
          </w:p>
        </w:tc>
        <w:tc>
          <w:tcPr>
            <w:tcW w:w="1508" w:type="dxa"/>
            <w:vAlign w:val="center"/>
          </w:tcPr>
          <w:p w14:paraId="76E1B045">
            <w:pPr>
              <w:jc w:val="right"/>
            </w:pPr>
            <w:r>
              <w:rPr>
                <w:rFonts w:hint="eastAsia"/>
              </w:rPr>
              <w:t>-</w:t>
            </w:r>
          </w:p>
        </w:tc>
        <w:tc>
          <w:tcPr>
            <w:tcW w:w="900" w:type="dxa"/>
            <w:vAlign w:val="center"/>
          </w:tcPr>
          <w:p w14:paraId="1321AB93">
            <w:pPr>
              <w:jc w:val="right"/>
            </w:pPr>
            <w:r>
              <w:rPr>
                <w:rFonts w:hint="eastAsia"/>
              </w:rPr>
              <w:t>-</w:t>
            </w:r>
          </w:p>
        </w:tc>
      </w:tr>
      <w:tr w14:paraId="5DE3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19C547">
            <w:r>
              <w:rPr>
                <w:rFonts w:hint="eastAsia"/>
              </w:rPr>
              <w:t>长江证券</w:t>
            </w:r>
          </w:p>
        </w:tc>
        <w:tc>
          <w:tcPr>
            <w:tcW w:w="1508" w:type="dxa"/>
            <w:vAlign w:val="center"/>
          </w:tcPr>
          <w:p w14:paraId="1CC37038">
            <w:pPr>
              <w:jc w:val="right"/>
            </w:pPr>
            <w:r>
              <w:rPr>
                <w:rFonts w:hint="eastAsia"/>
              </w:rPr>
              <w:t>-</w:t>
            </w:r>
          </w:p>
        </w:tc>
        <w:tc>
          <w:tcPr>
            <w:tcW w:w="895" w:type="dxa"/>
            <w:vAlign w:val="center"/>
          </w:tcPr>
          <w:p w14:paraId="407484F8">
            <w:pPr>
              <w:jc w:val="right"/>
            </w:pPr>
            <w:r>
              <w:rPr>
                <w:rFonts w:hint="eastAsia"/>
              </w:rPr>
              <w:t>-</w:t>
            </w:r>
          </w:p>
        </w:tc>
        <w:tc>
          <w:tcPr>
            <w:tcW w:w="1697" w:type="dxa"/>
            <w:vAlign w:val="center"/>
          </w:tcPr>
          <w:p w14:paraId="490B4029">
            <w:pPr>
              <w:jc w:val="right"/>
            </w:pPr>
            <w:r>
              <w:rPr>
                <w:rFonts w:hint="eastAsia"/>
              </w:rPr>
              <w:t>-</w:t>
            </w:r>
          </w:p>
        </w:tc>
        <w:tc>
          <w:tcPr>
            <w:tcW w:w="895" w:type="dxa"/>
            <w:vAlign w:val="center"/>
          </w:tcPr>
          <w:p w14:paraId="53EFCD8D">
            <w:pPr>
              <w:jc w:val="right"/>
            </w:pPr>
            <w:r>
              <w:rPr>
                <w:rFonts w:hint="eastAsia"/>
              </w:rPr>
              <w:t>-</w:t>
            </w:r>
          </w:p>
        </w:tc>
        <w:tc>
          <w:tcPr>
            <w:tcW w:w="1508" w:type="dxa"/>
            <w:vAlign w:val="center"/>
          </w:tcPr>
          <w:p w14:paraId="179518A8">
            <w:pPr>
              <w:jc w:val="right"/>
            </w:pPr>
            <w:r>
              <w:rPr>
                <w:rFonts w:hint="eastAsia"/>
              </w:rPr>
              <w:t>-</w:t>
            </w:r>
          </w:p>
        </w:tc>
        <w:tc>
          <w:tcPr>
            <w:tcW w:w="900" w:type="dxa"/>
            <w:vAlign w:val="center"/>
          </w:tcPr>
          <w:p w14:paraId="0474A183">
            <w:pPr>
              <w:jc w:val="right"/>
            </w:pPr>
            <w:r>
              <w:rPr>
                <w:rFonts w:hint="eastAsia"/>
              </w:rPr>
              <w:t>-</w:t>
            </w:r>
          </w:p>
        </w:tc>
      </w:tr>
      <w:tr w14:paraId="7053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D37E75">
            <w:r>
              <w:rPr>
                <w:rFonts w:hint="eastAsia"/>
              </w:rPr>
              <w:t>东吴证券</w:t>
            </w:r>
          </w:p>
        </w:tc>
        <w:tc>
          <w:tcPr>
            <w:tcW w:w="1508" w:type="dxa"/>
            <w:vAlign w:val="center"/>
          </w:tcPr>
          <w:p w14:paraId="37C8FD3C">
            <w:pPr>
              <w:jc w:val="right"/>
            </w:pPr>
            <w:r>
              <w:rPr>
                <w:rFonts w:hint="eastAsia"/>
              </w:rPr>
              <w:t>-</w:t>
            </w:r>
          </w:p>
        </w:tc>
        <w:tc>
          <w:tcPr>
            <w:tcW w:w="895" w:type="dxa"/>
            <w:vAlign w:val="center"/>
          </w:tcPr>
          <w:p w14:paraId="59E831BF">
            <w:pPr>
              <w:jc w:val="right"/>
            </w:pPr>
            <w:r>
              <w:rPr>
                <w:rFonts w:hint="eastAsia"/>
              </w:rPr>
              <w:t>-</w:t>
            </w:r>
          </w:p>
        </w:tc>
        <w:tc>
          <w:tcPr>
            <w:tcW w:w="1697" w:type="dxa"/>
            <w:vAlign w:val="center"/>
          </w:tcPr>
          <w:p w14:paraId="75D08F76">
            <w:pPr>
              <w:jc w:val="right"/>
            </w:pPr>
            <w:r>
              <w:rPr>
                <w:rFonts w:hint="eastAsia"/>
              </w:rPr>
              <w:t>-</w:t>
            </w:r>
          </w:p>
        </w:tc>
        <w:tc>
          <w:tcPr>
            <w:tcW w:w="895" w:type="dxa"/>
            <w:vAlign w:val="center"/>
          </w:tcPr>
          <w:p w14:paraId="18B312DB">
            <w:pPr>
              <w:jc w:val="right"/>
            </w:pPr>
            <w:r>
              <w:rPr>
                <w:rFonts w:hint="eastAsia"/>
              </w:rPr>
              <w:t>-</w:t>
            </w:r>
          </w:p>
        </w:tc>
        <w:tc>
          <w:tcPr>
            <w:tcW w:w="1508" w:type="dxa"/>
            <w:vAlign w:val="center"/>
          </w:tcPr>
          <w:p w14:paraId="4E5795E0">
            <w:pPr>
              <w:jc w:val="right"/>
            </w:pPr>
            <w:r>
              <w:rPr>
                <w:rFonts w:hint="eastAsia"/>
              </w:rPr>
              <w:t>-</w:t>
            </w:r>
          </w:p>
        </w:tc>
        <w:tc>
          <w:tcPr>
            <w:tcW w:w="900" w:type="dxa"/>
            <w:vAlign w:val="center"/>
          </w:tcPr>
          <w:p w14:paraId="252E77B8">
            <w:pPr>
              <w:jc w:val="right"/>
            </w:pPr>
            <w:r>
              <w:rPr>
                <w:rFonts w:hint="eastAsia"/>
              </w:rPr>
              <w:t>-</w:t>
            </w:r>
          </w:p>
        </w:tc>
      </w:tr>
      <w:tr w14:paraId="529E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F4AE8C">
            <w:r>
              <w:rPr>
                <w:rFonts w:hint="eastAsia"/>
              </w:rPr>
              <w:t>国泰海通</w:t>
            </w:r>
          </w:p>
        </w:tc>
        <w:tc>
          <w:tcPr>
            <w:tcW w:w="1508" w:type="dxa"/>
            <w:vAlign w:val="center"/>
          </w:tcPr>
          <w:p w14:paraId="3717AC50">
            <w:pPr>
              <w:jc w:val="right"/>
            </w:pPr>
            <w:r>
              <w:rPr>
                <w:rFonts w:hint="eastAsia"/>
              </w:rPr>
              <w:t>-</w:t>
            </w:r>
          </w:p>
        </w:tc>
        <w:tc>
          <w:tcPr>
            <w:tcW w:w="895" w:type="dxa"/>
            <w:vAlign w:val="center"/>
          </w:tcPr>
          <w:p w14:paraId="1D80705F">
            <w:pPr>
              <w:jc w:val="right"/>
            </w:pPr>
            <w:r>
              <w:rPr>
                <w:rFonts w:hint="eastAsia"/>
              </w:rPr>
              <w:t>-</w:t>
            </w:r>
          </w:p>
        </w:tc>
        <w:tc>
          <w:tcPr>
            <w:tcW w:w="1697" w:type="dxa"/>
            <w:vAlign w:val="center"/>
          </w:tcPr>
          <w:p w14:paraId="0253F0B1">
            <w:pPr>
              <w:jc w:val="right"/>
            </w:pPr>
            <w:r>
              <w:rPr>
                <w:rFonts w:hint="eastAsia"/>
              </w:rPr>
              <w:t>-</w:t>
            </w:r>
          </w:p>
        </w:tc>
        <w:tc>
          <w:tcPr>
            <w:tcW w:w="895" w:type="dxa"/>
            <w:vAlign w:val="center"/>
          </w:tcPr>
          <w:p w14:paraId="7C736BF9">
            <w:pPr>
              <w:jc w:val="right"/>
            </w:pPr>
            <w:r>
              <w:rPr>
                <w:rFonts w:hint="eastAsia"/>
              </w:rPr>
              <w:t>-</w:t>
            </w:r>
          </w:p>
        </w:tc>
        <w:tc>
          <w:tcPr>
            <w:tcW w:w="1508" w:type="dxa"/>
            <w:vAlign w:val="center"/>
          </w:tcPr>
          <w:p w14:paraId="709C6A4A">
            <w:pPr>
              <w:jc w:val="right"/>
            </w:pPr>
            <w:r>
              <w:rPr>
                <w:rFonts w:hint="eastAsia"/>
              </w:rPr>
              <w:t>-</w:t>
            </w:r>
          </w:p>
        </w:tc>
        <w:tc>
          <w:tcPr>
            <w:tcW w:w="900" w:type="dxa"/>
            <w:vAlign w:val="center"/>
          </w:tcPr>
          <w:p w14:paraId="6894D442">
            <w:pPr>
              <w:jc w:val="right"/>
            </w:pPr>
            <w:r>
              <w:rPr>
                <w:rFonts w:hint="eastAsia"/>
              </w:rPr>
              <w:t>-</w:t>
            </w:r>
          </w:p>
        </w:tc>
      </w:tr>
      <w:tr w14:paraId="0535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30F6BA">
            <w:r>
              <w:rPr>
                <w:rFonts w:hint="eastAsia"/>
              </w:rPr>
              <w:t>华创证券</w:t>
            </w:r>
          </w:p>
        </w:tc>
        <w:tc>
          <w:tcPr>
            <w:tcW w:w="1508" w:type="dxa"/>
            <w:vAlign w:val="center"/>
          </w:tcPr>
          <w:p w14:paraId="34624164">
            <w:pPr>
              <w:jc w:val="right"/>
            </w:pPr>
            <w:r>
              <w:rPr>
                <w:rFonts w:hint="eastAsia"/>
              </w:rPr>
              <w:t>-</w:t>
            </w:r>
          </w:p>
        </w:tc>
        <w:tc>
          <w:tcPr>
            <w:tcW w:w="895" w:type="dxa"/>
            <w:vAlign w:val="center"/>
          </w:tcPr>
          <w:p w14:paraId="691129F3">
            <w:pPr>
              <w:jc w:val="right"/>
            </w:pPr>
            <w:r>
              <w:rPr>
                <w:rFonts w:hint="eastAsia"/>
              </w:rPr>
              <w:t>-</w:t>
            </w:r>
          </w:p>
        </w:tc>
        <w:tc>
          <w:tcPr>
            <w:tcW w:w="1697" w:type="dxa"/>
            <w:vAlign w:val="center"/>
          </w:tcPr>
          <w:p w14:paraId="38EB2CA7">
            <w:pPr>
              <w:jc w:val="right"/>
            </w:pPr>
            <w:r>
              <w:rPr>
                <w:rFonts w:hint="eastAsia"/>
              </w:rPr>
              <w:t>-</w:t>
            </w:r>
          </w:p>
        </w:tc>
        <w:tc>
          <w:tcPr>
            <w:tcW w:w="895" w:type="dxa"/>
            <w:vAlign w:val="center"/>
          </w:tcPr>
          <w:p w14:paraId="5771981C">
            <w:pPr>
              <w:jc w:val="right"/>
            </w:pPr>
            <w:r>
              <w:rPr>
                <w:rFonts w:hint="eastAsia"/>
              </w:rPr>
              <w:t>-</w:t>
            </w:r>
          </w:p>
        </w:tc>
        <w:tc>
          <w:tcPr>
            <w:tcW w:w="1508" w:type="dxa"/>
            <w:vAlign w:val="center"/>
          </w:tcPr>
          <w:p w14:paraId="2C6B58BB">
            <w:pPr>
              <w:jc w:val="right"/>
            </w:pPr>
            <w:r>
              <w:rPr>
                <w:rFonts w:hint="eastAsia"/>
              </w:rPr>
              <w:t>-</w:t>
            </w:r>
          </w:p>
        </w:tc>
        <w:tc>
          <w:tcPr>
            <w:tcW w:w="900" w:type="dxa"/>
            <w:vAlign w:val="center"/>
          </w:tcPr>
          <w:p w14:paraId="3249A5C0">
            <w:pPr>
              <w:jc w:val="right"/>
            </w:pPr>
            <w:r>
              <w:rPr>
                <w:rFonts w:hint="eastAsia"/>
              </w:rPr>
              <w:t>-</w:t>
            </w:r>
          </w:p>
        </w:tc>
      </w:tr>
      <w:tr w14:paraId="01C1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6DC0A2">
            <w:r>
              <w:rPr>
                <w:rFonts w:hint="eastAsia"/>
              </w:rPr>
              <w:t>华泰证券</w:t>
            </w:r>
          </w:p>
        </w:tc>
        <w:tc>
          <w:tcPr>
            <w:tcW w:w="1508" w:type="dxa"/>
            <w:vAlign w:val="center"/>
          </w:tcPr>
          <w:p w14:paraId="0F6ED79D">
            <w:pPr>
              <w:jc w:val="right"/>
            </w:pPr>
            <w:r>
              <w:rPr>
                <w:rFonts w:hint="eastAsia"/>
              </w:rPr>
              <w:t>-</w:t>
            </w:r>
          </w:p>
        </w:tc>
        <w:tc>
          <w:tcPr>
            <w:tcW w:w="895" w:type="dxa"/>
            <w:vAlign w:val="center"/>
          </w:tcPr>
          <w:p w14:paraId="149A40BC">
            <w:pPr>
              <w:jc w:val="right"/>
            </w:pPr>
            <w:r>
              <w:rPr>
                <w:rFonts w:hint="eastAsia"/>
              </w:rPr>
              <w:t>-</w:t>
            </w:r>
          </w:p>
        </w:tc>
        <w:tc>
          <w:tcPr>
            <w:tcW w:w="1697" w:type="dxa"/>
            <w:vAlign w:val="center"/>
          </w:tcPr>
          <w:p w14:paraId="240A4F3A">
            <w:pPr>
              <w:jc w:val="right"/>
            </w:pPr>
            <w:r>
              <w:rPr>
                <w:rFonts w:hint="eastAsia"/>
              </w:rPr>
              <w:t>-</w:t>
            </w:r>
          </w:p>
        </w:tc>
        <w:tc>
          <w:tcPr>
            <w:tcW w:w="895" w:type="dxa"/>
            <w:vAlign w:val="center"/>
          </w:tcPr>
          <w:p w14:paraId="230FB1E3">
            <w:pPr>
              <w:jc w:val="right"/>
            </w:pPr>
            <w:r>
              <w:rPr>
                <w:rFonts w:hint="eastAsia"/>
              </w:rPr>
              <w:t>-</w:t>
            </w:r>
          </w:p>
        </w:tc>
        <w:tc>
          <w:tcPr>
            <w:tcW w:w="1508" w:type="dxa"/>
            <w:vAlign w:val="center"/>
          </w:tcPr>
          <w:p w14:paraId="15753207">
            <w:pPr>
              <w:jc w:val="right"/>
            </w:pPr>
            <w:r>
              <w:rPr>
                <w:rFonts w:hint="eastAsia"/>
              </w:rPr>
              <w:t>-</w:t>
            </w:r>
          </w:p>
        </w:tc>
        <w:tc>
          <w:tcPr>
            <w:tcW w:w="900" w:type="dxa"/>
            <w:vAlign w:val="center"/>
          </w:tcPr>
          <w:p w14:paraId="0EEF1E71">
            <w:pPr>
              <w:jc w:val="right"/>
            </w:pPr>
            <w:r>
              <w:rPr>
                <w:rFonts w:hint="eastAsia"/>
              </w:rPr>
              <w:t>-</w:t>
            </w:r>
          </w:p>
        </w:tc>
      </w:tr>
      <w:tr w14:paraId="04D3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C9C46C">
            <w:r>
              <w:rPr>
                <w:rFonts w:hint="eastAsia"/>
              </w:rPr>
              <w:t>中信证券</w:t>
            </w:r>
          </w:p>
        </w:tc>
        <w:tc>
          <w:tcPr>
            <w:tcW w:w="1508" w:type="dxa"/>
            <w:vAlign w:val="center"/>
          </w:tcPr>
          <w:p w14:paraId="045B53AB">
            <w:pPr>
              <w:jc w:val="right"/>
            </w:pPr>
            <w:r>
              <w:rPr>
                <w:rFonts w:hint="eastAsia"/>
              </w:rPr>
              <w:t>-</w:t>
            </w:r>
          </w:p>
        </w:tc>
        <w:tc>
          <w:tcPr>
            <w:tcW w:w="895" w:type="dxa"/>
            <w:vAlign w:val="center"/>
          </w:tcPr>
          <w:p w14:paraId="6FD0EC4C">
            <w:pPr>
              <w:jc w:val="right"/>
            </w:pPr>
            <w:r>
              <w:rPr>
                <w:rFonts w:hint="eastAsia"/>
              </w:rPr>
              <w:t>-</w:t>
            </w:r>
          </w:p>
        </w:tc>
        <w:tc>
          <w:tcPr>
            <w:tcW w:w="1697" w:type="dxa"/>
            <w:vAlign w:val="center"/>
          </w:tcPr>
          <w:p w14:paraId="2A52DE28">
            <w:pPr>
              <w:jc w:val="right"/>
            </w:pPr>
            <w:r>
              <w:rPr>
                <w:rFonts w:hint="eastAsia"/>
              </w:rPr>
              <w:t>-</w:t>
            </w:r>
          </w:p>
        </w:tc>
        <w:tc>
          <w:tcPr>
            <w:tcW w:w="895" w:type="dxa"/>
            <w:vAlign w:val="center"/>
          </w:tcPr>
          <w:p w14:paraId="39F98FB4">
            <w:pPr>
              <w:jc w:val="right"/>
            </w:pPr>
            <w:r>
              <w:rPr>
                <w:rFonts w:hint="eastAsia"/>
              </w:rPr>
              <w:t>-</w:t>
            </w:r>
          </w:p>
        </w:tc>
        <w:tc>
          <w:tcPr>
            <w:tcW w:w="1508" w:type="dxa"/>
            <w:vAlign w:val="center"/>
          </w:tcPr>
          <w:p w14:paraId="2602C674">
            <w:pPr>
              <w:jc w:val="right"/>
            </w:pPr>
            <w:r>
              <w:rPr>
                <w:rFonts w:hint="eastAsia"/>
              </w:rPr>
              <w:t>-</w:t>
            </w:r>
          </w:p>
        </w:tc>
        <w:tc>
          <w:tcPr>
            <w:tcW w:w="900" w:type="dxa"/>
            <w:vAlign w:val="center"/>
          </w:tcPr>
          <w:p w14:paraId="36C17591">
            <w:pPr>
              <w:jc w:val="right"/>
            </w:pPr>
            <w:r>
              <w:rPr>
                <w:rFonts w:hint="eastAsia"/>
              </w:rPr>
              <w:t>-</w:t>
            </w:r>
          </w:p>
        </w:tc>
      </w:tr>
    </w:tbl>
    <w:p w14:paraId="76C367A3">
      <w:pPr>
        <w:pStyle w:val="30"/>
      </w:pPr>
      <w:bookmarkStart w:id="199" w:name="_Toc27312"/>
      <w:r>
        <w:t>其他重大事件</w:t>
      </w:r>
      <w:bookmarkEnd w:id="199"/>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61C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751E025">
            <w:pPr>
              <w:jc w:val="center"/>
            </w:pPr>
            <w:r>
              <w:rPr>
                <w:rFonts w:hint="eastAsia"/>
                <w:b/>
              </w:rPr>
              <w:t>序号</w:t>
            </w:r>
          </w:p>
        </w:tc>
        <w:tc>
          <w:tcPr>
            <w:tcW w:w="4319" w:type="dxa"/>
            <w:shd w:val="clear" w:color="auto" w:fill="BFBFBF"/>
            <w:vAlign w:val="center"/>
          </w:tcPr>
          <w:p w14:paraId="0DEC9A55">
            <w:pPr>
              <w:jc w:val="center"/>
            </w:pPr>
            <w:r>
              <w:rPr>
                <w:rFonts w:hint="eastAsia"/>
                <w:b/>
              </w:rPr>
              <w:t>公告事项</w:t>
            </w:r>
          </w:p>
        </w:tc>
        <w:tc>
          <w:tcPr>
            <w:tcW w:w="2076" w:type="dxa"/>
            <w:shd w:val="clear" w:color="auto" w:fill="BFBFBF"/>
            <w:vAlign w:val="center"/>
          </w:tcPr>
          <w:p w14:paraId="52DDBEB3">
            <w:pPr>
              <w:jc w:val="center"/>
            </w:pPr>
            <w:r>
              <w:rPr>
                <w:rFonts w:hint="eastAsia"/>
                <w:b/>
              </w:rPr>
              <w:t>法定披露方式</w:t>
            </w:r>
          </w:p>
        </w:tc>
        <w:tc>
          <w:tcPr>
            <w:tcW w:w="1218" w:type="dxa"/>
            <w:shd w:val="clear" w:color="auto" w:fill="BFBFBF"/>
            <w:vAlign w:val="center"/>
          </w:tcPr>
          <w:p w14:paraId="300FB286">
            <w:pPr>
              <w:jc w:val="center"/>
            </w:pPr>
            <w:r>
              <w:rPr>
                <w:rFonts w:hint="eastAsia"/>
                <w:b/>
              </w:rPr>
              <w:t>法定披露日期</w:t>
            </w:r>
          </w:p>
        </w:tc>
      </w:tr>
      <w:tr w14:paraId="6F4E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D1E855">
            <w:pPr>
              <w:jc w:val="center"/>
            </w:pPr>
            <w:r>
              <w:rPr>
                <w:rFonts w:hint="eastAsia"/>
              </w:rPr>
              <w:t>1</w:t>
            </w:r>
          </w:p>
        </w:tc>
        <w:tc>
          <w:tcPr>
            <w:tcW w:w="4319" w:type="dxa"/>
            <w:vAlign w:val="center"/>
          </w:tcPr>
          <w:p w14:paraId="3210AA44">
            <w:r>
              <w:rPr>
                <w:rFonts w:hint="eastAsia"/>
              </w:rPr>
              <w:t>南方基金关于直销平台相关业务费率优惠的公告</w:t>
            </w:r>
          </w:p>
        </w:tc>
        <w:tc>
          <w:tcPr>
            <w:tcW w:w="2076" w:type="dxa"/>
            <w:vAlign w:val="center"/>
          </w:tcPr>
          <w:p w14:paraId="6D5C1589">
            <w:r>
              <w:rPr>
                <w:rFonts w:hint="eastAsia"/>
              </w:rPr>
              <w:t>中国证券报、基金管理人网站、中国证监会基金电子披露网站</w:t>
            </w:r>
          </w:p>
        </w:tc>
        <w:tc>
          <w:tcPr>
            <w:tcW w:w="1218" w:type="dxa"/>
            <w:vAlign w:val="center"/>
          </w:tcPr>
          <w:p w14:paraId="333AA197">
            <w:r>
              <w:rPr>
                <w:rFonts w:hint="eastAsia"/>
              </w:rPr>
              <w:t>2025-01-01</w:t>
            </w:r>
          </w:p>
        </w:tc>
      </w:tr>
      <w:tr w14:paraId="743A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EA7C74">
            <w:pPr>
              <w:jc w:val="center"/>
            </w:pPr>
            <w:r>
              <w:rPr>
                <w:rFonts w:hint="eastAsia"/>
              </w:rPr>
              <w:t>2</w:t>
            </w:r>
          </w:p>
        </w:tc>
        <w:tc>
          <w:tcPr>
            <w:tcW w:w="4319" w:type="dxa"/>
            <w:vAlign w:val="center"/>
          </w:tcPr>
          <w:p w14:paraId="2CAA6176">
            <w:r>
              <w:rPr>
                <w:rFonts w:hint="eastAsia"/>
              </w:rPr>
              <w:t>南方基金管理股份有限公司旗下公募基金通过证券公司证券交易及佣金支付情况（2024年度）</w:t>
            </w:r>
          </w:p>
        </w:tc>
        <w:tc>
          <w:tcPr>
            <w:tcW w:w="2076" w:type="dxa"/>
            <w:vAlign w:val="center"/>
          </w:tcPr>
          <w:p w14:paraId="6EF8454F">
            <w:r>
              <w:rPr>
                <w:rFonts w:hint="eastAsia"/>
              </w:rPr>
              <w:t>中国证券报、基金管理人网站、中国证监会基金电子披露网站</w:t>
            </w:r>
          </w:p>
        </w:tc>
        <w:tc>
          <w:tcPr>
            <w:tcW w:w="1218" w:type="dxa"/>
            <w:vAlign w:val="center"/>
          </w:tcPr>
          <w:p w14:paraId="1FA8E9FD">
            <w:r>
              <w:rPr>
                <w:rFonts w:hint="eastAsia"/>
              </w:rPr>
              <w:t>2025-03-31</w:t>
            </w:r>
          </w:p>
        </w:tc>
      </w:tr>
      <w:tr w14:paraId="6C35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A940F3">
            <w:pPr>
              <w:jc w:val="center"/>
            </w:pPr>
            <w:r>
              <w:rPr>
                <w:rFonts w:hint="eastAsia"/>
              </w:rPr>
              <w:t>3</w:t>
            </w:r>
          </w:p>
        </w:tc>
        <w:tc>
          <w:tcPr>
            <w:tcW w:w="4319" w:type="dxa"/>
            <w:vAlign w:val="center"/>
          </w:tcPr>
          <w:p w14:paraId="54EFA4C5">
            <w:r>
              <w:rPr>
                <w:rFonts w:hint="eastAsia"/>
              </w:rPr>
              <w:t>南方基金管理股份有限公司关于以通讯方式召开南方恒庆一年定期开放债券型证券投资基金基金份额持有人大会的公告</w:t>
            </w:r>
          </w:p>
        </w:tc>
        <w:tc>
          <w:tcPr>
            <w:tcW w:w="2076" w:type="dxa"/>
            <w:vAlign w:val="center"/>
          </w:tcPr>
          <w:p w14:paraId="3697B759">
            <w:r>
              <w:rPr>
                <w:rFonts w:hint="eastAsia"/>
              </w:rPr>
              <w:t>中国证券报、基金管理人网站、中国证监会基金电子披露网站</w:t>
            </w:r>
          </w:p>
        </w:tc>
        <w:tc>
          <w:tcPr>
            <w:tcW w:w="1218" w:type="dxa"/>
            <w:vAlign w:val="center"/>
          </w:tcPr>
          <w:p w14:paraId="438D8320">
            <w:r>
              <w:rPr>
                <w:rFonts w:hint="eastAsia"/>
              </w:rPr>
              <w:t>2025-07-24</w:t>
            </w:r>
          </w:p>
        </w:tc>
      </w:tr>
      <w:tr w14:paraId="152C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E10521">
            <w:pPr>
              <w:jc w:val="center"/>
            </w:pPr>
            <w:r>
              <w:rPr>
                <w:rFonts w:hint="eastAsia"/>
              </w:rPr>
              <w:t>4</w:t>
            </w:r>
          </w:p>
        </w:tc>
        <w:tc>
          <w:tcPr>
            <w:tcW w:w="4319" w:type="dxa"/>
            <w:vAlign w:val="center"/>
          </w:tcPr>
          <w:p w14:paraId="589C59E2">
            <w:r>
              <w:rPr>
                <w:rFonts w:hint="eastAsia"/>
              </w:rPr>
              <w:t>南方基金管理股份有限公司关于以通讯方式召开南方恒庆一年定期开放债券型证券投资基金基金份额持有人大会的第一次提示性公告</w:t>
            </w:r>
          </w:p>
        </w:tc>
        <w:tc>
          <w:tcPr>
            <w:tcW w:w="2076" w:type="dxa"/>
            <w:vAlign w:val="center"/>
          </w:tcPr>
          <w:p w14:paraId="774003B8">
            <w:r>
              <w:rPr>
                <w:rFonts w:hint="eastAsia"/>
              </w:rPr>
              <w:t>中国证券报、基金管理人网站、中国证监会基金电子披露网站</w:t>
            </w:r>
          </w:p>
        </w:tc>
        <w:tc>
          <w:tcPr>
            <w:tcW w:w="1218" w:type="dxa"/>
            <w:vAlign w:val="center"/>
          </w:tcPr>
          <w:p w14:paraId="1C1CDE05">
            <w:r>
              <w:rPr>
                <w:rFonts w:hint="eastAsia"/>
              </w:rPr>
              <w:t>2025-07-25</w:t>
            </w:r>
          </w:p>
        </w:tc>
      </w:tr>
      <w:tr w14:paraId="5640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A0843E">
            <w:pPr>
              <w:jc w:val="center"/>
            </w:pPr>
            <w:r>
              <w:rPr>
                <w:rFonts w:hint="eastAsia"/>
              </w:rPr>
              <w:t>5</w:t>
            </w:r>
          </w:p>
        </w:tc>
        <w:tc>
          <w:tcPr>
            <w:tcW w:w="4319" w:type="dxa"/>
            <w:vAlign w:val="center"/>
          </w:tcPr>
          <w:p w14:paraId="309CFED3">
            <w:r>
              <w:rPr>
                <w:rFonts w:hint="eastAsia"/>
              </w:rPr>
              <w:t>南方基金管理股份有限公司关于以通讯方式召开南方恒庆一年定期开放债券型证券投资基金基金份额持有人大会的第二次提示性公告</w:t>
            </w:r>
          </w:p>
        </w:tc>
        <w:tc>
          <w:tcPr>
            <w:tcW w:w="2076" w:type="dxa"/>
            <w:vAlign w:val="center"/>
          </w:tcPr>
          <w:p w14:paraId="2A810ED0">
            <w:r>
              <w:rPr>
                <w:rFonts w:hint="eastAsia"/>
              </w:rPr>
              <w:t>中国证券报、基金管理人网站、中国证监会基金电子披露网站</w:t>
            </w:r>
          </w:p>
        </w:tc>
        <w:tc>
          <w:tcPr>
            <w:tcW w:w="1218" w:type="dxa"/>
            <w:vAlign w:val="center"/>
          </w:tcPr>
          <w:p w14:paraId="3699B814">
            <w:r>
              <w:rPr>
                <w:rFonts w:hint="eastAsia"/>
              </w:rPr>
              <w:t>2025-07-26</w:t>
            </w:r>
          </w:p>
        </w:tc>
      </w:tr>
      <w:tr w14:paraId="46FA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DA9ADB">
            <w:pPr>
              <w:jc w:val="center"/>
            </w:pPr>
            <w:r>
              <w:rPr>
                <w:rFonts w:hint="eastAsia"/>
              </w:rPr>
              <w:t>6</w:t>
            </w:r>
          </w:p>
        </w:tc>
        <w:tc>
          <w:tcPr>
            <w:tcW w:w="4319" w:type="dxa"/>
            <w:vAlign w:val="center"/>
          </w:tcPr>
          <w:p w14:paraId="2C623594">
            <w:r>
              <w:rPr>
                <w:rFonts w:hint="eastAsia"/>
              </w:rPr>
              <w:t>南方恒庆一年定期开放债券型证券投资基金基金份额持有人大会表决结果暨决议生效的公告</w:t>
            </w:r>
          </w:p>
        </w:tc>
        <w:tc>
          <w:tcPr>
            <w:tcW w:w="2076" w:type="dxa"/>
            <w:vAlign w:val="center"/>
          </w:tcPr>
          <w:p w14:paraId="20B5EDD7">
            <w:r>
              <w:rPr>
                <w:rFonts w:hint="eastAsia"/>
              </w:rPr>
              <w:t>中国证券报、基金管理人网站、中国证监会基金电子披露网站</w:t>
            </w:r>
          </w:p>
        </w:tc>
        <w:tc>
          <w:tcPr>
            <w:tcW w:w="1218" w:type="dxa"/>
            <w:vAlign w:val="center"/>
          </w:tcPr>
          <w:p w14:paraId="2DBC4D20">
            <w:r>
              <w:rPr>
                <w:rFonts w:hint="eastAsia"/>
              </w:rPr>
              <w:t>2025-08-27</w:t>
            </w:r>
          </w:p>
        </w:tc>
      </w:tr>
      <w:tr w14:paraId="0FDC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7305DE">
            <w:pPr>
              <w:jc w:val="center"/>
            </w:pPr>
            <w:r>
              <w:rPr>
                <w:rFonts w:hint="eastAsia"/>
              </w:rPr>
              <w:t>7</w:t>
            </w:r>
          </w:p>
        </w:tc>
        <w:tc>
          <w:tcPr>
            <w:tcW w:w="4319" w:type="dxa"/>
            <w:vAlign w:val="center"/>
          </w:tcPr>
          <w:p w14:paraId="043DF4C8">
            <w:r>
              <w:rPr>
                <w:rFonts w:hint="eastAsia"/>
              </w:rPr>
              <w:t>南方恒庆一年定期开放债券型证券投资基金开放申购、赎回及转换业务的公告</w:t>
            </w:r>
          </w:p>
        </w:tc>
        <w:tc>
          <w:tcPr>
            <w:tcW w:w="2076" w:type="dxa"/>
            <w:vAlign w:val="center"/>
          </w:tcPr>
          <w:p w14:paraId="50FDD1C5">
            <w:r>
              <w:rPr>
                <w:rFonts w:hint="eastAsia"/>
              </w:rPr>
              <w:t>中国证券报、基金管理人网站、中国证监会基金电子披露网站</w:t>
            </w:r>
          </w:p>
        </w:tc>
        <w:tc>
          <w:tcPr>
            <w:tcW w:w="1218" w:type="dxa"/>
            <w:vAlign w:val="center"/>
          </w:tcPr>
          <w:p w14:paraId="7E6D8F8F">
            <w:r>
              <w:rPr>
                <w:rFonts w:hint="eastAsia"/>
              </w:rPr>
              <w:t>2025-12-19</w:t>
            </w:r>
          </w:p>
        </w:tc>
      </w:tr>
      <w:tr w14:paraId="6EAC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FD7FD8">
            <w:pPr>
              <w:jc w:val="center"/>
            </w:pPr>
            <w:r>
              <w:rPr>
                <w:rFonts w:hint="eastAsia"/>
              </w:rPr>
              <w:t>8</w:t>
            </w:r>
          </w:p>
        </w:tc>
        <w:tc>
          <w:tcPr>
            <w:tcW w:w="4319" w:type="dxa"/>
            <w:vAlign w:val="center"/>
          </w:tcPr>
          <w:p w14:paraId="7509732C">
            <w:r>
              <w:rPr>
                <w:rFonts w:hint="eastAsia"/>
              </w:rPr>
              <w:t>南方恒庆一年定期开放债券型证券投资基金分红公告</w:t>
            </w:r>
          </w:p>
        </w:tc>
        <w:tc>
          <w:tcPr>
            <w:tcW w:w="2076" w:type="dxa"/>
            <w:vAlign w:val="center"/>
          </w:tcPr>
          <w:p w14:paraId="72D84A51">
            <w:r>
              <w:rPr>
                <w:rFonts w:hint="eastAsia"/>
              </w:rPr>
              <w:t>中国证券报、基金管理人网站、中国证监会基金电子披露网站</w:t>
            </w:r>
          </w:p>
        </w:tc>
        <w:tc>
          <w:tcPr>
            <w:tcW w:w="1218" w:type="dxa"/>
            <w:vAlign w:val="center"/>
          </w:tcPr>
          <w:p w14:paraId="25B3B6CF">
            <w:r>
              <w:rPr>
                <w:rFonts w:hint="eastAsia"/>
              </w:rPr>
              <w:t>2025-12-26</w:t>
            </w:r>
          </w:p>
        </w:tc>
      </w:tr>
    </w:tbl>
    <w:p w14:paraId="0406580E">
      <w:pPr>
        <w:pStyle w:val="33"/>
      </w:pPr>
      <w:bookmarkStart w:id="200" w:name="_Toc16100"/>
      <w:r>
        <w:t>影响投资者决策的其他重要信息</w:t>
      </w:r>
      <w:bookmarkEnd w:id="200"/>
    </w:p>
    <w:p w14:paraId="78C4A4EA">
      <w:pPr>
        <w:pStyle w:val="30"/>
      </w:pPr>
      <w:bookmarkStart w:id="201" w:name="_Toc14283"/>
      <w:r>
        <w:t>报告期内单一投资者持有基金份额比例达到或超过20%的情况</w:t>
      </w:r>
      <w:bookmarkEnd w:id="201"/>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424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1EFB6F3">
            <w:r>
              <w:rPr>
                <w:rFonts w:hint="eastAsia"/>
              </w:rPr>
              <w:t>投资者类别</w:t>
            </w:r>
          </w:p>
        </w:tc>
        <w:tc>
          <w:tcPr>
            <w:tcW w:w="500" w:type="dxa"/>
            <w:gridSpan w:val="5"/>
            <w:vAlign w:val="center"/>
          </w:tcPr>
          <w:p w14:paraId="178530F7">
            <w:r>
              <w:rPr>
                <w:rFonts w:hint="eastAsia"/>
              </w:rPr>
              <w:t>报告期内持有基金份额变化情况</w:t>
            </w:r>
          </w:p>
        </w:tc>
        <w:tc>
          <w:tcPr>
            <w:tcW w:w="1377" w:type="dxa"/>
            <w:gridSpan w:val="2"/>
            <w:vAlign w:val="center"/>
          </w:tcPr>
          <w:p w14:paraId="58EC7E3E">
            <w:r>
              <w:rPr>
                <w:rFonts w:hint="eastAsia"/>
              </w:rPr>
              <w:t>报告期末持有基金情况</w:t>
            </w:r>
          </w:p>
        </w:tc>
      </w:tr>
      <w:tr w14:paraId="76D4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987BC5D"/>
        </w:tc>
        <w:tc>
          <w:tcPr>
            <w:tcW w:w="500" w:type="dxa"/>
            <w:vAlign w:val="center"/>
          </w:tcPr>
          <w:p w14:paraId="34A95D97">
            <w:r>
              <w:rPr>
                <w:rFonts w:hint="eastAsia"/>
              </w:rPr>
              <w:t>序号</w:t>
            </w:r>
          </w:p>
        </w:tc>
        <w:tc>
          <w:tcPr>
            <w:tcW w:w="876" w:type="dxa"/>
            <w:vAlign w:val="center"/>
          </w:tcPr>
          <w:p w14:paraId="35BAE694">
            <w:r>
              <w:rPr>
                <w:rFonts w:hint="eastAsia"/>
              </w:rPr>
              <w:t>持有基金份额比例达到或者超过20%的时间区间</w:t>
            </w:r>
          </w:p>
        </w:tc>
        <w:tc>
          <w:tcPr>
            <w:tcW w:w="1377" w:type="dxa"/>
            <w:vAlign w:val="center"/>
          </w:tcPr>
          <w:p w14:paraId="7E9DEDCE">
            <w:r>
              <w:rPr>
                <w:rFonts w:hint="eastAsia"/>
              </w:rPr>
              <w:t>期初份额</w:t>
            </w:r>
          </w:p>
        </w:tc>
        <w:tc>
          <w:tcPr>
            <w:tcW w:w="1377" w:type="dxa"/>
            <w:vAlign w:val="center"/>
          </w:tcPr>
          <w:p w14:paraId="06F8B8D9">
            <w:r>
              <w:rPr>
                <w:rFonts w:hint="eastAsia"/>
              </w:rPr>
              <w:t>申购份额</w:t>
            </w:r>
          </w:p>
        </w:tc>
        <w:tc>
          <w:tcPr>
            <w:tcW w:w="1377" w:type="dxa"/>
            <w:vAlign w:val="center"/>
          </w:tcPr>
          <w:p w14:paraId="2B6419B3">
            <w:r>
              <w:rPr>
                <w:rFonts w:hint="eastAsia"/>
              </w:rPr>
              <w:t>赎回份额</w:t>
            </w:r>
          </w:p>
        </w:tc>
        <w:tc>
          <w:tcPr>
            <w:tcW w:w="1377" w:type="dxa"/>
            <w:vAlign w:val="center"/>
          </w:tcPr>
          <w:p w14:paraId="66ACDD38">
            <w:r>
              <w:rPr>
                <w:rFonts w:hint="eastAsia"/>
              </w:rPr>
              <w:t>持有份额</w:t>
            </w:r>
          </w:p>
        </w:tc>
        <w:tc>
          <w:tcPr>
            <w:tcW w:w="667" w:type="dxa"/>
            <w:vAlign w:val="center"/>
          </w:tcPr>
          <w:p w14:paraId="149CA90D">
            <w:r>
              <w:rPr>
                <w:rFonts w:hint="eastAsia"/>
              </w:rPr>
              <w:t>份额占比</w:t>
            </w:r>
          </w:p>
        </w:tc>
      </w:tr>
      <w:tr w14:paraId="7B03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B40DA4F">
            <w:r>
              <w:rPr>
                <w:rFonts w:hint="eastAsia"/>
              </w:rPr>
              <w:t>机构</w:t>
            </w:r>
          </w:p>
        </w:tc>
        <w:tc>
          <w:tcPr>
            <w:tcW w:w="500" w:type="dxa"/>
            <w:vAlign w:val="center"/>
          </w:tcPr>
          <w:p w14:paraId="66DA1BB7">
            <w:pPr>
              <w:jc w:val="right"/>
            </w:pPr>
            <w:r>
              <w:rPr>
                <w:rFonts w:hint="eastAsia"/>
              </w:rPr>
              <w:t>1</w:t>
            </w:r>
          </w:p>
        </w:tc>
        <w:tc>
          <w:tcPr>
            <w:tcW w:w="876" w:type="dxa"/>
            <w:vAlign w:val="center"/>
          </w:tcPr>
          <w:p w14:paraId="5DD66DD2">
            <w:r>
              <w:rPr>
                <w:rFonts w:hint="eastAsia"/>
              </w:rPr>
              <w:t>20251223-20251225</w:t>
            </w:r>
          </w:p>
        </w:tc>
        <w:tc>
          <w:tcPr>
            <w:tcW w:w="1377" w:type="dxa"/>
            <w:vAlign w:val="center"/>
          </w:tcPr>
          <w:p w14:paraId="7AD12ECF">
            <w:pPr>
              <w:jc w:val="right"/>
            </w:pPr>
            <w:r>
              <w:rPr>
                <w:rFonts w:hint="eastAsia"/>
              </w:rPr>
              <w:t>699,999,900.00</w:t>
            </w:r>
          </w:p>
        </w:tc>
        <w:tc>
          <w:tcPr>
            <w:tcW w:w="1377" w:type="dxa"/>
            <w:vAlign w:val="center"/>
          </w:tcPr>
          <w:p w14:paraId="552CE5B8">
            <w:pPr>
              <w:jc w:val="right"/>
            </w:pPr>
            <w:r>
              <w:rPr>
                <w:rFonts w:hint="eastAsia"/>
              </w:rPr>
              <w:t>-</w:t>
            </w:r>
          </w:p>
        </w:tc>
        <w:tc>
          <w:tcPr>
            <w:tcW w:w="1377" w:type="dxa"/>
            <w:vAlign w:val="center"/>
          </w:tcPr>
          <w:p w14:paraId="0442EB1E">
            <w:pPr>
              <w:jc w:val="right"/>
            </w:pPr>
            <w:r>
              <w:rPr>
                <w:rFonts w:hint="eastAsia"/>
              </w:rPr>
              <w:t>699,999,900.00</w:t>
            </w:r>
          </w:p>
        </w:tc>
        <w:tc>
          <w:tcPr>
            <w:tcW w:w="1377" w:type="dxa"/>
            <w:vAlign w:val="center"/>
          </w:tcPr>
          <w:p w14:paraId="127DA701">
            <w:pPr>
              <w:jc w:val="right"/>
            </w:pPr>
            <w:r>
              <w:rPr>
                <w:rFonts w:hint="eastAsia"/>
              </w:rPr>
              <w:t>-</w:t>
            </w:r>
          </w:p>
        </w:tc>
        <w:tc>
          <w:tcPr>
            <w:tcW w:w="667" w:type="dxa"/>
            <w:vAlign w:val="center"/>
          </w:tcPr>
          <w:p w14:paraId="16F82E3E">
            <w:pPr>
              <w:jc w:val="right"/>
            </w:pPr>
            <w:r>
              <w:rPr>
                <w:rFonts w:hint="eastAsia"/>
              </w:rPr>
              <w:t>-</w:t>
            </w:r>
          </w:p>
        </w:tc>
      </w:tr>
      <w:tr w14:paraId="3682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4683BC6">
            <w:r>
              <w:rPr>
                <w:rFonts w:hint="eastAsia"/>
              </w:rPr>
              <w:t>机构</w:t>
            </w:r>
          </w:p>
        </w:tc>
        <w:tc>
          <w:tcPr>
            <w:tcW w:w="500" w:type="dxa"/>
            <w:vAlign w:val="center"/>
          </w:tcPr>
          <w:p w14:paraId="52771486">
            <w:pPr>
              <w:jc w:val="right"/>
            </w:pPr>
            <w:r>
              <w:rPr>
                <w:rFonts w:hint="eastAsia"/>
              </w:rPr>
              <w:t>2</w:t>
            </w:r>
          </w:p>
        </w:tc>
        <w:tc>
          <w:tcPr>
            <w:tcW w:w="876" w:type="dxa"/>
            <w:vAlign w:val="center"/>
          </w:tcPr>
          <w:p w14:paraId="05691BDA">
            <w:r>
              <w:rPr>
                <w:rFonts w:hint="eastAsia"/>
              </w:rPr>
              <w:t>20250101-20251225</w:t>
            </w:r>
          </w:p>
        </w:tc>
        <w:tc>
          <w:tcPr>
            <w:tcW w:w="1377" w:type="dxa"/>
            <w:vAlign w:val="center"/>
          </w:tcPr>
          <w:p w14:paraId="582D2190">
            <w:pPr>
              <w:jc w:val="right"/>
            </w:pPr>
            <w:r>
              <w:rPr>
                <w:rFonts w:hint="eastAsia"/>
              </w:rPr>
              <w:t>2,022,295,031.80</w:t>
            </w:r>
          </w:p>
        </w:tc>
        <w:tc>
          <w:tcPr>
            <w:tcW w:w="1377" w:type="dxa"/>
            <w:vAlign w:val="center"/>
          </w:tcPr>
          <w:p w14:paraId="0FB7695C">
            <w:pPr>
              <w:jc w:val="right"/>
            </w:pPr>
            <w:r>
              <w:rPr>
                <w:rFonts w:hint="eastAsia"/>
              </w:rPr>
              <w:t>-</w:t>
            </w:r>
          </w:p>
        </w:tc>
        <w:tc>
          <w:tcPr>
            <w:tcW w:w="1377" w:type="dxa"/>
            <w:vAlign w:val="center"/>
          </w:tcPr>
          <w:p w14:paraId="2BDA6978">
            <w:pPr>
              <w:jc w:val="right"/>
            </w:pPr>
            <w:r>
              <w:rPr>
                <w:rFonts w:hint="eastAsia"/>
              </w:rPr>
              <w:t>2,022,295,031.80</w:t>
            </w:r>
          </w:p>
        </w:tc>
        <w:tc>
          <w:tcPr>
            <w:tcW w:w="1377" w:type="dxa"/>
            <w:vAlign w:val="center"/>
          </w:tcPr>
          <w:p w14:paraId="3E4A9498">
            <w:pPr>
              <w:jc w:val="right"/>
            </w:pPr>
            <w:r>
              <w:rPr>
                <w:rFonts w:hint="eastAsia"/>
              </w:rPr>
              <w:t>-</w:t>
            </w:r>
          </w:p>
        </w:tc>
        <w:tc>
          <w:tcPr>
            <w:tcW w:w="667" w:type="dxa"/>
            <w:vAlign w:val="center"/>
          </w:tcPr>
          <w:p w14:paraId="4C696416">
            <w:pPr>
              <w:jc w:val="right"/>
            </w:pPr>
            <w:r>
              <w:rPr>
                <w:rFonts w:hint="eastAsia"/>
              </w:rPr>
              <w:t>-</w:t>
            </w:r>
          </w:p>
        </w:tc>
      </w:tr>
      <w:tr w14:paraId="3AEB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0B8F237">
            <w:r>
              <w:rPr>
                <w:rFonts w:hint="eastAsia"/>
              </w:rPr>
              <w:t>机构</w:t>
            </w:r>
          </w:p>
        </w:tc>
        <w:tc>
          <w:tcPr>
            <w:tcW w:w="500" w:type="dxa"/>
            <w:vAlign w:val="center"/>
          </w:tcPr>
          <w:p w14:paraId="763B1D3E">
            <w:pPr>
              <w:jc w:val="right"/>
            </w:pPr>
            <w:r>
              <w:rPr>
                <w:rFonts w:hint="eastAsia"/>
              </w:rPr>
              <w:t>3</w:t>
            </w:r>
          </w:p>
        </w:tc>
        <w:tc>
          <w:tcPr>
            <w:tcW w:w="876" w:type="dxa"/>
            <w:vAlign w:val="center"/>
          </w:tcPr>
          <w:p w14:paraId="3117EB21">
            <w:r>
              <w:rPr>
                <w:rFonts w:hint="eastAsia"/>
              </w:rPr>
              <w:t>20250101-20251222</w:t>
            </w:r>
          </w:p>
        </w:tc>
        <w:tc>
          <w:tcPr>
            <w:tcW w:w="1377" w:type="dxa"/>
            <w:vAlign w:val="center"/>
          </w:tcPr>
          <w:p w14:paraId="464726AB">
            <w:pPr>
              <w:jc w:val="right"/>
            </w:pPr>
            <w:r>
              <w:rPr>
                <w:rFonts w:hint="eastAsia"/>
              </w:rPr>
              <w:t>974,753,874.65</w:t>
            </w:r>
          </w:p>
        </w:tc>
        <w:tc>
          <w:tcPr>
            <w:tcW w:w="1377" w:type="dxa"/>
            <w:vAlign w:val="center"/>
          </w:tcPr>
          <w:p w14:paraId="5C7BB5A5">
            <w:pPr>
              <w:jc w:val="right"/>
            </w:pPr>
            <w:r>
              <w:rPr>
                <w:rFonts w:hint="eastAsia"/>
              </w:rPr>
              <w:t>-</w:t>
            </w:r>
          </w:p>
        </w:tc>
        <w:tc>
          <w:tcPr>
            <w:tcW w:w="1377" w:type="dxa"/>
            <w:vAlign w:val="center"/>
          </w:tcPr>
          <w:p w14:paraId="33254176">
            <w:pPr>
              <w:jc w:val="right"/>
            </w:pPr>
            <w:r>
              <w:rPr>
                <w:rFonts w:hint="eastAsia"/>
              </w:rPr>
              <w:t>974,753,874.65</w:t>
            </w:r>
          </w:p>
        </w:tc>
        <w:tc>
          <w:tcPr>
            <w:tcW w:w="1377" w:type="dxa"/>
            <w:vAlign w:val="center"/>
          </w:tcPr>
          <w:p w14:paraId="33A6A82B">
            <w:pPr>
              <w:jc w:val="right"/>
            </w:pPr>
            <w:r>
              <w:rPr>
                <w:rFonts w:hint="eastAsia"/>
              </w:rPr>
              <w:t>-</w:t>
            </w:r>
          </w:p>
        </w:tc>
        <w:tc>
          <w:tcPr>
            <w:tcW w:w="667" w:type="dxa"/>
            <w:vAlign w:val="center"/>
          </w:tcPr>
          <w:p w14:paraId="11CFFC19">
            <w:pPr>
              <w:jc w:val="right"/>
            </w:pPr>
            <w:r>
              <w:rPr>
                <w:rFonts w:hint="eastAsia"/>
              </w:rPr>
              <w:t>-</w:t>
            </w:r>
          </w:p>
        </w:tc>
      </w:tr>
      <w:tr w14:paraId="2D6E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8C9BFC6">
            <w:r>
              <w:rPr>
                <w:rFonts w:hint="eastAsia"/>
              </w:rPr>
              <w:t>机构</w:t>
            </w:r>
          </w:p>
        </w:tc>
        <w:tc>
          <w:tcPr>
            <w:tcW w:w="500" w:type="dxa"/>
            <w:vAlign w:val="center"/>
          </w:tcPr>
          <w:p w14:paraId="70CDB416">
            <w:pPr>
              <w:jc w:val="right"/>
            </w:pPr>
            <w:r>
              <w:rPr>
                <w:rFonts w:hint="eastAsia"/>
              </w:rPr>
              <w:t>4</w:t>
            </w:r>
          </w:p>
        </w:tc>
        <w:tc>
          <w:tcPr>
            <w:tcW w:w="876" w:type="dxa"/>
            <w:vAlign w:val="center"/>
          </w:tcPr>
          <w:p w14:paraId="5F55DFF1">
            <w:r>
              <w:rPr>
                <w:rFonts w:hint="eastAsia"/>
              </w:rPr>
              <w:t>20251226-20251231</w:t>
            </w:r>
          </w:p>
        </w:tc>
        <w:tc>
          <w:tcPr>
            <w:tcW w:w="1377" w:type="dxa"/>
            <w:vAlign w:val="center"/>
          </w:tcPr>
          <w:p w14:paraId="33FD723F">
            <w:pPr>
              <w:jc w:val="right"/>
            </w:pPr>
            <w:r>
              <w:rPr>
                <w:rFonts w:hint="eastAsia"/>
              </w:rPr>
              <w:t>29,241,641.49</w:t>
            </w:r>
          </w:p>
        </w:tc>
        <w:tc>
          <w:tcPr>
            <w:tcW w:w="1377" w:type="dxa"/>
            <w:vAlign w:val="center"/>
          </w:tcPr>
          <w:p w14:paraId="260D90B2">
            <w:pPr>
              <w:jc w:val="right"/>
            </w:pPr>
            <w:r>
              <w:rPr>
                <w:rFonts w:hint="eastAsia"/>
              </w:rPr>
              <w:t>-</w:t>
            </w:r>
          </w:p>
        </w:tc>
        <w:tc>
          <w:tcPr>
            <w:tcW w:w="1377" w:type="dxa"/>
            <w:vAlign w:val="center"/>
          </w:tcPr>
          <w:p w14:paraId="2BCE0DAB">
            <w:pPr>
              <w:jc w:val="right"/>
            </w:pPr>
            <w:r>
              <w:rPr>
                <w:rFonts w:hint="eastAsia"/>
              </w:rPr>
              <w:t>-</w:t>
            </w:r>
          </w:p>
        </w:tc>
        <w:tc>
          <w:tcPr>
            <w:tcW w:w="1377" w:type="dxa"/>
            <w:vAlign w:val="center"/>
          </w:tcPr>
          <w:p w14:paraId="11FD8880">
            <w:pPr>
              <w:jc w:val="right"/>
            </w:pPr>
            <w:r>
              <w:rPr>
                <w:rFonts w:hint="eastAsia"/>
              </w:rPr>
              <w:t>29,241,641.49</w:t>
            </w:r>
          </w:p>
        </w:tc>
        <w:tc>
          <w:tcPr>
            <w:tcW w:w="667" w:type="dxa"/>
            <w:vAlign w:val="center"/>
          </w:tcPr>
          <w:p w14:paraId="77D3743F">
            <w:pPr>
              <w:jc w:val="right"/>
            </w:pPr>
            <w:r>
              <w:rPr>
                <w:rFonts w:hint="eastAsia"/>
              </w:rPr>
              <w:t>87.42%</w:t>
            </w:r>
          </w:p>
        </w:tc>
      </w:tr>
      <w:tr w14:paraId="0B11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EDF4113">
            <w:r>
              <w:rPr>
                <w:rFonts w:hint="eastAsia"/>
              </w:rPr>
              <w:t>产品特有风险</w:t>
            </w:r>
          </w:p>
        </w:tc>
      </w:tr>
      <w:tr w14:paraId="07E3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6447C9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4132A07">
      <w:pPr>
        <w:pStyle w:val="30"/>
      </w:pPr>
      <w:bookmarkStart w:id="202" w:name="_Toc19836"/>
      <w:r>
        <w:t>影响投资者决策的其他重要信息</w:t>
      </w:r>
      <w:bookmarkEnd w:id="202"/>
    </w:p>
    <w:p w14:paraId="5F546C3D">
      <w:pPr>
        <w:pStyle w:val="25"/>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14:paraId="0911D287">
      <w:pPr>
        <w:pStyle w:val="33"/>
      </w:pPr>
      <w:bookmarkStart w:id="203" w:name="_Toc10345"/>
      <w:r>
        <w:t>备查文件目录</w:t>
      </w:r>
      <w:bookmarkEnd w:id="203"/>
    </w:p>
    <w:p w14:paraId="56265B28">
      <w:pPr>
        <w:pStyle w:val="30"/>
      </w:pPr>
      <w:bookmarkStart w:id="204" w:name="_Toc11285"/>
      <w:r>
        <w:t>备查文件目录</w:t>
      </w:r>
      <w:bookmarkEnd w:id="204"/>
    </w:p>
    <w:p w14:paraId="56F5C3D1">
      <w:pPr>
        <w:pStyle w:val="25"/>
        <w:rPr>
          <w:rFonts w:hint="eastAsia"/>
        </w:rPr>
      </w:pPr>
      <w:r>
        <w:rPr>
          <w:rFonts w:hint="eastAsia"/>
        </w:rPr>
        <w:t>1、中国证监会批准设立南方恒庆一年定期开放债券型证券投资基金的文件；</w:t>
      </w:r>
    </w:p>
    <w:p w14:paraId="0591F466">
      <w:pPr>
        <w:pStyle w:val="25"/>
        <w:rPr>
          <w:rFonts w:hint="eastAsia"/>
        </w:rPr>
      </w:pPr>
      <w:r>
        <w:rPr>
          <w:rFonts w:hint="eastAsia"/>
        </w:rPr>
        <w:t>2、《南方恒庆一年定期开放债券型证券投资基金基金合同》；</w:t>
      </w:r>
    </w:p>
    <w:p w14:paraId="65447E1F">
      <w:pPr>
        <w:pStyle w:val="25"/>
        <w:rPr>
          <w:rFonts w:hint="eastAsia"/>
        </w:rPr>
      </w:pPr>
      <w:r>
        <w:rPr>
          <w:rFonts w:hint="eastAsia"/>
        </w:rPr>
        <w:t>3、《南方恒庆一年定期开放债券型证券投资基金托管协议》；</w:t>
      </w:r>
    </w:p>
    <w:p w14:paraId="5F537BD2">
      <w:pPr>
        <w:pStyle w:val="25"/>
        <w:rPr>
          <w:rFonts w:hint="eastAsia"/>
        </w:rPr>
      </w:pPr>
      <w:r>
        <w:rPr>
          <w:rFonts w:hint="eastAsia"/>
        </w:rPr>
        <w:t>4、基金管理人业务资格批件、营业执照；</w:t>
      </w:r>
    </w:p>
    <w:p w14:paraId="6176988A">
      <w:pPr>
        <w:pStyle w:val="25"/>
        <w:rPr>
          <w:rFonts w:hint="eastAsia"/>
        </w:rPr>
      </w:pPr>
      <w:r>
        <w:rPr>
          <w:rFonts w:hint="eastAsia"/>
        </w:rPr>
        <w:t>5、报告期内在选定报刊上披露的各项公告；</w:t>
      </w:r>
    </w:p>
    <w:p w14:paraId="23EED427">
      <w:pPr>
        <w:pStyle w:val="25"/>
        <w:rPr>
          <w:rFonts w:hint="eastAsia"/>
        </w:rPr>
      </w:pPr>
      <w:r>
        <w:rPr>
          <w:rFonts w:hint="eastAsia"/>
        </w:rPr>
        <w:t>6、《南方恒庆一年定期开放债券型证券投资基金2025年年度报告》原文。</w:t>
      </w:r>
    </w:p>
    <w:p w14:paraId="16FE973A">
      <w:pPr>
        <w:pStyle w:val="30"/>
      </w:pPr>
      <w:bookmarkStart w:id="205" w:name="_Toc27244"/>
      <w:r>
        <w:t>存放地点</w:t>
      </w:r>
      <w:bookmarkEnd w:id="205"/>
    </w:p>
    <w:p w14:paraId="076A8A2D">
      <w:pPr>
        <w:pStyle w:val="25"/>
        <w:rPr>
          <w:rFonts w:hint="eastAsia"/>
        </w:rPr>
      </w:pPr>
      <w:r>
        <w:rPr>
          <w:rFonts w:hint="eastAsia"/>
        </w:rPr>
        <w:t>深圳市福田区莲花街道益田路5999号基金大厦32-42楼。</w:t>
      </w:r>
    </w:p>
    <w:p w14:paraId="7923C4D6">
      <w:pPr>
        <w:pStyle w:val="30"/>
      </w:pPr>
      <w:bookmarkStart w:id="206" w:name="_Toc32584"/>
      <w:r>
        <w:t>查阅方式</w:t>
      </w:r>
      <w:bookmarkEnd w:id="206"/>
    </w:p>
    <w:p w14:paraId="4E18A5BB">
      <w:pPr>
        <w:pStyle w:val="25"/>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1A509">
    <w:pPr>
      <w:pStyle w:val="13"/>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833A0">
    <w:pPr>
      <w:pStyle w:val="14"/>
      <w:pBdr>
        <w:bottom w:val="single" w:color="auto" w:sz="4" w:space="1"/>
      </w:pBdr>
      <w:jc w:val="right"/>
    </w:pPr>
    <w:r>
      <w:t>南方恒庆一年定期开放债券型证券投资基金2025年年度报告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47BBD">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33"/>
      <w:suff w:val="space"/>
      <w:lvlText w:val="§%1"/>
      <w:lvlJc w:val="center"/>
      <w:pPr>
        <w:ind w:left="425" w:hanging="425"/>
      </w:pPr>
      <w:rPr>
        <w:rFonts w:hint="eastAsia"/>
      </w:rPr>
    </w:lvl>
    <w:lvl w:ilvl="1" w:tentative="0">
      <w:start w:val="1"/>
      <w:numFmt w:val="decimal"/>
      <w:pStyle w:val="30"/>
      <w:suff w:val="space"/>
      <w:lvlText w:val="%1.%2"/>
      <w:lvlJc w:val="left"/>
      <w:pPr>
        <w:ind w:left="992" w:hanging="992"/>
      </w:pPr>
      <w:rPr>
        <w:rFonts w:hint="eastAsia"/>
      </w:rPr>
    </w:lvl>
    <w:lvl w:ilvl="2" w:tentative="0">
      <w:start w:val="1"/>
      <w:numFmt w:val="decimal"/>
      <w:pStyle w:val="35"/>
      <w:suff w:val="space"/>
      <w:lvlText w:val="%1.%2.%3"/>
      <w:lvlJc w:val="left"/>
      <w:pPr>
        <w:ind w:left="1418" w:hanging="1418"/>
      </w:pPr>
      <w:rPr>
        <w:rFonts w:hint="eastAsia"/>
      </w:rPr>
    </w:lvl>
    <w:lvl w:ilvl="3" w:tentative="0">
      <w:start w:val="1"/>
      <w:numFmt w:val="decimal"/>
      <w:pStyle w:val="42"/>
      <w:suff w:val="space"/>
      <w:lvlText w:val="%1.%2.%3.%4"/>
      <w:lvlJc w:val="left"/>
      <w:pPr>
        <w:ind w:left="1984" w:hanging="1984"/>
      </w:pPr>
      <w:rPr>
        <w:rFonts w:hint="eastAsia"/>
      </w:rPr>
    </w:lvl>
    <w:lvl w:ilvl="4" w:tentative="0">
      <w:start w:val="1"/>
      <w:numFmt w:val="decimal"/>
      <w:pStyle w:val="43"/>
      <w:suff w:val="space"/>
      <w:lvlText w:val="%1.%2.%3.%4.%5"/>
      <w:lvlJc w:val="left"/>
      <w:pPr>
        <w:ind w:left="2551" w:hanging="2551"/>
      </w:pPr>
      <w:rPr>
        <w:rFonts w:hint="eastAsia"/>
      </w:rPr>
    </w:lvl>
    <w:lvl w:ilvl="5" w:tentative="0">
      <w:start w:val="1"/>
      <w:numFmt w:val="decimal"/>
      <w:pStyle w:val="44"/>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FC0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26"/>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3"/>
    <w:basedOn w:val="5"/>
    <w:next w:val="5"/>
    <w:link w:val="75"/>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E75B6" w:themeColor="accent1" w:themeShade="BF"/>
      <w:sz w:val="32"/>
      <w:szCs w:val="32"/>
      <w14:ligatures w14:val="standardContextual"/>
    </w:rPr>
  </w:style>
  <w:style w:type="paragraph" w:styleId="6">
    <w:name w:val="heading 4"/>
    <w:basedOn w:val="1"/>
    <w:next w:val="1"/>
    <w:link w:val="50"/>
    <w:semiHidden/>
    <w:unhideWhenUsed/>
    <w:qFormat/>
    <w:uiPriority w:val="0"/>
    <w:pPr>
      <w:keepNext/>
      <w:keepLines/>
      <w:spacing w:before="280" w:after="290" w:line="376" w:lineRule="auto"/>
      <w:outlineLvl w:val="3"/>
    </w:pPr>
    <w:rPr>
      <w:rFonts w:ascii="Calibri Light" w:hAnsi="Calibri Light"/>
      <w:b/>
      <w:bCs/>
      <w:sz w:val="28"/>
      <w:szCs w:val="28"/>
    </w:rPr>
  </w:style>
  <w:style w:type="paragraph" w:styleId="7">
    <w:name w:val="heading 5"/>
    <w:basedOn w:val="5"/>
    <w:next w:val="5"/>
    <w:link w:val="77"/>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E75B6" w:themeColor="accent1" w:themeShade="BF"/>
      <w:sz w:val="24"/>
      <w14:ligatures w14:val="standardContextual"/>
    </w:rPr>
  </w:style>
  <w:style w:type="paragraph" w:styleId="8">
    <w:name w:val="heading 6"/>
    <w:basedOn w:val="5"/>
    <w:next w:val="5"/>
    <w:link w:val="78"/>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E75B6" w:themeColor="accent1" w:themeShade="BF"/>
      <w:sz w:val="22"/>
      <w14:ligatures w14:val="standardContextual"/>
    </w:rPr>
  </w:style>
  <w:style w:type="paragraph" w:styleId="9">
    <w:name w:val="heading 7"/>
    <w:basedOn w:val="5"/>
    <w:next w:val="5"/>
    <w:link w:val="79"/>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8"/>
    <w:basedOn w:val="5"/>
    <w:next w:val="5"/>
    <w:link w:val="80"/>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1">
    <w:name w:val="heading 9"/>
    <w:basedOn w:val="5"/>
    <w:next w:val="5"/>
    <w:link w:val="81"/>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5">
    <w:name w:val="Normal01"/>
    <w:qFormat/>
    <w:uiPriority w:val="0"/>
    <w:pPr>
      <w:widowControl w:val="0"/>
      <w:spacing w:after="0" w:line="240" w:lineRule="auto"/>
      <w:jc w:val="both"/>
    </w:pPr>
    <w:rPr>
      <w:rFonts w:ascii="Times New Roman" w:hAnsi="Times New Roman" w:eastAsia="宋体" w:cs="Times New Roman"/>
      <w:sz w:val="21"/>
      <w:lang w:val="en-US" w:eastAsia="zh-CN" w:bidi="ar-SA"/>
      <w14:ligatures w14:val="none"/>
    </w:rPr>
  </w:style>
  <w:style w:type="paragraph" w:styleId="12">
    <w:name w:val="toc 3"/>
    <w:basedOn w:val="1"/>
    <w:next w:val="1"/>
    <w:link w:val="57"/>
    <w:autoRedefine/>
    <w:semiHidden/>
    <w:unhideWhenUsed/>
    <w:uiPriority w:val="0"/>
    <w:pPr>
      <w:ind w:left="840" w:leftChars="400"/>
    </w:pPr>
  </w:style>
  <w:style w:type="paragraph" w:styleId="13">
    <w:name w:val="footer"/>
    <w:basedOn w:val="1"/>
    <w:link w:val="39"/>
    <w:uiPriority w:val="99"/>
    <w:pPr>
      <w:tabs>
        <w:tab w:val="center" w:pos="4153"/>
        <w:tab w:val="right" w:pos="8306"/>
      </w:tabs>
      <w:snapToGrid w:val="0"/>
      <w:jc w:val="left"/>
    </w:pPr>
    <w:rPr>
      <w:sz w:val="18"/>
      <w:szCs w:val="18"/>
    </w:rPr>
  </w:style>
  <w:style w:type="paragraph" w:styleId="14">
    <w:name w:val="header"/>
    <w:basedOn w:val="1"/>
    <w:link w:val="38"/>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uiPriority w:val="39"/>
  </w:style>
  <w:style w:type="paragraph" w:styleId="16">
    <w:name w:val="Subtitle"/>
    <w:basedOn w:val="1"/>
    <w:next w:val="1"/>
    <w:link w:val="49"/>
    <w:qFormat/>
    <w:uiPriority w:val="0"/>
    <w:pPr>
      <w:spacing w:before="240" w:after="60" w:line="312" w:lineRule="auto"/>
      <w:jc w:val="center"/>
      <w:outlineLvl w:val="1"/>
    </w:pPr>
    <w:rPr>
      <w:rFonts w:ascii="Calibri Light" w:hAnsi="Calibri Light"/>
      <w:b/>
      <w:bCs/>
      <w:kern w:val="28"/>
      <w:sz w:val="32"/>
      <w:szCs w:val="32"/>
    </w:rPr>
  </w:style>
  <w:style w:type="paragraph" w:styleId="17">
    <w:name w:val="toc 2"/>
    <w:basedOn w:val="1"/>
    <w:next w:val="1"/>
    <w:autoRedefine/>
    <w:unhideWhenUsed/>
    <w:qFormat/>
    <w:uiPriority w:val="39"/>
    <w:pPr>
      <w:ind w:left="420" w:leftChars="200"/>
    </w:pPr>
  </w:style>
  <w:style w:type="paragraph" w:styleId="18">
    <w:name w:val="Normal (Web)"/>
    <w:basedOn w:val="1"/>
    <w:link w:val="27"/>
    <w:unhideWhenUsed/>
    <w:uiPriority w:val="99"/>
    <w:pPr>
      <w:widowControl/>
      <w:spacing w:before="100" w:beforeAutospacing="1" w:after="100" w:afterAutospacing="1"/>
      <w:jc w:val="left"/>
    </w:pPr>
    <w:rPr>
      <w:rFonts w:ascii="宋体" w:hAnsi="宋体"/>
      <w:kern w:val="0"/>
      <w:sz w:val="24"/>
      <w:lang w:val="zh-CN" w:eastAsia="zh-CN"/>
    </w:rPr>
  </w:style>
  <w:style w:type="paragraph" w:styleId="19">
    <w:name w:val="Title"/>
    <w:basedOn w:val="1"/>
    <w:next w:val="1"/>
    <w:link w:val="40"/>
    <w:qFormat/>
    <w:uiPriority w:val="0"/>
    <w:pPr>
      <w:spacing w:before="240" w:after="60"/>
      <w:jc w:val="center"/>
      <w:outlineLvl w:val="0"/>
    </w:pPr>
    <w:rPr>
      <w:rFonts w:ascii="Cambria" w:hAnsi="Cambria"/>
      <w:b/>
      <w:bCs/>
      <w:sz w:val="32"/>
      <w:szCs w:val="32"/>
    </w:rPr>
  </w:style>
  <w:style w:type="table" w:styleId="21">
    <w:name w:val="Table Grid"/>
    <w:basedOn w:val="2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Colorful 2"/>
    <w:basedOn w:val="20"/>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24">
    <w:name w:val="Hyperlink"/>
    <w:unhideWhenUsed/>
    <w:uiPriority w:val="99"/>
    <w:rPr>
      <w:color w:val="0000FF"/>
      <w:u w:val="single"/>
    </w:rPr>
  </w:style>
  <w:style w:type="paragraph" w:customStyle="1" w:styleId="25">
    <w:name w:val="模板-正文"/>
    <w:basedOn w:val="18"/>
    <w:link w:val="28"/>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26">
    <w:name w:val="标题 2 字符"/>
    <w:link w:val="3"/>
    <w:uiPriority w:val="9"/>
    <w:rPr>
      <w:rFonts w:ascii="宋体" w:hAnsi="宋体" w:cs="宋体"/>
      <w:b/>
      <w:bCs/>
      <w:sz w:val="18"/>
      <w:szCs w:val="18"/>
    </w:rPr>
  </w:style>
  <w:style w:type="character" w:customStyle="1" w:styleId="27">
    <w:name w:val="普通(网站) 字符"/>
    <w:link w:val="18"/>
    <w:uiPriority w:val="99"/>
    <w:rPr>
      <w:rFonts w:ascii="宋体" w:hAnsi="宋体" w:cs="宋体"/>
      <w:sz w:val="24"/>
      <w:szCs w:val="24"/>
    </w:rPr>
  </w:style>
  <w:style w:type="character" w:customStyle="1" w:styleId="28">
    <w:name w:val="模板-正文 Char"/>
    <w:link w:val="25"/>
    <w:uiPriority w:val="0"/>
    <w:rPr>
      <w:rFonts w:ascii="宋体" w:hAnsi="宋体"/>
      <w:color w:val="222222"/>
      <w:sz w:val="21"/>
      <w:szCs w:val="21"/>
      <w:lang w:val="zh-CN" w:eastAsia="zh-CN"/>
    </w:rPr>
  </w:style>
  <w:style w:type="character" w:customStyle="1" w:styleId="29">
    <w:name w:val="doc_order_no"/>
    <w:uiPriority w:val="0"/>
  </w:style>
  <w:style w:type="paragraph" w:customStyle="1" w:styleId="30">
    <w:name w:val="模板-标题 2"/>
    <w:basedOn w:val="3"/>
    <w:link w:val="31"/>
    <w:qFormat/>
    <w:uiPriority w:val="0"/>
    <w:pPr>
      <w:numPr>
        <w:ilvl w:val="1"/>
        <w:numId w:val="1"/>
      </w:numPr>
      <w:spacing w:beforeLines="100" w:beforeAutospacing="0"/>
      <w:ind w:left="0" w:firstLine="0"/>
      <w:jc w:val="both"/>
    </w:pPr>
    <w:rPr>
      <w:color w:val="222222"/>
      <w:sz w:val="24"/>
    </w:rPr>
  </w:style>
  <w:style w:type="character" w:customStyle="1" w:styleId="31">
    <w:name w:val="模板-标题 2 Char"/>
    <w:link w:val="30"/>
    <w:uiPriority w:val="0"/>
    <w:rPr>
      <w:rFonts w:ascii="宋体" w:hAnsi="宋体"/>
      <w:b/>
      <w:bCs/>
      <w:color w:val="222222"/>
      <w:sz w:val="24"/>
      <w:szCs w:val="18"/>
      <w:lang w:val="zh-CN" w:eastAsia="zh-CN"/>
    </w:rPr>
  </w:style>
  <w:style w:type="character" w:customStyle="1" w:styleId="32">
    <w:name w:val="标题 1 字符"/>
    <w:link w:val="2"/>
    <w:uiPriority w:val="9"/>
    <w:rPr>
      <w:b/>
      <w:bCs/>
      <w:kern w:val="44"/>
      <w:sz w:val="44"/>
      <w:szCs w:val="44"/>
    </w:rPr>
  </w:style>
  <w:style w:type="paragraph" w:customStyle="1" w:styleId="33">
    <w:name w:val="模板-标题 1"/>
    <w:basedOn w:val="2"/>
    <w:link w:val="34"/>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34">
    <w:name w:val="模板-标题 1 Char"/>
    <w:link w:val="33"/>
    <w:uiPriority w:val="0"/>
    <w:rPr>
      <w:rFonts w:ascii="宋体" w:hAnsi="宋体"/>
      <w:b/>
      <w:bCs/>
      <w:color w:val="222222"/>
      <w:kern w:val="36"/>
      <w:sz w:val="28"/>
      <w:szCs w:val="24"/>
      <w:lang w:val="zh-CN" w:eastAsia="zh-CN"/>
    </w:rPr>
  </w:style>
  <w:style w:type="paragraph" w:customStyle="1" w:styleId="35">
    <w:name w:val="模板-标题 3"/>
    <w:basedOn w:val="1"/>
    <w:link w:val="36"/>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36">
    <w:name w:val="模板-标题 3 Char"/>
    <w:link w:val="35"/>
    <w:uiPriority w:val="0"/>
    <w:rPr>
      <w:b/>
      <w:color w:val="222222"/>
      <w:kern w:val="2"/>
      <w:sz w:val="24"/>
      <w:szCs w:val="18"/>
      <w:lang w:val="zh-CN" w:eastAsia="zh-CN"/>
    </w:rPr>
  </w:style>
  <w:style w:type="table" w:customStyle="1" w:styleId="37">
    <w:name w:val="模板-表格"/>
    <w:basedOn w:val="20"/>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8">
    <w:name w:val="页眉 字符"/>
    <w:link w:val="14"/>
    <w:uiPriority w:val="0"/>
    <w:rPr>
      <w:kern w:val="2"/>
      <w:sz w:val="18"/>
      <w:szCs w:val="18"/>
    </w:rPr>
  </w:style>
  <w:style w:type="character" w:customStyle="1" w:styleId="39">
    <w:name w:val="页脚 字符"/>
    <w:link w:val="13"/>
    <w:uiPriority w:val="99"/>
    <w:rPr>
      <w:kern w:val="2"/>
      <w:sz w:val="18"/>
      <w:szCs w:val="18"/>
    </w:rPr>
  </w:style>
  <w:style w:type="character" w:customStyle="1" w:styleId="40">
    <w:name w:val="标题 字符"/>
    <w:link w:val="19"/>
    <w:uiPriority w:val="0"/>
    <w:rPr>
      <w:rFonts w:ascii="Cambria" w:hAnsi="Cambria" w:cs="Times New Roman"/>
      <w:b/>
      <w:bCs/>
      <w:kern w:val="2"/>
      <w:sz w:val="32"/>
      <w:szCs w:val="32"/>
    </w:rPr>
  </w:style>
  <w:style w:type="paragraph" w:customStyle="1" w:styleId="41">
    <w:name w:val="模板-标题"/>
    <w:basedOn w:val="19"/>
    <w:qFormat/>
    <w:uiPriority w:val="0"/>
    <w:pPr>
      <w:outlineLvl w:val="9"/>
    </w:pPr>
  </w:style>
  <w:style w:type="paragraph" w:customStyle="1" w:styleId="42">
    <w:name w:val="模板-标题 4"/>
    <w:basedOn w:val="1"/>
    <w:qFormat/>
    <w:uiPriority w:val="0"/>
    <w:pPr>
      <w:numPr>
        <w:ilvl w:val="3"/>
        <w:numId w:val="1"/>
      </w:numPr>
      <w:spacing w:before="50" w:beforeLines="50" w:after="50" w:afterLines="50"/>
      <w:ind w:left="0" w:firstLine="0"/>
    </w:pPr>
    <w:rPr>
      <w:b/>
      <w:sz w:val="24"/>
    </w:rPr>
  </w:style>
  <w:style w:type="paragraph" w:customStyle="1" w:styleId="43">
    <w:name w:val="模板-标题 5"/>
    <w:basedOn w:val="42"/>
    <w:qFormat/>
    <w:uiPriority w:val="0"/>
    <w:pPr>
      <w:numPr>
        <w:ilvl w:val="4"/>
      </w:numPr>
      <w:ind w:left="0" w:firstLine="0"/>
    </w:pPr>
  </w:style>
  <w:style w:type="paragraph" w:customStyle="1" w:styleId="44">
    <w:name w:val="模板-标题 6"/>
    <w:basedOn w:val="43"/>
    <w:qFormat/>
    <w:uiPriority w:val="0"/>
    <w:pPr>
      <w:numPr>
        <w:ilvl w:val="5"/>
      </w:numPr>
      <w:ind w:left="0" w:firstLine="0"/>
    </w:pPr>
  </w:style>
  <w:style w:type="table" w:customStyle="1" w:styleId="45">
    <w:name w:val="模板-表格_noheader"/>
    <w:basedOn w:val="20"/>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46">
    <w:name w:val="XBRLTitle1"/>
    <w:basedOn w:val="2"/>
    <w:next w:val="3"/>
    <w:qFormat/>
    <w:uiPriority w:val="0"/>
    <w:pPr>
      <w:spacing w:before="0" w:after="0" w:line="360" w:lineRule="auto"/>
      <w:ind w:left="425" w:hanging="425"/>
      <w:jc w:val="center"/>
    </w:pPr>
    <w:rPr>
      <w:sz w:val="28"/>
    </w:rPr>
  </w:style>
  <w:style w:type="paragraph" w:customStyle="1" w:styleId="47">
    <w:name w:val="XBRLTitle2"/>
    <w:basedOn w:val="16"/>
    <w:next w:val="6"/>
    <w:qFormat/>
    <w:uiPriority w:val="0"/>
    <w:pPr>
      <w:spacing w:before="0" w:after="0" w:line="360" w:lineRule="auto"/>
      <w:jc w:val="left"/>
    </w:pPr>
    <w:rPr>
      <w:sz w:val="24"/>
    </w:rPr>
  </w:style>
  <w:style w:type="paragraph" w:customStyle="1" w:styleId="48">
    <w:name w:val="XBRLTitle3"/>
    <w:basedOn w:val="16"/>
    <w:next w:val="6"/>
    <w:qFormat/>
    <w:uiPriority w:val="0"/>
    <w:pPr>
      <w:spacing w:before="0" w:after="0" w:line="360" w:lineRule="auto"/>
      <w:ind w:left="624" w:hanging="624"/>
      <w:jc w:val="left"/>
      <w:outlineLvl w:val="9"/>
    </w:pPr>
    <w:rPr>
      <w:sz w:val="24"/>
    </w:rPr>
  </w:style>
  <w:style w:type="character" w:customStyle="1" w:styleId="49">
    <w:name w:val="副标题 字符"/>
    <w:link w:val="16"/>
    <w:uiPriority w:val="0"/>
    <w:rPr>
      <w:rFonts w:ascii="Calibri Light" w:hAnsi="Calibri Light" w:cs="Times New Roman"/>
      <w:b/>
      <w:bCs/>
      <w:kern w:val="28"/>
      <w:sz w:val="32"/>
      <w:szCs w:val="32"/>
    </w:rPr>
  </w:style>
  <w:style w:type="character" w:customStyle="1" w:styleId="50">
    <w:name w:val="标题 4 字符"/>
    <w:link w:val="6"/>
    <w:semiHidden/>
    <w:uiPriority w:val="0"/>
    <w:rPr>
      <w:rFonts w:ascii="Calibri Light" w:hAnsi="Calibri Light" w:eastAsia="宋体" w:cs="Times New Roman"/>
      <w:b/>
      <w:bCs/>
      <w:kern w:val="2"/>
      <w:sz w:val="28"/>
      <w:szCs w:val="28"/>
    </w:rPr>
  </w:style>
  <w:style w:type="paragraph" w:customStyle="1" w:styleId="51">
    <w:name w:val="XBRLTitle4"/>
    <w:basedOn w:val="16"/>
    <w:next w:val="6"/>
    <w:qFormat/>
    <w:uiPriority w:val="0"/>
    <w:pPr>
      <w:spacing w:before="50" w:beforeLines="50" w:after="50" w:afterLines="50" w:line="240" w:lineRule="auto"/>
      <w:ind w:left="794" w:hanging="794"/>
      <w:jc w:val="left"/>
      <w:outlineLvl w:val="9"/>
    </w:pPr>
    <w:rPr>
      <w:sz w:val="24"/>
    </w:rPr>
  </w:style>
  <w:style w:type="paragraph" w:customStyle="1" w:styleId="52">
    <w:name w:val="XBRLTitle5"/>
    <w:basedOn w:val="16"/>
    <w:next w:val="6"/>
    <w:qFormat/>
    <w:uiPriority w:val="0"/>
    <w:pPr>
      <w:spacing w:before="50" w:beforeLines="50" w:after="50" w:afterLines="50" w:line="240" w:lineRule="auto"/>
      <w:ind w:left="1021" w:hanging="1021"/>
      <w:jc w:val="left"/>
      <w:outlineLvl w:val="9"/>
    </w:pPr>
  </w:style>
  <w:style w:type="paragraph" w:customStyle="1" w:styleId="53">
    <w:name w:val="XBRLTitle6"/>
    <w:basedOn w:val="16"/>
    <w:next w:val="6"/>
    <w:qFormat/>
    <w:uiPriority w:val="0"/>
    <w:pPr>
      <w:spacing w:before="50" w:beforeLines="50" w:after="50" w:afterLines="50" w:line="240" w:lineRule="auto"/>
      <w:ind w:left="1021" w:hanging="1021"/>
      <w:jc w:val="left"/>
      <w:outlineLvl w:val="9"/>
    </w:pPr>
    <w:rPr>
      <w:sz w:val="24"/>
    </w:rPr>
  </w:style>
  <w:style w:type="paragraph" w:customStyle="1" w:styleId="54">
    <w:name w:val="模板-正文无缩进"/>
    <w:basedOn w:val="25"/>
    <w:link w:val="55"/>
    <w:qFormat/>
    <w:uiPriority w:val="0"/>
    <w:pPr>
      <w:ind w:firstLine="0" w:firstLineChars="0"/>
    </w:pPr>
    <w:rPr>
      <w:bCs/>
      <w:szCs w:val="30"/>
    </w:rPr>
  </w:style>
  <w:style w:type="character" w:customStyle="1" w:styleId="55">
    <w:name w:val="模板-正文无缩进 Char"/>
    <w:link w:val="54"/>
    <w:uiPriority w:val="0"/>
    <w:rPr>
      <w:rFonts w:ascii="宋体" w:hAnsi="宋体"/>
      <w:bCs/>
      <w:color w:val="222222"/>
      <w:sz w:val="21"/>
      <w:szCs w:val="30"/>
      <w:lang w:val="zh-CN" w:eastAsia="zh-CN"/>
    </w:rPr>
  </w:style>
  <w:style w:type="paragraph" w:customStyle="1" w:styleId="56">
    <w:name w:val="模板-目录"/>
    <w:basedOn w:val="12"/>
    <w:link w:val="58"/>
    <w:autoRedefine/>
    <w:qFormat/>
    <w:uiPriority w:val="0"/>
    <w:pPr>
      <w:snapToGrid w:val="0"/>
      <w:jc w:val="right"/>
    </w:pPr>
  </w:style>
  <w:style w:type="character" w:customStyle="1" w:styleId="57">
    <w:name w:val="目录 3 字符"/>
    <w:basedOn w:val="23"/>
    <w:link w:val="12"/>
    <w:semiHidden/>
    <w:uiPriority w:val="0"/>
    <w:rPr>
      <w:kern w:val="2"/>
      <w:sz w:val="21"/>
      <w:szCs w:val="24"/>
    </w:rPr>
  </w:style>
  <w:style w:type="character" w:customStyle="1" w:styleId="58">
    <w:name w:val="模板-目录 Char"/>
    <w:basedOn w:val="57"/>
    <w:link w:val="56"/>
    <w:uiPriority w:val="0"/>
    <w:rPr>
      <w:kern w:val="2"/>
      <w:sz w:val="21"/>
      <w:szCs w:val="24"/>
    </w:rPr>
  </w:style>
  <w:style w:type="paragraph" w:customStyle="1" w:styleId="59">
    <w:name w:val="Normal0"/>
    <w:qFormat/>
    <w:uiPriority w:val="0"/>
    <w:pPr>
      <w:widowControl w:val="0"/>
      <w:jc w:val="both"/>
    </w:pPr>
    <w:rPr>
      <w:rFonts w:ascii="Times New Roman" w:hAnsi="Times New Roman" w:eastAsia="宋体" w:cs="Times New Roman"/>
      <w:lang w:val="en-US" w:eastAsia="zh-CN" w:bidi="ar-SA"/>
    </w:rPr>
  </w:style>
  <w:style w:type="character" w:customStyle="1" w:styleId="60">
    <w:name w:val="Default Paragraph Font0"/>
    <w:semiHidden/>
    <w:unhideWhenUsed/>
    <w:uiPriority w:val="1"/>
  </w:style>
  <w:style w:type="table" w:customStyle="1" w:styleId="61">
    <w:name w:val="Normal Table0"/>
    <w:semiHidden/>
    <w:unhideWhenUsed/>
    <w:uiPriority w:val="99"/>
    <w:tblPr>
      <w:tblCellMar>
        <w:top w:w="0" w:type="dxa"/>
        <w:left w:w="108" w:type="dxa"/>
        <w:bottom w:w="0" w:type="dxa"/>
        <w:right w:w="108" w:type="dxa"/>
      </w:tblCellMar>
    </w:tblPr>
  </w:style>
  <w:style w:type="paragraph" w:customStyle="1" w:styleId="62">
    <w:name w:val="Normal (Web)0"/>
    <w:basedOn w:val="59"/>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3">
    <w:name w:val="element-name"/>
    <w:basedOn w:val="60"/>
    <w:uiPriority w:val="0"/>
  </w:style>
  <w:style w:type="paragraph" w:customStyle="1" w:styleId="64">
    <w:name w:val="header0"/>
    <w:basedOn w:val="59"/>
    <w:link w:val="6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5">
    <w:name w:val="页眉 字符0"/>
    <w:basedOn w:val="60"/>
    <w:link w:val="64"/>
    <w:uiPriority w:val="99"/>
    <w:rPr>
      <w:sz w:val="18"/>
      <w:szCs w:val="18"/>
    </w:rPr>
  </w:style>
  <w:style w:type="paragraph" w:customStyle="1" w:styleId="66">
    <w:name w:val="footer0"/>
    <w:basedOn w:val="59"/>
    <w:link w:val="67"/>
    <w:unhideWhenUsed/>
    <w:uiPriority w:val="99"/>
    <w:pPr>
      <w:tabs>
        <w:tab w:val="center" w:pos="4153"/>
        <w:tab w:val="right" w:pos="8306"/>
      </w:tabs>
      <w:snapToGrid w:val="0"/>
      <w:jc w:val="left"/>
    </w:pPr>
    <w:rPr>
      <w:sz w:val="18"/>
      <w:szCs w:val="18"/>
    </w:rPr>
  </w:style>
  <w:style w:type="character" w:customStyle="1" w:styleId="67">
    <w:name w:val="页脚 字符0"/>
    <w:basedOn w:val="60"/>
    <w:link w:val="66"/>
    <w:uiPriority w:val="99"/>
    <w:rPr>
      <w:sz w:val="18"/>
      <w:szCs w:val="18"/>
    </w:rPr>
  </w:style>
  <w:style w:type="paragraph" w:customStyle="1" w:styleId="68">
    <w:name w:val="heading 10"/>
    <w:basedOn w:val="5"/>
    <w:next w:val="5"/>
    <w:link w:val="73"/>
    <w:qFormat/>
    <w:uiPriority w:val="9"/>
    <w:pPr>
      <w:keepNext/>
      <w:keepLines/>
      <w:spacing w:before="480" w:after="80" w:line="278" w:lineRule="auto"/>
      <w:jc w:val="left"/>
      <w:outlineLvl w:val="0"/>
    </w:pPr>
    <w:rPr>
      <w:rFonts w:asciiTheme="majorHAnsi" w:hAnsiTheme="majorHAnsi" w:eastAsiaTheme="majorEastAsia" w:cstheme="majorBidi"/>
      <w:color w:val="2E75B6" w:themeColor="accent1" w:themeShade="BF"/>
      <w:sz w:val="48"/>
      <w:szCs w:val="48"/>
      <w14:ligatures w14:val="standardContextual"/>
    </w:rPr>
  </w:style>
  <w:style w:type="paragraph" w:customStyle="1" w:styleId="69">
    <w:name w:val="heading 20"/>
    <w:basedOn w:val="5"/>
    <w:next w:val="5"/>
    <w:link w:val="74"/>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E75B6" w:themeColor="accent1" w:themeShade="BF"/>
      <w:sz w:val="40"/>
      <w:szCs w:val="40"/>
      <w14:ligatures w14:val="standardContextual"/>
    </w:rPr>
  </w:style>
  <w:style w:type="paragraph" w:customStyle="1" w:styleId="70">
    <w:name w:val="heading 40"/>
    <w:basedOn w:val="5"/>
    <w:next w:val="5"/>
    <w:link w:val="76"/>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E75B6" w:themeColor="accent1" w:themeShade="BF"/>
      <w:sz w:val="28"/>
      <w:szCs w:val="28"/>
      <w14:ligatures w14:val="standardContextual"/>
    </w:rPr>
  </w:style>
  <w:style w:type="character" w:customStyle="1" w:styleId="71">
    <w:name w:val="Default Paragraph Font01"/>
    <w:semiHidden/>
    <w:unhideWhenUsed/>
    <w:uiPriority w:val="1"/>
  </w:style>
  <w:style w:type="table" w:customStyle="1" w:styleId="72">
    <w:name w:val="Normal Table01"/>
    <w:semiHidden/>
    <w:unhideWhenUsed/>
    <w:uiPriority w:val="99"/>
    <w:tblPr>
      <w:tblCellMar>
        <w:top w:w="0" w:type="dxa"/>
        <w:left w:w="108" w:type="dxa"/>
        <w:bottom w:w="0" w:type="dxa"/>
        <w:right w:w="108" w:type="dxa"/>
      </w:tblCellMar>
    </w:tblPr>
  </w:style>
  <w:style w:type="character" w:customStyle="1" w:styleId="73">
    <w:name w:val="Heading 1 Char"/>
    <w:basedOn w:val="71"/>
    <w:link w:val="68"/>
    <w:uiPriority w:val="9"/>
    <w:rPr>
      <w:rFonts w:asciiTheme="majorHAnsi" w:hAnsiTheme="majorHAnsi" w:eastAsiaTheme="majorEastAsia" w:cstheme="majorBidi"/>
      <w:color w:val="2E75B6" w:themeColor="accent1" w:themeShade="BF"/>
      <w:sz w:val="48"/>
      <w:szCs w:val="48"/>
    </w:rPr>
  </w:style>
  <w:style w:type="character" w:customStyle="1" w:styleId="74">
    <w:name w:val="Heading 2 Char"/>
    <w:basedOn w:val="71"/>
    <w:link w:val="69"/>
    <w:semiHidden/>
    <w:uiPriority w:val="9"/>
    <w:rPr>
      <w:rFonts w:asciiTheme="majorHAnsi" w:hAnsiTheme="majorHAnsi" w:eastAsiaTheme="majorEastAsia" w:cstheme="majorBidi"/>
      <w:color w:val="2E75B6" w:themeColor="accent1" w:themeShade="BF"/>
      <w:sz w:val="40"/>
      <w:szCs w:val="40"/>
    </w:rPr>
  </w:style>
  <w:style w:type="character" w:customStyle="1" w:styleId="75">
    <w:name w:val="Heading 3 Char"/>
    <w:basedOn w:val="71"/>
    <w:link w:val="4"/>
    <w:semiHidden/>
    <w:uiPriority w:val="9"/>
    <w:rPr>
      <w:rFonts w:asciiTheme="majorHAnsi" w:hAnsiTheme="majorHAnsi" w:eastAsiaTheme="majorEastAsia" w:cstheme="majorBidi"/>
      <w:color w:val="2E75B6" w:themeColor="accent1" w:themeShade="BF"/>
      <w:sz w:val="32"/>
      <w:szCs w:val="32"/>
    </w:rPr>
  </w:style>
  <w:style w:type="character" w:customStyle="1" w:styleId="76">
    <w:name w:val="Heading 4 Char"/>
    <w:basedOn w:val="71"/>
    <w:link w:val="70"/>
    <w:semiHidden/>
    <w:uiPriority w:val="9"/>
    <w:rPr>
      <w:rFonts w:cstheme="majorBidi"/>
      <w:color w:val="2E75B6" w:themeColor="accent1" w:themeShade="BF"/>
      <w:sz w:val="28"/>
      <w:szCs w:val="28"/>
    </w:rPr>
  </w:style>
  <w:style w:type="character" w:customStyle="1" w:styleId="77">
    <w:name w:val="Heading 5 Char"/>
    <w:basedOn w:val="71"/>
    <w:link w:val="7"/>
    <w:semiHidden/>
    <w:uiPriority w:val="9"/>
    <w:rPr>
      <w:rFonts w:cstheme="majorBidi"/>
      <w:color w:val="2E75B6" w:themeColor="accent1" w:themeShade="BF"/>
      <w:sz w:val="24"/>
    </w:rPr>
  </w:style>
  <w:style w:type="character" w:customStyle="1" w:styleId="78">
    <w:name w:val="Heading 6 Char"/>
    <w:basedOn w:val="71"/>
    <w:link w:val="8"/>
    <w:semiHidden/>
    <w:uiPriority w:val="9"/>
    <w:rPr>
      <w:rFonts w:cstheme="majorBidi"/>
      <w:b/>
      <w:bCs/>
      <w:color w:val="2E75B6" w:themeColor="accent1" w:themeShade="BF"/>
    </w:rPr>
  </w:style>
  <w:style w:type="character" w:customStyle="1" w:styleId="79">
    <w:name w:val="Heading 7 Char"/>
    <w:basedOn w:val="71"/>
    <w:link w:val="9"/>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80">
    <w:name w:val="Heading 8 Char"/>
    <w:basedOn w:val="71"/>
    <w:link w:val="10"/>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81">
    <w:name w:val="Heading 9 Char"/>
    <w:basedOn w:val="71"/>
    <w:link w:val="11"/>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paragraph" w:customStyle="1" w:styleId="82">
    <w:name w:val="Title0"/>
    <w:basedOn w:val="5"/>
    <w:next w:val="5"/>
    <w:link w:val="83"/>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83">
    <w:name w:val="Title Char"/>
    <w:basedOn w:val="71"/>
    <w:link w:val="82"/>
    <w:uiPriority w:val="10"/>
    <w:rPr>
      <w:rFonts w:asciiTheme="majorHAnsi" w:hAnsiTheme="majorHAnsi" w:eastAsiaTheme="majorEastAsia" w:cstheme="majorBidi"/>
      <w:spacing w:val="-10"/>
      <w:kern w:val="28"/>
      <w:sz w:val="56"/>
      <w:szCs w:val="56"/>
    </w:rPr>
  </w:style>
  <w:style w:type="paragraph" w:customStyle="1" w:styleId="84">
    <w:name w:val="Subtitle0"/>
    <w:basedOn w:val="5"/>
    <w:next w:val="5"/>
    <w:link w:val="85"/>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character" w:customStyle="1" w:styleId="85">
    <w:name w:val="Subtitle Char"/>
    <w:basedOn w:val="71"/>
    <w:link w:val="8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86">
    <w:name w:val="Quote"/>
    <w:basedOn w:val="5"/>
    <w:next w:val="5"/>
    <w:link w:val="87"/>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87">
    <w:name w:val="Quote Char"/>
    <w:basedOn w:val="71"/>
    <w:link w:val="86"/>
    <w:uiPriority w:val="29"/>
    <w:rPr>
      <w:i/>
      <w:iCs/>
      <w:color w:val="404040" w:themeColor="text1" w:themeTint="BF"/>
      <w14:textFill>
        <w14:solidFill>
          <w14:schemeClr w14:val="tx1">
            <w14:lumMod w14:val="75000"/>
            <w14:lumOff w14:val="25000"/>
          </w14:schemeClr>
        </w14:solidFill>
      </w14:textFill>
    </w:rPr>
  </w:style>
  <w:style w:type="paragraph" w:styleId="88">
    <w:name w:val="List Paragraph"/>
    <w:basedOn w:val="5"/>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89">
    <w:name w:val="Intense Emphasis"/>
    <w:basedOn w:val="71"/>
    <w:qFormat/>
    <w:uiPriority w:val="21"/>
    <w:rPr>
      <w:i/>
      <w:iCs/>
      <w:color w:val="2E75B6" w:themeColor="accent1" w:themeShade="BF"/>
    </w:rPr>
  </w:style>
  <w:style w:type="paragraph" w:styleId="90">
    <w:name w:val="Intense Quote"/>
    <w:basedOn w:val="5"/>
    <w:next w:val="5"/>
    <w:link w:val="91"/>
    <w:qFormat/>
    <w:uiPriority w:val="30"/>
    <w:pPr>
      <w:pBdr>
        <w:top w:val="single" w:color="2E75B5" w:themeColor="accent1" w:themeShade="BF" w:sz="4" w:space="10"/>
        <w:bottom w:val="single" w:color="2E75B5" w:themeColor="accent1" w:themeShade="BF" w:sz="4" w:space="10"/>
      </w:pBdr>
      <w:spacing w:before="360" w:after="360" w:line="278" w:lineRule="auto"/>
      <w:ind w:left="864" w:right="864"/>
      <w:jc w:val="center"/>
    </w:pPr>
    <w:rPr>
      <w:rFonts w:asciiTheme="minorHAnsi" w:hAnsiTheme="minorHAnsi" w:eastAsiaTheme="minorEastAsia" w:cstheme="minorBidi"/>
      <w:i/>
      <w:iCs/>
      <w:color w:val="2E75B6" w:themeColor="accent1" w:themeShade="BF"/>
      <w:sz w:val="22"/>
      <w14:ligatures w14:val="standardContextual"/>
    </w:rPr>
  </w:style>
  <w:style w:type="character" w:customStyle="1" w:styleId="91">
    <w:name w:val="Intense Quote Char"/>
    <w:basedOn w:val="71"/>
    <w:link w:val="90"/>
    <w:uiPriority w:val="30"/>
    <w:rPr>
      <w:i/>
      <w:iCs/>
      <w:color w:val="2E75B6" w:themeColor="accent1" w:themeShade="BF"/>
    </w:rPr>
  </w:style>
  <w:style w:type="character" w:customStyle="1" w:styleId="92">
    <w:name w:val="Intense Reference"/>
    <w:basedOn w:val="71"/>
    <w:qFormat/>
    <w:uiPriority w:val="32"/>
    <w:rPr>
      <w:b/>
      <w:bCs/>
      <w:smallCaps/>
      <w:color w:val="2E75B6" w:themeColor="accent1" w:themeShade="BF"/>
      <w:spacing w:val="5"/>
    </w:rPr>
  </w:style>
  <w:style w:type="paragraph" w:customStyle="1" w:styleId="93">
    <w:name w:val="header01"/>
    <w:basedOn w:val="5"/>
    <w:link w:val="94"/>
    <w:unhideWhenUsed/>
    <w:uiPriority w:val="99"/>
    <w:pPr>
      <w:tabs>
        <w:tab w:val="center" w:pos="4320"/>
        <w:tab w:val="right" w:pos="8640"/>
      </w:tabs>
    </w:pPr>
  </w:style>
  <w:style w:type="character" w:customStyle="1" w:styleId="94">
    <w:name w:val="Header Char"/>
    <w:basedOn w:val="71"/>
    <w:link w:val="93"/>
    <w:uiPriority w:val="99"/>
    <w:rPr>
      <w:rFonts w:ascii="Times New Roman" w:hAnsi="Times New Roman" w:eastAsia="宋体" w:cs="Times New Roman"/>
      <w:sz w:val="21"/>
      <w14:ligatures w14:val="none"/>
    </w:rPr>
  </w:style>
  <w:style w:type="paragraph" w:customStyle="1" w:styleId="95">
    <w:name w:val="footer01"/>
    <w:basedOn w:val="5"/>
    <w:link w:val="96"/>
    <w:unhideWhenUsed/>
    <w:uiPriority w:val="99"/>
    <w:pPr>
      <w:tabs>
        <w:tab w:val="center" w:pos="4320"/>
        <w:tab w:val="right" w:pos="8640"/>
      </w:tabs>
    </w:pPr>
  </w:style>
  <w:style w:type="character" w:customStyle="1" w:styleId="96">
    <w:name w:val="Footer Char"/>
    <w:basedOn w:val="71"/>
    <w:link w:val="95"/>
    <w:uiPriority w:val="99"/>
    <w:rPr>
      <w:rFonts w:ascii="Times New Roman" w:hAnsi="Times New Roman" w:eastAsia="宋体" w:cs="Times New Roman"/>
      <w:sz w:val="21"/>
      <w14:ligatures w14:val="none"/>
    </w:rPr>
  </w:style>
  <w:style w:type="paragraph" w:customStyle="1" w:styleId="97">
    <w:name w:val="Normal01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customStyle="1" w:styleId="98">
    <w:name w:val="Default Paragraph Font012"/>
    <w:semiHidden/>
    <w:unhideWhenUsed/>
    <w:uiPriority w:val="1"/>
  </w:style>
  <w:style w:type="table" w:customStyle="1" w:styleId="99">
    <w:name w:val="Normal Table012"/>
    <w:semiHidden/>
    <w:unhideWhenUsed/>
    <w:uiPriority w:val="99"/>
    <w:tblPr>
      <w:tblCellMar>
        <w:top w:w="0" w:type="dxa"/>
        <w:left w:w="108" w:type="dxa"/>
        <w:bottom w:w="0" w:type="dxa"/>
        <w:right w:w="108" w:type="dxa"/>
      </w:tblCellMar>
    </w:tblPr>
  </w:style>
  <w:style w:type="paragraph" w:customStyle="1" w:styleId="100">
    <w:name w:val="Normal (Web)01"/>
    <w:basedOn w:val="97"/>
    <w:qFormat/>
    <w:uiPriority w:val="0"/>
    <w:pPr>
      <w:spacing w:beforeAutospacing="1" w:afterAutospacing="1"/>
      <w:jc w:val="left"/>
    </w:pPr>
    <w:rPr>
      <w:rFonts w:cs="Times New Roman"/>
      <w:kern w:val="0"/>
      <w:sz w:val="24"/>
    </w:rPr>
  </w:style>
  <w:style w:type="paragraph" w:customStyle="1" w:styleId="101">
    <w:name w:val="header012"/>
    <w:basedOn w:val="97"/>
    <w:link w:val="102"/>
    <w:uiPriority w:val="0"/>
    <w:pPr>
      <w:pBdr>
        <w:bottom w:val="single" w:color="auto" w:sz="6" w:space="1"/>
      </w:pBdr>
      <w:tabs>
        <w:tab w:val="center" w:pos="4153"/>
        <w:tab w:val="right" w:pos="8306"/>
      </w:tabs>
      <w:snapToGrid w:val="0"/>
      <w:jc w:val="center"/>
    </w:pPr>
    <w:rPr>
      <w:sz w:val="18"/>
      <w:szCs w:val="18"/>
    </w:rPr>
  </w:style>
  <w:style w:type="character" w:customStyle="1" w:styleId="102">
    <w:name w:val="页眉 字符01"/>
    <w:basedOn w:val="98"/>
    <w:link w:val="101"/>
    <w:uiPriority w:val="0"/>
    <w:rPr>
      <w:rFonts w:asciiTheme="minorHAnsi" w:hAnsiTheme="minorHAnsi" w:eastAsiaTheme="minorEastAsia" w:cstheme="minorBidi"/>
      <w:kern w:val="2"/>
      <w:sz w:val="18"/>
      <w:szCs w:val="18"/>
    </w:rPr>
  </w:style>
  <w:style w:type="paragraph" w:customStyle="1" w:styleId="103">
    <w:name w:val="footer012"/>
    <w:basedOn w:val="97"/>
    <w:link w:val="104"/>
    <w:qFormat/>
    <w:uiPriority w:val="0"/>
    <w:pPr>
      <w:tabs>
        <w:tab w:val="center" w:pos="4153"/>
        <w:tab w:val="right" w:pos="8306"/>
      </w:tabs>
      <w:snapToGrid w:val="0"/>
      <w:jc w:val="left"/>
    </w:pPr>
    <w:rPr>
      <w:sz w:val="18"/>
      <w:szCs w:val="18"/>
    </w:rPr>
  </w:style>
  <w:style w:type="character" w:customStyle="1" w:styleId="104">
    <w:name w:val="页脚 字符01"/>
    <w:basedOn w:val="98"/>
    <w:link w:val="103"/>
    <w:qFormat/>
    <w:uiPriority w:val="0"/>
    <w:rPr>
      <w:rFonts w:asciiTheme="minorHAnsi" w:hAnsiTheme="minorHAnsi" w:eastAsiaTheme="minorEastAsia" w:cstheme="minorBidi"/>
      <w:kern w:val="2"/>
      <w:sz w:val="18"/>
      <w:szCs w:val="18"/>
    </w:rPr>
  </w:style>
  <w:style w:type="paragraph" w:customStyle="1" w:styleId="105">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F82CC8EFBDCC45C3851BBFBEAA51BDC4_12</vt:lpwstr>
  </property>
</Properties>
</file>