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C61CB">
      <w:pPr>
        <w:pStyle w:val="18"/>
        <w:ind w:firstLine="420"/>
      </w:pPr>
      <w:bookmarkStart w:id="205" w:name="_GoBack"/>
      <w:bookmarkEnd w:id="205"/>
    </w:p>
    <w:p w14:paraId="122D16C0">
      <w:pPr>
        <w:jc w:val="center"/>
        <w:rPr>
          <w:rFonts w:ascii="宋体" w:hAnsi="宋体"/>
          <w:b/>
          <w:bCs/>
          <w:sz w:val="28"/>
          <w:szCs w:val="30"/>
        </w:rPr>
      </w:pPr>
    </w:p>
    <w:p w14:paraId="48FCE0AA">
      <w:pPr>
        <w:jc w:val="center"/>
        <w:rPr>
          <w:rFonts w:ascii="宋体" w:hAnsi="宋体"/>
          <w:b/>
          <w:bCs/>
          <w:sz w:val="48"/>
          <w:szCs w:val="30"/>
        </w:rPr>
      </w:pPr>
      <w:r>
        <w:rPr>
          <w:rFonts w:ascii="宋体" w:hAnsi="宋体"/>
          <w:b/>
          <w:bCs/>
          <w:sz w:val="48"/>
          <w:szCs w:val="30"/>
        </w:rPr>
        <w:t>南方宏元定期开放债券型发起式证券投资基金2025年年度报告</w:t>
      </w:r>
    </w:p>
    <w:p w14:paraId="37354F83">
      <w:pPr>
        <w:jc w:val="center"/>
        <w:rPr>
          <w:rFonts w:ascii="宋体" w:hAnsi="宋体"/>
          <w:b/>
          <w:bCs/>
          <w:sz w:val="48"/>
          <w:szCs w:val="30"/>
        </w:rPr>
      </w:pPr>
      <w:bookmarkStart w:id="0" w:name="OLE_LINK1"/>
      <w:bookmarkStart w:id="1" w:name="OLE_LINK2"/>
    </w:p>
    <w:p w14:paraId="7C791C0D">
      <w:pPr>
        <w:jc w:val="center"/>
        <w:rPr>
          <w:rFonts w:ascii="宋体" w:hAnsi="宋体"/>
          <w:b/>
          <w:bCs/>
          <w:sz w:val="28"/>
          <w:szCs w:val="30"/>
        </w:rPr>
      </w:pPr>
    </w:p>
    <w:bookmarkEnd w:id="0"/>
    <w:bookmarkEnd w:id="1"/>
    <w:p w14:paraId="1AB58D0E">
      <w:pPr>
        <w:jc w:val="center"/>
        <w:rPr>
          <w:rFonts w:ascii="宋体" w:hAnsi="宋体"/>
          <w:b/>
          <w:bCs/>
          <w:sz w:val="28"/>
          <w:szCs w:val="30"/>
        </w:rPr>
      </w:pPr>
      <w:r>
        <w:rPr>
          <w:rFonts w:ascii="宋体" w:hAnsi="宋体"/>
          <w:b/>
          <w:bCs/>
          <w:sz w:val="28"/>
          <w:szCs w:val="30"/>
        </w:rPr>
        <w:t>2025年12月31日</w:t>
      </w:r>
    </w:p>
    <w:p w14:paraId="4E2A90F2">
      <w:pPr>
        <w:jc w:val="center"/>
        <w:rPr>
          <w:rFonts w:ascii="宋体" w:hAnsi="宋体"/>
          <w:sz w:val="28"/>
          <w:szCs w:val="30"/>
        </w:rPr>
      </w:pPr>
    </w:p>
    <w:p w14:paraId="106D2AAC">
      <w:pPr>
        <w:jc w:val="center"/>
        <w:rPr>
          <w:rFonts w:ascii="宋体" w:hAnsi="宋体"/>
          <w:sz w:val="28"/>
          <w:szCs w:val="30"/>
        </w:rPr>
      </w:pPr>
    </w:p>
    <w:p w14:paraId="6578D681">
      <w:pPr>
        <w:jc w:val="center"/>
        <w:rPr>
          <w:rFonts w:ascii="宋体" w:hAnsi="宋体"/>
          <w:sz w:val="28"/>
          <w:szCs w:val="30"/>
        </w:rPr>
      </w:pPr>
    </w:p>
    <w:p w14:paraId="3DD77D49">
      <w:pPr>
        <w:jc w:val="center"/>
        <w:rPr>
          <w:rFonts w:ascii="宋体" w:hAnsi="宋体"/>
          <w:sz w:val="28"/>
          <w:szCs w:val="30"/>
        </w:rPr>
      </w:pPr>
    </w:p>
    <w:p w14:paraId="38054A0C">
      <w:pPr>
        <w:jc w:val="center"/>
        <w:rPr>
          <w:rFonts w:ascii="宋体" w:hAnsi="宋体"/>
          <w:sz w:val="28"/>
          <w:szCs w:val="30"/>
        </w:rPr>
      </w:pPr>
    </w:p>
    <w:p w14:paraId="675FD64C">
      <w:pPr>
        <w:jc w:val="center"/>
        <w:rPr>
          <w:rFonts w:ascii="宋体" w:hAnsi="宋体"/>
          <w:sz w:val="28"/>
          <w:szCs w:val="30"/>
        </w:rPr>
      </w:pPr>
    </w:p>
    <w:p w14:paraId="02304044">
      <w:pPr>
        <w:jc w:val="center"/>
        <w:rPr>
          <w:rFonts w:ascii="宋体" w:hAnsi="宋体"/>
          <w:sz w:val="28"/>
          <w:szCs w:val="30"/>
        </w:rPr>
      </w:pPr>
    </w:p>
    <w:p w14:paraId="68586BE5">
      <w:pPr>
        <w:jc w:val="center"/>
        <w:rPr>
          <w:rFonts w:ascii="宋体" w:hAnsi="宋体"/>
          <w:sz w:val="28"/>
          <w:szCs w:val="30"/>
        </w:rPr>
      </w:pPr>
    </w:p>
    <w:p w14:paraId="2051448E">
      <w:pPr>
        <w:jc w:val="center"/>
        <w:rPr>
          <w:rFonts w:ascii="宋体" w:hAnsi="宋体"/>
          <w:sz w:val="28"/>
          <w:szCs w:val="30"/>
        </w:rPr>
      </w:pPr>
    </w:p>
    <w:p w14:paraId="5D69AB04">
      <w:pPr>
        <w:jc w:val="center"/>
        <w:rPr>
          <w:rFonts w:ascii="宋体" w:hAnsi="宋体"/>
          <w:sz w:val="28"/>
          <w:szCs w:val="30"/>
        </w:rPr>
      </w:pPr>
    </w:p>
    <w:p w14:paraId="5132415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3C5E5E1">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325FAD5A">
      <w:pPr>
        <w:ind w:firstLine="1687" w:firstLineChars="600"/>
        <w:rPr>
          <w:rFonts w:ascii="宋体" w:hAnsi="宋体"/>
          <w:b/>
          <w:bCs/>
          <w:sz w:val="28"/>
          <w:szCs w:val="30"/>
        </w:rPr>
      </w:pPr>
      <w:r>
        <w:rPr>
          <w:rFonts w:hint="eastAsia" w:ascii="宋体" w:hAnsi="宋体"/>
          <w:b/>
          <w:bCs/>
          <w:sz w:val="28"/>
          <w:szCs w:val="30"/>
        </w:rPr>
        <w:t>送出日期：2026年3月31日</w:t>
      </w:r>
    </w:p>
    <w:p w14:paraId="0F8E3ABD">
      <w:pPr>
        <w:ind w:firstLine="1687" w:firstLineChars="600"/>
        <w:rPr>
          <w:rFonts w:ascii="宋体" w:hAnsi="宋体"/>
          <w:b/>
          <w:bCs/>
          <w:sz w:val="28"/>
          <w:szCs w:val="30"/>
        </w:rPr>
      </w:pPr>
    </w:p>
    <w:p w14:paraId="14901117">
      <w:pPr>
        <w:snapToGrid w:val="0"/>
        <w:spacing w:line="360" w:lineRule="auto"/>
        <w:jc w:val="left"/>
      </w:pPr>
      <w:r>
        <w:br w:type="page"/>
      </w:r>
    </w:p>
    <w:p w14:paraId="5FFFB52F"/>
    <w:p w14:paraId="45FD01ED">
      <w:pPr>
        <w:pStyle w:val="26"/>
      </w:pPr>
      <w:bookmarkStart w:id="2" w:name="_Toc9596"/>
      <w:r>
        <w:t>重要提示及目录</w:t>
      </w:r>
      <w:bookmarkEnd w:id="2"/>
    </w:p>
    <w:p w14:paraId="79A0FB01">
      <w:pPr>
        <w:pStyle w:val="23"/>
      </w:pPr>
      <w:bookmarkStart w:id="3" w:name="_Toc15202"/>
      <w:r>
        <w:t>重要提示</w:t>
      </w:r>
      <w:bookmarkEnd w:id="3"/>
    </w:p>
    <w:p w14:paraId="3DFAD8A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1D140F3">
      <w:pPr>
        <w:pStyle w:val="18"/>
        <w:rPr>
          <w:rFonts w:hint="eastAsia"/>
        </w:rPr>
      </w:pPr>
      <w:r>
        <w:rPr>
          <w:rFonts w:hint="eastAsia"/>
        </w:rPr>
        <w:t>本年度报告已经三分之二以上独立董事签字同意，并由董事长签发。</w:t>
      </w:r>
    </w:p>
    <w:p w14:paraId="7540FE9C">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58C09AD6">
      <w:pPr>
        <w:pStyle w:val="18"/>
        <w:rPr>
          <w:rFonts w:hint="eastAsia"/>
        </w:rPr>
      </w:pPr>
      <w:r>
        <w:rPr>
          <w:rFonts w:hint="eastAsia"/>
        </w:rPr>
        <w:t>基金管理人承诺以诚实信用、勤勉尽责的原则管理和运用基金资产，但不保证基金一定盈利。</w:t>
      </w:r>
    </w:p>
    <w:p w14:paraId="12F88FC8">
      <w:pPr>
        <w:pStyle w:val="18"/>
        <w:rPr>
          <w:rFonts w:hint="eastAsia"/>
        </w:rPr>
      </w:pPr>
      <w:r>
        <w:rPr>
          <w:rFonts w:hint="eastAsia"/>
        </w:rPr>
        <w:t>基金的过往业绩并不代表其未来表现。投资有风险，投资者在作出投资决策前应仔细阅读本基金的招募说明书及其更新。</w:t>
      </w:r>
    </w:p>
    <w:p w14:paraId="6072ADCD">
      <w:pPr>
        <w:pStyle w:val="18"/>
        <w:rPr>
          <w:rFonts w:hint="eastAsia"/>
        </w:rPr>
      </w:pPr>
      <w:r>
        <w:rPr>
          <w:rFonts w:hint="eastAsia"/>
        </w:rPr>
        <w:t>本报告期自2025年1月1日起至12月31日止。</w:t>
      </w:r>
    </w:p>
    <w:p w14:paraId="51A7AD00">
      <w:pPr>
        <w:pStyle w:val="23"/>
        <w:pageBreakBefore/>
      </w:pPr>
      <w:bookmarkStart w:id="4" w:name="_Toc13269"/>
      <w:r>
        <w:t>目录</w:t>
      </w:r>
      <w:bookmarkEnd w:id="4"/>
    </w:p>
    <w:sdt>
      <w:sdtPr>
        <w:rPr>
          <w:rFonts w:ascii="宋体" w:hAnsi="宋体" w:eastAsia="宋体"/>
          <w:color w:val="DBDBDB"/>
          <w:sz w:val="21"/>
          <w:szCs w:val="24"/>
          <w:lang w:val="en-US" w:eastAsia="zh-CN" w:bidi="ar-SA"/>
        </w:rPr>
        <w:id w:val="62801"/>
        <w:docPartObj>
          <w:docPartGallery w:val="Table of Contents"/>
          <w:docPartUnique/>
        </w:docPartObj>
      </w:sdtPr>
      <w:sdtEndPr>
        <w:rPr>
          <w:rFonts w:ascii="宋体" w:hAnsi="宋体" w:eastAsia="宋体"/>
          <w:b/>
          <w:color w:val="DBDBDB"/>
          <w:sz w:val="21"/>
          <w:szCs w:val="24"/>
          <w:lang w:val="en-US" w:eastAsia="zh-CN" w:bidi="ar-SA"/>
        </w:rPr>
      </w:sdtEndPr>
      <w:sdtContent>
        <w:p w14:paraId="188A6115">
          <w:pPr>
            <w:pStyle w:val="61"/>
            <w:spacing w:before="0" w:beforeLines="0" w:after="0" w:afterLines="0" w:line="240" w:lineRule="auto"/>
            <w:ind w:left="0" w:leftChars="0" w:right="0" w:rightChars="0" w:firstLine="0" w:firstLineChars="0"/>
            <w:jc w:val="center"/>
            <w:rPr>
              <w:b/>
            </w:rPr>
          </w:pPr>
          <w:r>
            <w:rPr>
              <w:b/>
              <w:lang w:val="zh-CN"/>
            </w:rPr>
            <w:t>目录</w:t>
          </w:r>
        </w:p>
        <w:p w14:paraId="0DC1E2C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_Toc9596 </w:instrText>
          </w:r>
          <w:r>
            <w:fldChar w:fldCharType="separate"/>
          </w:r>
          <w:r>
            <w:rPr>
              <w:rFonts w:hint="eastAsia"/>
            </w:rPr>
            <w:t xml:space="preserve">§1 </w:t>
          </w:r>
          <w:r>
            <w:t>重要提示及目录</w:t>
          </w:r>
          <w:r>
            <w:tab/>
          </w:r>
          <w:r>
            <w:fldChar w:fldCharType="begin"/>
          </w:r>
          <w:r>
            <w:instrText xml:space="preserve"> PAGEREF _Toc9596 \h </w:instrText>
          </w:r>
          <w:r>
            <w:fldChar w:fldCharType="separate"/>
          </w:r>
          <w:r>
            <w:t>1</w:t>
          </w:r>
          <w:r>
            <w:fldChar w:fldCharType="end"/>
          </w:r>
          <w:r>
            <w:fldChar w:fldCharType="end"/>
          </w:r>
        </w:p>
        <w:p w14:paraId="77E4E6FE">
          <w:pPr>
            <w:pStyle w:val="10"/>
            <w:tabs>
              <w:tab w:val="right" w:leader="dot" w:pos="8306"/>
            </w:tabs>
          </w:pPr>
          <w:r>
            <w:fldChar w:fldCharType="begin"/>
          </w:r>
          <w:r>
            <w:instrText xml:space="preserve"> HYPERLINK \l _Toc15202 </w:instrText>
          </w:r>
          <w:r>
            <w:fldChar w:fldCharType="separate"/>
          </w:r>
          <w:r>
            <w:rPr>
              <w:rFonts w:hint="eastAsia"/>
            </w:rPr>
            <w:t xml:space="preserve">1.1 </w:t>
          </w:r>
          <w:r>
            <w:t>重要提示</w:t>
          </w:r>
          <w:r>
            <w:tab/>
          </w:r>
          <w:r>
            <w:fldChar w:fldCharType="begin"/>
          </w:r>
          <w:r>
            <w:instrText xml:space="preserve"> PAGEREF _Toc15202 \h </w:instrText>
          </w:r>
          <w:r>
            <w:fldChar w:fldCharType="separate"/>
          </w:r>
          <w:r>
            <w:t>1</w:t>
          </w:r>
          <w:r>
            <w:fldChar w:fldCharType="end"/>
          </w:r>
          <w:r>
            <w:fldChar w:fldCharType="end"/>
          </w:r>
        </w:p>
        <w:p w14:paraId="2BFF2745">
          <w:pPr>
            <w:pStyle w:val="10"/>
            <w:tabs>
              <w:tab w:val="right" w:leader="dot" w:pos="8306"/>
            </w:tabs>
          </w:pPr>
          <w:r>
            <w:fldChar w:fldCharType="begin"/>
          </w:r>
          <w:r>
            <w:instrText xml:space="preserve"> HYPERLINK \l _Toc13269 </w:instrText>
          </w:r>
          <w:r>
            <w:fldChar w:fldCharType="separate"/>
          </w:r>
          <w:r>
            <w:rPr>
              <w:rFonts w:hint="eastAsia"/>
            </w:rPr>
            <w:t xml:space="preserve">1.2 </w:t>
          </w:r>
          <w:r>
            <w:t>目录</w:t>
          </w:r>
          <w:r>
            <w:tab/>
          </w:r>
          <w:r>
            <w:fldChar w:fldCharType="begin"/>
          </w:r>
          <w:r>
            <w:instrText xml:space="preserve"> PAGEREF _Toc13269 \h </w:instrText>
          </w:r>
          <w:r>
            <w:fldChar w:fldCharType="separate"/>
          </w:r>
          <w:r>
            <w:t>2</w:t>
          </w:r>
          <w:r>
            <w:fldChar w:fldCharType="end"/>
          </w:r>
          <w:r>
            <w:fldChar w:fldCharType="end"/>
          </w:r>
        </w:p>
        <w:p w14:paraId="00DD5C77">
          <w:pPr>
            <w:pStyle w:val="8"/>
            <w:tabs>
              <w:tab w:val="right" w:leader="dot" w:pos="8306"/>
            </w:tabs>
          </w:pPr>
          <w:r>
            <w:fldChar w:fldCharType="begin"/>
          </w:r>
          <w:r>
            <w:instrText xml:space="preserve"> HYPERLINK \l _Toc7292 </w:instrText>
          </w:r>
          <w:r>
            <w:fldChar w:fldCharType="separate"/>
          </w:r>
          <w:r>
            <w:rPr>
              <w:rFonts w:hint="eastAsia"/>
            </w:rPr>
            <w:t xml:space="preserve">§2 </w:t>
          </w:r>
          <w:r>
            <w:t>基金简介</w:t>
          </w:r>
          <w:r>
            <w:tab/>
          </w:r>
          <w:r>
            <w:fldChar w:fldCharType="begin"/>
          </w:r>
          <w:r>
            <w:instrText xml:space="preserve"> PAGEREF _Toc7292 \h </w:instrText>
          </w:r>
          <w:r>
            <w:fldChar w:fldCharType="separate"/>
          </w:r>
          <w:r>
            <w:t>4</w:t>
          </w:r>
          <w:r>
            <w:fldChar w:fldCharType="end"/>
          </w:r>
          <w:r>
            <w:fldChar w:fldCharType="end"/>
          </w:r>
        </w:p>
        <w:p w14:paraId="03FD2B5A">
          <w:pPr>
            <w:pStyle w:val="10"/>
            <w:tabs>
              <w:tab w:val="right" w:leader="dot" w:pos="8306"/>
            </w:tabs>
          </w:pPr>
          <w:r>
            <w:fldChar w:fldCharType="begin"/>
          </w:r>
          <w:r>
            <w:instrText xml:space="preserve"> HYPERLINK \l _Toc11062 </w:instrText>
          </w:r>
          <w:r>
            <w:fldChar w:fldCharType="separate"/>
          </w:r>
          <w:r>
            <w:rPr>
              <w:rFonts w:hint="eastAsia"/>
            </w:rPr>
            <w:t xml:space="preserve">2.1 </w:t>
          </w:r>
          <w:r>
            <w:t>基金基本情况</w:t>
          </w:r>
          <w:r>
            <w:tab/>
          </w:r>
          <w:r>
            <w:fldChar w:fldCharType="begin"/>
          </w:r>
          <w:r>
            <w:instrText xml:space="preserve"> PAGEREF _Toc11062 \h </w:instrText>
          </w:r>
          <w:r>
            <w:fldChar w:fldCharType="separate"/>
          </w:r>
          <w:r>
            <w:t>4</w:t>
          </w:r>
          <w:r>
            <w:fldChar w:fldCharType="end"/>
          </w:r>
          <w:r>
            <w:fldChar w:fldCharType="end"/>
          </w:r>
        </w:p>
        <w:p w14:paraId="1E03CFE6">
          <w:pPr>
            <w:pStyle w:val="10"/>
            <w:tabs>
              <w:tab w:val="right" w:leader="dot" w:pos="8306"/>
            </w:tabs>
          </w:pPr>
          <w:r>
            <w:fldChar w:fldCharType="begin"/>
          </w:r>
          <w:r>
            <w:instrText xml:space="preserve"> HYPERLINK \l _Toc10472 </w:instrText>
          </w:r>
          <w:r>
            <w:fldChar w:fldCharType="separate"/>
          </w:r>
          <w:r>
            <w:rPr>
              <w:rFonts w:hint="eastAsia"/>
            </w:rPr>
            <w:t xml:space="preserve">2.2 </w:t>
          </w:r>
          <w:r>
            <w:t>基金产品说明</w:t>
          </w:r>
          <w:r>
            <w:tab/>
          </w:r>
          <w:r>
            <w:fldChar w:fldCharType="begin"/>
          </w:r>
          <w:r>
            <w:instrText xml:space="preserve"> PAGEREF _Toc10472 \h </w:instrText>
          </w:r>
          <w:r>
            <w:fldChar w:fldCharType="separate"/>
          </w:r>
          <w:r>
            <w:t>4</w:t>
          </w:r>
          <w:r>
            <w:fldChar w:fldCharType="end"/>
          </w:r>
          <w:r>
            <w:fldChar w:fldCharType="end"/>
          </w:r>
        </w:p>
        <w:p w14:paraId="4EE3258D">
          <w:pPr>
            <w:pStyle w:val="10"/>
            <w:tabs>
              <w:tab w:val="right" w:leader="dot" w:pos="8306"/>
            </w:tabs>
          </w:pPr>
          <w:r>
            <w:fldChar w:fldCharType="begin"/>
          </w:r>
          <w:r>
            <w:instrText xml:space="preserve"> HYPERLINK \l _Toc26210 </w:instrText>
          </w:r>
          <w:r>
            <w:fldChar w:fldCharType="separate"/>
          </w:r>
          <w:r>
            <w:rPr>
              <w:rFonts w:hint="eastAsia"/>
            </w:rPr>
            <w:t xml:space="preserve">2.3 </w:t>
          </w:r>
          <w:r>
            <w:t>基金管理人和基金托管人</w:t>
          </w:r>
          <w:r>
            <w:tab/>
          </w:r>
          <w:r>
            <w:fldChar w:fldCharType="begin"/>
          </w:r>
          <w:r>
            <w:instrText xml:space="preserve"> PAGEREF _Toc26210 \h </w:instrText>
          </w:r>
          <w:r>
            <w:fldChar w:fldCharType="separate"/>
          </w:r>
          <w:r>
            <w:t>4</w:t>
          </w:r>
          <w:r>
            <w:fldChar w:fldCharType="end"/>
          </w:r>
          <w:r>
            <w:fldChar w:fldCharType="end"/>
          </w:r>
        </w:p>
        <w:p w14:paraId="000823B0">
          <w:pPr>
            <w:pStyle w:val="10"/>
            <w:tabs>
              <w:tab w:val="right" w:leader="dot" w:pos="8306"/>
            </w:tabs>
          </w:pPr>
          <w:r>
            <w:fldChar w:fldCharType="begin"/>
          </w:r>
          <w:r>
            <w:instrText xml:space="preserve"> HYPERLINK \l _Toc11695 </w:instrText>
          </w:r>
          <w:r>
            <w:fldChar w:fldCharType="separate"/>
          </w:r>
          <w:r>
            <w:rPr>
              <w:rFonts w:hint="eastAsia"/>
            </w:rPr>
            <w:t xml:space="preserve">2.4 </w:t>
          </w:r>
          <w:r>
            <w:t>信息披露方式</w:t>
          </w:r>
          <w:r>
            <w:tab/>
          </w:r>
          <w:r>
            <w:fldChar w:fldCharType="begin"/>
          </w:r>
          <w:r>
            <w:instrText xml:space="preserve"> PAGEREF _Toc11695 \h </w:instrText>
          </w:r>
          <w:r>
            <w:fldChar w:fldCharType="separate"/>
          </w:r>
          <w:r>
            <w:t>5</w:t>
          </w:r>
          <w:r>
            <w:fldChar w:fldCharType="end"/>
          </w:r>
          <w:r>
            <w:fldChar w:fldCharType="end"/>
          </w:r>
        </w:p>
        <w:p w14:paraId="49D61C51">
          <w:pPr>
            <w:pStyle w:val="10"/>
            <w:tabs>
              <w:tab w:val="right" w:leader="dot" w:pos="8306"/>
            </w:tabs>
          </w:pPr>
          <w:r>
            <w:fldChar w:fldCharType="begin"/>
          </w:r>
          <w:r>
            <w:instrText xml:space="preserve"> HYPERLINK \l _Toc11850 </w:instrText>
          </w:r>
          <w:r>
            <w:fldChar w:fldCharType="separate"/>
          </w:r>
          <w:r>
            <w:rPr>
              <w:rFonts w:hint="eastAsia"/>
            </w:rPr>
            <w:t xml:space="preserve">2.5 </w:t>
          </w:r>
          <w:r>
            <w:t>其他相关资料</w:t>
          </w:r>
          <w:r>
            <w:tab/>
          </w:r>
          <w:r>
            <w:fldChar w:fldCharType="begin"/>
          </w:r>
          <w:r>
            <w:instrText xml:space="preserve"> PAGEREF _Toc11850 \h </w:instrText>
          </w:r>
          <w:r>
            <w:fldChar w:fldCharType="separate"/>
          </w:r>
          <w:r>
            <w:t>5</w:t>
          </w:r>
          <w:r>
            <w:fldChar w:fldCharType="end"/>
          </w:r>
          <w:r>
            <w:fldChar w:fldCharType="end"/>
          </w:r>
        </w:p>
        <w:p w14:paraId="5CFCA584">
          <w:pPr>
            <w:pStyle w:val="8"/>
            <w:tabs>
              <w:tab w:val="right" w:leader="dot" w:pos="8306"/>
            </w:tabs>
          </w:pPr>
          <w:r>
            <w:fldChar w:fldCharType="begin"/>
          </w:r>
          <w:r>
            <w:instrText xml:space="preserve"> HYPERLINK \l _Toc26593 </w:instrText>
          </w:r>
          <w:r>
            <w:fldChar w:fldCharType="separate"/>
          </w:r>
          <w:r>
            <w:rPr>
              <w:rFonts w:hint="eastAsia"/>
            </w:rPr>
            <w:t xml:space="preserve">§3 </w:t>
          </w:r>
          <w:r>
            <w:t>主要财务指标、基金净值表现及利润分配情况</w:t>
          </w:r>
          <w:r>
            <w:tab/>
          </w:r>
          <w:r>
            <w:fldChar w:fldCharType="begin"/>
          </w:r>
          <w:r>
            <w:instrText xml:space="preserve"> PAGEREF _Toc26593 \h </w:instrText>
          </w:r>
          <w:r>
            <w:fldChar w:fldCharType="separate"/>
          </w:r>
          <w:r>
            <w:t>6</w:t>
          </w:r>
          <w:r>
            <w:fldChar w:fldCharType="end"/>
          </w:r>
          <w:r>
            <w:fldChar w:fldCharType="end"/>
          </w:r>
        </w:p>
        <w:p w14:paraId="7166A190">
          <w:pPr>
            <w:pStyle w:val="10"/>
            <w:tabs>
              <w:tab w:val="right" w:leader="dot" w:pos="8306"/>
            </w:tabs>
          </w:pPr>
          <w:r>
            <w:fldChar w:fldCharType="begin"/>
          </w:r>
          <w:r>
            <w:instrText xml:space="preserve"> HYPERLINK \l _Toc3095 </w:instrText>
          </w:r>
          <w:r>
            <w:fldChar w:fldCharType="separate"/>
          </w:r>
          <w:r>
            <w:rPr>
              <w:rFonts w:hint="eastAsia"/>
            </w:rPr>
            <w:t xml:space="preserve">3.1 </w:t>
          </w:r>
          <w:r>
            <w:t>主要会计数据和财务指标</w:t>
          </w:r>
          <w:r>
            <w:tab/>
          </w:r>
          <w:r>
            <w:fldChar w:fldCharType="begin"/>
          </w:r>
          <w:r>
            <w:instrText xml:space="preserve"> PAGEREF _Toc3095 \h </w:instrText>
          </w:r>
          <w:r>
            <w:fldChar w:fldCharType="separate"/>
          </w:r>
          <w:r>
            <w:t>6</w:t>
          </w:r>
          <w:r>
            <w:fldChar w:fldCharType="end"/>
          </w:r>
          <w:r>
            <w:fldChar w:fldCharType="end"/>
          </w:r>
        </w:p>
        <w:p w14:paraId="256C93BF">
          <w:pPr>
            <w:pStyle w:val="10"/>
            <w:tabs>
              <w:tab w:val="right" w:leader="dot" w:pos="8306"/>
            </w:tabs>
          </w:pPr>
          <w:r>
            <w:fldChar w:fldCharType="begin"/>
          </w:r>
          <w:r>
            <w:instrText xml:space="preserve"> HYPERLINK \l _Toc25332 </w:instrText>
          </w:r>
          <w:r>
            <w:fldChar w:fldCharType="separate"/>
          </w:r>
          <w:r>
            <w:rPr>
              <w:rFonts w:hint="eastAsia"/>
            </w:rPr>
            <w:t xml:space="preserve">3.2 </w:t>
          </w:r>
          <w:r>
            <w:t>基金净值表现</w:t>
          </w:r>
          <w:r>
            <w:tab/>
          </w:r>
          <w:r>
            <w:fldChar w:fldCharType="begin"/>
          </w:r>
          <w:r>
            <w:instrText xml:space="preserve"> PAGEREF _Toc25332 \h </w:instrText>
          </w:r>
          <w:r>
            <w:fldChar w:fldCharType="separate"/>
          </w:r>
          <w:r>
            <w:t>6</w:t>
          </w:r>
          <w:r>
            <w:fldChar w:fldCharType="end"/>
          </w:r>
          <w:r>
            <w:fldChar w:fldCharType="end"/>
          </w:r>
        </w:p>
        <w:p w14:paraId="58AC9175">
          <w:pPr>
            <w:pStyle w:val="10"/>
            <w:tabs>
              <w:tab w:val="right" w:leader="dot" w:pos="8306"/>
            </w:tabs>
          </w:pPr>
          <w:r>
            <w:fldChar w:fldCharType="begin"/>
          </w:r>
          <w:r>
            <w:instrText xml:space="preserve"> HYPERLINK \l _Toc12431 </w:instrText>
          </w:r>
          <w:r>
            <w:fldChar w:fldCharType="separate"/>
          </w:r>
          <w:r>
            <w:rPr>
              <w:rFonts w:hint="eastAsia"/>
            </w:rPr>
            <w:t xml:space="preserve">3.3 </w:t>
          </w:r>
          <w:r>
            <w:t>过去三年基金的利润分配情况</w:t>
          </w:r>
          <w:r>
            <w:tab/>
          </w:r>
          <w:r>
            <w:fldChar w:fldCharType="begin"/>
          </w:r>
          <w:r>
            <w:instrText xml:space="preserve"> PAGEREF _Toc12431 \h </w:instrText>
          </w:r>
          <w:r>
            <w:fldChar w:fldCharType="separate"/>
          </w:r>
          <w:r>
            <w:t>8</w:t>
          </w:r>
          <w:r>
            <w:fldChar w:fldCharType="end"/>
          </w:r>
          <w:r>
            <w:fldChar w:fldCharType="end"/>
          </w:r>
        </w:p>
        <w:p w14:paraId="44E8F788">
          <w:pPr>
            <w:pStyle w:val="8"/>
            <w:tabs>
              <w:tab w:val="right" w:leader="dot" w:pos="8306"/>
            </w:tabs>
          </w:pPr>
          <w:r>
            <w:fldChar w:fldCharType="begin"/>
          </w:r>
          <w:r>
            <w:instrText xml:space="preserve"> HYPERLINK \l _Toc15130 </w:instrText>
          </w:r>
          <w:r>
            <w:fldChar w:fldCharType="separate"/>
          </w:r>
          <w:r>
            <w:rPr>
              <w:rFonts w:hint="eastAsia"/>
            </w:rPr>
            <w:t xml:space="preserve">§4 </w:t>
          </w:r>
          <w:r>
            <w:t>管理人报告</w:t>
          </w:r>
          <w:r>
            <w:tab/>
          </w:r>
          <w:r>
            <w:fldChar w:fldCharType="begin"/>
          </w:r>
          <w:r>
            <w:instrText xml:space="preserve"> PAGEREF _Toc15130 \h </w:instrText>
          </w:r>
          <w:r>
            <w:fldChar w:fldCharType="separate"/>
          </w:r>
          <w:r>
            <w:t>8</w:t>
          </w:r>
          <w:r>
            <w:fldChar w:fldCharType="end"/>
          </w:r>
          <w:r>
            <w:fldChar w:fldCharType="end"/>
          </w:r>
        </w:p>
        <w:p w14:paraId="1C9F7E4A">
          <w:pPr>
            <w:pStyle w:val="10"/>
            <w:tabs>
              <w:tab w:val="right" w:leader="dot" w:pos="8306"/>
            </w:tabs>
          </w:pPr>
          <w:r>
            <w:fldChar w:fldCharType="begin"/>
          </w:r>
          <w:r>
            <w:instrText xml:space="preserve"> HYPERLINK \l _Toc17305 </w:instrText>
          </w:r>
          <w:r>
            <w:fldChar w:fldCharType="separate"/>
          </w:r>
          <w:r>
            <w:rPr>
              <w:rFonts w:hint="eastAsia"/>
            </w:rPr>
            <w:t xml:space="preserve">4.1 </w:t>
          </w:r>
          <w:r>
            <w:t>基金管理人及基金经理情况</w:t>
          </w:r>
          <w:r>
            <w:tab/>
          </w:r>
          <w:r>
            <w:fldChar w:fldCharType="begin"/>
          </w:r>
          <w:r>
            <w:instrText xml:space="preserve"> PAGEREF _Toc17305 \h </w:instrText>
          </w:r>
          <w:r>
            <w:fldChar w:fldCharType="separate"/>
          </w:r>
          <w:r>
            <w:t>8</w:t>
          </w:r>
          <w:r>
            <w:fldChar w:fldCharType="end"/>
          </w:r>
          <w:r>
            <w:fldChar w:fldCharType="end"/>
          </w:r>
        </w:p>
        <w:p w14:paraId="4317E67B">
          <w:pPr>
            <w:pStyle w:val="10"/>
            <w:tabs>
              <w:tab w:val="right" w:leader="dot" w:pos="8306"/>
            </w:tabs>
          </w:pPr>
          <w:r>
            <w:fldChar w:fldCharType="begin"/>
          </w:r>
          <w:r>
            <w:instrText xml:space="preserve"> HYPERLINK \l _Toc27437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_Toc27437 \h </w:instrText>
          </w:r>
          <w:r>
            <w:fldChar w:fldCharType="separate"/>
          </w:r>
          <w:r>
            <w:t>10</w:t>
          </w:r>
          <w:r>
            <w:fldChar w:fldCharType="end"/>
          </w:r>
          <w:r>
            <w:fldChar w:fldCharType="end"/>
          </w:r>
        </w:p>
        <w:p w14:paraId="63F80175">
          <w:pPr>
            <w:pStyle w:val="10"/>
            <w:tabs>
              <w:tab w:val="right" w:leader="dot" w:pos="8306"/>
            </w:tabs>
          </w:pPr>
          <w:r>
            <w:fldChar w:fldCharType="begin"/>
          </w:r>
          <w:r>
            <w:instrText xml:space="preserve"> HYPERLINK \l _Toc17644 </w:instrText>
          </w:r>
          <w:r>
            <w:fldChar w:fldCharType="separate"/>
          </w:r>
          <w:r>
            <w:rPr>
              <w:rFonts w:hint="eastAsia"/>
            </w:rPr>
            <w:t xml:space="preserve">4.3 </w:t>
          </w:r>
          <w:r>
            <w:t>管理人对报告期内公平交易情况的专项说明</w:t>
          </w:r>
          <w:r>
            <w:tab/>
          </w:r>
          <w:r>
            <w:fldChar w:fldCharType="begin"/>
          </w:r>
          <w:r>
            <w:instrText xml:space="preserve"> PAGEREF _Toc17644 \h </w:instrText>
          </w:r>
          <w:r>
            <w:fldChar w:fldCharType="separate"/>
          </w:r>
          <w:r>
            <w:t>10</w:t>
          </w:r>
          <w:r>
            <w:fldChar w:fldCharType="end"/>
          </w:r>
          <w:r>
            <w:fldChar w:fldCharType="end"/>
          </w:r>
        </w:p>
        <w:p w14:paraId="71FF50F9">
          <w:pPr>
            <w:pStyle w:val="10"/>
            <w:tabs>
              <w:tab w:val="right" w:leader="dot" w:pos="8306"/>
            </w:tabs>
          </w:pPr>
          <w:r>
            <w:fldChar w:fldCharType="begin"/>
          </w:r>
          <w:r>
            <w:instrText xml:space="preserve"> HYPERLINK \l _Toc19242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_Toc19242 \h </w:instrText>
          </w:r>
          <w:r>
            <w:fldChar w:fldCharType="separate"/>
          </w:r>
          <w:r>
            <w:t>11</w:t>
          </w:r>
          <w:r>
            <w:fldChar w:fldCharType="end"/>
          </w:r>
          <w:r>
            <w:fldChar w:fldCharType="end"/>
          </w:r>
        </w:p>
        <w:p w14:paraId="55E712C6">
          <w:pPr>
            <w:pStyle w:val="10"/>
            <w:tabs>
              <w:tab w:val="right" w:leader="dot" w:pos="8306"/>
            </w:tabs>
          </w:pPr>
          <w:r>
            <w:fldChar w:fldCharType="begin"/>
          </w:r>
          <w:r>
            <w:instrText xml:space="preserve"> HYPERLINK \l _Toc12079 </w:instrText>
          </w:r>
          <w:r>
            <w:fldChar w:fldCharType="separate"/>
          </w:r>
          <w:r>
            <w:rPr>
              <w:rFonts w:hint="eastAsia"/>
            </w:rPr>
            <w:t xml:space="preserve">4.5 </w:t>
          </w:r>
          <w:r>
            <w:t>管理人对宏观经济、证券市场及行业走势的简要展望</w:t>
          </w:r>
          <w:r>
            <w:tab/>
          </w:r>
          <w:r>
            <w:fldChar w:fldCharType="begin"/>
          </w:r>
          <w:r>
            <w:instrText xml:space="preserve"> PAGEREF _Toc12079 \h </w:instrText>
          </w:r>
          <w:r>
            <w:fldChar w:fldCharType="separate"/>
          </w:r>
          <w:r>
            <w:t>11</w:t>
          </w:r>
          <w:r>
            <w:fldChar w:fldCharType="end"/>
          </w:r>
          <w:r>
            <w:fldChar w:fldCharType="end"/>
          </w:r>
        </w:p>
        <w:p w14:paraId="5036F026">
          <w:pPr>
            <w:pStyle w:val="10"/>
            <w:tabs>
              <w:tab w:val="right" w:leader="dot" w:pos="8306"/>
            </w:tabs>
          </w:pPr>
          <w:r>
            <w:fldChar w:fldCharType="begin"/>
          </w:r>
          <w:r>
            <w:instrText xml:space="preserve"> HYPERLINK \l _Toc19280 </w:instrText>
          </w:r>
          <w:r>
            <w:fldChar w:fldCharType="separate"/>
          </w:r>
          <w:r>
            <w:rPr>
              <w:rFonts w:hint="eastAsia"/>
            </w:rPr>
            <w:t xml:space="preserve">4.6 </w:t>
          </w:r>
          <w:r>
            <w:t>管理人内部有关本基金的监察稽核工作情况</w:t>
          </w:r>
          <w:r>
            <w:tab/>
          </w:r>
          <w:r>
            <w:fldChar w:fldCharType="begin"/>
          </w:r>
          <w:r>
            <w:instrText xml:space="preserve"> PAGEREF _Toc19280 \h </w:instrText>
          </w:r>
          <w:r>
            <w:fldChar w:fldCharType="separate"/>
          </w:r>
          <w:r>
            <w:t>11</w:t>
          </w:r>
          <w:r>
            <w:fldChar w:fldCharType="end"/>
          </w:r>
          <w:r>
            <w:fldChar w:fldCharType="end"/>
          </w:r>
        </w:p>
        <w:p w14:paraId="3CF33A02">
          <w:pPr>
            <w:pStyle w:val="10"/>
            <w:tabs>
              <w:tab w:val="right" w:leader="dot" w:pos="8306"/>
            </w:tabs>
          </w:pPr>
          <w:r>
            <w:fldChar w:fldCharType="begin"/>
          </w:r>
          <w:r>
            <w:instrText xml:space="preserve"> HYPERLINK \l _Toc22799 </w:instrText>
          </w:r>
          <w:r>
            <w:fldChar w:fldCharType="separate"/>
          </w:r>
          <w:r>
            <w:rPr>
              <w:rFonts w:hint="eastAsia"/>
            </w:rPr>
            <w:t xml:space="preserve">4.7 </w:t>
          </w:r>
          <w:r>
            <w:t>管理人对报告期内基金估值程序等事项的说明</w:t>
          </w:r>
          <w:r>
            <w:tab/>
          </w:r>
          <w:r>
            <w:fldChar w:fldCharType="begin"/>
          </w:r>
          <w:r>
            <w:instrText xml:space="preserve"> PAGEREF _Toc22799 \h </w:instrText>
          </w:r>
          <w:r>
            <w:fldChar w:fldCharType="separate"/>
          </w:r>
          <w:r>
            <w:t>13</w:t>
          </w:r>
          <w:r>
            <w:fldChar w:fldCharType="end"/>
          </w:r>
          <w:r>
            <w:fldChar w:fldCharType="end"/>
          </w:r>
        </w:p>
        <w:p w14:paraId="12B5F841">
          <w:pPr>
            <w:pStyle w:val="10"/>
            <w:tabs>
              <w:tab w:val="right" w:leader="dot" w:pos="8306"/>
            </w:tabs>
          </w:pPr>
          <w:r>
            <w:fldChar w:fldCharType="begin"/>
          </w:r>
          <w:r>
            <w:instrText xml:space="preserve"> HYPERLINK \l _Toc6488 </w:instrText>
          </w:r>
          <w:r>
            <w:fldChar w:fldCharType="separate"/>
          </w:r>
          <w:r>
            <w:rPr>
              <w:rFonts w:hint="eastAsia"/>
            </w:rPr>
            <w:t xml:space="preserve">4.8 </w:t>
          </w:r>
          <w:r>
            <w:t>管理人对报告期内基金利润分配情况的说明</w:t>
          </w:r>
          <w:r>
            <w:tab/>
          </w:r>
          <w:r>
            <w:fldChar w:fldCharType="begin"/>
          </w:r>
          <w:r>
            <w:instrText xml:space="preserve"> PAGEREF _Toc6488 \h </w:instrText>
          </w:r>
          <w:r>
            <w:fldChar w:fldCharType="separate"/>
          </w:r>
          <w:r>
            <w:t>13</w:t>
          </w:r>
          <w:r>
            <w:fldChar w:fldCharType="end"/>
          </w:r>
          <w:r>
            <w:fldChar w:fldCharType="end"/>
          </w:r>
        </w:p>
        <w:p w14:paraId="461A3609">
          <w:pPr>
            <w:pStyle w:val="10"/>
            <w:tabs>
              <w:tab w:val="right" w:leader="dot" w:pos="8306"/>
            </w:tabs>
          </w:pPr>
          <w:r>
            <w:fldChar w:fldCharType="begin"/>
          </w:r>
          <w:r>
            <w:instrText xml:space="preserve"> HYPERLINK \l _Toc11291 </w:instrText>
          </w:r>
          <w:r>
            <w:fldChar w:fldCharType="separate"/>
          </w:r>
          <w:r>
            <w:rPr>
              <w:rFonts w:hint="eastAsia"/>
            </w:rPr>
            <w:t xml:space="preserve">4.9 </w:t>
          </w:r>
          <w:r>
            <w:t>报告期内基金持有人数或基金资产净值预警说明</w:t>
          </w:r>
          <w:r>
            <w:tab/>
          </w:r>
          <w:r>
            <w:fldChar w:fldCharType="begin"/>
          </w:r>
          <w:r>
            <w:instrText xml:space="preserve"> PAGEREF _Toc11291 \h </w:instrText>
          </w:r>
          <w:r>
            <w:fldChar w:fldCharType="separate"/>
          </w:r>
          <w:r>
            <w:t>13</w:t>
          </w:r>
          <w:r>
            <w:fldChar w:fldCharType="end"/>
          </w:r>
          <w:r>
            <w:fldChar w:fldCharType="end"/>
          </w:r>
        </w:p>
        <w:p w14:paraId="1C55CC77">
          <w:pPr>
            <w:pStyle w:val="8"/>
            <w:tabs>
              <w:tab w:val="right" w:leader="dot" w:pos="8306"/>
            </w:tabs>
          </w:pPr>
          <w:r>
            <w:fldChar w:fldCharType="begin"/>
          </w:r>
          <w:r>
            <w:instrText xml:space="preserve"> HYPERLINK \l _Toc2155 </w:instrText>
          </w:r>
          <w:r>
            <w:fldChar w:fldCharType="separate"/>
          </w:r>
          <w:r>
            <w:rPr>
              <w:rFonts w:hint="eastAsia"/>
            </w:rPr>
            <w:t xml:space="preserve">§5 </w:t>
          </w:r>
          <w:r>
            <w:t>托管人报告</w:t>
          </w:r>
          <w:r>
            <w:tab/>
          </w:r>
          <w:r>
            <w:fldChar w:fldCharType="begin"/>
          </w:r>
          <w:r>
            <w:instrText xml:space="preserve"> PAGEREF _Toc2155 \h </w:instrText>
          </w:r>
          <w:r>
            <w:fldChar w:fldCharType="separate"/>
          </w:r>
          <w:r>
            <w:t>13</w:t>
          </w:r>
          <w:r>
            <w:fldChar w:fldCharType="end"/>
          </w:r>
          <w:r>
            <w:fldChar w:fldCharType="end"/>
          </w:r>
        </w:p>
        <w:p w14:paraId="4ED1B7FD">
          <w:pPr>
            <w:pStyle w:val="10"/>
            <w:tabs>
              <w:tab w:val="right" w:leader="dot" w:pos="8306"/>
            </w:tabs>
          </w:pPr>
          <w:r>
            <w:fldChar w:fldCharType="begin"/>
          </w:r>
          <w:r>
            <w:instrText xml:space="preserve"> HYPERLINK \l _Toc18274 </w:instrText>
          </w:r>
          <w:r>
            <w:fldChar w:fldCharType="separate"/>
          </w:r>
          <w:r>
            <w:rPr>
              <w:rFonts w:hint="eastAsia"/>
            </w:rPr>
            <w:t xml:space="preserve">5.1 </w:t>
          </w:r>
          <w:r>
            <w:t>报告期内本基金托管人遵规守信情况声明</w:t>
          </w:r>
          <w:r>
            <w:tab/>
          </w:r>
          <w:r>
            <w:fldChar w:fldCharType="begin"/>
          </w:r>
          <w:r>
            <w:instrText xml:space="preserve"> PAGEREF _Toc18274 \h </w:instrText>
          </w:r>
          <w:r>
            <w:fldChar w:fldCharType="separate"/>
          </w:r>
          <w:r>
            <w:t>13</w:t>
          </w:r>
          <w:r>
            <w:fldChar w:fldCharType="end"/>
          </w:r>
          <w:r>
            <w:fldChar w:fldCharType="end"/>
          </w:r>
        </w:p>
        <w:p w14:paraId="0C9E4F04">
          <w:pPr>
            <w:pStyle w:val="10"/>
            <w:tabs>
              <w:tab w:val="right" w:leader="dot" w:pos="8306"/>
            </w:tabs>
          </w:pPr>
          <w:r>
            <w:fldChar w:fldCharType="begin"/>
          </w:r>
          <w:r>
            <w:instrText xml:space="preserve"> HYPERLINK \l _Toc6585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_Toc6585 \h </w:instrText>
          </w:r>
          <w:r>
            <w:fldChar w:fldCharType="separate"/>
          </w:r>
          <w:r>
            <w:t>14</w:t>
          </w:r>
          <w:r>
            <w:fldChar w:fldCharType="end"/>
          </w:r>
          <w:r>
            <w:fldChar w:fldCharType="end"/>
          </w:r>
        </w:p>
        <w:p w14:paraId="45BCB5D9">
          <w:pPr>
            <w:pStyle w:val="10"/>
            <w:tabs>
              <w:tab w:val="right" w:leader="dot" w:pos="8306"/>
            </w:tabs>
          </w:pPr>
          <w:r>
            <w:fldChar w:fldCharType="begin"/>
          </w:r>
          <w:r>
            <w:instrText xml:space="preserve"> HYPERLINK \l _Toc5163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_Toc5163 \h </w:instrText>
          </w:r>
          <w:r>
            <w:fldChar w:fldCharType="separate"/>
          </w:r>
          <w:r>
            <w:t>14</w:t>
          </w:r>
          <w:r>
            <w:fldChar w:fldCharType="end"/>
          </w:r>
          <w:r>
            <w:fldChar w:fldCharType="end"/>
          </w:r>
        </w:p>
        <w:p w14:paraId="7B2336D0">
          <w:pPr>
            <w:pStyle w:val="8"/>
            <w:tabs>
              <w:tab w:val="right" w:leader="dot" w:pos="8306"/>
            </w:tabs>
          </w:pPr>
          <w:r>
            <w:fldChar w:fldCharType="begin"/>
          </w:r>
          <w:r>
            <w:instrText xml:space="preserve"> HYPERLINK \l _Toc13029 </w:instrText>
          </w:r>
          <w:r>
            <w:fldChar w:fldCharType="separate"/>
          </w:r>
          <w:r>
            <w:rPr>
              <w:rFonts w:hint="eastAsia"/>
            </w:rPr>
            <w:t xml:space="preserve">§6 </w:t>
          </w:r>
          <w:r>
            <w:t>审计报告</w:t>
          </w:r>
          <w:r>
            <w:tab/>
          </w:r>
          <w:r>
            <w:fldChar w:fldCharType="begin"/>
          </w:r>
          <w:r>
            <w:instrText xml:space="preserve"> PAGEREF _Toc13029 \h </w:instrText>
          </w:r>
          <w:r>
            <w:fldChar w:fldCharType="separate"/>
          </w:r>
          <w:r>
            <w:t>14</w:t>
          </w:r>
          <w:r>
            <w:fldChar w:fldCharType="end"/>
          </w:r>
          <w:r>
            <w:fldChar w:fldCharType="end"/>
          </w:r>
        </w:p>
        <w:p w14:paraId="12A111C9">
          <w:pPr>
            <w:pStyle w:val="10"/>
            <w:tabs>
              <w:tab w:val="right" w:leader="dot" w:pos="8306"/>
            </w:tabs>
          </w:pPr>
          <w:r>
            <w:fldChar w:fldCharType="begin"/>
          </w:r>
          <w:r>
            <w:instrText xml:space="preserve"> HYPERLINK \l _Toc17723 </w:instrText>
          </w:r>
          <w:r>
            <w:fldChar w:fldCharType="separate"/>
          </w:r>
          <w:r>
            <w:rPr>
              <w:rFonts w:hint="eastAsia"/>
            </w:rPr>
            <w:t xml:space="preserve">6.1 </w:t>
          </w:r>
          <w:r>
            <w:t>审计报告基本信息</w:t>
          </w:r>
          <w:r>
            <w:tab/>
          </w:r>
          <w:r>
            <w:fldChar w:fldCharType="begin"/>
          </w:r>
          <w:r>
            <w:instrText xml:space="preserve"> PAGEREF _Toc17723 \h </w:instrText>
          </w:r>
          <w:r>
            <w:fldChar w:fldCharType="separate"/>
          </w:r>
          <w:r>
            <w:t>14</w:t>
          </w:r>
          <w:r>
            <w:fldChar w:fldCharType="end"/>
          </w:r>
          <w:r>
            <w:fldChar w:fldCharType="end"/>
          </w:r>
        </w:p>
        <w:p w14:paraId="7E448904">
          <w:pPr>
            <w:pStyle w:val="10"/>
            <w:tabs>
              <w:tab w:val="right" w:leader="dot" w:pos="8306"/>
            </w:tabs>
          </w:pPr>
          <w:r>
            <w:fldChar w:fldCharType="begin"/>
          </w:r>
          <w:r>
            <w:instrText xml:space="preserve"> HYPERLINK \l _Toc14489 </w:instrText>
          </w:r>
          <w:r>
            <w:fldChar w:fldCharType="separate"/>
          </w:r>
          <w:r>
            <w:rPr>
              <w:rFonts w:hint="eastAsia"/>
            </w:rPr>
            <w:t xml:space="preserve">6.2 </w:t>
          </w:r>
          <w:r>
            <w:t>审计报告的基本内容</w:t>
          </w:r>
          <w:r>
            <w:tab/>
          </w:r>
          <w:r>
            <w:fldChar w:fldCharType="begin"/>
          </w:r>
          <w:r>
            <w:instrText xml:space="preserve"> PAGEREF _Toc14489 \h </w:instrText>
          </w:r>
          <w:r>
            <w:fldChar w:fldCharType="separate"/>
          </w:r>
          <w:r>
            <w:t>14</w:t>
          </w:r>
          <w:r>
            <w:fldChar w:fldCharType="end"/>
          </w:r>
          <w:r>
            <w:fldChar w:fldCharType="end"/>
          </w:r>
        </w:p>
        <w:p w14:paraId="20B1B5B6">
          <w:pPr>
            <w:pStyle w:val="8"/>
            <w:tabs>
              <w:tab w:val="right" w:leader="dot" w:pos="8306"/>
            </w:tabs>
          </w:pPr>
          <w:r>
            <w:fldChar w:fldCharType="begin"/>
          </w:r>
          <w:r>
            <w:instrText xml:space="preserve"> HYPERLINK \l _Toc15755 </w:instrText>
          </w:r>
          <w:r>
            <w:fldChar w:fldCharType="separate"/>
          </w:r>
          <w:r>
            <w:rPr>
              <w:rFonts w:hint="eastAsia"/>
            </w:rPr>
            <w:t xml:space="preserve">§7 </w:t>
          </w:r>
          <w:r>
            <w:t>年度财务报表</w:t>
          </w:r>
          <w:r>
            <w:tab/>
          </w:r>
          <w:r>
            <w:fldChar w:fldCharType="begin"/>
          </w:r>
          <w:r>
            <w:instrText xml:space="preserve"> PAGEREF _Toc15755 \h </w:instrText>
          </w:r>
          <w:r>
            <w:fldChar w:fldCharType="separate"/>
          </w:r>
          <w:r>
            <w:t>16</w:t>
          </w:r>
          <w:r>
            <w:fldChar w:fldCharType="end"/>
          </w:r>
          <w:r>
            <w:fldChar w:fldCharType="end"/>
          </w:r>
        </w:p>
        <w:p w14:paraId="5F0A8574">
          <w:pPr>
            <w:pStyle w:val="10"/>
            <w:tabs>
              <w:tab w:val="right" w:leader="dot" w:pos="8306"/>
            </w:tabs>
          </w:pPr>
          <w:r>
            <w:fldChar w:fldCharType="begin"/>
          </w:r>
          <w:r>
            <w:instrText xml:space="preserve"> HYPERLINK \l _Toc14086 </w:instrText>
          </w:r>
          <w:r>
            <w:fldChar w:fldCharType="separate"/>
          </w:r>
          <w:r>
            <w:rPr>
              <w:rFonts w:hint="eastAsia"/>
            </w:rPr>
            <w:t xml:space="preserve">7.1 </w:t>
          </w:r>
          <w:r>
            <w:t>资产负债表</w:t>
          </w:r>
          <w:r>
            <w:tab/>
          </w:r>
          <w:r>
            <w:fldChar w:fldCharType="begin"/>
          </w:r>
          <w:r>
            <w:instrText xml:space="preserve"> PAGEREF _Toc14086 \h </w:instrText>
          </w:r>
          <w:r>
            <w:fldChar w:fldCharType="separate"/>
          </w:r>
          <w:r>
            <w:t>16</w:t>
          </w:r>
          <w:r>
            <w:fldChar w:fldCharType="end"/>
          </w:r>
          <w:r>
            <w:fldChar w:fldCharType="end"/>
          </w:r>
        </w:p>
        <w:p w14:paraId="53883302">
          <w:pPr>
            <w:pStyle w:val="10"/>
            <w:tabs>
              <w:tab w:val="right" w:leader="dot" w:pos="8306"/>
            </w:tabs>
          </w:pPr>
          <w:r>
            <w:fldChar w:fldCharType="begin"/>
          </w:r>
          <w:r>
            <w:instrText xml:space="preserve"> HYPERLINK \l _Toc340 </w:instrText>
          </w:r>
          <w:r>
            <w:fldChar w:fldCharType="separate"/>
          </w:r>
          <w:r>
            <w:rPr>
              <w:rFonts w:hint="eastAsia"/>
            </w:rPr>
            <w:t xml:space="preserve">7.2 </w:t>
          </w:r>
          <w:r>
            <w:t>利润表</w:t>
          </w:r>
          <w:r>
            <w:tab/>
          </w:r>
          <w:r>
            <w:fldChar w:fldCharType="begin"/>
          </w:r>
          <w:r>
            <w:instrText xml:space="preserve"> PAGEREF _Toc340 \h </w:instrText>
          </w:r>
          <w:r>
            <w:fldChar w:fldCharType="separate"/>
          </w:r>
          <w:r>
            <w:t>18</w:t>
          </w:r>
          <w:r>
            <w:fldChar w:fldCharType="end"/>
          </w:r>
          <w:r>
            <w:fldChar w:fldCharType="end"/>
          </w:r>
        </w:p>
        <w:p w14:paraId="161C128F">
          <w:pPr>
            <w:pStyle w:val="10"/>
            <w:tabs>
              <w:tab w:val="right" w:leader="dot" w:pos="8306"/>
            </w:tabs>
          </w:pPr>
          <w:r>
            <w:fldChar w:fldCharType="begin"/>
          </w:r>
          <w:r>
            <w:instrText xml:space="preserve"> HYPERLINK \l _Toc20252 </w:instrText>
          </w:r>
          <w:r>
            <w:fldChar w:fldCharType="separate"/>
          </w:r>
          <w:r>
            <w:rPr>
              <w:rFonts w:hint="eastAsia"/>
            </w:rPr>
            <w:t xml:space="preserve">7.3 </w:t>
          </w:r>
          <w:r>
            <w:t>净资产变动表</w:t>
          </w:r>
          <w:r>
            <w:tab/>
          </w:r>
          <w:r>
            <w:fldChar w:fldCharType="begin"/>
          </w:r>
          <w:r>
            <w:instrText xml:space="preserve"> PAGEREF _Toc20252 \h </w:instrText>
          </w:r>
          <w:r>
            <w:fldChar w:fldCharType="separate"/>
          </w:r>
          <w:r>
            <w:t>19</w:t>
          </w:r>
          <w:r>
            <w:fldChar w:fldCharType="end"/>
          </w:r>
          <w:r>
            <w:fldChar w:fldCharType="end"/>
          </w:r>
        </w:p>
        <w:p w14:paraId="29673FD4">
          <w:pPr>
            <w:pStyle w:val="10"/>
            <w:tabs>
              <w:tab w:val="right" w:leader="dot" w:pos="8306"/>
            </w:tabs>
          </w:pPr>
          <w:r>
            <w:fldChar w:fldCharType="begin"/>
          </w:r>
          <w:r>
            <w:instrText xml:space="preserve"> HYPERLINK \l _Toc11485 </w:instrText>
          </w:r>
          <w:r>
            <w:fldChar w:fldCharType="separate"/>
          </w:r>
          <w:r>
            <w:rPr>
              <w:rFonts w:hint="eastAsia"/>
            </w:rPr>
            <w:t xml:space="preserve">7.4 </w:t>
          </w:r>
          <w:r>
            <w:t>报表附注</w:t>
          </w:r>
          <w:r>
            <w:tab/>
          </w:r>
          <w:r>
            <w:fldChar w:fldCharType="begin"/>
          </w:r>
          <w:r>
            <w:instrText xml:space="preserve"> PAGEREF _Toc11485 \h </w:instrText>
          </w:r>
          <w:r>
            <w:fldChar w:fldCharType="separate"/>
          </w:r>
          <w:r>
            <w:t>21</w:t>
          </w:r>
          <w:r>
            <w:fldChar w:fldCharType="end"/>
          </w:r>
          <w:r>
            <w:fldChar w:fldCharType="end"/>
          </w:r>
        </w:p>
        <w:p w14:paraId="6416E390">
          <w:pPr>
            <w:pStyle w:val="8"/>
            <w:tabs>
              <w:tab w:val="right" w:leader="dot" w:pos="8306"/>
            </w:tabs>
          </w:pPr>
          <w:r>
            <w:fldChar w:fldCharType="begin"/>
          </w:r>
          <w:r>
            <w:instrText xml:space="preserve"> HYPERLINK \l _Toc5817 </w:instrText>
          </w:r>
          <w:r>
            <w:fldChar w:fldCharType="separate"/>
          </w:r>
          <w:r>
            <w:rPr>
              <w:rFonts w:hint="eastAsia"/>
            </w:rPr>
            <w:t xml:space="preserve">§8 </w:t>
          </w:r>
          <w:r>
            <w:t>投资组合报告</w:t>
          </w:r>
          <w:r>
            <w:tab/>
          </w:r>
          <w:r>
            <w:fldChar w:fldCharType="begin"/>
          </w:r>
          <w:r>
            <w:instrText xml:space="preserve"> PAGEREF _Toc5817 \h </w:instrText>
          </w:r>
          <w:r>
            <w:fldChar w:fldCharType="separate"/>
          </w:r>
          <w:r>
            <w:t>44</w:t>
          </w:r>
          <w:r>
            <w:fldChar w:fldCharType="end"/>
          </w:r>
          <w:r>
            <w:fldChar w:fldCharType="end"/>
          </w:r>
        </w:p>
        <w:p w14:paraId="439B5E8F">
          <w:pPr>
            <w:pStyle w:val="10"/>
            <w:tabs>
              <w:tab w:val="right" w:leader="dot" w:pos="8306"/>
            </w:tabs>
          </w:pPr>
          <w:r>
            <w:fldChar w:fldCharType="begin"/>
          </w:r>
          <w:r>
            <w:instrText xml:space="preserve"> HYPERLINK \l _Toc1658 </w:instrText>
          </w:r>
          <w:r>
            <w:fldChar w:fldCharType="separate"/>
          </w:r>
          <w:r>
            <w:rPr>
              <w:rFonts w:hint="eastAsia"/>
            </w:rPr>
            <w:t xml:space="preserve">8.1 </w:t>
          </w:r>
          <w:r>
            <w:t>期末基金资产组合情况</w:t>
          </w:r>
          <w:r>
            <w:tab/>
          </w:r>
          <w:r>
            <w:fldChar w:fldCharType="begin"/>
          </w:r>
          <w:r>
            <w:instrText xml:space="preserve"> PAGEREF _Toc1658 \h </w:instrText>
          </w:r>
          <w:r>
            <w:fldChar w:fldCharType="separate"/>
          </w:r>
          <w:r>
            <w:t>44</w:t>
          </w:r>
          <w:r>
            <w:fldChar w:fldCharType="end"/>
          </w:r>
          <w:r>
            <w:fldChar w:fldCharType="end"/>
          </w:r>
        </w:p>
        <w:p w14:paraId="0CD8976E">
          <w:pPr>
            <w:pStyle w:val="10"/>
            <w:tabs>
              <w:tab w:val="right" w:leader="dot" w:pos="8306"/>
            </w:tabs>
          </w:pPr>
          <w:r>
            <w:fldChar w:fldCharType="begin"/>
          </w:r>
          <w:r>
            <w:instrText xml:space="preserve"> HYPERLINK \l _Toc19237 </w:instrText>
          </w:r>
          <w:r>
            <w:fldChar w:fldCharType="separate"/>
          </w:r>
          <w:r>
            <w:rPr>
              <w:rFonts w:hint="eastAsia"/>
            </w:rPr>
            <w:t xml:space="preserve">8.2 </w:t>
          </w:r>
          <w:r>
            <w:t>报告期末按行业分类的股票投资组合</w:t>
          </w:r>
          <w:r>
            <w:tab/>
          </w:r>
          <w:r>
            <w:fldChar w:fldCharType="begin"/>
          </w:r>
          <w:r>
            <w:instrText xml:space="preserve"> PAGEREF _Toc19237 \h </w:instrText>
          </w:r>
          <w:r>
            <w:fldChar w:fldCharType="separate"/>
          </w:r>
          <w:r>
            <w:t>45</w:t>
          </w:r>
          <w:r>
            <w:fldChar w:fldCharType="end"/>
          </w:r>
          <w:r>
            <w:fldChar w:fldCharType="end"/>
          </w:r>
        </w:p>
        <w:p w14:paraId="77475477">
          <w:pPr>
            <w:pStyle w:val="10"/>
            <w:tabs>
              <w:tab w:val="right" w:leader="dot" w:pos="8306"/>
            </w:tabs>
          </w:pPr>
          <w:r>
            <w:fldChar w:fldCharType="begin"/>
          </w:r>
          <w:r>
            <w:instrText xml:space="preserve"> HYPERLINK \l _Toc11659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_Toc11659 \h </w:instrText>
          </w:r>
          <w:r>
            <w:fldChar w:fldCharType="separate"/>
          </w:r>
          <w:r>
            <w:t>45</w:t>
          </w:r>
          <w:r>
            <w:fldChar w:fldCharType="end"/>
          </w:r>
          <w:r>
            <w:fldChar w:fldCharType="end"/>
          </w:r>
        </w:p>
        <w:p w14:paraId="13F58F99">
          <w:pPr>
            <w:pStyle w:val="10"/>
            <w:tabs>
              <w:tab w:val="right" w:leader="dot" w:pos="8306"/>
            </w:tabs>
          </w:pPr>
          <w:r>
            <w:fldChar w:fldCharType="begin"/>
          </w:r>
          <w:r>
            <w:instrText xml:space="preserve"> HYPERLINK \l _Toc28817 </w:instrText>
          </w:r>
          <w:r>
            <w:fldChar w:fldCharType="separate"/>
          </w:r>
          <w:r>
            <w:rPr>
              <w:rFonts w:hint="eastAsia"/>
            </w:rPr>
            <w:t xml:space="preserve">8.4 </w:t>
          </w:r>
          <w:r>
            <w:t>报告期内股票投资组合的重大变动</w:t>
          </w:r>
          <w:r>
            <w:tab/>
          </w:r>
          <w:r>
            <w:fldChar w:fldCharType="begin"/>
          </w:r>
          <w:r>
            <w:instrText xml:space="preserve"> PAGEREF _Toc28817 \h </w:instrText>
          </w:r>
          <w:r>
            <w:fldChar w:fldCharType="separate"/>
          </w:r>
          <w:r>
            <w:t>45</w:t>
          </w:r>
          <w:r>
            <w:fldChar w:fldCharType="end"/>
          </w:r>
          <w:r>
            <w:fldChar w:fldCharType="end"/>
          </w:r>
        </w:p>
        <w:p w14:paraId="77773B2A">
          <w:pPr>
            <w:pStyle w:val="10"/>
            <w:tabs>
              <w:tab w:val="right" w:leader="dot" w:pos="8306"/>
            </w:tabs>
          </w:pPr>
          <w:r>
            <w:fldChar w:fldCharType="begin"/>
          </w:r>
          <w:r>
            <w:instrText xml:space="preserve"> HYPERLINK \l _Toc13961 </w:instrText>
          </w:r>
          <w:r>
            <w:fldChar w:fldCharType="separate"/>
          </w:r>
          <w:r>
            <w:rPr>
              <w:rFonts w:hint="eastAsia"/>
            </w:rPr>
            <w:t xml:space="preserve">8.5 </w:t>
          </w:r>
          <w:r>
            <w:t>期末按债券品种分类的债券投资组合</w:t>
          </w:r>
          <w:r>
            <w:tab/>
          </w:r>
          <w:r>
            <w:fldChar w:fldCharType="begin"/>
          </w:r>
          <w:r>
            <w:instrText xml:space="preserve"> PAGEREF _Toc13961 \h </w:instrText>
          </w:r>
          <w:r>
            <w:fldChar w:fldCharType="separate"/>
          </w:r>
          <w:r>
            <w:t>45</w:t>
          </w:r>
          <w:r>
            <w:fldChar w:fldCharType="end"/>
          </w:r>
          <w:r>
            <w:fldChar w:fldCharType="end"/>
          </w:r>
        </w:p>
        <w:p w14:paraId="3FF9021C">
          <w:pPr>
            <w:pStyle w:val="10"/>
            <w:tabs>
              <w:tab w:val="right" w:leader="dot" w:pos="8306"/>
            </w:tabs>
          </w:pPr>
          <w:r>
            <w:fldChar w:fldCharType="begin"/>
          </w:r>
          <w:r>
            <w:instrText xml:space="preserve"> HYPERLINK \l _Toc3703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_Toc3703 \h </w:instrText>
          </w:r>
          <w:r>
            <w:fldChar w:fldCharType="separate"/>
          </w:r>
          <w:r>
            <w:t>46</w:t>
          </w:r>
          <w:r>
            <w:fldChar w:fldCharType="end"/>
          </w:r>
          <w:r>
            <w:fldChar w:fldCharType="end"/>
          </w:r>
        </w:p>
        <w:p w14:paraId="48D19C94">
          <w:pPr>
            <w:pStyle w:val="10"/>
            <w:tabs>
              <w:tab w:val="right" w:leader="dot" w:pos="8306"/>
            </w:tabs>
          </w:pPr>
          <w:r>
            <w:fldChar w:fldCharType="begin"/>
          </w:r>
          <w:r>
            <w:instrText xml:space="preserve"> HYPERLINK \l _Toc17500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_Toc17500 \h </w:instrText>
          </w:r>
          <w:r>
            <w:fldChar w:fldCharType="separate"/>
          </w:r>
          <w:r>
            <w:t>46</w:t>
          </w:r>
          <w:r>
            <w:fldChar w:fldCharType="end"/>
          </w:r>
          <w:r>
            <w:fldChar w:fldCharType="end"/>
          </w:r>
        </w:p>
        <w:p w14:paraId="4C885B5A">
          <w:pPr>
            <w:pStyle w:val="10"/>
            <w:tabs>
              <w:tab w:val="right" w:leader="dot" w:pos="8306"/>
            </w:tabs>
          </w:pPr>
          <w:r>
            <w:fldChar w:fldCharType="begin"/>
          </w:r>
          <w:r>
            <w:instrText xml:space="preserve"> HYPERLINK \l _Toc30731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_Toc30731 \h </w:instrText>
          </w:r>
          <w:r>
            <w:fldChar w:fldCharType="separate"/>
          </w:r>
          <w:r>
            <w:t>46</w:t>
          </w:r>
          <w:r>
            <w:fldChar w:fldCharType="end"/>
          </w:r>
          <w:r>
            <w:fldChar w:fldCharType="end"/>
          </w:r>
        </w:p>
        <w:p w14:paraId="51F10BF4">
          <w:pPr>
            <w:pStyle w:val="10"/>
            <w:tabs>
              <w:tab w:val="right" w:leader="dot" w:pos="8306"/>
            </w:tabs>
          </w:pPr>
          <w:r>
            <w:fldChar w:fldCharType="begin"/>
          </w:r>
          <w:r>
            <w:instrText xml:space="preserve"> HYPERLINK \l _Toc29079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_Toc29079 \h </w:instrText>
          </w:r>
          <w:r>
            <w:fldChar w:fldCharType="separate"/>
          </w:r>
          <w:r>
            <w:t>46</w:t>
          </w:r>
          <w:r>
            <w:fldChar w:fldCharType="end"/>
          </w:r>
          <w:r>
            <w:fldChar w:fldCharType="end"/>
          </w:r>
        </w:p>
        <w:p w14:paraId="34B9DC6A">
          <w:pPr>
            <w:pStyle w:val="10"/>
            <w:tabs>
              <w:tab w:val="right" w:leader="dot" w:pos="8306"/>
            </w:tabs>
          </w:pPr>
          <w:r>
            <w:fldChar w:fldCharType="begin"/>
          </w:r>
          <w:r>
            <w:instrText xml:space="preserve"> HYPERLINK \l _Toc18715 </w:instrText>
          </w:r>
          <w:r>
            <w:fldChar w:fldCharType="separate"/>
          </w:r>
          <w:r>
            <w:rPr>
              <w:rFonts w:hint="eastAsia"/>
            </w:rPr>
            <w:t xml:space="preserve">8.10 </w:t>
          </w:r>
          <w:r>
            <w:t>本基金投资股指期货的投资政策</w:t>
          </w:r>
          <w:r>
            <w:tab/>
          </w:r>
          <w:r>
            <w:fldChar w:fldCharType="begin"/>
          </w:r>
          <w:r>
            <w:instrText xml:space="preserve"> PAGEREF _Toc18715 \h </w:instrText>
          </w:r>
          <w:r>
            <w:fldChar w:fldCharType="separate"/>
          </w:r>
          <w:r>
            <w:t>46</w:t>
          </w:r>
          <w:r>
            <w:fldChar w:fldCharType="end"/>
          </w:r>
          <w:r>
            <w:fldChar w:fldCharType="end"/>
          </w:r>
        </w:p>
        <w:p w14:paraId="0BA0B09B">
          <w:pPr>
            <w:pStyle w:val="10"/>
            <w:tabs>
              <w:tab w:val="right" w:leader="dot" w:pos="8306"/>
            </w:tabs>
          </w:pPr>
          <w:r>
            <w:fldChar w:fldCharType="begin"/>
          </w:r>
          <w:r>
            <w:instrText xml:space="preserve"> HYPERLINK \l _Toc12358 </w:instrText>
          </w:r>
          <w:r>
            <w:fldChar w:fldCharType="separate"/>
          </w:r>
          <w:r>
            <w:rPr>
              <w:rFonts w:hint="eastAsia"/>
            </w:rPr>
            <w:t xml:space="preserve">8.11 </w:t>
          </w:r>
          <w:r>
            <w:t>报告期末本基金投资的国债期货交易情况说明</w:t>
          </w:r>
          <w:r>
            <w:tab/>
          </w:r>
          <w:r>
            <w:fldChar w:fldCharType="begin"/>
          </w:r>
          <w:r>
            <w:instrText xml:space="preserve"> PAGEREF _Toc12358 \h </w:instrText>
          </w:r>
          <w:r>
            <w:fldChar w:fldCharType="separate"/>
          </w:r>
          <w:r>
            <w:t>46</w:t>
          </w:r>
          <w:r>
            <w:fldChar w:fldCharType="end"/>
          </w:r>
          <w:r>
            <w:fldChar w:fldCharType="end"/>
          </w:r>
        </w:p>
        <w:p w14:paraId="6915538C">
          <w:pPr>
            <w:pStyle w:val="10"/>
            <w:tabs>
              <w:tab w:val="right" w:leader="dot" w:pos="8306"/>
            </w:tabs>
          </w:pPr>
          <w:r>
            <w:fldChar w:fldCharType="begin"/>
          </w:r>
          <w:r>
            <w:instrText xml:space="preserve"> HYPERLINK \l _Toc17171 </w:instrText>
          </w:r>
          <w:r>
            <w:fldChar w:fldCharType="separate"/>
          </w:r>
          <w:r>
            <w:rPr>
              <w:rFonts w:hint="eastAsia"/>
            </w:rPr>
            <w:t xml:space="preserve">8.12 </w:t>
          </w:r>
          <w:r>
            <w:t>投资组合报告附注</w:t>
          </w:r>
          <w:r>
            <w:tab/>
          </w:r>
          <w:r>
            <w:fldChar w:fldCharType="begin"/>
          </w:r>
          <w:r>
            <w:instrText xml:space="preserve"> PAGEREF _Toc17171 \h </w:instrText>
          </w:r>
          <w:r>
            <w:fldChar w:fldCharType="separate"/>
          </w:r>
          <w:r>
            <w:t>47</w:t>
          </w:r>
          <w:r>
            <w:fldChar w:fldCharType="end"/>
          </w:r>
          <w:r>
            <w:fldChar w:fldCharType="end"/>
          </w:r>
        </w:p>
        <w:p w14:paraId="3CD36B69">
          <w:pPr>
            <w:pStyle w:val="8"/>
            <w:tabs>
              <w:tab w:val="right" w:leader="dot" w:pos="8306"/>
            </w:tabs>
          </w:pPr>
          <w:r>
            <w:fldChar w:fldCharType="begin"/>
          </w:r>
          <w:r>
            <w:instrText xml:space="preserve"> HYPERLINK \l _Toc15728 </w:instrText>
          </w:r>
          <w:r>
            <w:fldChar w:fldCharType="separate"/>
          </w:r>
          <w:r>
            <w:rPr>
              <w:rFonts w:hint="eastAsia"/>
            </w:rPr>
            <w:t xml:space="preserve">§9 </w:t>
          </w:r>
          <w:r>
            <w:t>基金份额持有人信息</w:t>
          </w:r>
          <w:r>
            <w:tab/>
          </w:r>
          <w:r>
            <w:fldChar w:fldCharType="begin"/>
          </w:r>
          <w:r>
            <w:instrText xml:space="preserve"> PAGEREF _Toc15728 \h </w:instrText>
          </w:r>
          <w:r>
            <w:fldChar w:fldCharType="separate"/>
          </w:r>
          <w:r>
            <w:t>48</w:t>
          </w:r>
          <w:r>
            <w:fldChar w:fldCharType="end"/>
          </w:r>
          <w:r>
            <w:fldChar w:fldCharType="end"/>
          </w:r>
        </w:p>
        <w:p w14:paraId="0585FFA0">
          <w:pPr>
            <w:pStyle w:val="10"/>
            <w:tabs>
              <w:tab w:val="right" w:leader="dot" w:pos="8306"/>
            </w:tabs>
          </w:pPr>
          <w:r>
            <w:fldChar w:fldCharType="begin"/>
          </w:r>
          <w:r>
            <w:instrText xml:space="preserve"> HYPERLINK \l _Toc21249 </w:instrText>
          </w:r>
          <w:r>
            <w:fldChar w:fldCharType="separate"/>
          </w:r>
          <w:r>
            <w:rPr>
              <w:rFonts w:hint="eastAsia"/>
            </w:rPr>
            <w:t xml:space="preserve">9.1 </w:t>
          </w:r>
          <w:r>
            <w:t>期末基金份额持有人户数及持有人结构</w:t>
          </w:r>
          <w:r>
            <w:tab/>
          </w:r>
          <w:r>
            <w:fldChar w:fldCharType="begin"/>
          </w:r>
          <w:r>
            <w:instrText xml:space="preserve"> PAGEREF _Toc21249 \h </w:instrText>
          </w:r>
          <w:r>
            <w:fldChar w:fldCharType="separate"/>
          </w:r>
          <w:r>
            <w:t>48</w:t>
          </w:r>
          <w:r>
            <w:fldChar w:fldCharType="end"/>
          </w:r>
          <w:r>
            <w:fldChar w:fldCharType="end"/>
          </w:r>
        </w:p>
        <w:p w14:paraId="2D75CB77">
          <w:pPr>
            <w:pStyle w:val="10"/>
            <w:tabs>
              <w:tab w:val="right" w:leader="dot" w:pos="8306"/>
            </w:tabs>
          </w:pPr>
          <w:r>
            <w:fldChar w:fldCharType="begin"/>
          </w:r>
          <w:r>
            <w:instrText xml:space="preserve"> HYPERLINK \l _Toc28036 </w:instrText>
          </w:r>
          <w:r>
            <w:fldChar w:fldCharType="separate"/>
          </w:r>
          <w:r>
            <w:rPr>
              <w:rFonts w:hint="eastAsia"/>
            </w:rPr>
            <w:t xml:space="preserve">9.2 </w:t>
          </w:r>
          <w:r>
            <w:t>期末基金管理人的从业人员持有本基金的情况</w:t>
          </w:r>
          <w:r>
            <w:tab/>
          </w:r>
          <w:r>
            <w:fldChar w:fldCharType="begin"/>
          </w:r>
          <w:r>
            <w:instrText xml:space="preserve"> PAGEREF _Toc28036 \h </w:instrText>
          </w:r>
          <w:r>
            <w:fldChar w:fldCharType="separate"/>
          </w:r>
          <w:r>
            <w:t>48</w:t>
          </w:r>
          <w:r>
            <w:fldChar w:fldCharType="end"/>
          </w:r>
          <w:r>
            <w:fldChar w:fldCharType="end"/>
          </w:r>
        </w:p>
        <w:p w14:paraId="4D4D63B5">
          <w:pPr>
            <w:pStyle w:val="10"/>
            <w:tabs>
              <w:tab w:val="right" w:leader="dot" w:pos="8306"/>
            </w:tabs>
          </w:pPr>
          <w:r>
            <w:fldChar w:fldCharType="begin"/>
          </w:r>
          <w:r>
            <w:instrText xml:space="preserve"> HYPERLINK \l _Toc4297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_Toc4297 \h </w:instrText>
          </w:r>
          <w:r>
            <w:fldChar w:fldCharType="separate"/>
          </w:r>
          <w:r>
            <w:t>48</w:t>
          </w:r>
          <w:r>
            <w:fldChar w:fldCharType="end"/>
          </w:r>
          <w:r>
            <w:fldChar w:fldCharType="end"/>
          </w:r>
        </w:p>
        <w:p w14:paraId="57D23CFF">
          <w:pPr>
            <w:pStyle w:val="10"/>
            <w:tabs>
              <w:tab w:val="right" w:leader="dot" w:pos="8306"/>
            </w:tabs>
          </w:pPr>
          <w:r>
            <w:fldChar w:fldCharType="begin"/>
          </w:r>
          <w:r>
            <w:instrText xml:space="preserve"> HYPERLINK \l _Toc323 </w:instrText>
          </w:r>
          <w:r>
            <w:fldChar w:fldCharType="separate"/>
          </w:r>
          <w:r>
            <w:rPr>
              <w:rFonts w:hint="eastAsia"/>
            </w:rPr>
            <w:t xml:space="preserve">9.4 </w:t>
          </w:r>
          <w:r>
            <w:t>发起式基金发起资金持有份额情况</w:t>
          </w:r>
          <w:r>
            <w:tab/>
          </w:r>
          <w:r>
            <w:fldChar w:fldCharType="begin"/>
          </w:r>
          <w:r>
            <w:instrText xml:space="preserve"> PAGEREF _Toc323 \h </w:instrText>
          </w:r>
          <w:r>
            <w:fldChar w:fldCharType="separate"/>
          </w:r>
          <w:r>
            <w:t>48</w:t>
          </w:r>
          <w:r>
            <w:fldChar w:fldCharType="end"/>
          </w:r>
          <w:r>
            <w:fldChar w:fldCharType="end"/>
          </w:r>
        </w:p>
        <w:p w14:paraId="4F39BFBF">
          <w:pPr>
            <w:pStyle w:val="8"/>
            <w:tabs>
              <w:tab w:val="right" w:leader="dot" w:pos="8306"/>
            </w:tabs>
          </w:pPr>
          <w:r>
            <w:fldChar w:fldCharType="begin"/>
          </w:r>
          <w:r>
            <w:instrText xml:space="preserve"> HYPERLINK \l _Toc18666 </w:instrText>
          </w:r>
          <w:r>
            <w:fldChar w:fldCharType="separate"/>
          </w:r>
          <w:r>
            <w:rPr>
              <w:rFonts w:hint="eastAsia"/>
            </w:rPr>
            <w:t xml:space="preserve">§10 </w:t>
          </w:r>
          <w:r>
            <w:t>开放式基金份额变动</w:t>
          </w:r>
          <w:r>
            <w:tab/>
          </w:r>
          <w:r>
            <w:fldChar w:fldCharType="begin"/>
          </w:r>
          <w:r>
            <w:instrText xml:space="preserve"> PAGEREF _Toc18666 \h </w:instrText>
          </w:r>
          <w:r>
            <w:fldChar w:fldCharType="separate"/>
          </w:r>
          <w:r>
            <w:t>49</w:t>
          </w:r>
          <w:r>
            <w:fldChar w:fldCharType="end"/>
          </w:r>
          <w:r>
            <w:fldChar w:fldCharType="end"/>
          </w:r>
        </w:p>
        <w:p w14:paraId="64D06B0D">
          <w:pPr>
            <w:pStyle w:val="8"/>
            <w:tabs>
              <w:tab w:val="right" w:leader="dot" w:pos="8306"/>
            </w:tabs>
          </w:pPr>
          <w:r>
            <w:fldChar w:fldCharType="begin"/>
          </w:r>
          <w:r>
            <w:instrText xml:space="preserve"> HYPERLINK \l _Toc28392 </w:instrText>
          </w:r>
          <w:r>
            <w:fldChar w:fldCharType="separate"/>
          </w:r>
          <w:r>
            <w:rPr>
              <w:rFonts w:hint="eastAsia"/>
            </w:rPr>
            <w:t xml:space="preserve">§11 </w:t>
          </w:r>
          <w:r>
            <w:t>重大事件揭示</w:t>
          </w:r>
          <w:r>
            <w:tab/>
          </w:r>
          <w:r>
            <w:fldChar w:fldCharType="begin"/>
          </w:r>
          <w:r>
            <w:instrText xml:space="preserve"> PAGEREF _Toc28392 \h </w:instrText>
          </w:r>
          <w:r>
            <w:fldChar w:fldCharType="separate"/>
          </w:r>
          <w:r>
            <w:t>49</w:t>
          </w:r>
          <w:r>
            <w:fldChar w:fldCharType="end"/>
          </w:r>
          <w:r>
            <w:fldChar w:fldCharType="end"/>
          </w:r>
        </w:p>
        <w:p w14:paraId="12C31F47">
          <w:pPr>
            <w:pStyle w:val="10"/>
            <w:tabs>
              <w:tab w:val="right" w:leader="dot" w:pos="8306"/>
            </w:tabs>
          </w:pPr>
          <w:r>
            <w:fldChar w:fldCharType="begin"/>
          </w:r>
          <w:r>
            <w:instrText xml:space="preserve"> HYPERLINK \l _Toc10650 </w:instrText>
          </w:r>
          <w:r>
            <w:fldChar w:fldCharType="separate"/>
          </w:r>
          <w:r>
            <w:rPr>
              <w:rFonts w:hint="eastAsia"/>
            </w:rPr>
            <w:t xml:space="preserve">11.1 </w:t>
          </w:r>
          <w:r>
            <w:t>基金份额持有人大会决议</w:t>
          </w:r>
          <w:r>
            <w:tab/>
          </w:r>
          <w:r>
            <w:fldChar w:fldCharType="begin"/>
          </w:r>
          <w:r>
            <w:instrText xml:space="preserve"> PAGEREF _Toc10650 \h </w:instrText>
          </w:r>
          <w:r>
            <w:fldChar w:fldCharType="separate"/>
          </w:r>
          <w:r>
            <w:t>49</w:t>
          </w:r>
          <w:r>
            <w:fldChar w:fldCharType="end"/>
          </w:r>
          <w:r>
            <w:fldChar w:fldCharType="end"/>
          </w:r>
        </w:p>
        <w:p w14:paraId="408265DE">
          <w:pPr>
            <w:pStyle w:val="10"/>
            <w:tabs>
              <w:tab w:val="right" w:leader="dot" w:pos="8306"/>
            </w:tabs>
          </w:pPr>
          <w:r>
            <w:fldChar w:fldCharType="begin"/>
          </w:r>
          <w:r>
            <w:instrText xml:space="preserve"> HYPERLINK \l _Toc28804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_Toc28804 \h </w:instrText>
          </w:r>
          <w:r>
            <w:fldChar w:fldCharType="separate"/>
          </w:r>
          <w:r>
            <w:t>49</w:t>
          </w:r>
          <w:r>
            <w:fldChar w:fldCharType="end"/>
          </w:r>
          <w:r>
            <w:fldChar w:fldCharType="end"/>
          </w:r>
        </w:p>
        <w:p w14:paraId="5A1B3F0C">
          <w:pPr>
            <w:pStyle w:val="10"/>
            <w:tabs>
              <w:tab w:val="right" w:leader="dot" w:pos="8306"/>
            </w:tabs>
          </w:pPr>
          <w:r>
            <w:fldChar w:fldCharType="begin"/>
          </w:r>
          <w:r>
            <w:instrText xml:space="preserve"> HYPERLINK \l _Toc369 </w:instrText>
          </w:r>
          <w:r>
            <w:fldChar w:fldCharType="separate"/>
          </w:r>
          <w:r>
            <w:rPr>
              <w:rFonts w:hint="eastAsia"/>
            </w:rPr>
            <w:t xml:space="preserve">11.3 </w:t>
          </w:r>
          <w:r>
            <w:t>涉及基金管理人、基金财产、基金托管业务的诉讼</w:t>
          </w:r>
          <w:r>
            <w:tab/>
          </w:r>
          <w:r>
            <w:fldChar w:fldCharType="begin"/>
          </w:r>
          <w:r>
            <w:instrText xml:space="preserve"> PAGEREF _Toc369 \h </w:instrText>
          </w:r>
          <w:r>
            <w:fldChar w:fldCharType="separate"/>
          </w:r>
          <w:r>
            <w:t>49</w:t>
          </w:r>
          <w:r>
            <w:fldChar w:fldCharType="end"/>
          </w:r>
          <w:r>
            <w:fldChar w:fldCharType="end"/>
          </w:r>
        </w:p>
        <w:p w14:paraId="2F077071">
          <w:pPr>
            <w:pStyle w:val="10"/>
            <w:tabs>
              <w:tab w:val="right" w:leader="dot" w:pos="8306"/>
            </w:tabs>
          </w:pPr>
          <w:r>
            <w:fldChar w:fldCharType="begin"/>
          </w:r>
          <w:r>
            <w:instrText xml:space="preserve"> HYPERLINK \l _Toc22551 </w:instrText>
          </w:r>
          <w:r>
            <w:fldChar w:fldCharType="separate"/>
          </w:r>
          <w:r>
            <w:rPr>
              <w:rFonts w:hint="eastAsia"/>
            </w:rPr>
            <w:t xml:space="preserve">11.4 </w:t>
          </w:r>
          <w:r>
            <w:t>基金投资策略的改变</w:t>
          </w:r>
          <w:r>
            <w:tab/>
          </w:r>
          <w:r>
            <w:fldChar w:fldCharType="begin"/>
          </w:r>
          <w:r>
            <w:instrText xml:space="preserve"> PAGEREF _Toc22551 \h </w:instrText>
          </w:r>
          <w:r>
            <w:fldChar w:fldCharType="separate"/>
          </w:r>
          <w:r>
            <w:t>49</w:t>
          </w:r>
          <w:r>
            <w:fldChar w:fldCharType="end"/>
          </w:r>
          <w:r>
            <w:fldChar w:fldCharType="end"/>
          </w:r>
        </w:p>
        <w:p w14:paraId="7D8968F7">
          <w:pPr>
            <w:pStyle w:val="10"/>
            <w:tabs>
              <w:tab w:val="right" w:leader="dot" w:pos="8306"/>
            </w:tabs>
          </w:pPr>
          <w:r>
            <w:fldChar w:fldCharType="begin"/>
          </w:r>
          <w:r>
            <w:instrText xml:space="preserve"> HYPERLINK \l _Toc18575 </w:instrText>
          </w:r>
          <w:r>
            <w:fldChar w:fldCharType="separate"/>
          </w:r>
          <w:r>
            <w:rPr>
              <w:rFonts w:hint="eastAsia"/>
            </w:rPr>
            <w:t xml:space="preserve">11.5 </w:t>
          </w:r>
          <w:r>
            <w:t>为基金进行审计的会计师事务所情况</w:t>
          </w:r>
          <w:r>
            <w:tab/>
          </w:r>
          <w:r>
            <w:fldChar w:fldCharType="begin"/>
          </w:r>
          <w:r>
            <w:instrText xml:space="preserve"> PAGEREF _Toc18575 \h </w:instrText>
          </w:r>
          <w:r>
            <w:fldChar w:fldCharType="separate"/>
          </w:r>
          <w:r>
            <w:t>49</w:t>
          </w:r>
          <w:r>
            <w:fldChar w:fldCharType="end"/>
          </w:r>
          <w:r>
            <w:fldChar w:fldCharType="end"/>
          </w:r>
        </w:p>
        <w:p w14:paraId="57344C3C">
          <w:pPr>
            <w:pStyle w:val="10"/>
            <w:tabs>
              <w:tab w:val="right" w:leader="dot" w:pos="8306"/>
            </w:tabs>
          </w:pPr>
          <w:r>
            <w:fldChar w:fldCharType="begin"/>
          </w:r>
          <w:r>
            <w:instrText xml:space="preserve"> HYPERLINK \l _Toc10199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_Toc10199 \h </w:instrText>
          </w:r>
          <w:r>
            <w:fldChar w:fldCharType="separate"/>
          </w:r>
          <w:r>
            <w:t>49</w:t>
          </w:r>
          <w:r>
            <w:fldChar w:fldCharType="end"/>
          </w:r>
          <w:r>
            <w:fldChar w:fldCharType="end"/>
          </w:r>
        </w:p>
        <w:p w14:paraId="0BD018C3">
          <w:pPr>
            <w:pStyle w:val="10"/>
            <w:tabs>
              <w:tab w:val="right" w:leader="dot" w:pos="8306"/>
            </w:tabs>
          </w:pPr>
          <w:r>
            <w:fldChar w:fldCharType="begin"/>
          </w:r>
          <w:r>
            <w:instrText xml:space="preserve"> HYPERLINK \l _Toc3616 </w:instrText>
          </w:r>
          <w:r>
            <w:fldChar w:fldCharType="separate"/>
          </w:r>
          <w:r>
            <w:rPr>
              <w:rFonts w:hint="eastAsia"/>
            </w:rPr>
            <w:t xml:space="preserve">11.7 </w:t>
          </w:r>
          <w:r>
            <w:t>基金租用证券公司交易单元的有关情况</w:t>
          </w:r>
          <w:r>
            <w:tab/>
          </w:r>
          <w:r>
            <w:fldChar w:fldCharType="begin"/>
          </w:r>
          <w:r>
            <w:instrText xml:space="preserve"> PAGEREF _Toc3616 \h </w:instrText>
          </w:r>
          <w:r>
            <w:fldChar w:fldCharType="separate"/>
          </w:r>
          <w:r>
            <w:t>51</w:t>
          </w:r>
          <w:r>
            <w:fldChar w:fldCharType="end"/>
          </w:r>
          <w:r>
            <w:fldChar w:fldCharType="end"/>
          </w:r>
        </w:p>
        <w:p w14:paraId="155A1BD0">
          <w:pPr>
            <w:pStyle w:val="10"/>
            <w:tabs>
              <w:tab w:val="right" w:leader="dot" w:pos="8306"/>
            </w:tabs>
          </w:pPr>
          <w:r>
            <w:fldChar w:fldCharType="begin"/>
          </w:r>
          <w:r>
            <w:instrText xml:space="preserve"> HYPERLINK \l _Toc19540 </w:instrText>
          </w:r>
          <w:r>
            <w:fldChar w:fldCharType="separate"/>
          </w:r>
          <w:r>
            <w:rPr>
              <w:rFonts w:hint="eastAsia"/>
            </w:rPr>
            <w:t xml:space="preserve">11.8 </w:t>
          </w:r>
          <w:r>
            <w:t>其他重大事件</w:t>
          </w:r>
          <w:r>
            <w:tab/>
          </w:r>
          <w:r>
            <w:fldChar w:fldCharType="begin"/>
          </w:r>
          <w:r>
            <w:instrText xml:space="preserve"> PAGEREF _Toc19540 \h </w:instrText>
          </w:r>
          <w:r>
            <w:fldChar w:fldCharType="separate"/>
          </w:r>
          <w:r>
            <w:t>52</w:t>
          </w:r>
          <w:r>
            <w:fldChar w:fldCharType="end"/>
          </w:r>
          <w:r>
            <w:fldChar w:fldCharType="end"/>
          </w:r>
        </w:p>
        <w:p w14:paraId="6871098F">
          <w:pPr>
            <w:pStyle w:val="8"/>
            <w:tabs>
              <w:tab w:val="right" w:leader="dot" w:pos="8306"/>
            </w:tabs>
          </w:pPr>
          <w:r>
            <w:fldChar w:fldCharType="begin"/>
          </w:r>
          <w:r>
            <w:instrText xml:space="preserve"> HYPERLINK \l _Toc1597 </w:instrText>
          </w:r>
          <w:r>
            <w:fldChar w:fldCharType="separate"/>
          </w:r>
          <w:r>
            <w:rPr>
              <w:rFonts w:hint="eastAsia"/>
            </w:rPr>
            <w:t xml:space="preserve">§12 </w:t>
          </w:r>
          <w:r>
            <w:t>影响投资者决策的其他重要信息</w:t>
          </w:r>
          <w:r>
            <w:tab/>
          </w:r>
          <w:r>
            <w:fldChar w:fldCharType="begin"/>
          </w:r>
          <w:r>
            <w:instrText xml:space="preserve"> PAGEREF _Toc1597 \h </w:instrText>
          </w:r>
          <w:r>
            <w:fldChar w:fldCharType="separate"/>
          </w:r>
          <w:r>
            <w:t>53</w:t>
          </w:r>
          <w:r>
            <w:fldChar w:fldCharType="end"/>
          </w:r>
          <w:r>
            <w:fldChar w:fldCharType="end"/>
          </w:r>
        </w:p>
        <w:p w14:paraId="1CD60974">
          <w:pPr>
            <w:pStyle w:val="10"/>
            <w:tabs>
              <w:tab w:val="right" w:leader="dot" w:pos="8306"/>
            </w:tabs>
          </w:pPr>
          <w:r>
            <w:fldChar w:fldCharType="begin"/>
          </w:r>
          <w:r>
            <w:instrText xml:space="preserve"> HYPERLINK \l _Toc25569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_Toc25569 \h </w:instrText>
          </w:r>
          <w:r>
            <w:fldChar w:fldCharType="separate"/>
          </w:r>
          <w:r>
            <w:t>53</w:t>
          </w:r>
          <w:r>
            <w:fldChar w:fldCharType="end"/>
          </w:r>
          <w:r>
            <w:fldChar w:fldCharType="end"/>
          </w:r>
        </w:p>
        <w:p w14:paraId="40D6D6BF">
          <w:pPr>
            <w:pStyle w:val="10"/>
            <w:tabs>
              <w:tab w:val="right" w:leader="dot" w:pos="8306"/>
            </w:tabs>
          </w:pPr>
          <w:r>
            <w:fldChar w:fldCharType="begin"/>
          </w:r>
          <w:r>
            <w:instrText xml:space="preserve"> HYPERLINK \l _Toc11784 </w:instrText>
          </w:r>
          <w:r>
            <w:fldChar w:fldCharType="separate"/>
          </w:r>
          <w:r>
            <w:rPr>
              <w:rFonts w:hint="eastAsia"/>
            </w:rPr>
            <w:t xml:space="preserve">12.2 </w:t>
          </w:r>
          <w:r>
            <w:t>影响投资者决策的其他重要信息</w:t>
          </w:r>
          <w:r>
            <w:tab/>
          </w:r>
          <w:r>
            <w:fldChar w:fldCharType="begin"/>
          </w:r>
          <w:r>
            <w:instrText xml:space="preserve"> PAGEREF _Toc11784 \h </w:instrText>
          </w:r>
          <w:r>
            <w:fldChar w:fldCharType="separate"/>
          </w:r>
          <w:r>
            <w:t>53</w:t>
          </w:r>
          <w:r>
            <w:fldChar w:fldCharType="end"/>
          </w:r>
          <w:r>
            <w:fldChar w:fldCharType="end"/>
          </w:r>
        </w:p>
        <w:p w14:paraId="0C671BD0">
          <w:pPr>
            <w:pStyle w:val="8"/>
            <w:tabs>
              <w:tab w:val="right" w:leader="dot" w:pos="8306"/>
            </w:tabs>
          </w:pPr>
          <w:r>
            <w:fldChar w:fldCharType="begin"/>
          </w:r>
          <w:r>
            <w:instrText xml:space="preserve"> HYPERLINK \l _Toc22223 </w:instrText>
          </w:r>
          <w:r>
            <w:fldChar w:fldCharType="separate"/>
          </w:r>
          <w:r>
            <w:rPr>
              <w:rFonts w:hint="eastAsia"/>
            </w:rPr>
            <w:t xml:space="preserve">§13 </w:t>
          </w:r>
          <w:r>
            <w:t>备查文件目录</w:t>
          </w:r>
          <w:r>
            <w:tab/>
          </w:r>
          <w:r>
            <w:fldChar w:fldCharType="begin"/>
          </w:r>
          <w:r>
            <w:instrText xml:space="preserve"> PAGEREF _Toc22223 \h </w:instrText>
          </w:r>
          <w:r>
            <w:fldChar w:fldCharType="separate"/>
          </w:r>
          <w:r>
            <w:t>53</w:t>
          </w:r>
          <w:r>
            <w:fldChar w:fldCharType="end"/>
          </w:r>
          <w:r>
            <w:fldChar w:fldCharType="end"/>
          </w:r>
        </w:p>
        <w:p w14:paraId="2C283A5D">
          <w:pPr>
            <w:pStyle w:val="10"/>
            <w:tabs>
              <w:tab w:val="right" w:leader="dot" w:pos="8306"/>
            </w:tabs>
          </w:pPr>
          <w:r>
            <w:fldChar w:fldCharType="begin"/>
          </w:r>
          <w:r>
            <w:instrText xml:space="preserve"> HYPERLINK \l _Toc30070 </w:instrText>
          </w:r>
          <w:r>
            <w:fldChar w:fldCharType="separate"/>
          </w:r>
          <w:r>
            <w:rPr>
              <w:rFonts w:hint="eastAsia"/>
            </w:rPr>
            <w:t xml:space="preserve">13.1 </w:t>
          </w:r>
          <w:r>
            <w:t>备查文件目录</w:t>
          </w:r>
          <w:r>
            <w:tab/>
          </w:r>
          <w:r>
            <w:fldChar w:fldCharType="begin"/>
          </w:r>
          <w:r>
            <w:instrText xml:space="preserve"> PAGEREF _Toc30070 \h </w:instrText>
          </w:r>
          <w:r>
            <w:fldChar w:fldCharType="separate"/>
          </w:r>
          <w:r>
            <w:t>53</w:t>
          </w:r>
          <w:r>
            <w:fldChar w:fldCharType="end"/>
          </w:r>
          <w:r>
            <w:fldChar w:fldCharType="end"/>
          </w:r>
        </w:p>
        <w:p w14:paraId="271AE690">
          <w:pPr>
            <w:pStyle w:val="10"/>
            <w:tabs>
              <w:tab w:val="right" w:leader="dot" w:pos="8306"/>
            </w:tabs>
          </w:pPr>
          <w:r>
            <w:fldChar w:fldCharType="begin"/>
          </w:r>
          <w:r>
            <w:instrText xml:space="preserve"> HYPERLINK \l _Toc637 </w:instrText>
          </w:r>
          <w:r>
            <w:fldChar w:fldCharType="separate"/>
          </w:r>
          <w:r>
            <w:rPr>
              <w:rFonts w:hint="eastAsia"/>
            </w:rPr>
            <w:t xml:space="preserve">13.2 </w:t>
          </w:r>
          <w:r>
            <w:t>存放地点</w:t>
          </w:r>
          <w:r>
            <w:tab/>
          </w:r>
          <w:r>
            <w:fldChar w:fldCharType="begin"/>
          </w:r>
          <w:r>
            <w:instrText xml:space="preserve"> PAGEREF _Toc637 \h </w:instrText>
          </w:r>
          <w:r>
            <w:fldChar w:fldCharType="separate"/>
          </w:r>
          <w:r>
            <w:t>54</w:t>
          </w:r>
          <w:r>
            <w:fldChar w:fldCharType="end"/>
          </w:r>
          <w:r>
            <w:fldChar w:fldCharType="end"/>
          </w:r>
        </w:p>
        <w:p w14:paraId="7FE170E2">
          <w:pPr>
            <w:pStyle w:val="10"/>
            <w:tabs>
              <w:tab w:val="right" w:leader="dot" w:pos="8306"/>
            </w:tabs>
          </w:pPr>
          <w:r>
            <w:fldChar w:fldCharType="begin"/>
          </w:r>
          <w:r>
            <w:instrText xml:space="preserve"> HYPERLINK \l _Toc17573 </w:instrText>
          </w:r>
          <w:r>
            <w:fldChar w:fldCharType="separate"/>
          </w:r>
          <w:r>
            <w:rPr>
              <w:rFonts w:hint="eastAsia"/>
            </w:rPr>
            <w:t xml:space="preserve">13.3 </w:t>
          </w:r>
          <w:r>
            <w:t>查阅方式</w:t>
          </w:r>
          <w:r>
            <w:tab/>
          </w:r>
          <w:r>
            <w:fldChar w:fldCharType="begin"/>
          </w:r>
          <w:r>
            <w:instrText xml:space="preserve"> PAGEREF _Toc17573 \h </w:instrText>
          </w:r>
          <w:r>
            <w:fldChar w:fldCharType="separate"/>
          </w:r>
          <w:r>
            <w:t>54</w:t>
          </w:r>
          <w:r>
            <w:fldChar w:fldCharType="end"/>
          </w:r>
          <w:r>
            <w:fldChar w:fldCharType="end"/>
          </w:r>
        </w:p>
        <w:p w14:paraId="2166A58B">
          <w:r>
            <w:fldChar w:fldCharType="end"/>
          </w:r>
        </w:p>
      </w:sdtContent>
    </w:sdt>
    <w:p w14:paraId="71D56284">
      <w:pPr>
        <w:pStyle w:val="26"/>
        <w:pageBreakBefore/>
      </w:pPr>
      <w:r>
        <w:t xml:space="preserve">  </w:t>
      </w:r>
      <w:bookmarkStart w:id="5" w:name="_Toc7292"/>
      <w:r>
        <w:t>基金简介</w:t>
      </w:r>
      <w:bookmarkEnd w:id="5"/>
      <w:r>
        <w:t xml:space="preserve"> </w:t>
      </w:r>
    </w:p>
    <w:p w14:paraId="767F181B">
      <w:pPr>
        <w:pStyle w:val="23"/>
      </w:pPr>
      <w:bookmarkStart w:id="6" w:name="_Toc1106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488B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66007F1">
            <w:r>
              <w:rPr>
                <w:rFonts w:hint="eastAsia"/>
              </w:rPr>
              <w:t>基金名称</w:t>
            </w:r>
          </w:p>
        </w:tc>
        <w:tc>
          <w:tcPr>
            <w:tcW w:w="4590" w:type="dxa"/>
            <w:vAlign w:val="center"/>
          </w:tcPr>
          <w:p w14:paraId="3AB66ADD">
            <w:r>
              <w:rPr>
                <w:rFonts w:hint="eastAsia"/>
              </w:rPr>
              <w:t>南方宏元定期开放债券型发起式证券投资基金</w:t>
            </w:r>
          </w:p>
        </w:tc>
      </w:tr>
      <w:tr w14:paraId="53BC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2741785">
            <w:r>
              <w:rPr>
                <w:rFonts w:hint="eastAsia"/>
              </w:rPr>
              <w:t>基金简称</w:t>
            </w:r>
          </w:p>
        </w:tc>
        <w:tc>
          <w:tcPr>
            <w:tcW w:w="4590" w:type="dxa"/>
            <w:vAlign w:val="center"/>
          </w:tcPr>
          <w:p w14:paraId="3D85FA55">
            <w:r>
              <w:rPr>
                <w:rFonts w:hint="eastAsia"/>
              </w:rPr>
              <w:t>南方宏元定开债券发起</w:t>
            </w:r>
          </w:p>
        </w:tc>
      </w:tr>
      <w:tr w14:paraId="056D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97250F0">
            <w:r>
              <w:rPr>
                <w:rFonts w:hint="eastAsia"/>
              </w:rPr>
              <w:t>基金主代码</w:t>
            </w:r>
          </w:p>
        </w:tc>
        <w:tc>
          <w:tcPr>
            <w:tcW w:w="4590" w:type="dxa"/>
            <w:vAlign w:val="center"/>
          </w:tcPr>
          <w:p w14:paraId="57E2085A">
            <w:r>
              <w:rPr>
                <w:rFonts w:hint="eastAsia"/>
              </w:rPr>
              <w:t>004180</w:t>
            </w:r>
          </w:p>
        </w:tc>
      </w:tr>
      <w:tr w14:paraId="3285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FD557AD">
            <w:r>
              <w:rPr>
                <w:rFonts w:hint="eastAsia"/>
              </w:rPr>
              <w:t>交易代码</w:t>
            </w:r>
          </w:p>
        </w:tc>
        <w:tc>
          <w:tcPr>
            <w:tcW w:w="4590" w:type="dxa"/>
            <w:vAlign w:val="center"/>
          </w:tcPr>
          <w:p w14:paraId="33C6F67D">
            <w:r>
              <w:rPr>
                <w:rFonts w:hint="eastAsia"/>
              </w:rPr>
              <w:t>004180</w:t>
            </w:r>
          </w:p>
        </w:tc>
      </w:tr>
      <w:tr w14:paraId="2071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24244DF">
            <w:r>
              <w:rPr>
                <w:rFonts w:hint="eastAsia"/>
              </w:rPr>
              <w:t>基金运作方式</w:t>
            </w:r>
          </w:p>
        </w:tc>
        <w:tc>
          <w:tcPr>
            <w:tcW w:w="4590" w:type="dxa"/>
            <w:vAlign w:val="center"/>
          </w:tcPr>
          <w:p w14:paraId="11C445DD">
            <w:r>
              <w:rPr>
                <w:rFonts w:hint="eastAsia"/>
              </w:rPr>
              <w:t>契约型开放式</w:t>
            </w:r>
          </w:p>
        </w:tc>
      </w:tr>
      <w:tr w14:paraId="6645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488CDAC">
            <w:r>
              <w:rPr>
                <w:rFonts w:hint="eastAsia"/>
              </w:rPr>
              <w:t>基金合同生效日</w:t>
            </w:r>
          </w:p>
        </w:tc>
        <w:tc>
          <w:tcPr>
            <w:tcW w:w="4590" w:type="dxa"/>
            <w:vAlign w:val="center"/>
          </w:tcPr>
          <w:p w14:paraId="15F04FFE">
            <w:r>
              <w:rPr>
                <w:rFonts w:hint="eastAsia"/>
              </w:rPr>
              <w:t>2017年1月18日</w:t>
            </w:r>
          </w:p>
        </w:tc>
      </w:tr>
      <w:tr w14:paraId="146F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4B53AA3">
            <w:r>
              <w:rPr>
                <w:rFonts w:hint="eastAsia"/>
              </w:rPr>
              <w:t>基金管理人</w:t>
            </w:r>
          </w:p>
        </w:tc>
        <w:tc>
          <w:tcPr>
            <w:tcW w:w="4590" w:type="dxa"/>
            <w:vAlign w:val="center"/>
          </w:tcPr>
          <w:p w14:paraId="685CA583">
            <w:r>
              <w:rPr>
                <w:rFonts w:hint="eastAsia"/>
              </w:rPr>
              <w:t>南方基金管理股份有限公司</w:t>
            </w:r>
          </w:p>
        </w:tc>
      </w:tr>
      <w:tr w14:paraId="0388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F9012BC">
            <w:r>
              <w:rPr>
                <w:rFonts w:hint="eastAsia"/>
              </w:rPr>
              <w:t>基金托管人</w:t>
            </w:r>
          </w:p>
        </w:tc>
        <w:tc>
          <w:tcPr>
            <w:tcW w:w="4590" w:type="dxa"/>
            <w:vAlign w:val="center"/>
          </w:tcPr>
          <w:p w14:paraId="2EAB3F9F">
            <w:r>
              <w:rPr>
                <w:rFonts w:hint="eastAsia"/>
              </w:rPr>
              <w:t>中国邮政储蓄银行股份有限公司</w:t>
            </w:r>
          </w:p>
        </w:tc>
      </w:tr>
      <w:tr w14:paraId="725D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F0BD697">
            <w:r>
              <w:rPr>
                <w:rFonts w:hint="eastAsia"/>
              </w:rPr>
              <w:t>报告期末基金份额总额</w:t>
            </w:r>
          </w:p>
        </w:tc>
        <w:tc>
          <w:tcPr>
            <w:tcW w:w="4590" w:type="dxa"/>
            <w:vAlign w:val="center"/>
          </w:tcPr>
          <w:p w14:paraId="6AF4FC70">
            <w:r>
              <w:rPr>
                <w:rFonts w:hint="eastAsia"/>
              </w:rPr>
              <w:t>54,435,375.95份</w:t>
            </w:r>
          </w:p>
        </w:tc>
      </w:tr>
      <w:tr w14:paraId="6ECE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2685C31">
            <w:r>
              <w:rPr>
                <w:rFonts w:hint="eastAsia"/>
              </w:rPr>
              <w:t>基金合同存续期</w:t>
            </w:r>
          </w:p>
        </w:tc>
        <w:tc>
          <w:tcPr>
            <w:tcW w:w="4590" w:type="dxa"/>
            <w:vAlign w:val="center"/>
          </w:tcPr>
          <w:p w14:paraId="76A789E8">
            <w:r>
              <w:rPr>
                <w:rFonts w:hint="eastAsia"/>
              </w:rPr>
              <w:t>不定期</w:t>
            </w:r>
          </w:p>
        </w:tc>
      </w:tr>
    </w:tbl>
    <w:p w14:paraId="192CBEF3">
      <w:pPr>
        <w:pStyle w:val="47"/>
        <w:rPr>
          <w:rFonts w:hint="eastAsia"/>
        </w:rPr>
      </w:pPr>
      <w:r>
        <w:rPr>
          <w:rFonts w:hint="eastAsia"/>
        </w:rPr>
        <w:t>注：</w:t>
      </w:r>
    </w:p>
    <w:p w14:paraId="74D86544">
      <w:pPr>
        <w:pStyle w:val="47"/>
        <w:rPr>
          <w:rFonts w:hint="eastAsia"/>
        </w:rPr>
      </w:pPr>
      <w:r>
        <w:tab/>
      </w:r>
      <w:r>
        <w:rPr>
          <w:rFonts w:hint="eastAsia"/>
        </w:rPr>
        <w:t>1.根据《关于南方宏元定期开放债券型发起式证券投资基金减少C类基金份额并修改基金合同的公告》，2022年1月26日起本基金减少C类基金份额。</w:t>
      </w:r>
    </w:p>
    <w:p w14:paraId="2B020628">
      <w:pPr>
        <w:pStyle w:val="47"/>
        <w:rPr>
          <w:rFonts w:hint="eastAsia"/>
        </w:rPr>
      </w:pPr>
      <w:r>
        <w:tab/>
      </w:r>
      <w:r>
        <w:rPr>
          <w:rFonts w:hint="eastAsia"/>
        </w:rPr>
        <w:t>2.根据南方基金管理股份有限公司2018年11月28日发布的《南方宏元债券型发起式证券投资基金基金份额持有人大会表决结果暨决议生效的公告》，本基金于2018年12月26日由南方宏元债券型发起式证券投资基金变更为南方宏元定期开放债券型发起式证券投资基金。</w:t>
      </w:r>
    </w:p>
    <w:p w14:paraId="30E82DC5">
      <w:pPr>
        <w:pStyle w:val="23"/>
      </w:pPr>
      <w:bookmarkStart w:id="7" w:name="_Toc1047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BAA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481E24">
            <w:r>
              <w:rPr>
                <w:rFonts w:hint="eastAsia"/>
              </w:rPr>
              <w:t>投资目标</w:t>
            </w:r>
          </w:p>
        </w:tc>
        <w:tc>
          <w:tcPr>
            <w:tcW w:w="6644" w:type="dxa"/>
            <w:vAlign w:val="center"/>
          </w:tcPr>
          <w:p w14:paraId="4BED9C38">
            <w:r>
              <w:rPr>
                <w:rFonts w:hint="eastAsia"/>
              </w:rPr>
              <w:t>本基金在严格控制风险的基础上，力求获得长期稳定的投资收益。</w:t>
            </w:r>
          </w:p>
        </w:tc>
      </w:tr>
      <w:tr w14:paraId="0678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32E39">
            <w:r>
              <w:rPr>
                <w:rFonts w:hint="eastAsia"/>
              </w:rPr>
              <w:t>投资策略</w:t>
            </w:r>
          </w:p>
        </w:tc>
        <w:tc>
          <w:tcPr>
            <w:tcW w:w="6644" w:type="dxa"/>
            <w:vAlign w:val="center"/>
          </w:tcPr>
          <w:p w14:paraId="4AD7C779">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653A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8F5D13">
            <w:r>
              <w:rPr>
                <w:rFonts w:hint="eastAsia"/>
              </w:rPr>
              <w:t>业绩比较基准</w:t>
            </w:r>
          </w:p>
        </w:tc>
        <w:tc>
          <w:tcPr>
            <w:tcW w:w="6644" w:type="dxa"/>
            <w:vAlign w:val="center"/>
          </w:tcPr>
          <w:p w14:paraId="0681C7A0">
            <w:r>
              <w:rPr>
                <w:rFonts w:hint="eastAsia"/>
              </w:rPr>
              <w:t>中债信用债总指数收益率</w:t>
            </w:r>
          </w:p>
        </w:tc>
      </w:tr>
      <w:tr w14:paraId="256C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1A73C4">
            <w:r>
              <w:rPr>
                <w:rFonts w:hint="eastAsia"/>
              </w:rPr>
              <w:t>风险收益特征</w:t>
            </w:r>
          </w:p>
        </w:tc>
        <w:tc>
          <w:tcPr>
            <w:tcW w:w="6644" w:type="dxa"/>
            <w:vAlign w:val="center"/>
          </w:tcPr>
          <w:p w14:paraId="08FB9A5F">
            <w:r>
              <w:rPr>
                <w:rFonts w:hint="eastAsia"/>
              </w:rPr>
              <w:t>本基金为债券型基金，一般而言，其长期平均风险和预期收益率低于股票型基金、混合型基金，高于货币市场基金。</w:t>
            </w:r>
          </w:p>
        </w:tc>
      </w:tr>
    </w:tbl>
    <w:p w14:paraId="1F0DD82B">
      <w:pPr>
        <w:pStyle w:val="23"/>
      </w:pPr>
      <w:bookmarkStart w:id="8" w:name="_Toc2621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E5C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D1E393">
            <w:r>
              <w:rPr>
                <w:rFonts w:hint="eastAsia"/>
              </w:rPr>
              <w:t>项目</w:t>
            </w:r>
          </w:p>
        </w:tc>
        <w:tc>
          <w:tcPr>
            <w:tcW w:w="2270" w:type="dxa"/>
            <w:vAlign w:val="center"/>
          </w:tcPr>
          <w:p w14:paraId="466506BD">
            <w:r>
              <w:rPr>
                <w:rFonts w:hint="eastAsia"/>
              </w:rPr>
              <w:t>基金管理人</w:t>
            </w:r>
          </w:p>
        </w:tc>
        <w:tc>
          <w:tcPr>
            <w:tcW w:w="2990" w:type="dxa"/>
            <w:vAlign w:val="center"/>
          </w:tcPr>
          <w:p w14:paraId="48A4E396">
            <w:r>
              <w:rPr>
                <w:rFonts w:hint="eastAsia"/>
              </w:rPr>
              <w:t>基金托管人</w:t>
            </w:r>
          </w:p>
        </w:tc>
      </w:tr>
      <w:tr w14:paraId="4E8B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7B6E14">
            <w:r>
              <w:rPr>
                <w:rFonts w:hint="eastAsia"/>
              </w:rPr>
              <w:t>名称</w:t>
            </w:r>
          </w:p>
        </w:tc>
        <w:tc>
          <w:tcPr>
            <w:tcW w:w="2270" w:type="dxa"/>
            <w:vAlign w:val="center"/>
          </w:tcPr>
          <w:p w14:paraId="5FDEF1F0">
            <w:r>
              <w:rPr>
                <w:rFonts w:hint="eastAsia"/>
              </w:rPr>
              <w:t>南方基金管理股份有限公司</w:t>
            </w:r>
          </w:p>
        </w:tc>
        <w:tc>
          <w:tcPr>
            <w:tcW w:w="2990" w:type="dxa"/>
            <w:vAlign w:val="center"/>
          </w:tcPr>
          <w:p w14:paraId="4A6DEA84">
            <w:r>
              <w:rPr>
                <w:rFonts w:hint="eastAsia"/>
              </w:rPr>
              <w:t>中国邮政储蓄银行股份有限公司</w:t>
            </w:r>
          </w:p>
        </w:tc>
      </w:tr>
      <w:tr w14:paraId="0D63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F049C3">
            <w:r>
              <w:rPr>
                <w:rFonts w:hint="eastAsia"/>
              </w:rPr>
              <w:t>信息披露负责人</w:t>
            </w:r>
          </w:p>
        </w:tc>
        <w:tc>
          <w:tcPr>
            <w:tcW w:w="1384" w:type="dxa"/>
            <w:vAlign w:val="center"/>
          </w:tcPr>
          <w:p w14:paraId="62FB2601">
            <w:r>
              <w:rPr>
                <w:rFonts w:hint="eastAsia"/>
              </w:rPr>
              <w:t>姓名</w:t>
            </w:r>
          </w:p>
        </w:tc>
        <w:tc>
          <w:tcPr>
            <w:tcW w:w="2270" w:type="dxa"/>
            <w:vAlign w:val="center"/>
          </w:tcPr>
          <w:p w14:paraId="3381882D">
            <w:r>
              <w:rPr>
                <w:rFonts w:hint="eastAsia"/>
              </w:rPr>
              <w:t>鲍文革</w:t>
            </w:r>
          </w:p>
        </w:tc>
        <w:tc>
          <w:tcPr>
            <w:tcW w:w="2990" w:type="dxa"/>
            <w:vAlign w:val="center"/>
          </w:tcPr>
          <w:p w14:paraId="7905E34F">
            <w:r>
              <w:rPr>
                <w:rFonts w:hint="eastAsia"/>
              </w:rPr>
              <w:t>张立学</w:t>
            </w:r>
          </w:p>
        </w:tc>
      </w:tr>
      <w:tr w14:paraId="1C78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89C5D2"/>
        </w:tc>
        <w:tc>
          <w:tcPr>
            <w:tcW w:w="1384" w:type="dxa"/>
            <w:vAlign w:val="center"/>
          </w:tcPr>
          <w:p w14:paraId="1128E30F">
            <w:r>
              <w:rPr>
                <w:rFonts w:hint="eastAsia"/>
              </w:rPr>
              <w:t>联系电话</w:t>
            </w:r>
          </w:p>
        </w:tc>
        <w:tc>
          <w:tcPr>
            <w:tcW w:w="2270" w:type="dxa"/>
            <w:vAlign w:val="center"/>
          </w:tcPr>
          <w:p w14:paraId="29956EE4">
            <w:r>
              <w:rPr>
                <w:rFonts w:hint="eastAsia"/>
              </w:rPr>
              <w:t>0755-82763888</w:t>
            </w:r>
          </w:p>
        </w:tc>
        <w:tc>
          <w:tcPr>
            <w:tcW w:w="2990" w:type="dxa"/>
            <w:vAlign w:val="center"/>
          </w:tcPr>
          <w:p w14:paraId="2E0F0D53">
            <w:r>
              <w:rPr>
                <w:rFonts w:hint="eastAsia"/>
              </w:rPr>
              <w:t>010-68858113</w:t>
            </w:r>
          </w:p>
        </w:tc>
      </w:tr>
      <w:tr w14:paraId="2520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A2DC32"/>
        </w:tc>
        <w:tc>
          <w:tcPr>
            <w:tcW w:w="1384" w:type="dxa"/>
            <w:vAlign w:val="center"/>
          </w:tcPr>
          <w:p w14:paraId="5A71E5A1">
            <w:r>
              <w:rPr>
                <w:rFonts w:hint="eastAsia"/>
              </w:rPr>
              <w:t>电子邮箱</w:t>
            </w:r>
          </w:p>
        </w:tc>
        <w:tc>
          <w:tcPr>
            <w:tcW w:w="2270" w:type="dxa"/>
            <w:vAlign w:val="center"/>
          </w:tcPr>
          <w:p w14:paraId="21F73EC6">
            <w:r>
              <w:rPr>
                <w:rFonts w:hint="eastAsia"/>
              </w:rPr>
              <w:t>manager@southernfund.com</w:t>
            </w:r>
          </w:p>
        </w:tc>
        <w:tc>
          <w:tcPr>
            <w:tcW w:w="2990" w:type="dxa"/>
            <w:vAlign w:val="center"/>
          </w:tcPr>
          <w:p w14:paraId="4A7C413C">
            <w:r>
              <w:rPr>
                <w:rFonts w:hint="eastAsia"/>
              </w:rPr>
              <w:t>zhanglixue@psbcoa.com.cn</w:t>
            </w:r>
          </w:p>
        </w:tc>
      </w:tr>
      <w:tr w14:paraId="4E18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B344C2">
            <w:r>
              <w:rPr>
                <w:rFonts w:hint="eastAsia"/>
              </w:rPr>
              <w:t>客户服务电话</w:t>
            </w:r>
          </w:p>
        </w:tc>
        <w:tc>
          <w:tcPr>
            <w:tcW w:w="2270" w:type="dxa"/>
            <w:vAlign w:val="center"/>
          </w:tcPr>
          <w:p w14:paraId="334940AF">
            <w:r>
              <w:rPr>
                <w:rFonts w:hint="eastAsia"/>
              </w:rPr>
              <w:t>400-889-8899</w:t>
            </w:r>
          </w:p>
        </w:tc>
        <w:tc>
          <w:tcPr>
            <w:tcW w:w="2990" w:type="dxa"/>
            <w:vAlign w:val="center"/>
          </w:tcPr>
          <w:p w14:paraId="28441A54">
            <w:r>
              <w:rPr>
                <w:rFonts w:hint="eastAsia"/>
              </w:rPr>
              <w:t>95580</w:t>
            </w:r>
          </w:p>
        </w:tc>
      </w:tr>
      <w:tr w14:paraId="451A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A5D505">
            <w:r>
              <w:rPr>
                <w:rFonts w:hint="eastAsia"/>
              </w:rPr>
              <w:t>传真</w:t>
            </w:r>
          </w:p>
        </w:tc>
        <w:tc>
          <w:tcPr>
            <w:tcW w:w="2270" w:type="dxa"/>
            <w:vAlign w:val="center"/>
          </w:tcPr>
          <w:p w14:paraId="6CB0AB79">
            <w:r>
              <w:rPr>
                <w:rFonts w:hint="eastAsia"/>
              </w:rPr>
              <w:t>0755-82763889</w:t>
            </w:r>
          </w:p>
        </w:tc>
        <w:tc>
          <w:tcPr>
            <w:tcW w:w="2990" w:type="dxa"/>
            <w:vAlign w:val="center"/>
          </w:tcPr>
          <w:p w14:paraId="3C76D820">
            <w:r>
              <w:rPr>
                <w:rFonts w:hint="eastAsia"/>
              </w:rPr>
              <w:t>010-86353609</w:t>
            </w:r>
          </w:p>
        </w:tc>
      </w:tr>
      <w:tr w14:paraId="6654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E01ADA">
            <w:r>
              <w:rPr>
                <w:rFonts w:hint="eastAsia"/>
              </w:rPr>
              <w:t>注册地址</w:t>
            </w:r>
          </w:p>
        </w:tc>
        <w:tc>
          <w:tcPr>
            <w:tcW w:w="2270" w:type="dxa"/>
            <w:vAlign w:val="center"/>
          </w:tcPr>
          <w:p w14:paraId="7F1474FD">
            <w:r>
              <w:rPr>
                <w:rFonts w:hint="eastAsia"/>
              </w:rPr>
              <w:t>深圳市福田区莲花街道益田路5999号基金大厦32-42楼</w:t>
            </w:r>
          </w:p>
        </w:tc>
        <w:tc>
          <w:tcPr>
            <w:tcW w:w="2990" w:type="dxa"/>
            <w:vAlign w:val="center"/>
          </w:tcPr>
          <w:p w14:paraId="18402684">
            <w:r>
              <w:rPr>
                <w:rFonts w:hint="eastAsia"/>
              </w:rPr>
              <w:t>北京市西城区金融大街3号</w:t>
            </w:r>
          </w:p>
        </w:tc>
      </w:tr>
      <w:tr w14:paraId="542A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429B65">
            <w:r>
              <w:rPr>
                <w:rFonts w:hint="eastAsia"/>
              </w:rPr>
              <w:t>办公地址</w:t>
            </w:r>
          </w:p>
        </w:tc>
        <w:tc>
          <w:tcPr>
            <w:tcW w:w="2270" w:type="dxa"/>
            <w:vAlign w:val="center"/>
          </w:tcPr>
          <w:p w14:paraId="58EFE03D">
            <w:r>
              <w:rPr>
                <w:rFonts w:hint="eastAsia"/>
              </w:rPr>
              <w:t>深圳市福田区莲花街道益田路5999号基金大厦32-42楼</w:t>
            </w:r>
          </w:p>
        </w:tc>
        <w:tc>
          <w:tcPr>
            <w:tcW w:w="2990" w:type="dxa"/>
            <w:vAlign w:val="center"/>
          </w:tcPr>
          <w:p w14:paraId="32779386">
            <w:r>
              <w:rPr>
                <w:rFonts w:hint="eastAsia"/>
              </w:rPr>
              <w:t>北京市西城区金融大街3号A座</w:t>
            </w:r>
          </w:p>
        </w:tc>
      </w:tr>
      <w:tr w14:paraId="29DD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D20C17">
            <w:r>
              <w:rPr>
                <w:rFonts w:hint="eastAsia"/>
              </w:rPr>
              <w:t>邮政编码</w:t>
            </w:r>
          </w:p>
        </w:tc>
        <w:tc>
          <w:tcPr>
            <w:tcW w:w="2270" w:type="dxa"/>
            <w:vAlign w:val="center"/>
          </w:tcPr>
          <w:p w14:paraId="11B7A6F4">
            <w:r>
              <w:rPr>
                <w:rFonts w:hint="eastAsia"/>
              </w:rPr>
              <w:t>518017</w:t>
            </w:r>
          </w:p>
        </w:tc>
        <w:tc>
          <w:tcPr>
            <w:tcW w:w="2990" w:type="dxa"/>
            <w:vAlign w:val="center"/>
          </w:tcPr>
          <w:p w14:paraId="301F0519">
            <w:r>
              <w:rPr>
                <w:rFonts w:hint="eastAsia"/>
              </w:rPr>
              <w:t>100808</w:t>
            </w:r>
          </w:p>
        </w:tc>
      </w:tr>
      <w:tr w14:paraId="4402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ABB18D">
            <w:r>
              <w:rPr>
                <w:rFonts w:hint="eastAsia"/>
              </w:rPr>
              <w:t>法定代表人</w:t>
            </w:r>
          </w:p>
        </w:tc>
        <w:tc>
          <w:tcPr>
            <w:tcW w:w="2270" w:type="dxa"/>
            <w:vAlign w:val="center"/>
          </w:tcPr>
          <w:p w14:paraId="60B727E8">
            <w:r>
              <w:rPr>
                <w:rFonts w:hint="eastAsia"/>
              </w:rPr>
              <w:t>周易</w:t>
            </w:r>
          </w:p>
        </w:tc>
        <w:tc>
          <w:tcPr>
            <w:tcW w:w="2990" w:type="dxa"/>
            <w:vAlign w:val="center"/>
          </w:tcPr>
          <w:p w14:paraId="0CBE27FF">
            <w:r>
              <w:rPr>
                <w:rFonts w:hint="eastAsia"/>
              </w:rPr>
              <w:t>郑国雨</w:t>
            </w:r>
          </w:p>
        </w:tc>
      </w:tr>
    </w:tbl>
    <w:p w14:paraId="096B3439">
      <w:pPr>
        <w:pStyle w:val="23"/>
      </w:pPr>
      <w:bookmarkStart w:id="9" w:name="_Toc1169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F50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04E6A7">
            <w:r>
              <w:rPr>
                <w:rFonts w:hint="eastAsia"/>
              </w:rPr>
              <w:t>本基金选定的信息披露报纸名称</w:t>
            </w:r>
          </w:p>
        </w:tc>
        <w:tc>
          <w:tcPr>
            <w:tcW w:w="3322" w:type="dxa"/>
            <w:vAlign w:val="center"/>
          </w:tcPr>
          <w:p w14:paraId="34696EB5">
            <w:r>
              <w:rPr>
                <w:rFonts w:hint="eastAsia"/>
              </w:rPr>
              <w:t>证券日报</w:t>
            </w:r>
          </w:p>
        </w:tc>
      </w:tr>
      <w:tr w14:paraId="2A20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5FC6E8">
            <w:r>
              <w:rPr>
                <w:rFonts w:hint="eastAsia"/>
              </w:rPr>
              <w:t>登载基金年度报告正文的管理人互联网网址</w:t>
            </w:r>
          </w:p>
        </w:tc>
        <w:tc>
          <w:tcPr>
            <w:tcW w:w="3322" w:type="dxa"/>
            <w:vAlign w:val="center"/>
          </w:tcPr>
          <w:p w14:paraId="379E93F0">
            <w:r>
              <w:rPr>
                <w:rFonts w:hint="eastAsia"/>
              </w:rPr>
              <w:t>http://www.nffund.com</w:t>
            </w:r>
          </w:p>
        </w:tc>
      </w:tr>
      <w:tr w14:paraId="278E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2B7F60">
            <w:r>
              <w:rPr>
                <w:rFonts w:hint="eastAsia"/>
              </w:rPr>
              <w:t>基金年度报告备置地点</w:t>
            </w:r>
          </w:p>
        </w:tc>
        <w:tc>
          <w:tcPr>
            <w:tcW w:w="3322" w:type="dxa"/>
            <w:vAlign w:val="center"/>
          </w:tcPr>
          <w:p w14:paraId="0987A39E">
            <w:r>
              <w:rPr>
                <w:rFonts w:hint="eastAsia"/>
              </w:rPr>
              <w:t>基金管理人、基金托管人的住所、基金上市交易的证券交易所（如有）</w:t>
            </w:r>
          </w:p>
        </w:tc>
      </w:tr>
    </w:tbl>
    <w:p w14:paraId="2CFD0BEB">
      <w:pPr>
        <w:pStyle w:val="23"/>
      </w:pPr>
      <w:r>
        <w:t xml:space="preserve"> </w:t>
      </w:r>
      <w:bookmarkStart w:id="10" w:name="_Toc1185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9BA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28C2F30E">
            <w:pPr>
              <w:jc w:val="center"/>
            </w:pPr>
            <w:r>
              <w:rPr>
                <w:rFonts w:hint="eastAsia"/>
                <w:b/>
              </w:rPr>
              <w:t>项目</w:t>
            </w:r>
          </w:p>
        </w:tc>
        <w:tc>
          <w:tcPr>
            <w:tcW w:w="2907" w:type="dxa"/>
            <w:shd w:val="clear" w:color="auto" w:fill="BFBFBF"/>
            <w:vAlign w:val="center"/>
          </w:tcPr>
          <w:p w14:paraId="5502E3BE">
            <w:pPr>
              <w:jc w:val="center"/>
            </w:pPr>
            <w:r>
              <w:rPr>
                <w:rFonts w:hint="eastAsia"/>
                <w:b/>
              </w:rPr>
              <w:t>名称</w:t>
            </w:r>
          </w:p>
        </w:tc>
        <w:tc>
          <w:tcPr>
            <w:tcW w:w="3876" w:type="dxa"/>
            <w:shd w:val="clear" w:color="auto" w:fill="BFBFBF"/>
            <w:vAlign w:val="center"/>
          </w:tcPr>
          <w:p w14:paraId="0AC5B2FD">
            <w:pPr>
              <w:jc w:val="center"/>
            </w:pPr>
            <w:r>
              <w:rPr>
                <w:rFonts w:hint="eastAsia"/>
                <w:b/>
              </w:rPr>
              <w:t>办公地址</w:t>
            </w:r>
          </w:p>
        </w:tc>
      </w:tr>
      <w:tr w14:paraId="6A4A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vAlign w:val="center"/>
          </w:tcPr>
          <w:p w14:paraId="27AEAD57">
            <w:r>
              <w:rPr>
                <w:rFonts w:hint="eastAsia"/>
              </w:rPr>
              <w:t>会计师事务所</w:t>
            </w:r>
          </w:p>
        </w:tc>
        <w:tc>
          <w:tcPr>
            <w:tcW w:w="2907" w:type="dxa"/>
            <w:vAlign w:val="center"/>
          </w:tcPr>
          <w:p w14:paraId="552B87A6">
            <w:r>
              <w:rPr>
                <w:rFonts w:hint="eastAsia"/>
              </w:rPr>
              <w:t>容诚会计师事务所（特殊普通合伙）</w:t>
            </w:r>
          </w:p>
        </w:tc>
        <w:tc>
          <w:tcPr>
            <w:tcW w:w="3876" w:type="dxa"/>
            <w:vAlign w:val="center"/>
          </w:tcPr>
          <w:p w14:paraId="600EDD10">
            <w:r>
              <w:rPr>
                <w:rFonts w:hint="eastAsia"/>
              </w:rPr>
              <w:t>北京市西城区阜成门外大街22号1幢10层1001-1至1001-26</w:t>
            </w:r>
          </w:p>
        </w:tc>
      </w:tr>
      <w:tr w14:paraId="06F6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345F60C">
            <w:r>
              <w:rPr>
                <w:rFonts w:hint="eastAsia"/>
              </w:rPr>
              <w:t>注册登记机构</w:t>
            </w:r>
          </w:p>
        </w:tc>
        <w:tc>
          <w:tcPr>
            <w:tcW w:w="2907" w:type="dxa"/>
            <w:vAlign w:val="center"/>
          </w:tcPr>
          <w:p w14:paraId="321E765A">
            <w:r>
              <w:rPr>
                <w:rFonts w:hint="eastAsia"/>
              </w:rPr>
              <w:t>南方基金管理股份有限公司</w:t>
            </w:r>
          </w:p>
        </w:tc>
        <w:tc>
          <w:tcPr>
            <w:tcW w:w="3876" w:type="dxa"/>
            <w:vAlign w:val="center"/>
          </w:tcPr>
          <w:p w14:paraId="5FB43739">
            <w:r>
              <w:rPr>
                <w:rFonts w:hint="eastAsia"/>
              </w:rPr>
              <w:t>深圳市福田区莲花街道益田路5999号基金大厦32-42楼</w:t>
            </w:r>
          </w:p>
        </w:tc>
      </w:tr>
    </w:tbl>
    <w:p w14:paraId="77FE74EF">
      <w:pPr>
        <w:pStyle w:val="26"/>
        <w:pageBreakBefore/>
      </w:pPr>
      <w:bookmarkStart w:id="11" w:name="_Toc26593"/>
      <w:r>
        <w:t>主要财务指标、基金净值表现及利润分配情况</w:t>
      </w:r>
      <w:bookmarkEnd w:id="11"/>
    </w:p>
    <w:p w14:paraId="04D9D15E">
      <w:pPr>
        <w:pStyle w:val="23"/>
      </w:pPr>
      <w:bookmarkStart w:id="12" w:name="_Toc3095"/>
      <w:r>
        <w:t>主要会计数据和财务指标</w:t>
      </w:r>
      <w:bookmarkEnd w:id="12"/>
    </w:p>
    <w:p w14:paraId="692518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358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3D4624">
            <w:r>
              <w:rPr>
                <w:rFonts w:hint="eastAsia"/>
              </w:rPr>
              <w:t>3.1.1 期间数据和指标</w:t>
            </w:r>
          </w:p>
        </w:tc>
        <w:tc>
          <w:tcPr>
            <w:tcW w:w="1771" w:type="dxa"/>
            <w:vAlign w:val="center"/>
          </w:tcPr>
          <w:p w14:paraId="570B85BC">
            <w:r>
              <w:rPr>
                <w:rFonts w:hint="eastAsia"/>
              </w:rPr>
              <w:t>2025年</w:t>
            </w:r>
          </w:p>
        </w:tc>
        <w:tc>
          <w:tcPr>
            <w:tcW w:w="1949" w:type="dxa"/>
            <w:vAlign w:val="center"/>
          </w:tcPr>
          <w:p w14:paraId="58C62390">
            <w:r>
              <w:rPr>
                <w:rFonts w:hint="eastAsia"/>
              </w:rPr>
              <w:t>2024年</w:t>
            </w:r>
          </w:p>
        </w:tc>
        <w:tc>
          <w:tcPr>
            <w:tcW w:w="1827" w:type="dxa"/>
            <w:vAlign w:val="center"/>
          </w:tcPr>
          <w:p w14:paraId="42A59689">
            <w:r>
              <w:rPr>
                <w:rFonts w:hint="eastAsia"/>
              </w:rPr>
              <w:t>2023年</w:t>
            </w:r>
          </w:p>
        </w:tc>
      </w:tr>
      <w:tr w14:paraId="790A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B85C63">
            <w:r>
              <w:rPr>
                <w:rFonts w:hint="eastAsia"/>
              </w:rPr>
              <w:t>本期已实现收益</w:t>
            </w:r>
          </w:p>
        </w:tc>
        <w:tc>
          <w:tcPr>
            <w:tcW w:w="1771" w:type="dxa"/>
            <w:vAlign w:val="center"/>
          </w:tcPr>
          <w:p w14:paraId="75F58345">
            <w:pPr>
              <w:jc w:val="right"/>
            </w:pPr>
            <w:r>
              <w:rPr>
                <w:rFonts w:hint="eastAsia"/>
              </w:rPr>
              <w:t>68,032,396.06</w:t>
            </w:r>
          </w:p>
        </w:tc>
        <w:tc>
          <w:tcPr>
            <w:tcW w:w="1949" w:type="dxa"/>
            <w:vAlign w:val="center"/>
          </w:tcPr>
          <w:p w14:paraId="2AE72DED">
            <w:pPr>
              <w:jc w:val="right"/>
            </w:pPr>
            <w:r>
              <w:rPr>
                <w:rFonts w:hint="eastAsia"/>
              </w:rPr>
              <w:t>79,754,212.91</w:t>
            </w:r>
          </w:p>
        </w:tc>
        <w:tc>
          <w:tcPr>
            <w:tcW w:w="1827" w:type="dxa"/>
            <w:vAlign w:val="center"/>
          </w:tcPr>
          <w:p w14:paraId="1429D23F">
            <w:pPr>
              <w:jc w:val="right"/>
            </w:pPr>
            <w:r>
              <w:rPr>
                <w:rFonts w:hint="eastAsia"/>
              </w:rPr>
              <w:t>85,183,227.05</w:t>
            </w:r>
          </w:p>
        </w:tc>
      </w:tr>
      <w:tr w14:paraId="6061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5EAFF3">
            <w:r>
              <w:rPr>
                <w:rFonts w:hint="eastAsia"/>
              </w:rPr>
              <w:t>本期利润</w:t>
            </w:r>
          </w:p>
        </w:tc>
        <w:tc>
          <w:tcPr>
            <w:tcW w:w="1771" w:type="dxa"/>
            <w:vAlign w:val="center"/>
          </w:tcPr>
          <w:p w14:paraId="3D4D723C">
            <w:pPr>
              <w:jc w:val="right"/>
            </w:pPr>
            <w:r>
              <w:rPr>
                <w:rFonts w:hint="eastAsia"/>
              </w:rPr>
              <w:t>7,629,396.80</w:t>
            </w:r>
          </w:p>
        </w:tc>
        <w:tc>
          <w:tcPr>
            <w:tcW w:w="1949" w:type="dxa"/>
            <w:vAlign w:val="center"/>
          </w:tcPr>
          <w:p w14:paraId="661E376D">
            <w:pPr>
              <w:jc w:val="right"/>
            </w:pPr>
            <w:r>
              <w:rPr>
                <w:rFonts w:hint="eastAsia"/>
              </w:rPr>
              <w:t>136,173,502.70</w:t>
            </w:r>
          </w:p>
        </w:tc>
        <w:tc>
          <w:tcPr>
            <w:tcW w:w="1827" w:type="dxa"/>
            <w:vAlign w:val="center"/>
          </w:tcPr>
          <w:p w14:paraId="0B75307F">
            <w:pPr>
              <w:jc w:val="right"/>
            </w:pPr>
            <w:r>
              <w:rPr>
                <w:rFonts w:hint="eastAsia"/>
              </w:rPr>
              <w:t>90,495,076.08</w:t>
            </w:r>
          </w:p>
        </w:tc>
      </w:tr>
      <w:tr w14:paraId="260F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262E66">
            <w:r>
              <w:rPr>
                <w:rFonts w:hint="eastAsia"/>
              </w:rPr>
              <w:t>加权平均基金份额本期利润</w:t>
            </w:r>
          </w:p>
        </w:tc>
        <w:tc>
          <w:tcPr>
            <w:tcW w:w="1771" w:type="dxa"/>
            <w:vAlign w:val="center"/>
          </w:tcPr>
          <w:p w14:paraId="4BA3621C">
            <w:pPr>
              <w:jc w:val="right"/>
            </w:pPr>
            <w:r>
              <w:rPr>
                <w:rFonts w:hint="eastAsia"/>
              </w:rPr>
              <w:t>0.0041</w:t>
            </w:r>
          </w:p>
        </w:tc>
        <w:tc>
          <w:tcPr>
            <w:tcW w:w="1949" w:type="dxa"/>
            <w:vAlign w:val="center"/>
          </w:tcPr>
          <w:p w14:paraId="49ED7EE9">
            <w:pPr>
              <w:jc w:val="right"/>
            </w:pPr>
            <w:r>
              <w:rPr>
                <w:rFonts w:hint="eastAsia"/>
              </w:rPr>
              <w:t>0.0530</w:t>
            </w:r>
          </w:p>
        </w:tc>
        <w:tc>
          <w:tcPr>
            <w:tcW w:w="1827" w:type="dxa"/>
            <w:vAlign w:val="center"/>
          </w:tcPr>
          <w:p w14:paraId="59D81861">
            <w:pPr>
              <w:jc w:val="right"/>
            </w:pPr>
            <w:r>
              <w:rPr>
                <w:rFonts w:hint="eastAsia"/>
              </w:rPr>
              <w:t>0.0353</w:t>
            </w:r>
          </w:p>
        </w:tc>
      </w:tr>
      <w:tr w14:paraId="1DC6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0786F3">
            <w:r>
              <w:rPr>
                <w:rFonts w:hint="eastAsia"/>
              </w:rPr>
              <w:t>本期加权平均净值利润率</w:t>
            </w:r>
          </w:p>
        </w:tc>
        <w:tc>
          <w:tcPr>
            <w:tcW w:w="1771" w:type="dxa"/>
            <w:vAlign w:val="center"/>
          </w:tcPr>
          <w:p w14:paraId="4BB4BCBA">
            <w:pPr>
              <w:jc w:val="right"/>
            </w:pPr>
            <w:r>
              <w:rPr>
                <w:rFonts w:hint="eastAsia"/>
              </w:rPr>
              <w:t>0.33%</w:t>
            </w:r>
          </w:p>
        </w:tc>
        <w:tc>
          <w:tcPr>
            <w:tcW w:w="1949" w:type="dxa"/>
            <w:vAlign w:val="center"/>
          </w:tcPr>
          <w:p w14:paraId="456F5FD3">
            <w:pPr>
              <w:jc w:val="right"/>
            </w:pPr>
            <w:r>
              <w:rPr>
                <w:rFonts w:hint="eastAsia"/>
              </w:rPr>
              <w:t>4.34%</w:t>
            </w:r>
          </w:p>
        </w:tc>
        <w:tc>
          <w:tcPr>
            <w:tcW w:w="1827" w:type="dxa"/>
            <w:vAlign w:val="center"/>
          </w:tcPr>
          <w:p w14:paraId="0868F758">
            <w:pPr>
              <w:jc w:val="right"/>
            </w:pPr>
            <w:r>
              <w:rPr>
                <w:rFonts w:hint="eastAsia"/>
              </w:rPr>
              <w:t>2.92%</w:t>
            </w:r>
          </w:p>
        </w:tc>
      </w:tr>
      <w:tr w14:paraId="50E6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F2FC00">
            <w:r>
              <w:rPr>
                <w:rFonts w:hint="eastAsia"/>
              </w:rPr>
              <w:t>本期基金份额净值增长率</w:t>
            </w:r>
          </w:p>
        </w:tc>
        <w:tc>
          <w:tcPr>
            <w:tcW w:w="1771" w:type="dxa"/>
            <w:vAlign w:val="center"/>
          </w:tcPr>
          <w:p w14:paraId="604C82FA">
            <w:pPr>
              <w:jc w:val="right"/>
            </w:pPr>
            <w:r>
              <w:rPr>
                <w:rFonts w:hint="eastAsia"/>
              </w:rPr>
              <w:t>0.74%</w:t>
            </w:r>
          </w:p>
        </w:tc>
        <w:tc>
          <w:tcPr>
            <w:tcW w:w="1949" w:type="dxa"/>
            <w:vAlign w:val="center"/>
          </w:tcPr>
          <w:p w14:paraId="61942C29">
            <w:pPr>
              <w:jc w:val="right"/>
            </w:pPr>
            <w:r>
              <w:rPr>
                <w:rFonts w:hint="eastAsia"/>
              </w:rPr>
              <w:t>4.40%</w:t>
            </w:r>
          </w:p>
        </w:tc>
        <w:tc>
          <w:tcPr>
            <w:tcW w:w="1827" w:type="dxa"/>
            <w:vAlign w:val="center"/>
          </w:tcPr>
          <w:p w14:paraId="7A42A947">
            <w:pPr>
              <w:jc w:val="right"/>
            </w:pPr>
            <w:r>
              <w:rPr>
                <w:rFonts w:hint="eastAsia"/>
              </w:rPr>
              <w:t>2.97%</w:t>
            </w:r>
          </w:p>
        </w:tc>
      </w:tr>
      <w:tr w14:paraId="563F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17BAEE">
            <w:r>
              <w:rPr>
                <w:rFonts w:hint="eastAsia"/>
              </w:rPr>
              <w:t>3.1.2 期末数据和指标</w:t>
            </w:r>
          </w:p>
        </w:tc>
        <w:tc>
          <w:tcPr>
            <w:tcW w:w="1771" w:type="dxa"/>
            <w:vAlign w:val="center"/>
          </w:tcPr>
          <w:p w14:paraId="780C825C">
            <w:r>
              <w:rPr>
                <w:rFonts w:hint="eastAsia"/>
              </w:rPr>
              <w:t>2025年末</w:t>
            </w:r>
          </w:p>
        </w:tc>
        <w:tc>
          <w:tcPr>
            <w:tcW w:w="1949" w:type="dxa"/>
            <w:vAlign w:val="center"/>
          </w:tcPr>
          <w:p w14:paraId="42D95B02">
            <w:r>
              <w:rPr>
                <w:rFonts w:hint="eastAsia"/>
              </w:rPr>
              <w:t>2024年末</w:t>
            </w:r>
          </w:p>
        </w:tc>
        <w:tc>
          <w:tcPr>
            <w:tcW w:w="1827" w:type="dxa"/>
            <w:vAlign w:val="center"/>
          </w:tcPr>
          <w:p w14:paraId="2F6C4D33">
            <w:r>
              <w:rPr>
                <w:rFonts w:hint="eastAsia"/>
              </w:rPr>
              <w:t>2023年末</w:t>
            </w:r>
          </w:p>
        </w:tc>
      </w:tr>
      <w:tr w14:paraId="6C30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72406E">
            <w:r>
              <w:rPr>
                <w:rFonts w:hint="eastAsia"/>
              </w:rPr>
              <w:t>期末可供分配利润</w:t>
            </w:r>
          </w:p>
        </w:tc>
        <w:tc>
          <w:tcPr>
            <w:tcW w:w="1771" w:type="dxa"/>
            <w:vAlign w:val="center"/>
          </w:tcPr>
          <w:p w14:paraId="200A584F">
            <w:pPr>
              <w:jc w:val="right"/>
            </w:pPr>
            <w:r>
              <w:rPr>
                <w:rFonts w:hint="eastAsia"/>
              </w:rPr>
              <w:t>12,401,850.83</w:t>
            </w:r>
          </w:p>
        </w:tc>
        <w:tc>
          <w:tcPr>
            <w:tcW w:w="1949" w:type="dxa"/>
            <w:vAlign w:val="center"/>
          </w:tcPr>
          <w:p w14:paraId="60E865DC">
            <w:pPr>
              <w:jc w:val="right"/>
            </w:pPr>
            <w:r>
              <w:rPr>
                <w:rFonts w:hint="eastAsia"/>
              </w:rPr>
              <w:t>616,609,557.78</w:t>
            </w:r>
          </w:p>
        </w:tc>
        <w:tc>
          <w:tcPr>
            <w:tcW w:w="1827" w:type="dxa"/>
            <w:vAlign w:val="center"/>
          </w:tcPr>
          <w:p w14:paraId="0F1B75C5">
            <w:pPr>
              <w:jc w:val="right"/>
            </w:pPr>
            <w:r>
              <w:rPr>
                <w:rFonts w:hint="eastAsia"/>
              </w:rPr>
              <w:t>512,655,690.81</w:t>
            </w:r>
          </w:p>
        </w:tc>
      </w:tr>
      <w:tr w14:paraId="678E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9D69F0">
            <w:r>
              <w:rPr>
                <w:rFonts w:hint="eastAsia"/>
              </w:rPr>
              <w:t>期末可供分配基金份额利润</w:t>
            </w:r>
          </w:p>
        </w:tc>
        <w:tc>
          <w:tcPr>
            <w:tcW w:w="1771" w:type="dxa"/>
            <w:vAlign w:val="center"/>
          </w:tcPr>
          <w:p w14:paraId="43BF3297">
            <w:pPr>
              <w:jc w:val="right"/>
            </w:pPr>
            <w:r>
              <w:rPr>
                <w:rFonts w:hint="eastAsia"/>
              </w:rPr>
              <w:t>0.2278</w:t>
            </w:r>
          </w:p>
        </w:tc>
        <w:tc>
          <w:tcPr>
            <w:tcW w:w="1949" w:type="dxa"/>
            <w:vAlign w:val="center"/>
          </w:tcPr>
          <w:p w14:paraId="4D42C75B">
            <w:pPr>
              <w:jc w:val="right"/>
            </w:pPr>
            <w:r>
              <w:rPr>
                <w:rFonts w:hint="eastAsia"/>
              </w:rPr>
              <w:t>0.2380</w:t>
            </w:r>
          </w:p>
        </w:tc>
        <w:tc>
          <w:tcPr>
            <w:tcW w:w="1827" w:type="dxa"/>
            <w:vAlign w:val="center"/>
          </w:tcPr>
          <w:p w14:paraId="2F0EC524">
            <w:pPr>
              <w:jc w:val="right"/>
            </w:pPr>
            <w:r>
              <w:rPr>
                <w:rFonts w:hint="eastAsia"/>
              </w:rPr>
              <w:t>0.1997</w:t>
            </w:r>
          </w:p>
        </w:tc>
      </w:tr>
      <w:tr w14:paraId="4555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2A99A4">
            <w:r>
              <w:rPr>
                <w:rFonts w:hint="eastAsia"/>
              </w:rPr>
              <w:t>期末基金资产净值</w:t>
            </w:r>
          </w:p>
        </w:tc>
        <w:tc>
          <w:tcPr>
            <w:tcW w:w="1771" w:type="dxa"/>
            <w:vAlign w:val="center"/>
          </w:tcPr>
          <w:p w14:paraId="0C69FF98">
            <w:pPr>
              <w:jc w:val="right"/>
            </w:pPr>
            <w:r>
              <w:rPr>
                <w:rFonts w:hint="eastAsia"/>
              </w:rPr>
              <w:t>67,162,255.80</w:t>
            </w:r>
          </w:p>
        </w:tc>
        <w:tc>
          <w:tcPr>
            <w:tcW w:w="1949" w:type="dxa"/>
            <w:vAlign w:val="center"/>
          </w:tcPr>
          <w:p w14:paraId="696A9E18">
            <w:pPr>
              <w:jc w:val="right"/>
            </w:pPr>
            <w:r>
              <w:rPr>
                <w:rFonts w:hint="eastAsia"/>
              </w:rPr>
              <w:t>3,244,985,343.93</w:t>
            </w:r>
          </w:p>
        </w:tc>
        <w:tc>
          <w:tcPr>
            <w:tcW w:w="1827" w:type="dxa"/>
            <w:vAlign w:val="center"/>
          </w:tcPr>
          <w:p w14:paraId="65E6461D">
            <w:pPr>
              <w:jc w:val="right"/>
            </w:pPr>
            <w:r>
              <w:rPr>
                <w:rFonts w:hint="eastAsia"/>
              </w:rPr>
              <w:t>3,078,813,061.02</w:t>
            </w:r>
          </w:p>
        </w:tc>
      </w:tr>
      <w:tr w14:paraId="4D39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E73441">
            <w:r>
              <w:rPr>
                <w:rFonts w:hint="eastAsia"/>
              </w:rPr>
              <w:t>期末基金份额净值</w:t>
            </w:r>
          </w:p>
        </w:tc>
        <w:tc>
          <w:tcPr>
            <w:tcW w:w="1771" w:type="dxa"/>
            <w:vAlign w:val="center"/>
          </w:tcPr>
          <w:p w14:paraId="4D284EB1">
            <w:pPr>
              <w:jc w:val="right"/>
            </w:pPr>
            <w:r>
              <w:rPr>
                <w:rFonts w:hint="eastAsia"/>
              </w:rPr>
              <w:t>1.2338</w:t>
            </w:r>
          </w:p>
        </w:tc>
        <w:tc>
          <w:tcPr>
            <w:tcW w:w="1949" w:type="dxa"/>
            <w:vAlign w:val="center"/>
          </w:tcPr>
          <w:p w14:paraId="48A6E8DF">
            <w:pPr>
              <w:jc w:val="right"/>
            </w:pPr>
            <w:r>
              <w:rPr>
                <w:rFonts w:hint="eastAsia"/>
              </w:rPr>
              <w:t>1.2526</w:t>
            </w:r>
          </w:p>
        </w:tc>
        <w:tc>
          <w:tcPr>
            <w:tcW w:w="1827" w:type="dxa"/>
            <w:vAlign w:val="center"/>
          </w:tcPr>
          <w:p w14:paraId="5C0DCA18">
            <w:pPr>
              <w:jc w:val="right"/>
            </w:pPr>
            <w:r>
              <w:rPr>
                <w:rFonts w:hint="eastAsia"/>
              </w:rPr>
              <w:t>1.1998</w:t>
            </w:r>
          </w:p>
        </w:tc>
      </w:tr>
      <w:tr w14:paraId="5B93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3EF645">
            <w:r>
              <w:rPr>
                <w:rFonts w:hint="eastAsia"/>
              </w:rPr>
              <w:t>3.1.3 累计期末指标</w:t>
            </w:r>
          </w:p>
        </w:tc>
        <w:tc>
          <w:tcPr>
            <w:tcW w:w="1771" w:type="dxa"/>
            <w:vAlign w:val="center"/>
          </w:tcPr>
          <w:p w14:paraId="054E4589">
            <w:r>
              <w:rPr>
                <w:rFonts w:hint="eastAsia"/>
              </w:rPr>
              <w:t>2025年末</w:t>
            </w:r>
          </w:p>
        </w:tc>
        <w:tc>
          <w:tcPr>
            <w:tcW w:w="1949" w:type="dxa"/>
            <w:vAlign w:val="center"/>
          </w:tcPr>
          <w:p w14:paraId="3ADE3870">
            <w:r>
              <w:rPr>
                <w:rFonts w:hint="eastAsia"/>
              </w:rPr>
              <w:t>2024年末</w:t>
            </w:r>
          </w:p>
        </w:tc>
        <w:tc>
          <w:tcPr>
            <w:tcW w:w="1827" w:type="dxa"/>
            <w:vAlign w:val="center"/>
          </w:tcPr>
          <w:p w14:paraId="770AEFBB">
            <w:r>
              <w:rPr>
                <w:rFonts w:hint="eastAsia"/>
              </w:rPr>
              <w:t>2023年末</w:t>
            </w:r>
          </w:p>
        </w:tc>
      </w:tr>
      <w:tr w14:paraId="0C8D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EEC8D5">
            <w:r>
              <w:rPr>
                <w:rFonts w:hint="eastAsia"/>
              </w:rPr>
              <w:t>基金份额累计净值增长率</w:t>
            </w:r>
          </w:p>
        </w:tc>
        <w:tc>
          <w:tcPr>
            <w:tcW w:w="1771" w:type="dxa"/>
            <w:vAlign w:val="center"/>
          </w:tcPr>
          <w:p w14:paraId="10ED77ED">
            <w:pPr>
              <w:jc w:val="right"/>
            </w:pPr>
            <w:r>
              <w:rPr>
                <w:rFonts w:hint="eastAsia"/>
              </w:rPr>
              <w:t>36.12%</w:t>
            </w:r>
          </w:p>
        </w:tc>
        <w:tc>
          <w:tcPr>
            <w:tcW w:w="1949" w:type="dxa"/>
            <w:vAlign w:val="center"/>
          </w:tcPr>
          <w:p w14:paraId="3639202E">
            <w:pPr>
              <w:jc w:val="right"/>
            </w:pPr>
            <w:r>
              <w:rPr>
                <w:rFonts w:hint="eastAsia"/>
              </w:rPr>
              <w:t>35.13%</w:t>
            </w:r>
          </w:p>
        </w:tc>
        <w:tc>
          <w:tcPr>
            <w:tcW w:w="1827" w:type="dxa"/>
            <w:vAlign w:val="center"/>
          </w:tcPr>
          <w:p w14:paraId="5B8251F1">
            <w:pPr>
              <w:jc w:val="right"/>
            </w:pPr>
            <w:r>
              <w:rPr>
                <w:rFonts w:hint="eastAsia"/>
              </w:rPr>
              <w:t>29.43%</w:t>
            </w:r>
          </w:p>
        </w:tc>
      </w:tr>
    </w:tbl>
    <w:p w14:paraId="0DC61ED4">
      <w:pPr>
        <w:pStyle w:val="47"/>
        <w:rPr>
          <w:rFonts w:hint="eastAsia"/>
        </w:rPr>
      </w:pPr>
      <w:r>
        <w:rPr>
          <w:rFonts w:hint="eastAsia"/>
        </w:rPr>
        <w:t>注：基金业绩指标不包括持有人认（申）购或交易基金的各项费用，计入费用后实际收益水平要低于所列数字；</w:t>
      </w:r>
    </w:p>
    <w:p w14:paraId="2EBCE97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F5055D4">
      <w:pPr>
        <w:pStyle w:val="47"/>
        <w:rPr>
          <w:rFonts w:hint="eastAsia"/>
        </w:rPr>
      </w:pPr>
      <w:r>
        <w:tab/>
      </w:r>
      <w:r>
        <w:rPr>
          <w:rFonts w:hint="eastAsia"/>
        </w:rPr>
        <w:t>对期末可供分配利润，采用期末资产负债表中未分配利润与未分配利润中已实现部分的孰低数。</w:t>
      </w:r>
    </w:p>
    <w:p w14:paraId="7F762608">
      <w:pPr>
        <w:pStyle w:val="23"/>
      </w:pPr>
      <w:bookmarkStart w:id="13" w:name="_Toc25332"/>
      <w:r>
        <w:t>基金净值表现</w:t>
      </w:r>
      <w:bookmarkEnd w:id="13"/>
      <w:r>
        <w:t xml:space="preserve"> </w:t>
      </w:r>
    </w:p>
    <w:p w14:paraId="5792E2E8">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A11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98BE425">
            <w:pPr>
              <w:jc w:val="center"/>
            </w:pPr>
            <w:r>
              <w:rPr>
                <w:rFonts w:hint="eastAsia"/>
                <w:b/>
              </w:rPr>
              <w:t>阶段</w:t>
            </w:r>
          </w:p>
        </w:tc>
        <w:tc>
          <w:tcPr>
            <w:tcW w:w="1101" w:type="dxa"/>
            <w:shd w:val="clear" w:color="auto" w:fill="BFBFBF"/>
            <w:vAlign w:val="center"/>
          </w:tcPr>
          <w:p w14:paraId="2229EB05">
            <w:pPr>
              <w:jc w:val="center"/>
            </w:pPr>
            <w:r>
              <w:rPr>
                <w:rFonts w:hint="eastAsia"/>
                <w:b/>
              </w:rPr>
              <w:t>份额净值增长率①</w:t>
            </w:r>
          </w:p>
        </w:tc>
        <w:tc>
          <w:tcPr>
            <w:tcW w:w="1101" w:type="dxa"/>
            <w:shd w:val="clear" w:color="auto" w:fill="BFBFBF"/>
            <w:vAlign w:val="center"/>
          </w:tcPr>
          <w:p w14:paraId="48ADC0FD">
            <w:pPr>
              <w:jc w:val="center"/>
            </w:pPr>
            <w:r>
              <w:rPr>
                <w:rFonts w:hint="eastAsia"/>
                <w:b/>
              </w:rPr>
              <w:t>份额净值增长率标准差②</w:t>
            </w:r>
          </w:p>
        </w:tc>
        <w:tc>
          <w:tcPr>
            <w:tcW w:w="1101" w:type="dxa"/>
            <w:shd w:val="clear" w:color="auto" w:fill="BFBFBF"/>
            <w:vAlign w:val="center"/>
          </w:tcPr>
          <w:p w14:paraId="34E2FBD7">
            <w:pPr>
              <w:jc w:val="center"/>
            </w:pPr>
            <w:r>
              <w:rPr>
                <w:rFonts w:hint="eastAsia"/>
                <w:b/>
              </w:rPr>
              <w:t>业绩比较基准收益率③</w:t>
            </w:r>
          </w:p>
        </w:tc>
        <w:tc>
          <w:tcPr>
            <w:tcW w:w="1207" w:type="dxa"/>
            <w:shd w:val="clear" w:color="auto" w:fill="BFBFBF"/>
            <w:vAlign w:val="center"/>
          </w:tcPr>
          <w:p w14:paraId="1A6B3033">
            <w:pPr>
              <w:jc w:val="center"/>
            </w:pPr>
            <w:r>
              <w:rPr>
                <w:rFonts w:hint="eastAsia"/>
                <w:b/>
              </w:rPr>
              <w:t>业绩比较基准收益率标准差④</w:t>
            </w:r>
          </w:p>
        </w:tc>
        <w:tc>
          <w:tcPr>
            <w:tcW w:w="1251" w:type="dxa"/>
            <w:shd w:val="clear" w:color="auto" w:fill="BFBFBF"/>
            <w:vAlign w:val="center"/>
          </w:tcPr>
          <w:p w14:paraId="1E580454">
            <w:pPr>
              <w:jc w:val="center"/>
            </w:pPr>
            <w:r>
              <w:rPr>
                <w:rFonts w:hint="eastAsia"/>
                <w:b/>
              </w:rPr>
              <w:t>①-③</w:t>
            </w:r>
          </w:p>
        </w:tc>
        <w:tc>
          <w:tcPr>
            <w:tcW w:w="1218" w:type="dxa"/>
            <w:shd w:val="clear" w:color="auto" w:fill="BFBFBF"/>
            <w:vAlign w:val="center"/>
          </w:tcPr>
          <w:p w14:paraId="637C0389">
            <w:pPr>
              <w:jc w:val="center"/>
            </w:pPr>
            <w:r>
              <w:rPr>
                <w:rFonts w:hint="eastAsia"/>
                <w:b/>
              </w:rPr>
              <w:t>②-④</w:t>
            </w:r>
          </w:p>
        </w:tc>
      </w:tr>
      <w:tr w14:paraId="65EF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E1D79B">
            <w:r>
              <w:rPr>
                <w:rFonts w:hint="eastAsia"/>
              </w:rPr>
              <w:t>过去三个月</w:t>
            </w:r>
          </w:p>
        </w:tc>
        <w:tc>
          <w:tcPr>
            <w:tcW w:w="1101" w:type="dxa"/>
            <w:vAlign w:val="center"/>
          </w:tcPr>
          <w:p w14:paraId="20C07D2C">
            <w:pPr>
              <w:jc w:val="right"/>
            </w:pPr>
            <w:r>
              <w:rPr>
                <w:rFonts w:hint="eastAsia"/>
              </w:rPr>
              <w:t>1.58%</w:t>
            </w:r>
          </w:p>
        </w:tc>
        <w:tc>
          <w:tcPr>
            <w:tcW w:w="1101" w:type="dxa"/>
            <w:vAlign w:val="center"/>
          </w:tcPr>
          <w:p w14:paraId="4A8846C7">
            <w:pPr>
              <w:jc w:val="right"/>
            </w:pPr>
            <w:r>
              <w:rPr>
                <w:rFonts w:hint="eastAsia"/>
              </w:rPr>
              <w:t>0.10%</w:t>
            </w:r>
          </w:p>
        </w:tc>
        <w:tc>
          <w:tcPr>
            <w:tcW w:w="1101" w:type="dxa"/>
            <w:vAlign w:val="center"/>
          </w:tcPr>
          <w:p w14:paraId="405201A2">
            <w:pPr>
              <w:jc w:val="right"/>
            </w:pPr>
            <w:r>
              <w:rPr>
                <w:rFonts w:hint="eastAsia"/>
              </w:rPr>
              <w:t>0.31%</w:t>
            </w:r>
          </w:p>
        </w:tc>
        <w:tc>
          <w:tcPr>
            <w:tcW w:w="1207" w:type="dxa"/>
            <w:vAlign w:val="center"/>
          </w:tcPr>
          <w:p w14:paraId="22A371E6">
            <w:pPr>
              <w:jc w:val="right"/>
            </w:pPr>
            <w:r>
              <w:rPr>
                <w:rFonts w:hint="eastAsia"/>
              </w:rPr>
              <w:t>0.02%</w:t>
            </w:r>
          </w:p>
        </w:tc>
        <w:tc>
          <w:tcPr>
            <w:tcW w:w="1251" w:type="dxa"/>
            <w:vAlign w:val="center"/>
          </w:tcPr>
          <w:p w14:paraId="089FF084">
            <w:pPr>
              <w:jc w:val="right"/>
            </w:pPr>
            <w:r>
              <w:rPr>
                <w:rFonts w:hint="eastAsia"/>
              </w:rPr>
              <w:t>1.27%</w:t>
            </w:r>
          </w:p>
        </w:tc>
        <w:tc>
          <w:tcPr>
            <w:tcW w:w="1218" w:type="dxa"/>
            <w:vAlign w:val="center"/>
          </w:tcPr>
          <w:p w14:paraId="0E895088">
            <w:pPr>
              <w:jc w:val="right"/>
            </w:pPr>
            <w:r>
              <w:rPr>
                <w:rFonts w:hint="eastAsia"/>
              </w:rPr>
              <w:t>0.08%</w:t>
            </w:r>
          </w:p>
        </w:tc>
      </w:tr>
      <w:tr w14:paraId="0A93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17E6A2">
            <w:r>
              <w:rPr>
                <w:rFonts w:hint="eastAsia"/>
              </w:rPr>
              <w:t>过去六个月</w:t>
            </w:r>
          </w:p>
        </w:tc>
        <w:tc>
          <w:tcPr>
            <w:tcW w:w="1101" w:type="dxa"/>
            <w:vAlign w:val="center"/>
          </w:tcPr>
          <w:p w14:paraId="15E68569">
            <w:pPr>
              <w:jc w:val="right"/>
            </w:pPr>
            <w:r>
              <w:rPr>
                <w:rFonts w:hint="eastAsia"/>
              </w:rPr>
              <w:t>0.13%</w:t>
            </w:r>
          </w:p>
        </w:tc>
        <w:tc>
          <w:tcPr>
            <w:tcW w:w="1101" w:type="dxa"/>
            <w:vAlign w:val="center"/>
          </w:tcPr>
          <w:p w14:paraId="255EE648">
            <w:pPr>
              <w:jc w:val="right"/>
            </w:pPr>
            <w:r>
              <w:rPr>
                <w:rFonts w:hint="eastAsia"/>
              </w:rPr>
              <w:t>0.12%</w:t>
            </w:r>
          </w:p>
        </w:tc>
        <w:tc>
          <w:tcPr>
            <w:tcW w:w="1101" w:type="dxa"/>
            <w:vAlign w:val="center"/>
          </w:tcPr>
          <w:p w14:paraId="1C7DDB3F">
            <w:pPr>
              <w:jc w:val="right"/>
            </w:pPr>
            <w:r>
              <w:rPr>
                <w:rFonts w:hint="eastAsia"/>
              </w:rPr>
              <w:t>-0.26%</w:t>
            </w:r>
          </w:p>
        </w:tc>
        <w:tc>
          <w:tcPr>
            <w:tcW w:w="1207" w:type="dxa"/>
            <w:vAlign w:val="center"/>
          </w:tcPr>
          <w:p w14:paraId="34BB258F">
            <w:pPr>
              <w:jc w:val="right"/>
            </w:pPr>
            <w:r>
              <w:rPr>
                <w:rFonts w:hint="eastAsia"/>
              </w:rPr>
              <w:t>0.03%</w:t>
            </w:r>
          </w:p>
        </w:tc>
        <w:tc>
          <w:tcPr>
            <w:tcW w:w="1251" w:type="dxa"/>
            <w:vAlign w:val="center"/>
          </w:tcPr>
          <w:p w14:paraId="26E1E4C4">
            <w:pPr>
              <w:jc w:val="right"/>
            </w:pPr>
            <w:r>
              <w:rPr>
                <w:rFonts w:hint="eastAsia"/>
              </w:rPr>
              <w:t>0.39%</w:t>
            </w:r>
          </w:p>
        </w:tc>
        <w:tc>
          <w:tcPr>
            <w:tcW w:w="1218" w:type="dxa"/>
            <w:vAlign w:val="center"/>
          </w:tcPr>
          <w:p w14:paraId="1EF3136E">
            <w:pPr>
              <w:jc w:val="right"/>
            </w:pPr>
            <w:r>
              <w:rPr>
                <w:rFonts w:hint="eastAsia"/>
              </w:rPr>
              <w:t>0.09%</w:t>
            </w:r>
          </w:p>
        </w:tc>
      </w:tr>
      <w:tr w14:paraId="5016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FE470D">
            <w:r>
              <w:rPr>
                <w:rFonts w:hint="eastAsia"/>
              </w:rPr>
              <w:t>过去一年</w:t>
            </w:r>
          </w:p>
        </w:tc>
        <w:tc>
          <w:tcPr>
            <w:tcW w:w="1101" w:type="dxa"/>
            <w:vAlign w:val="center"/>
          </w:tcPr>
          <w:p w14:paraId="66F50A14">
            <w:pPr>
              <w:jc w:val="right"/>
            </w:pPr>
            <w:r>
              <w:rPr>
                <w:rFonts w:hint="eastAsia"/>
              </w:rPr>
              <w:t>0.74%</w:t>
            </w:r>
          </w:p>
        </w:tc>
        <w:tc>
          <w:tcPr>
            <w:tcW w:w="1101" w:type="dxa"/>
            <w:vAlign w:val="center"/>
          </w:tcPr>
          <w:p w14:paraId="64E3F1A2">
            <w:pPr>
              <w:jc w:val="right"/>
            </w:pPr>
            <w:r>
              <w:rPr>
                <w:rFonts w:hint="eastAsia"/>
              </w:rPr>
              <w:t>0.11%</w:t>
            </w:r>
          </w:p>
        </w:tc>
        <w:tc>
          <w:tcPr>
            <w:tcW w:w="1101" w:type="dxa"/>
            <w:vAlign w:val="center"/>
          </w:tcPr>
          <w:p w14:paraId="2C4ABB42">
            <w:pPr>
              <w:jc w:val="right"/>
            </w:pPr>
            <w:r>
              <w:rPr>
                <w:rFonts w:hint="eastAsia"/>
              </w:rPr>
              <w:t>-0.03%</w:t>
            </w:r>
          </w:p>
        </w:tc>
        <w:tc>
          <w:tcPr>
            <w:tcW w:w="1207" w:type="dxa"/>
            <w:vAlign w:val="center"/>
          </w:tcPr>
          <w:p w14:paraId="0159F29F">
            <w:pPr>
              <w:jc w:val="right"/>
            </w:pPr>
            <w:r>
              <w:rPr>
                <w:rFonts w:hint="eastAsia"/>
              </w:rPr>
              <w:t>0.03%</w:t>
            </w:r>
          </w:p>
        </w:tc>
        <w:tc>
          <w:tcPr>
            <w:tcW w:w="1251" w:type="dxa"/>
            <w:vAlign w:val="center"/>
          </w:tcPr>
          <w:p w14:paraId="6ADAB799">
            <w:pPr>
              <w:jc w:val="right"/>
            </w:pPr>
            <w:r>
              <w:rPr>
                <w:rFonts w:hint="eastAsia"/>
              </w:rPr>
              <w:t>0.77%</w:t>
            </w:r>
          </w:p>
        </w:tc>
        <w:tc>
          <w:tcPr>
            <w:tcW w:w="1218" w:type="dxa"/>
            <w:vAlign w:val="center"/>
          </w:tcPr>
          <w:p w14:paraId="0BE17B54">
            <w:pPr>
              <w:jc w:val="right"/>
            </w:pPr>
            <w:r>
              <w:rPr>
                <w:rFonts w:hint="eastAsia"/>
              </w:rPr>
              <w:t>0.08%</w:t>
            </w:r>
          </w:p>
        </w:tc>
      </w:tr>
      <w:tr w14:paraId="3582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A3B7BB">
            <w:r>
              <w:rPr>
                <w:rFonts w:hint="eastAsia"/>
              </w:rPr>
              <w:t>过去三年</w:t>
            </w:r>
          </w:p>
        </w:tc>
        <w:tc>
          <w:tcPr>
            <w:tcW w:w="1101" w:type="dxa"/>
            <w:vAlign w:val="center"/>
          </w:tcPr>
          <w:p w14:paraId="72896D87">
            <w:pPr>
              <w:jc w:val="right"/>
            </w:pPr>
            <w:r>
              <w:rPr>
                <w:rFonts w:hint="eastAsia"/>
              </w:rPr>
              <w:t>8.29%</w:t>
            </w:r>
          </w:p>
        </w:tc>
        <w:tc>
          <w:tcPr>
            <w:tcW w:w="1101" w:type="dxa"/>
            <w:vAlign w:val="center"/>
          </w:tcPr>
          <w:p w14:paraId="3D28BF7F">
            <w:pPr>
              <w:jc w:val="right"/>
            </w:pPr>
            <w:r>
              <w:rPr>
                <w:rFonts w:hint="eastAsia"/>
              </w:rPr>
              <w:t>0.07%</w:t>
            </w:r>
          </w:p>
        </w:tc>
        <w:tc>
          <w:tcPr>
            <w:tcW w:w="1101" w:type="dxa"/>
            <w:vAlign w:val="center"/>
          </w:tcPr>
          <w:p w14:paraId="4C7C1904">
            <w:pPr>
              <w:jc w:val="right"/>
            </w:pPr>
            <w:r>
              <w:rPr>
                <w:rFonts w:hint="eastAsia"/>
              </w:rPr>
              <w:t>4.38%</w:t>
            </w:r>
          </w:p>
        </w:tc>
        <w:tc>
          <w:tcPr>
            <w:tcW w:w="1207" w:type="dxa"/>
            <w:vAlign w:val="center"/>
          </w:tcPr>
          <w:p w14:paraId="48548542">
            <w:pPr>
              <w:jc w:val="right"/>
            </w:pPr>
            <w:r>
              <w:rPr>
                <w:rFonts w:hint="eastAsia"/>
              </w:rPr>
              <w:t>0.03%</w:t>
            </w:r>
          </w:p>
        </w:tc>
        <w:tc>
          <w:tcPr>
            <w:tcW w:w="1251" w:type="dxa"/>
            <w:vAlign w:val="center"/>
          </w:tcPr>
          <w:p w14:paraId="02E77E76">
            <w:pPr>
              <w:jc w:val="right"/>
            </w:pPr>
            <w:r>
              <w:rPr>
                <w:rFonts w:hint="eastAsia"/>
              </w:rPr>
              <w:t>3.91%</w:t>
            </w:r>
          </w:p>
        </w:tc>
        <w:tc>
          <w:tcPr>
            <w:tcW w:w="1218" w:type="dxa"/>
            <w:vAlign w:val="center"/>
          </w:tcPr>
          <w:p w14:paraId="6C7BA0FB">
            <w:pPr>
              <w:jc w:val="right"/>
            </w:pPr>
            <w:r>
              <w:rPr>
                <w:rFonts w:hint="eastAsia"/>
              </w:rPr>
              <w:t>0.04%</w:t>
            </w:r>
          </w:p>
        </w:tc>
      </w:tr>
      <w:tr w14:paraId="0A8F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031841">
            <w:r>
              <w:rPr>
                <w:rFonts w:hint="eastAsia"/>
              </w:rPr>
              <w:t>过去五年</w:t>
            </w:r>
          </w:p>
        </w:tc>
        <w:tc>
          <w:tcPr>
            <w:tcW w:w="1101" w:type="dxa"/>
            <w:vAlign w:val="center"/>
          </w:tcPr>
          <w:p w14:paraId="0DF8D365">
            <w:pPr>
              <w:jc w:val="right"/>
            </w:pPr>
            <w:r>
              <w:rPr>
                <w:rFonts w:hint="eastAsia"/>
              </w:rPr>
              <w:t>14.88%</w:t>
            </w:r>
          </w:p>
        </w:tc>
        <w:tc>
          <w:tcPr>
            <w:tcW w:w="1101" w:type="dxa"/>
            <w:vAlign w:val="center"/>
          </w:tcPr>
          <w:p w14:paraId="3062D911">
            <w:pPr>
              <w:jc w:val="right"/>
            </w:pPr>
            <w:r>
              <w:rPr>
                <w:rFonts w:hint="eastAsia"/>
              </w:rPr>
              <w:t>0.07%</w:t>
            </w:r>
          </w:p>
        </w:tc>
        <w:tc>
          <w:tcPr>
            <w:tcW w:w="1101" w:type="dxa"/>
            <w:vAlign w:val="center"/>
          </w:tcPr>
          <w:p w14:paraId="25F90144">
            <w:pPr>
              <w:jc w:val="right"/>
            </w:pPr>
            <w:r>
              <w:rPr>
                <w:rFonts w:hint="eastAsia"/>
              </w:rPr>
              <w:t>5.87%</w:t>
            </w:r>
          </w:p>
        </w:tc>
        <w:tc>
          <w:tcPr>
            <w:tcW w:w="1207" w:type="dxa"/>
            <w:vAlign w:val="center"/>
          </w:tcPr>
          <w:p w14:paraId="6C802954">
            <w:pPr>
              <w:jc w:val="right"/>
            </w:pPr>
            <w:r>
              <w:rPr>
                <w:rFonts w:hint="eastAsia"/>
              </w:rPr>
              <w:t>0.03%</w:t>
            </w:r>
          </w:p>
        </w:tc>
        <w:tc>
          <w:tcPr>
            <w:tcW w:w="1251" w:type="dxa"/>
            <w:vAlign w:val="center"/>
          </w:tcPr>
          <w:p w14:paraId="50016AB0">
            <w:pPr>
              <w:jc w:val="right"/>
            </w:pPr>
            <w:r>
              <w:rPr>
                <w:rFonts w:hint="eastAsia"/>
              </w:rPr>
              <w:t>9.01%</w:t>
            </w:r>
          </w:p>
        </w:tc>
        <w:tc>
          <w:tcPr>
            <w:tcW w:w="1218" w:type="dxa"/>
            <w:vAlign w:val="center"/>
          </w:tcPr>
          <w:p w14:paraId="1329F96F">
            <w:pPr>
              <w:jc w:val="right"/>
            </w:pPr>
            <w:r>
              <w:rPr>
                <w:rFonts w:hint="eastAsia"/>
              </w:rPr>
              <w:t>0.04%</w:t>
            </w:r>
          </w:p>
        </w:tc>
      </w:tr>
      <w:tr w14:paraId="3D57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DA0AB3">
            <w:r>
              <w:rPr>
                <w:rFonts w:hint="eastAsia"/>
              </w:rPr>
              <w:t>自基金合同生效起至今</w:t>
            </w:r>
          </w:p>
        </w:tc>
        <w:tc>
          <w:tcPr>
            <w:tcW w:w="1101" w:type="dxa"/>
            <w:vAlign w:val="center"/>
          </w:tcPr>
          <w:p w14:paraId="135B870B">
            <w:pPr>
              <w:jc w:val="right"/>
            </w:pPr>
            <w:r>
              <w:rPr>
                <w:rFonts w:hint="eastAsia"/>
              </w:rPr>
              <w:t>36.12%</w:t>
            </w:r>
          </w:p>
        </w:tc>
        <w:tc>
          <w:tcPr>
            <w:tcW w:w="1101" w:type="dxa"/>
            <w:vAlign w:val="center"/>
          </w:tcPr>
          <w:p w14:paraId="260BC4CD">
            <w:pPr>
              <w:jc w:val="right"/>
            </w:pPr>
            <w:r>
              <w:rPr>
                <w:rFonts w:hint="eastAsia"/>
              </w:rPr>
              <w:t>0.06%</w:t>
            </w:r>
          </w:p>
        </w:tc>
        <w:tc>
          <w:tcPr>
            <w:tcW w:w="1101" w:type="dxa"/>
            <w:vAlign w:val="center"/>
          </w:tcPr>
          <w:p w14:paraId="793F5556">
            <w:pPr>
              <w:jc w:val="right"/>
            </w:pPr>
            <w:r>
              <w:rPr>
                <w:rFonts w:hint="eastAsia"/>
              </w:rPr>
              <w:t>8.00%</w:t>
            </w:r>
          </w:p>
        </w:tc>
        <w:tc>
          <w:tcPr>
            <w:tcW w:w="1207" w:type="dxa"/>
            <w:vAlign w:val="center"/>
          </w:tcPr>
          <w:p w14:paraId="49C35DE9">
            <w:pPr>
              <w:jc w:val="right"/>
            </w:pPr>
            <w:r>
              <w:rPr>
                <w:rFonts w:hint="eastAsia"/>
              </w:rPr>
              <w:t>0.04%</w:t>
            </w:r>
          </w:p>
        </w:tc>
        <w:tc>
          <w:tcPr>
            <w:tcW w:w="1251" w:type="dxa"/>
            <w:vAlign w:val="center"/>
          </w:tcPr>
          <w:p w14:paraId="265D1C21">
            <w:pPr>
              <w:jc w:val="right"/>
            </w:pPr>
            <w:r>
              <w:rPr>
                <w:rFonts w:hint="eastAsia"/>
              </w:rPr>
              <w:t>28.12%</w:t>
            </w:r>
          </w:p>
        </w:tc>
        <w:tc>
          <w:tcPr>
            <w:tcW w:w="1218" w:type="dxa"/>
            <w:vAlign w:val="center"/>
          </w:tcPr>
          <w:p w14:paraId="72E6C878">
            <w:pPr>
              <w:jc w:val="right"/>
            </w:pPr>
            <w:r>
              <w:rPr>
                <w:rFonts w:hint="eastAsia"/>
              </w:rPr>
              <w:t>0.02%</w:t>
            </w:r>
          </w:p>
        </w:tc>
      </w:tr>
    </w:tbl>
    <w:p w14:paraId="7ED4092F">
      <w:pPr>
        <w:pStyle w:val="28"/>
      </w:pPr>
      <w:bookmarkStart w:id="15" w:name="_Toc15"/>
      <w:r>
        <w:t>自基金合同生效以来基金份额累计净值增长率变动及其与同期业绩比较基准收益率变动的比较</w:t>
      </w:r>
      <w:bookmarkEnd w:id="15"/>
    </w:p>
    <w:p w14:paraId="57D42E68">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51E72B81">
      <w:pPr>
        <w:pStyle w:val="47"/>
        <w:rPr>
          <w:rFonts w:hint="eastAsia"/>
        </w:rPr>
      </w:pPr>
      <w:r>
        <w:rPr>
          <w:rFonts w:hint="eastAsia"/>
        </w:rPr>
        <w:t>注：根据南方基金管理股份有限公司2018年11月28日发布的《南方宏元债券型发起式证券投资基金基金份额持有人大会表决结果暨决议生效的公告》，本基金于2018年12月26日由南方宏元债券型发起式证券投资基金变更为南方宏元定期开放债券型发起式证券投资基金。原基金的净值表现沿用。</w:t>
      </w:r>
    </w:p>
    <w:p w14:paraId="14C12946">
      <w:pPr>
        <w:pStyle w:val="28"/>
      </w:pPr>
      <w:bookmarkStart w:id="16" w:name="_Toc16"/>
      <w:r>
        <w:t>过去五年以来基金每年净值增长率及其与同期业绩比较基准收益率的比较</w:t>
      </w:r>
      <w:bookmarkEnd w:id="16"/>
    </w:p>
    <w:p w14:paraId="2B62BD35">
      <w:pPr>
        <w:jc w:val="center"/>
      </w:pPr>
      <w:r>
        <w:drawing>
          <wp:inline distT="0" distB="0" distL="114300" distR="114300">
            <wp:extent cx="5274310" cy="38550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55642"/>
                    </a:xfrm>
                    <a:prstGeom prst="rect">
                      <a:avLst/>
                    </a:prstGeom>
                  </pic:spPr>
                </pic:pic>
              </a:graphicData>
            </a:graphic>
          </wp:inline>
        </w:drawing>
      </w:r>
    </w:p>
    <w:p w14:paraId="18742F19">
      <w:pPr>
        <w:pStyle w:val="23"/>
      </w:pPr>
      <w:bookmarkStart w:id="17" w:name="_Toc12431"/>
      <w:r>
        <w:t>过去三年基金的利润分配情况</w:t>
      </w:r>
      <w:bookmarkEnd w:id="17"/>
    </w:p>
    <w:p w14:paraId="6ED06A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7AA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CF26AC1">
            <w:pPr>
              <w:jc w:val="center"/>
            </w:pPr>
            <w:r>
              <w:rPr>
                <w:rFonts w:hint="eastAsia"/>
                <w:b/>
              </w:rPr>
              <w:t>年度</w:t>
            </w:r>
          </w:p>
        </w:tc>
        <w:tc>
          <w:tcPr>
            <w:tcW w:w="1384" w:type="dxa"/>
            <w:shd w:val="clear" w:color="auto" w:fill="BFBFBF"/>
            <w:vAlign w:val="center"/>
          </w:tcPr>
          <w:p w14:paraId="10E23273">
            <w:pPr>
              <w:jc w:val="center"/>
            </w:pPr>
            <w:r>
              <w:rPr>
                <w:rFonts w:hint="eastAsia"/>
                <w:b/>
              </w:rPr>
              <w:t>每10份基金份额分红数</w:t>
            </w:r>
          </w:p>
        </w:tc>
        <w:tc>
          <w:tcPr>
            <w:tcW w:w="1384" w:type="dxa"/>
            <w:shd w:val="clear" w:color="auto" w:fill="BFBFBF"/>
            <w:vAlign w:val="center"/>
          </w:tcPr>
          <w:p w14:paraId="00283A9F">
            <w:pPr>
              <w:jc w:val="center"/>
            </w:pPr>
            <w:r>
              <w:rPr>
                <w:rFonts w:hint="eastAsia"/>
                <w:b/>
              </w:rPr>
              <w:t>现金形式发放总额</w:t>
            </w:r>
          </w:p>
        </w:tc>
        <w:tc>
          <w:tcPr>
            <w:tcW w:w="1384" w:type="dxa"/>
            <w:shd w:val="clear" w:color="auto" w:fill="BFBFBF"/>
            <w:vAlign w:val="center"/>
          </w:tcPr>
          <w:p w14:paraId="7BBCC9DA">
            <w:pPr>
              <w:jc w:val="center"/>
            </w:pPr>
            <w:r>
              <w:rPr>
                <w:rFonts w:hint="eastAsia"/>
                <w:b/>
              </w:rPr>
              <w:t>再投资形式发放总额</w:t>
            </w:r>
          </w:p>
        </w:tc>
        <w:tc>
          <w:tcPr>
            <w:tcW w:w="1384" w:type="dxa"/>
            <w:shd w:val="clear" w:color="auto" w:fill="BFBFBF"/>
            <w:vAlign w:val="center"/>
          </w:tcPr>
          <w:p w14:paraId="6C33FB30">
            <w:pPr>
              <w:jc w:val="center"/>
            </w:pPr>
            <w:r>
              <w:rPr>
                <w:rFonts w:hint="eastAsia"/>
                <w:b/>
              </w:rPr>
              <w:t>年度利润分配合计</w:t>
            </w:r>
          </w:p>
        </w:tc>
        <w:tc>
          <w:tcPr>
            <w:tcW w:w="1384" w:type="dxa"/>
            <w:shd w:val="clear" w:color="auto" w:fill="BFBFBF"/>
            <w:vAlign w:val="center"/>
          </w:tcPr>
          <w:p w14:paraId="4A60E6A3">
            <w:pPr>
              <w:jc w:val="center"/>
            </w:pPr>
            <w:r>
              <w:rPr>
                <w:rFonts w:hint="eastAsia"/>
                <w:b/>
              </w:rPr>
              <w:t>备注</w:t>
            </w:r>
          </w:p>
        </w:tc>
      </w:tr>
      <w:tr w14:paraId="4E01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929B7">
            <w:r>
              <w:rPr>
                <w:rFonts w:hint="eastAsia"/>
              </w:rPr>
              <w:t>2025年</w:t>
            </w:r>
          </w:p>
        </w:tc>
        <w:tc>
          <w:tcPr>
            <w:tcW w:w="1384" w:type="dxa"/>
            <w:vAlign w:val="center"/>
          </w:tcPr>
          <w:p w14:paraId="47F72604">
            <w:pPr>
              <w:jc w:val="right"/>
            </w:pPr>
            <w:r>
              <w:rPr>
                <w:rFonts w:hint="eastAsia"/>
              </w:rPr>
              <w:t>0.2800</w:t>
            </w:r>
          </w:p>
        </w:tc>
        <w:tc>
          <w:tcPr>
            <w:tcW w:w="1384" w:type="dxa"/>
            <w:vAlign w:val="center"/>
          </w:tcPr>
          <w:p w14:paraId="7865AFDB">
            <w:pPr>
              <w:jc w:val="right"/>
            </w:pPr>
            <w:r>
              <w:rPr>
                <w:rFonts w:hint="eastAsia"/>
              </w:rPr>
              <w:t>72,534,957.52</w:t>
            </w:r>
          </w:p>
        </w:tc>
        <w:tc>
          <w:tcPr>
            <w:tcW w:w="1384" w:type="dxa"/>
            <w:vAlign w:val="center"/>
          </w:tcPr>
          <w:p w14:paraId="1FA31347">
            <w:pPr>
              <w:jc w:val="right"/>
            </w:pPr>
            <w:r>
              <w:rPr>
                <w:rFonts w:hint="eastAsia"/>
              </w:rPr>
              <w:t>15.71</w:t>
            </w:r>
          </w:p>
        </w:tc>
        <w:tc>
          <w:tcPr>
            <w:tcW w:w="1384" w:type="dxa"/>
            <w:vAlign w:val="center"/>
          </w:tcPr>
          <w:p w14:paraId="34CB836D">
            <w:pPr>
              <w:jc w:val="right"/>
            </w:pPr>
            <w:r>
              <w:rPr>
                <w:rFonts w:hint="eastAsia"/>
              </w:rPr>
              <w:t>72,534,973.23</w:t>
            </w:r>
          </w:p>
        </w:tc>
        <w:tc>
          <w:tcPr>
            <w:tcW w:w="1384" w:type="dxa"/>
            <w:vAlign w:val="center"/>
          </w:tcPr>
          <w:p w14:paraId="365309A0">
            <w:pPr>
              <w:jc w:val="right"/>
            </w:pPr>
            <w:r>
              <w:rPr>
                <w:rFonts w:hint="eastAsia"/>
              </w:rPr>
              <w:t>-</w:t>
            </w:r>
          </w:p>
        </w:tc>
      </w:tr>
      <w:tr w14:paraId="0E7B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5F0D9">
            <w:r>
              <w:rPr>
                <w:rFonts w:hint="eastAsia"/>
              </w:rPr>
              <w:t>2024年</w:t>
            </w:r>
          </w:p>
        </w:tc>
        <w:tc>
          <w:tcPr>
            <w:tcW w:w="1384" w:type="dxa"/>
            <w:vAlign w:val="center"/>
          </w:tcPr>
          <w:p w14:paraId="609DE07A">
            <w:pPr>
              <w:jc w:val="right"/>
            </w:pPr>
            <w:r>
              <w:rPr>
                <w:rFonts w:hint="eastAsia"/>
              </w:rPr>
              <w:t>-</w:t>
            </w:r>
          </w:p>
        </w:tc>
        <w:tc>
          <w:tcPr>
            <w:tcW w:w="1384" w:type="dxa"/>
            <w:vAlign w:val="center"/>
          </w:tcPr>
          <w:p w14:paraId="1BB8E01A">
            <w:pPr>
              <w:jc w:val="right"/>
            </w:pPr>
            <w:r>
              <w:rPr>
                <w:rFonts w:hint="eastAsia"/>
              </w:rPr>
              <w:t>-</w:t>
            </w:r>
          </w:p>
        </w:tc>
        <w:tc>
          <w:tcPr>
            <w:tcW w:w="1384" w:type="dxa"/>
            <w:vAlign w:val="center"/>
          </w:tcPr>
          <w:p w14:paraId="0BC433AA">
            <w:pPr>
              <w:jc w:val="right"/>
            </w:pPr>
            <w:r>
              <w:rPr>
                <w:rFonts w:hint="eastAsia"/>
              </w:rPr>
              <w:t>-</w:t>
            </w:r>
          </w:p>
        </w:tc>
        <w:tc>
          <w:tcPr>
            <w:tcW w:w="1384" w:type="dxa"/>
            <w:vAlign w:val="center"/>
          </w:tcPr>
          <w:p w14:paraId="56370097">
            <w:pPr>
              <w:jc w:val="right"/>
            </w:pPr>
            <w:r>
              <w:rPr>
                <w:rFonts w:hint="eastAsia"/>
              </w:rPr>
              <w:t>-</w:t>
            </w:r>
          </w:p>
        </w:tc>
        <w:tc>
          <w:tcPr>
            <w:tcW w:w="1384" w:type="dxa"/>
            <w:vAlign w:val="center"/>
          </w:tcPr>
          <w:p w14:paraId="2860D6A5">
            <w:pPr>
              <w:jc w:val="right"/>
            </w:pPr>
            <w:r>
              <w:rPr>
                <w:rFonts w:hint="eastAsia"/>
              </w:rPr>
              <w:t>-</w:t>
            </w:r>
          </w:p>
        </w:tc>
      </w:tr>
      <w:tr w14:paraId="5AC0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89D9C">
            <w:r>
              <w:rPr>
                <w:rFonts w:hint="eastAsia"/>
              </w:rPr>
              <w:t>2023年</w:t>
            </w:r>
          </w:p>
        </w:tc>
        <w:tc>
          <w:tcPr>
            <w:tcW w:w="1384" w:type="dxa"/>
            <w:vAlign w:val="center"/>
          </w:tcPr>
          <w:p w14:paraId="2B7AFA8F">
            <w:pPr>
              <w:jc w:val="right"/>
            </w:pPr>
            <w:r>
              <w:rPr>
                <w:rFonts w:hint="eastAsia"/>
              </w:rPr>
              <w:t>0.3000</w:t>
            </w:r>
          </w:p>
        </w:tc>
        <w:tc>
          <w:tcPr>
            <w:tcW w:w="1384" w:type="dxa"/>
            <w:vAlign w:val="center"/>
          </w:tcPr>
          <w:p w14:paraId="15A2746F">
            <w:pPr>
              <w:jc w:val="right"/>
            </w:pPr>
            <w:r>
              <w:rPr>
                <w:rFonts w:hint="eastAsia"/>
              </w:rPr>
              <w:t>76,984,705.59</w:t>
            </w:r>
          </w:p>
        </w:tc>
        <w:tc>
          <w:tcPr>
            <w:tcW w:w="1384" w:type="dxa"/>
            <w:vAlign w:val="center"/>
          </w:tcPr>
          <w:p w14:paraId="78DEF5D9">
            <w:pPr>
              <w:jc w:val="right"/>
            </w:pPr>
            <w:r>
              <w:rPr>
                <w:rFonts w:hint="eastAsia"/>
              </w:rPr>
              <w:t>16.18</w:t>
            </w:r>
          </w:p>
        </w:tc>
        <w:tc>
          <w:tcPr>
            <w:tcW w:w="1384" w:type="dxa"/>
            <w:vAlign w:val="center"/>
          </w:tcPr>
          <w:p w14:paraId="31A4A77B">
            <w:pPr>
              <w:jc w:val="right"/>
            </w:pPr>
            <w:r>
              <w:rPr>
                <w:rFonts w:hint="eastAsia"/>
              </w:rPr>
              <w:t>76,984,721.77</w:t>
            </w:r>
          </w:p>
        </w:tc>
        <w:tc>
          <w:tcPr>
            <w:tcW w:w="1384" w:type="dxa"/>
            <w:vAlign w:val="center"/>
          </w:tcPr>
          <w:p w14:paraId="0A0239AE">
            <w:pPr>
              <w:jc w:val="right"/>
            </w:pPr>
            <w:r>
              <w:rPr>
                <w:rFonts w:hint="eastAsia"/>
              </w:rPr>
              <w:t>-</w:t>
            </w:r>
          </w:p>
        </w:tc>
      </w:tr>
      <w:tr w14:paraId="05EF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94450">
            <w:r>
              <w:rPr>
                <w:rFonts w:hint="eastAsia"/>
              </w:rPr>
              <w:t>合计</w:t>
            </w:r>
          </w:p>
        </w:tc>
        <w:tc>
          <w:tcPr>
            <w:tcW w:w="1384" w:type="dxa"/>
            <w:vAlign w:val="center"/>
          </w:tcPr>
          <w:p w14:paraId="68B045D5">
            <w:pPr>
              <w:jc w:val="right"/>
            </w:pPr>
            <w:r>
              <w:rPr>
                <w:rFonts w:hint="eastAsia"/>
              </w:rPr>
              <w:t>0.5800</w:t>
            </w:r>
          </w:p>
        </w:tc>
        <w:tc>
          <w:tcPr>
            <w:tcW w:w="1384" w:type="dxa"/>
            <w:vAlign w:val="center"/>
          </w:tcPr>
          <w:p w14:paraId="2F3E4104">
            <w:pPr>
              <w:jc w:val="right"/>
            </w:pPr>
            <w:r>
              <w:rPr>
                <w:rFonts w:hint="eastAsia"/>
              </w:rPr>
              <w:t>149,519,663.11</w:t>
            </w:r>
          </w:p>
        </w:tc>
        <w:tc>
          <w:tcPr>
            <w:tcW w:w="1384" w:type="dxa"/>
            <w:vAlign w:val="center"/>
          </w:tcPr>
          <w:p w14:paraId="7D514E6A">
            <w:pPr>
              <w:jc w:val="right"/>
            </w:pPr>
            <w:r>
              <w:rPr>
                <w:rFonts w:hint="eastAsia"/>
              </w:rPr>
              <w:t>31.89</w:t>
            </w:r>
          </w:p>
        </w:tc>
        <w:tc>
          <w:tcPr>
            <w:tcW w:w="1384" w:type="dxa"/>
            <w:vAlign w:val="center"/>
          </w:tcPr>
          <w:p w14:paraId="4F0D4324">
            <w:pPr>
              <w:jc w:val="right"/>
            </w:pPr>
            <w:r>
              <w:rPr>
                <w:rFonts w:hint="eastAsia"/>
              </w:rPr>
              <w:t>149,519,695.00</w:t>
            </w:r>
          </w:p>
        </w:tc>
        <w:tc>
          <w:tcPr>
            <w:tcW w:w="1384" w:type="dxa"/>
            <w:vAlign w:val="center"/>
          </w:tcPr>
          <w:p w14:paraId="7A7DC8A0">
            <w:pPr>
              <w:jc w:val="right"/>
            </w:pPr>
            <w:r>
              <w:rPr>
                <w:rFonts w:hint="eastAsia"/>
              </w:rPr>
              <w:t>-</w:t>
            </w:r>
          </w:p>
        </w:tc>
      </w:tr>
    </w:tbl>
    <w:p w14:paraId="70A71FC9">
      <w:pPr>
        <w:pStyle w:val="26"/>
      </w:pPr>
      <w:bookmarkStart w:id="18" w:name="_Toc15130"/>
      <w:r>
        <w:t>管理人报告</w:t>
      </w:r>
      <w:bookmarkEnd w:id="18"/>
    </w:p>
    <w:p w14:paraId="268ACAF8">
      <w:pPr>
        <w:pStyle w:val="23"/>
      </w:pPr>
      <w:bookmarkStart w:id="19" w:name="_Toc17305"/>
      <w:r>
        <w:t>基金管理人及基金经理情况</w:t>
      </w:r>
      <w:bookmarkEnd w:id="19"/>
    </w:p>
    <w:p w14:paraId="1E89F8D6">
      <w:pPr>
        <w:pStyle w:val="28"/>
      </w:pPr>
      <w:bookmarkStart w:id="20" w:name="_Toc20"/>
      <w:r>
        <w:t>基金管理人及其管理基金的经验</w:t>
      </w:r>
      <w:bookmarkEnd w:id="20"/>
    </w:p>
    <w:p w14:paraId="34F6661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31A2BE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EE2AA6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8A8548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37D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A691D9F">
            <w:pPr>
              <w:jc w:val="center"/>
            </w:pPr>
            <w:r>
              <w:rPr>
                <w:rFonts w:hint="eastAsia"/>
                <w:b/>
              </w:rPr>
              <w:t>姓名</w:t>
            </w:r>
          </w:p>
        </w:tc>
        <w:tc>
          <w:tcPr>
            <w:tcW w:w="830" w:type="dxa"/>
            <w:vMerge w:val="restart"/>
            <w:shd w:val="clear" w:color="auto" w:fill="BFBFBF"/>
            <w:vAlign w:val="center"/>
          </w:tcPr>
          <w:p w14:paraId="5BCCE463">
            <w:pPr>
              <w:jc w:val="center"/>
            </w:pPr>
            <w:r>
              <w:rPr>
                <w:rFonts w:hint="eastAsia"/>
                <w:b/>
              </w:rPr>
              <w:t>职务</w:t>
            </w:r>
          </w:p>
        </w:tc>
        <w:tc>
          <w:tcPr>
            <w:tcW w:w="1090" w:type="dxa"/>
            <w:gridSpan w:val="2"/>
            <w:shd w:val="clear" w:color="auto" w:fill="BFBFBF"/>
            <w:vAlign w:val="center"/>
          </w:tcPr>
          <w:p w14:paraId="219ABF4D">
            <w:pPr>
              <w:jc w:val="center"/>
            </w:pPr>
            <w:r>
              <w:rPr>
                <w:rFonts w:hint="eastAsia"/>
                <w:b/>
              </w:rPr>
              <w:t>任本基金的基金经理（助理）期限</w:t>
            </w:r>
          </w:p>
        </w:tc>
        <w:tc>
          <w:tcPr>
            <w:tcW w:w="686" w:type="dxa"/>
            <w:vMerge w:val="restart"/>
            <w:shd w:val="clear" w:color="auto" w:fill="BFBFBF"/>
            <w:vAlign w:val="center"/>
          </w:tcPr>
          <w:p w14:paraId="7E0FB89C">
            <w:pPr>
              <w:jc w:val="center"/>
            </w:pPr>
            <w:r>
              <w:rPr>
                <w:rFonts w:hint="eastAsia"/>
                <w:b/>
              </w:rPr>
              <w:t>证券从业年限</w:t>
            </w:r>
          </w:p>
        </w:tc>
        <w:tc>
          <w:tcPr>
            <w:tcW w:w="3765" w:type="dxa"/>
            <w:vMerge w:val="restart"/>
            <w:shd w:val="clear" w:color="auto" w:fill="BFBFBF"/>
            <w:vAlign w:val="center"/>
          </w:tcPr>
          <w:p w14:paraId="17CBDA8A">
            <w:pPr>
              <w:jc w:val="center"/>
            </w:pPr>
            <w:r>
              <w:rPr>
                <w:rFonts w:hint="eastAsia"/>
                <w:b/>
              </w:rPr>
              <w:t>说明</w:t>
            </w:r>
          </w:p>
        </w:tc>
      </w:tr>
      <w:tr w14:paraId="058B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A2CCEC8"/>
        </w:tc>
        <w:tc>
          <w:tcPr>
            <w:tcW w:w="830" w:type="dxa"/>
            <w:vMerge w:val="continue"/>
            <w:vAlign w:val="center"/>
          </w:tcPr>
          <w:p w14:paraId="19864732"/>
        </w:tc>
        <w:tc>
          <w:tcPr>
            <w:tcW w:w="1090" w:type="dxa"/>
            <w:shd w:val="clear" w:color="auto" w:fill="BFBFBF"/>
            <w:vAlign w:val="center"/>
          </w:tcPr>
          <w:p w14:paraId="16C2630D">
            <w:pPr>
              <w:jc w:val="center"/>
            </w:pPr>
            <w:r>
              <w:rPr>
                <w:rFonts w:hint="eastAsia"/>
                <w:b/>
              </w:rPr>
              <w:t>任职日期</w:t>
            </w:r>
          </w:p>
        </w:tc>
        <w:tc>
          <w:tcPr>
            <w:tcW w:w="1090" w:type="dxa"/>
            <w:shd w:val="clear" w:color="auto" w:fill="BFBFBF"/>
            <w:vAlign w:val="center"/>
          </w:tcPr>
          <w:p w14:paraId="4D6CF554">
            <w:pPr>
              <w:jc w:val="center"/>
            </w:pPr>
            <w:r>
              <w:rPr>
                <w:rFonts w:hint="eastAsia"/>
                <w:b/>
              </w:rPr>
              <w:t>离任日期</w:t>
            </w:r>
          </w:p>
        </w:tc>
        <w:tc>
          <w:tcPr>
            <w:tcW w:w="686" w:type="dxa"/>
            <w:vMerge w:val="continue"/>
            <w:vAlign w:val="center"/>
          </w:tcPr>
          <w:p w14:paraId="742B7ACF"/>
        </w:tc>
        <w:tc>
          <w:tcPr>
            <w:tcW w:w="3765" w:type="dxa"/>
            <w:vMerge w:val="continue"/>
            <w:vAlign w:val="center"/>
          </w:tcPr>
          <w:p w14:paraId="08A5FC8F"/>
        </w:tc>
      </w:tr>
      <w:tr w14:paraId="31E4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85EA159">
            <w:r>
              <w:rPr>
                <w:rFonts w:hint="eastAsia"/>
              </w:rPr>
              <w:t>刘骥</w:t>
            </w:r>
          </w:p>
        </w:tc>
        <w:tc>
          <w:tcPr>
            <w:tcW w:w="830" w:type="dxa"/>
            <w:vAlign w:val="center"/>
          </w:tcPr>
          <w:p w14:paraId="77556082">
            <w:r>
              <w:rPr>
                <w:rFonts w:hint="eastAsia"/>
              </w:rPr>
              <w:t>本基金基金经理</w:t>
            </w:r>
          </w:p>
        </w:tc>
        <w:tc>
          <w:tcPr>
            <w:tcW w:w="1090" w:type="dxa"/>
            <w:vAlign w:val="center"/>
          </w:tcPr>
          <w:p w14:paraId="5D8A1672">
            <w:r>
              <w:rPr>
                <w:rFonts w:hint="eastAsia"/>
              </w:rPr>
              <w:t>2019年3月15日</w:t>
            </w:r>
          </w:p>
        </w:tc>
        <w:tc>
          <w:tcPr>
            <w:tcW w:w="1090" w:type="dxa"/>
            <w:vAlign w:val="center"/>
          </w:tcPr>
          <w:p w14:paraId="726A38E8">
            <w:pPr>
              <w:jc w:val="right"/>
            </w:pPr>
            <w:r>
              <w:rPr>
                <w:rFonts w:hint="eastAsia"/>
              </w:rPr>
              <w:t>-</w:t>
            </w:r>
          </w:p>
        </w:tc>
        <w:tc>
          <w:tcPr>
            <w:tcW w:w="686" w:type="dxa"/>
            <w:vAlign w:val="center"/>
          </w:tcPr>
          <w:p w14:paraId="52C0118D">
            <w:r>
              <w:rPr>
                <w:rFonts w:hint="eastAsia"/>
              </w:rPr>
              <w:t>13年</w:t>
            </w:r>
          </w:p>
        </w:tc>
        <w:tc>
          <w:tcPr>
            <w:tcW w:w="3765" w:type="dxa"/>
            <w:vAlign w:val="center"/>
          </w:tcPr>
          <w:p w14:paraId="1B2530A0">
            <w:pPr>
              <w:jc w:val="both"/>
            </w:pPr>
            <w:r>
              <w:rPr>
                <w:rFonts w:hint="eastAsia"/>
              </w:rPr>
              <w:t>中国国籍，香港大学经济学硕士，具有基金从业资格。2012年10月加入南方基金固定收益部，历任信用研究分析师、信用研究分析小组组长。2016年11月28日至2019年3月15日，任南方多利、南方金利的基金经理助理。2019年3月15日至2019年12月21日，任南方睿见混合基金经理；2021年6月18日至2023年5月26日，任南方骏元中短利率债基金经理；2020年9月25日至2024年3月25日，任南方创利基金经理；2022年4月15日至2024年3月25日，任南方昭元债券基金经理；2019年4月10日至2025年9月19日，任南方华元债券基金经理；2024年6月19日至2025年12月17日，任南方定利一年定开债券基金经理；2019年3月15日至今，任南方宏元基金经理；2021年2月26日至今，任南方赢元、南方皓元短债基金经理；2021年4月9日至今，任南方鑫利基金经理；2021年6月9日至今，任南方景元中高等级信用债债券基金经理；2022年7月22日至今，任南方通利基金经理；2024年6月19日至今，任南方贺元利率债基金经理；2024年11月22日至今，任南方旺元60天滚动持有中短债债券基金经理。</w:t>
            </w:r>
          </w:p>
        </w:tc>
      </w:tr>
    </w:tbl>
    <w:p w14:paraId="74925BD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935A1A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5783B8C">
      <w:pPr>
        <w:pStyle w:val="28"/>
      </w:pPr>
      <w:bookmarkStart w:id="22" w:name="_Toc22"/>
      <w:r>
        <w:t>基金经理薪酬机制</w:t>
      </w:r>
      <w:bookmarkEnd w:id="22"/>
    </w:p>
    <w:p w14:paraId="452FE1C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441411A">
      <w:pPr>
        <w:pStyle w:val="23"/>
      </w:pPr>
      <w:bookmarkStart w:id="23" w:name="_Toc27437"/>
      <w:r>
        <w:t>管理人对报告期内本基金运作遵规守信情况的说明</w:t>
      </w:r>
      <w:bookmarkEnd w:id="23"/>
      <w:r>
        <w:t xml:space="preserve"> </w:t>
      </w:r>
    </w:p>
    <w:p w14:paraId="3042E08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A207F03">
      <w:pPr>
        <w:pStyle w:val="23"/>
      </w:pPr>
      <w:bookmarkStart w:id="24" w:name="_Toc17644"/>
      <w:r>
        <w:t>管理人对报告期内公平交易情况的专项说明</w:t>
      </w:r>
      <w:bookmarkEnd w:id="24"/>
    </w:p>
    <w:p w14:paraId="0439038C">
      <w:pPr>
        <w:pStyle w:val="28"/>
      </w:pPr>
      <w:bookmarkStart w:id="25" w:name="_Toc25"/>
      <w:r>
        <w:t>公平交易制度和控制方法</w:t>
      </w:r>
      <w:bookmarkEnd w:id="25"/>
    </w:p>
    <w:p w14:paraId="13D155A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A9BF9BA">
      <w:pPr>
        <w:pStyle w:val="28"/>
      </w:pPr>
      <w:bookmarkStart w:id="26" w:name="_Toc26"/>
      <w:r>
        <w:t>公平交易制度的执行情况</w:t>
      </w:r>
      <w:bookmarkEnd w:id="26"/>
    </w:p>
    <w:p w14:paraId="3245D14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77C526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1B2ECF2">
      <w:pPr>
        <w:pStyle w:val="35"/>
      </w:pPr>
      <w:bookmarkStart w:id="27" w:name="_Toc27"/>
      <w:r>
        <w:t>增加执行的基金经理公平交易制度执行情况及公平交易管理情况</w:t>
      </w:r>
      <w:bookmarkEnd w:id="27"/>
    </w:p>
    <w:p w14:paraId="2A9DB4F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E691EB9">
      <w:pPr>
        <w:pStyle w:val="28"/>
      </w:pPr>
      <w:bookmarkStart w:id="28" w:name="_Toc28"/>
      <w:r>
        <w:t>异常交易行为的专项说明</w:t>
      </w:r>
      <w:bookmarkEnd w:id="28"/>
    </w:p>
    <w:p w14:paraId="35B9503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1A1A1E6">
      <w:pPr>
        <w:pStyle w:val="23"/>
      </w:pPr>
      <w:bookmarkStart w:id="29" w:name="_Toc19242"/>
      <w:r>
        <w:t>管理人对报告期内基金的投资策略和业绩表现的说明</w:t>
      </w:r>
      <w:bookmarkEnd w:id="29"/>
    </w:p>
    <w:p w14:paraId="14EDAD88">
      <w:pPr>
        <w:pStyle w:val="28"/>
      </w:pPr>
      <w:bookmarkStart w:id="30" w:name="_Toc30"/>
      <w:r>
        <w:t>报告期内基金投资策略和运作分析</w:t>
      </w:r>
      <w:bookmarkEnd w:id="30"/>
    </w:p>
    <w:p w14:paraId="3E7510CE">
      <w:pPr>
        <w:pStyle w:val="18"/>
        <w:rPr>
          <w:rFonts w:hint="eastAsia"/>
        </w:rPr>
      </w:pPr>
      <w:r>
        <w:rPr>
          <w:rFonts w:hint="eastAsia"/>
        </w:rPr>
        <w:t>经济层面，2025年国内经济运行总体平稳，呈现前高、后低。预计2026年，我国经济将会稳中有进，沿着高质量发展轨道前行。政策方面，美联储预期在2026年会继续降息，但节奏放缓。国内央行将实施适度宽松的货币政策，灵活高效运用降准降息等多种政策工具，保持流动性充裕。组合操作上，我们以中短期利率债为底仓进行配置，同时积极参与长端利率债波段操作。</w:t>
      </w:r>
    </w:p>
    <w:p w14:paraId="4CBF33E1">
      <w:pPr>
        <w:pStyle w:val="28"/>
      </w:pPr>
      <w:bookmarkStart w:id="31" w:name="_Toc31"/>
      <w:r>
        <w:t>报告期内基金的业绩表现</w:t>
      </w:r>
      <w:bookmarkEnd w:id="31"/>
    </w:p>
    <w:p w14:paraId="7D9B21F7">
      <w:pPr>
        <w:pStyle w:val="18"/>
        <w:rPr>
          <w:rFonts w:hint="eastAsia"/>
        </w:rPr>
      </w:pPr>
      <w:r>
        <w:rPr>
          <w:rFonts w:hint="eastAsia"/>
        </w:rPr>
        <w:t>截至报告期末，本基金份额净值为1.2338元，报告期内，份额净值增长率为0.74%，同期业绩基准增长率为-0.03%。</w:t>
      </w:r>
    </w:p>
    <w:p w14:paraId="7E3D1B4A">
      <w:pPr>
        <w:pStyle w:val="23"/>
      </w:pPr>
      <w:bookmarkStart w:id="32" w:name="_Toc12079"/>
      <w:r>
        <w:t>管理人对宏观经济、证券市场及行业走势的简要展望</w:t>
      </w:r>
      <w:bookmarkEnd w:id="32"/>
    </w:p>
    <w:p w14:paraId="48FA1CE8">
      <w:pPr>
        <w:pStyle w:val="18"/>
        <w:rPr>
          <w:rFonts w:hint="eastAsia"/>
        </w:rPr>
      </w:pPr>
      <w:r>
        <w:rPr>
          <w:rFonts w:hint="eastAsia"/>
        </w:rPr>
        <w:t>策略方面，我国经济基础稳、优势多、韧性强、潜能大。同时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14:paraId="66E87412">
      <w:pPr>
        <w:pStyle w:val="23"/>
      </w:pPr>
      <w:bookmarkStart w:id="33" w:name="_Toc19280"/>
      <w:r>
        <w:t>管理人内部有关本基金的监察稽核工作情况</w:t>
      </w:r>
      <w:bookmarkEnd w:id="33"/>
      <w:r>
        <w:t xml:space="preserve"> </w:t>
      </w:r>
    </w:p>
    <w:p w14:paraId="4679382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3BF4DF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10613B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7C6DA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62D030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66F8A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F4E4F41">
      <w:pPr>
        <w:pStyle w:val="23"/>
      </w:pPr>
      <w:bookmarkStart w:id="34" w:name="_Toc22799"/>
      <w:r>
        <w:t>管理人对报告期内基金估值程序等事项的说明</w:t>
      </w:r>
      <w:bookmarkEnd w:id="34"/>
    </w:p>
    <w:p w14:paraId="20F7CC8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A352CBB">
      <w:pPr>
        <w:pStyle w:val="23"/>
      </w:pPr>
      <w:bookmarkStart w:id="35" w:name="_Toc6488"/>
      <w:r>
        <w:t>管理人对报告期内基金利润分配情况的说明</w:t>
      </w:r>
      <w:bookmarkEnd w:id="35"/>
      <w:r>
        <w:t xml:space="preserve"> </w:t>
      </w:r>
    </w:p>
    <w:p w14:paraId="452DE83A">
      <w:pPr>
        <w:pStyle w:val="18"/>
        <w:rPr>
          <w:rFonts w:hint="eastAsia"/>
        </w:rPr>
      </w:pPr>
      <w:r>
        <w:rPr>
          <w:rFonts w:hint="eastAsia"/>
        </w:rPr>
        <w:t>本报告期内本基金进行了收益分配，符合法律法规和基金合同约定。具体如下：</w:t>
      </w:r>
    </w:p>
    <w:p w14:paraId="5D650B02">
      <w:pPr>
        <w:pStyle w:val="18"/>
        <w:rPr>
          <w:rFonts w:hint="eastAsia"/>
        </w:rPr>
      </w:pPr>
      <w:r>
        <w:rPr>
          <w:rFonts w:hint="eastAsia"/>
        </w:rPr>
        <w:t>权益登记日2025年6月24日，每10份基金份额分红数0.2800。</w:t>
      </w:r>
    </w:p>
    <w:p w14:paraId="16046C6A">
      <w:pPr>
        <w:pStyle w:val="23"/>
      </w:pPr>
      <w:bookmarkStart w:id="36" w:name="_Toc11291"/>
      <w:r>
        <w:t>报告期内基金持有人数或基金资产净值预警说明</w:t>
      </w:r>
      <w:bookmarkEnd w:id="36"/>
    </w:p>
    <w:p w14:paraId="456C95C2">
      <w:pPr>
        <w:pStyle w:val="18"/>
        <w:rPr>
          <w:rFonts w:hint="eastAsia"/>
        </w:rPr>
      </w:pPr>
      <w:r>
        <w:rPr>
          <w:rFonts w:hint="eastAsia"/>
        </w:rPr>
        <w:t>报告期内，本基金未出现连续二十个交易日基金份额持有人数量不满二百人或者基金资产净值低于五千万元的情形。</w:t>
      </w:r>
    </w:p>
    <w:p w14:paraId="272AB44A">
      <w:pPr>
        <w:pStyle w:val="26"/>
      </w:pPr>
      <w:r>
        <w:t xml:space="preserve"> </w:t>
      </w:r>
      <w:bookmarkStart w:id="37" w:name="_Toc2155"/>
      <w:r>
        <w:t>托管人报告</w:t>
      </w:r>
      <w:bookmarkEnd w:id="37"/>
    </w:p>
    <w:p w14:paraId="44B666B6">
      <w:pPr>
        <w:pStyle w:val="23"/>
      </w:pPr>
      <w:bookmarkStart w:id="38" w:name="_Toc18274"/>
      <w:r>
        <w:t>报告期内本基金托管人遵规守信情况声明</w:t>
      </w:r>
      <w:bookmarkEnd w:id="38"/>
    </w:p>
    <w:p w14:paraId="6FF88D52">
      <w:pPr>
        <w:pStyle w:val="18"/>
        <w:rPr>
          <w:rFonts w:hint="eastAsia"/>
        </w:rPr>
      </w:pPr>
      <w:r>
        <w:rPr>
          <w:rFonts w:hint="eastAsia"/>
        </w:rPr>
        <w:t>本报告期内，中国邮政储蓄银行股份有限公司（以下称“本托管人”）在南方宏元定期开放债券型发起式证券投资基金（以下称“本基金”）的托管过程中，严格遵守《证券投资基金法》及其他有关法律法规、基金合同和托管协议的有关规定，不存在损害基金份额持有人利益的行为，完全尽职尽责地履行了应尽的义务。</w:t>
      </w:r>
    </w:p>
    <w:p w14:paraId="5A897FE6">
      <w:pPr>
        <w:pStyle w:val="23"/>
      </w:pPr>
      <w:bookmarkStart w:id="39" w:name="_Toc6585"/>
      <w:r>
        <w:t>托管人对报告期内本基金投资运作遵规守信、净值计算、利润分配等情况的说明</w:t>
      </w:r>
      <w:bookmarkEnd w:id="39"/>
      <w:r>
        <w:t xml:space="preserve"> </w:t>
      </w:r>
    </w:p>
    <w:p w14:paraId="685510B8">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7EBEDC5F">
      <w:pPr>
        <w:pStyle w:val="18"/>
        <w:rPr>
          <w:rFonts w:hint="eastAsia"/>
        </w:rPr>
      </w:pPr>
      <w:r>
        <w:rPr>
          <w:rFonts w:hint="eastAsia"/>
        </w:rPr>
        <w:t>本报告期内，本基金利润分配情况符合法律法规和基金合同的相关约定。</w:t>
      </w:r>
    </w:p>
    <w:p w14:paraId="0A7BB5DA">
      <w:pPr>
        <w:pStyle w:val="23"/>
      </w:pPr>
      <w:bookmarkStart w:id="40" w:name="_Toc5163"/>
      <w:r>
        <w:t>托管人对本年度报告中财务信息等内容的真实、准确和完整发表意见</w:t>
      </w:r>
      <w:bookmarkEnd w:id="40"/>
    </w:p>
    <w:p w14:paraId="54764958">
      <w:pPr>
        <w:pStyle w:val="18"/>
        <w:rPr>
          <w:rFonts w:hint="eastAsia"/>
        </w:rPr>
      </w:pPr>
      <w:r>
        <w:rPr>
          <w:rFonts w:hint="eastAsia"/>
        </w:rPr>
        <w:t>本报告中的财务指标、净值表现、收益分配情况、财务会计报告、投资组合报告等数据真实、准确和完整。</w:t>
      </w:r>
    </w:p>
    <w:p w14:paraId="135BE2CB">
      <w:pPr>
        <w:pStyle w:val="26"/>
      </w:pPr>
      <w:r>
        <w:t xml:space="preserve"> </w:t>
      </w:r>
      <w:bookmarkStart w:id="41" w:name="_Toc13029"/>
      <w:r>
        <w:t>审计报告</w:t>
      </w:r>
      <w:bookmarkEnd w:id="41"/>
      <w:r>
        <w:t xml:space="preserve"> </w:t>
      </w:r>
    </w:p>
    <w:p w14:paraId="2297BEB4">
      <w:pPr>
        <w:pStyle w:val="23"/>
      </w:pPr>
      <w:bookmarkStart w:id="42" w:name="_Toc1772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C7D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2C39BD">
            <w:r>
              <w:rPr>
                <w:rFonts w:hint="eastAsia"/>
              </w:rPr>
              <w:t>财务报表是否经过审计</w:t>
            </w:r>
          </w:p>
        </w:tc>
        <w:tc>
          <w:tcPr>
            <w:tcW w:w="4153" w:type="dxa"/>
            <w:vAlign w:val="center"/>
          </w:tcPr>
          <w:p w14:paraId="3388058D">
            <w:r>
              <w:rPr>
                <w:rFonts w:hint="eastAsia"/>
              </w:rPr>
              <w:t>是</w:t>
            </w:r>
          </w:p>
        </w:tc>
      </w:tr>
      <w:tr w14:paraId="77A5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55F291">
            <w:r>
              <w:rPr>
                <w:rFonts w:hint="eastAsia"/>
              </w:rPr>
              <w:t>审计意见类型</w:t>
            </w:r>
          </w:p>
        </w:tc>
        <w:tc>
          <w:tcPr>
            <w:tcW w:w="4153" w:type="dxa"/>
            <w:vAlign w:val="center"/>
          </w:tcPr>
          <w:p w14:paraId="3E01B738">
            <w:r>
              <w:rPr>
                <w:rFonts w:hint="eastAsia"/>
              </w:rPr>
              <w:t>标准无保留意见</w:t>
            </w:r>
          </w:p>
        </w:tc>
      </w:tr>
      <w:tr w14:paraId="457F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BBBC71">
            <w:r>
              <w:rPr>
                <w:rFonts w:hint="eastAsia"/>
              </w:rPr>
              <w:t>审计报告编号</w:t>
            </w:r>
          </w:p>
        </w:tc>
        <w:tc>
          <w:tcPr>
            <w:tcW w:w="4153" w:type="dxa"/>
            <w:vAlign w:val="center"/>
          </w:tcPr>
          <w:p w14:paraId="1D054666">
            <w:r>
              <w:rPr>
                <w:rFonts w:hint="eastAsia"/>
              </w:rPr>
              <w:t>容诚审字[2026]200Z0758号</w:t>
            </w:r>
          </w:p>
        </w:tc>
      </w:tr>
    </w:tbl>
    <w:p w14:paraId="384E50F6">
      <w:pPr>
        <w:pStyle w:val="23"/>
      </w:pPr>
      <w:bookmarkStart w:id="43" w:name="_Toc1448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2FC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97DD4B8">
            <w:pPr>
              <w:jc w:val="center"/>
            </w:pPr>
            <w:r>
              <w:rPr>
                <w:rFonts w:hint="eastAsia"/>
                <w:b/>
              </w:rPr>
              <w:t>审计报告标题</w:t>
            </w:r>
          </w:p>
        </w:tc>
        <w:tc>
          <w:tcPr>
            <w:tcW w:w="2491" w:type="dxa"/>
            <w:gridSpan w:val="2"/>
            <w:shd w:val="clear" w:color="auto" w:fill="BFBFBF"/>
            <w:vAlign w:val="center"/>
          </w:tcPr>
          <w:p w14:paraId="25E707E4">
            <w:pPr>
              <w:jc w:val="center"/>
            </w:pPr>
            <w:r>
              <w:rPr>
                <w:rFonts w:hint="eastAsia"/>
                <w:b/>
              </w:rPr>
              <w:t>审计报告</w:t>
            </w:r>
          </w:p>
        </w:tc>
      </w:tr>
      <w:tr w14:paraId="0BA7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BAD0DF">
            <w:r>
              <w:rPr>
                <w:rFonts w:hint="eastAsia"/>
              </w:rPr>
              <w:t>审计报告收件人</w:t>
            </w:r>
          </w:p>
        </w:tc>
        <w:tc>
          <w:tcPr>
            <w:tcW w:w="2491" w:type="dxa"/>
            <w:gridSpan w:val="2"/>
            <w:vAlign w:val="center"/>
          </w:tcPr>
          <w:p w14:paraId="53ABF063">
            <w:r>
              <w:rPr>
                <w:rFonts w:hint="eastAsia"/>
              </w:rPr>
              <w:t>南方宏元定期开放债券型发起式证券投资基金全体基金份额持有人</w:t>
            </w:r>
          </w:p>
        </w:tc>
      </w:tr>
      <w:tr w14:paraId="2C53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B3EBB5">
            <w:r>
              <w:rPr>
                <w:rFonts w:hint="eastAsia"/>
              </w:rPr>
              <w:t>审计意见</w:t>
            </w:r>
          </w:p>
        </w:tc>
        <w:tc>
          <w:tcPr>
            <w:tcW w:w="2491" w:type="dxa"/>
            <w:gridSpan w:val="2"/>
            <w:vAlign w:val="center"/>
          </w:tcPr>
          <w:p w14:paraId="50F16003">
            <w:pPr>
              <w:jc w:val="both"/>
              <w:rPr>
                <w:rFonts w:hint="eastAsia"/>
              </w:rPr>
            </w:pPr>
            <w:r>
              <w:rPr>
                <w:rFonts w:hint="eastAsia"/>
              </w:rPr>
              <w:t>我们审计了南方宏元定期开放债券型发起式证券投资基金（以下简称“南方宏元定期开放债券发起式基金”）财务报表，包括2025年12月31日的资产负债表，2025年度的利润表、净资产变动表以及相关财务报表附注。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宏元定期开放债券发起式基金2025年12月31日的财务状况以及2025年度的经营成果和净资产变动情况。</w:t>
            </w:r>
          </w:p>
        </w:tc>
      </w:tr>
      <w:tr w14:paraId="18FB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ABFB3B">
            <w:r>
              <w:rPr>
                <w:rFonts w:hint="eastAsia"/>
              </w:rPr>
              <w:t>形成审计意见的基础</w:t>
            </w:r>
          </w:p>
        </w:tc>
        <w:tc>
          <w:tcPr>
            <w:tcW w:w="2491" w:type="dxa"/>
            <w:gridSpan w:val="2"/>
            <w:vAlign w:val="center"/>
          </w:tcPr>
          <w:p w14:paraId="055D98A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宏元定期开放债券发起式基金，并遵守了独立性准则中适用于公众利益实体财务报表审计的规定，同时履行了职业道德方面的其他责任。我们相信，我们获取的审计证据是充分、适当的，为发表审计意见提供了基础。</w:t>
            </w:r>
          </w:p>
        </w:tc>
      </w:tr>
      <w:tr w14:paraId="5B90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51E5EB">
            <w:r>
              <w:rPr>
                <w:rFonts w:hint="eastAsia"/>
              </w:rPr>
              <w:t>强调事项</w:t>
            </w:r>
          </w:p>
        </w:tc>
        <w:tc>
          <w:tcPr>
            <w:tcW w:w="2491" w:type="dxa"/>
            <w:gridSpan w:val="2"/>
            <w:vAlign w:val="center"/>
          </w:tcPr>
          <w:p w14:paraId="2A89F649">
            <w:pPr>
              <w:jc w:val="right"/>
            </w:pPr>
            <w:r>
              <w:rPr>
                <w:rFonts w:hint="eastAsia"/>
              </w:rPr>
              <w:t>-</w:t>
            </w:r>
          </w:p>
        </w:tc>
      </w:tr>
      <w:tr w14:paraId="77CF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8FE6AF">
            <w:r>
              <w:rPr>
                <w:rFonts w:hint="eastAsia"/>
              </w:rPr>
              <w:t>其他事项</w:t>
            </w:r>
          </w:p>
        </w:tc>
        <w:tc>
          <w:tcPr>
            <w:tcW w:w="2491" w:type="dxa"/>
            <w:gridSpan w:val="2"/>
            <w:vAlign w:val="center"/>
          </w:tcPr>
          <w:p w14:paraId="6A4FC29C">
            <w:pPr>
              <w:jc w:val="right"/>
            </w:pPr>
            <w:r>
              <w:rPr>
                <w:rFonts w:hint="eastAsia"/>
              </w:rPr>
              <w:t>-</w:t>
            </w:r>
          </w:p>
        </w:tc>
      </w:tr>
      <w:tr w14:paraId="7102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9DC6B5">
            <w:r>
              <w:rPr>
                <w:rFonts w:hint="eastAsia"/>
              </w:rPr>
              <w:t>其他信息</w:t>
            </w:r>
          </w:p>
        </w:tc>
        <w:tc>
          <w:tcPr>
            <w:tcW w:w="2491" w:type="dxa"/>
            <w:gridSpan w:val="2"/>
            <w:vAlign w:val="center"/>
          </w:tcPr>
          <w:p w14:paraId="50C763C8">
            <w:pPr>
              <w:jc w:val="both"/>
              <w:rPr>
                <w:rFonts w:hint="eastAsia"/>
              </w:rPr>
            </w:pPr>
            <w:r>
              <w:rPr>
                <w:rFonts w:hint="eastAsia"/>
              </w:rPr>
              <w:t>南方宏元定期开放债券发起式基金的基金管理人南方基金管理股份有限公司（以下简称“基金管理人”）管理层对其他信息负责。其他信息包括南方宏元定期开放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736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70A6D2">
            <w:r>
              <w:rPr>
                <w:rFonts w:hint="eastAsia"/>
              </w:rPr>
              <w:t>管理层和治理层对财务报表的责任</w:t>
            </w:r>
          </w:p>
        </w:tc>
        <w:tc>
          <w:tcPr>
            <w:tcW w:w="2491" w:type="dxa"/>
            <w:gridSpan w:val="2"/>
            <w:vAlign w:val="center"/>
          </w:tcPr>
          <w:p w14:paraId="21714CAF">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宏元定期开放债券发起式基金的持续经营能力，披露与持续经营相关的事项（如适用），并运用持续经营假设，除非基金管理人管理层计划清算南方宏元定期开放债券发起式基金、终止运营或别无其他现实的选择。
</w:t>
            </w:r>
            <w:r>
              <w:rPr>
                <w:rFonts w:hint="eastAsia"/>
              </w:rPr>
              <w:br w:type="textWrapping"/>
            </w:r>
            <w:r>
              <w:rPr>
                <w:rFonts w:hint="eastAsia"/>
              </w:rPr>
              <w:t>基金管理人治理层负责监督南方宏元定期开放债券发起式基金的财务报告过程。</w:t>
            </w:r>
          </w:p>
        </w:tc>
      </w:tr>
      <w:tr w14:paraId="162E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CC198E">
            <w:r>
              <w:rPr>
                <w:rFonts w:hint="eastAsia"/>
              </w:rPr>
              <w:t>注册会计师对财务报表审计的责任</w:t>
            </w:r>
          </w:p>
        </w:tc>
        <w:tc>
          <w:tcPr>
            <w:tcW w:w="2491" w:type="dxa"/>
            <w:gridSpan w:val="2"/>
            <w:vAlign w:val="center"/>
          </w:tcPr>
          <w:p w14:paraId="667F37C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宏元定期开放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宏元定期开放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D87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B1C175">
            <w:r>
              <w:rPr>
                <w:rFonts w:hint="eastAsia"/>
              </w:rPr>
              <w:t>会计师事务所的名称</w:t>
            </w:r>
          </w:p>
        </w:tc>
        <w:tc>
          <w:tcPr>
            <w:tcW w:w="2491" w:type="dxa"/>
            <w:gridSpan w:val="2"/>
            <w:vAlign w:val="center"/>
          </w:tcPr>
          <w:p w14:paraId="5BBB8847">
            <w:r>
              <w:rPr>
                <w:rFonts w:hint="eastAsia"/>
              </w:rPr>
              <w:t>容诚会计师事务所（特殊普通合伙）</w:t>
            </w:r>
          </w:p>
        </w:tc>
      </w:tr>
      <w:tr w14:paraId="3336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D6BC04">
            <w:r>
              <w:rPr>
                <w:rFonts w:hint="eastAsia"/>
              </w:rPr>
              <w:t>注册会计师的姓名</w:t>
            </w:r>
          </w:p>
        </w:tc>
        <w:tc>
          <w:tcPr>
            <w:tcW w:w="2491" w:type="dxa"/>
            <w:vAlign w:val="center"/>
          </w:tcPr>
          <w:p w14:paraId="21FD4269">
            <w:r>
              <w:rPr>
                <w:rFonts w:hint="eastAsia"/>
              </w:rPr>
              <w:t>陈熹</w:t>
            </w:r>
          </w:p>
        </w:tc>
        <w:tc>
          <w:tcPr>
            <w:tcW w:w="2768" w:type="dxa"/>
            <w:vAlign w:val="center"/>
          </w:tcPr>
          <w:p w14:paraId="0F3ADC37">
            <w:r>
              <w:rPr>
                <w:rFonts w:hint="eastAsia"/>
              </w:rPr>
              <w:t>成磊</w:t>
            </w:r>
          </w:p>
        </w:tc>
      </w:tr>
      <w:tr w14:paraId="361C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968025">
            <w:r>
              <w:rPr>
                <w:rFonts w:hint="eastAsia"/>
              </w:rPr>
              <w:t>会计师事务所的地址</w:t>
            </w:r>
          </w:p>
        </w:tc>
        <w:tc>
          <w:tcPr>
            <w:tcW w:w="2491" w:type="dxa"/>
            <w:gridSpan w:val="2"/>
            <w:vAlign w:val="center"/>
          </w:tcPr>
          <w:p w14:paraId="21D52CB8">
            <w:r>
              <w:rPr>
                <w:rFonts w:hint="eastAsia"/>
              </w:rPr>
              <w:t>北京市西城区阜成门外大街22号1幢10层1001-1至1001-26</w:t>
            </w:r>
          </w:p>
        </w:tc>
      </w:tr>
      <w:tr w14:paraId="3ADD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7065D1">
            <w:r>
              <w:rPr>
                <w:rFonts w:hint="eastAsia"/>
              </w:rPr>
              <w:t>审计报告日期</w:t>
            </w:r>
          </w:p>
        </w:tc>
        <w:tc>
          <w:tcPr>
            <w:tcW w:w="2491" w:type="dxa"/>
            <w:gridSpan w:val="2"/>
            <w:vAlign w:val="center"/>
          </w:tcPr>
          <w:p w14:paraId="073EBEF5">
            <w:r>
              <w:rPr>
                <w:rFonts w:hint="eastAsia"/>
              </w:rPr>
              <w:t>2026年3月27日</w:t>
            </w:r>
          </w:p>
        </w:tc>
      </w:tr>
    </w:tbl>
    <w:p w14:paraId="40D9F106">
      <w:pPr>
        <w:pStyle w:val="26"/>
      </w:pPr>
      <w:bookmarkStart w:id="44" w:name="_Toc15755"/>
      <w:r>
        <w:t>年度财务报表</w:t>
      </w:r>
      <w:bookmarkEnd w:id="44"/>
      <w:r>
        <w:t xml:space="preserve"> </w:t>
      </w:r>
    </w:p>
    <w:p w14:paraId="7D0D100D">
      <w:pPr>
        <w:pStyle w:val="23"/>
      </w:pPr>
      <w:bookmarkStart w:id="45" w:name="_Toc14086"/>
      <w:r>
        <w:t>资产负债表</w:t>
      </w:r>
      <w:bookmarkEnd w:id="45"/>
    </w:p>
    <w:p w14:paraId="253362B1">
      <w:pPr>
        <w:pStyle w:val="18"/>
        <w:rPr>
          <w:rFonts w:hint="eastAsia"/>
        </w:rPr>
      </w:pPr>
      <w:r>
        <w:rPr>
          <w:rFonts w:hint="eastAsia"/>
        </w:rPr>
        <w:t>会计主体：南方宏元定期开放债券型发起式证券投资基金</w:t>
      </w:r>
    </w:p>
    <w:p w14:paraId="64D2A2B0">
      <w:pPr>
        <w:pStyle w:val="18"/>
        <w:rPr>
          <w:rFonts w:hint="eastAsia"/>
        </w:rPr>
      </w:pPr>
      <w:r>
        <w:rPr>
          <w:rFonts w:hint="eastAsia"/>
        </w:rPr>
        <w:t>报告截止日：2025年12月31日</w:t>
      </w:r>
    </w:p>
    <w:p w14:paraId="67AFBE2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A86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7B301">
            <w:r>
              <w:rPr>
                <w:rFonts w:hint="eastAsia"/>
              </w:rPr>
              <w:t>资产</w:t>
            </w:r>
          </w:p>
        </w:tc>
        <w:tc>
          <w:tcPr>
            <w:tcW w:w="1262" w:type="dxa"/>
            <w:vAlign w:val="center"/>
          </w:tcPr>
          <w:p w14:paraId="01C1E5FC">
            <w:r>
              <w:rPr>
                <w:rFonts w:hint="eastAsia"/>
              </w:rPr>
              <w:t>附注号</w:t>
            </w:r>
          </w:p>
        </w:tc>
        <w:tc>
          <w:tcPr>
            <w:tcW w:w="2289" w:type="dxa"/>
            <w:vAlign w:val="center"/>
          </w:tcPr>
          <w:p w14:paraId="4B55EE25">
            <w:r>
              <w:rPr>
                <w:rFonts w:hint="eastAsia"/>
              </w:rPr>
              <w:t>本期末2025年12月31日</w:t>
            </w:r>
          </w:p>
        </w:tc>
        <w:tc>
          <w:tcPr>
            <w:tcW w:w="2295" w:type="dxa"/>
            <w:vAlign w:val="center"/>
          </w:tcPr>
          <w:p w14:paraId="18B5AAE8">
            <w:r>
              <w:rPr>
                <w:rFonts w:hint="eastAsia"/>
              </w:rPr>
              <w:t>上年度末2024年12月31日</w:t>
            </w:r>
          </w:p>
        </w:tc>
      </w:tr>
      <w:tr w14:paraId="4641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F0121">
            <w:r>
              <w:rPr>
                <w:rFonts w:hint="eastAsia"/>
              </w:rPr>
              <w:t>资产：</w:t>
            </w:r>
          </w:p>
        </w:tc>
        <w:tc>
          <w:tcPr>
            <w:tcW w:w="1262" w:type="dxa"/>
            <w:vAlign w:val="center"/>
          </w:tcPr>
          <w:p w14:paraId="41797E54"/>
        </w:tc>
        <w:tc>
          <w:tcPr>
            <w:tcW w:w="2289" w:type="dxa"/>
            <w:vAlign w:val="center"/>
          </w:tcPr>
          <w:p w14:paraId="4C63F9B8"/>
        </w:tc>
        <w:tc>
          <w:tcPr>
            <w:tcW w:w="2295" w:type="dxa"/>
            <w:vAlign w:val="center"/>
          </w:tcPr>
          <w:p w14:paraId="0FA330D5"/>
        </w:tc>
      </w:tr>
      <w:tr w14:paraId="7D65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7ECA22">
            <w:r>
              <w:rPr>
                <w:rFonts w:hint="eastAsia"/>
              </w:rPr>
              <w:t>货币资金</w:t>
            </w:r>
          </w:p>
        </w:tc>
        <w:tc>
          <w:tcPr>
            <w:tcW w:w="1262" w:type="dxa"/>
            <w:vAlign w:val="center"/>
          </w:tcPr>
          <w:p w14:paraId="1A4849C4">
            <w:r>
              <w:rPr>
                <w:rFonts w:hint="eastAsia"/>
              </w:rPr>
              <w:t>7.4.7.1</w:t>
            </w:r>
          </w:p>
        </w:tc>
        <w:tc>
          <w:tcPr>
            <w:tcW w:w="2289" w:type="dxa"/>
            <w:vAlign w:val="center"/>
          </w:tcPr>
          <w:p w14:paraId="6C434F69">
            <w:pPr>
              <w:jc w:val="right"/>
            </w:pPr>
            <w:r>
              <w:rPr>
                <w:rFonts w:hint="eastAsia"/>
              </w:rPr>
              <w:t>209,206.49</w:t>
            </w:r>
          </w:p>
        </w:tc>
        <w:tc>
          <w:tcPr>
            <w:tcW w:w="2295" w:type="dxa"/>
            <w:vAlign w:val="center"/>
          </w:tcPr>
          <w:p w14:paraId="4710AEAB">
            <w:pPr>
              <w:jc w:val="right"/>
            </w:pPr>
            <w:r>
              <w:rPr>
                <w:rFonts w:hint="eastAsia"/>
              </w:rPr>
              <w:t>587,456.22</w:t>
            </w:r>
          </w:p>
        </w:tc>
      </w:tr>
      <w:tr w14:paraId="3A69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C920B">
            <w:r>
              <w:rPr>
                <w:rFonts w:hint="eastAsia"/>
              </w:rPr>
              <w:t>结算备付金</w:t>
            </w:r>
          </w:p>
        </w:tc>
        <w:tc>
          <w:tcPr>
            <w:tcW w:w="1262" w:type="dxa"/>
            <w:vAlign w:val="center"/>
          </w:tcPr>
          <w:p w14:paraId="37F8379B"/>
        </w:tc>
        <w:tc>
          <w:tcPr>
            <w:tcW w:w="2289" w:type="dxa"/>
            <w:vAlign w:val="center"/>
          </w:tcPr>
          <w:p w14:paraId="6F2E9E9D">
            <w:pPr>
              <w:jc w:val="right"/>
            </w:pPr>
            <w:r>
              <w:rPr>
                <w:rFonts w:hint="eastAsia"/>
              </w:rPr>
              <w:t>116,487.62</w:t>
            </w:r>
          </w:p>
        </w:tc>
        <w:tc>
          <w:tcPr>
            <w:tcW w:w="2295" w:type="dxa"/>
            <w:vAlign w:val="center"/>
          </w:tcPr>
          <w:p w14:paraId="31A48E9F">
            <w:pPr>
              <w:jc w:val="right"/>
            </w:pPr>
            <w:r>
              <w:rPr>
                <w:rFonts w:hint="eastAsia"/>
              </w:rPr>
              <w:t>319.74</w:t>
            </w:r>
          </w:p>
        </w:tc>
      </w:tr>
      <w:tr w14:paraId="480E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E62B4">
            <w:r>
              <w:rPr>
                <w:rFonts w:hint="eastAsia"/>
              </w:rPr>
              <w:t>存出保证金</w:t>
            </w:r>
          </w:p>
        </w:tc>
        <w:tc>
          <w:tcPr>
            <w:tcW w:w="1262" w:type="dxa"/>
            <w:vAlign w:val="center"/>
          </w:tcPr>
          <w:p w14:paraId="73F9B98D"/>
        </w:tc>
        <w:tc>
          <w:tcPr>
            <w:tcW w:w="2289" w:type="dxa"/>
            <w:vAlign w:val="center"/>
          </w:tcPr>
          <w:p w14:paraId="3395780C">
            <w:pPr>
              <w:jc w:val="right"/>
            </w:pPr>
            <w:r>
              <w:rPr>
                <w:rFonts w:hint="eastAsia"/>
              </w:rPr>
              <w:t>18,324.40</w:t>
            </w:r>
          </w:p>
        </w:tc>
        <w:tc>
          <w:tcPr>
            <w:tcW w:w="2295" w:type="dxa"/>
            <w:vAlign w:val="center"/>
          </w:tcPr>
          <w:p w14:paraId="19C5A5C1">
            <w:pPr>
              <w:jc w:val="right"/>
            </w:pPr>
            <w:r>
              <w:rPr>
                <w:rFonts w:hint="eastAsia"/>
              </w:rPr>
              <w:t>-</w:t>
            </w:r>
          </w:p>
        </w:tc>
      </w:tr>
      <w:tr w14:paraId="08F4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D9090">
            <w:r>
              <w:rPr>
                <w:rFonts w:hint="eastAsia"/>
              </w:rPr>
              <w:t>交易性金融资产</w:t>
            </w:r>
          </w:p>
        </w:tc>
        <w:tc>
          <w:tcPr>
            <w:tcW w:w="1262" w:type="dxa"/>
            <w:vAlign w:val="center"/>
          </w:tcPr>
          <w:p w14:paraId="6DC6BF0A">
            <w:r>
              <w:rPr>
                <w:rFonts w:hint="eastAsia"/>
              </w:rPr>
              <w:t>7.4.7.2</w:t>
            </w:r>
          </w:p>
        </w:tc>
        <w:tc>
          <w:tcPr>
            <w:tcW w:w="2289" w:type="dxa"/>
            <w:vAlign w:val="center"/>
          </w:tcPr>
          <w:p w14:paraId="0CA79581">
            <w:pPr>
              <w:jc w:val="right"/>
            </w:pPr>
            <w:r>
              <w:rPr>
                <w:rFonts w:hint="eastAsia"/>
              </w:rPr>
              <w:t>67,041,816.43</w:t>
            </w:r>
          </w:p>
        </w:tc>
        <w:tc>
          <w:tcPr>
            <w:tcW w:w="2295" w:type="dxa"/>
            <w:vAlign w:val="center"/>
          </w:tcPr>
          <w:p w14:paraId="4A578398">
            <w:pPr>
              <w:jc w:val="right"/>
            </w:pPr>
            <w:r>
              <w:rPr>
                <w:rFonts w:hint="eastAsia"/>
              </w:rPr>
              <w:t>3,864,818,458.53</w:t>
            </w:r>
          </w:p>
        </w:tc>
      </w:tr>
      <w:tr w14:paraId="7B2C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6A2E9">
            <w:r>
              <w:rPr>
                <w:rFonts w:hint="eastAsia"/>
              </w:rPr>
              <w:t>其中：股票投资</w:t>
            </w:r>
          </w:p>
        </w:tc>
        <w:tc>
          <w:tcPr>
            <w:tcW w:w="1262" w:type="dxa"/>
            <w:vAlign w:val="center"/>
          </w:tcPr>
          <w:p w14:paraId="74BE059F"/>
        </w:tc>
        <w:tc>
          <w:tcPr>
            <w:tcW w:w="2289" w:type="dxa"/>
            <w:vAlign w:val="center"/>
          </w:tcPr>
          <w:p w14:paraId="760FFEF0">
            <w:pPr>
              <w:jc w:val="right"/>
            </w:pPr>
            <w:r>
              <w:rPr>
                <w:rFonts w:hint="eastAsia"/>
              </w:rPr>
              <w:t>-</w:t>
            </w:r>
          </w:p>
        </w:tc>
        <w:tc>
          <w:tcPr>
            <w:tcW w:w="2295" w:type="dxa"/>
            <w:vAlign w:val="center"/>
          </w:tcPr>
          <w:p w14:paraId="4D13204F">
            <w:pPr>
              <w:jc w:val="right"/>
            </w:pPr>
            <w:r>
              <w:rPr>
                <w:rFonts w:hint="eastAsia"/>
              </w:rPr>
              <w:t>-</w:t>
            </w:r>
          </w:p>
        </w:tc>
      </w:tr>
      <w:tr w14:paraId="619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22F4E">
            <w:r>
              <w:rPr>
                <w:rFonts w:hint="eastAsia"/>
              </w:rPr>
              <w:t xml:space="preserve">      基金投资</w:t>
            </w:r>
          </w:p>
        </w:tc>
        <w:tc>
          <w:tcPr>
            <w:tcW w:w="1262" w:type="dxa"/>
            <w:vAlign w:val="center"/>
          </w:tcPr>
          <w:p w14:paraId="3D521ABB"/>
        </w:tc>
        <w:tc>
          <w:tcPr>
            <w:tcW w:w="2289" w:type="dxa"/>
            <w:vAlign w:val="center"/>
          </w:tcPr>
          <w:p w14:paraId="130D952F">
            <w:pPr>
              <w:jc w:val="right"/>
            </w:pPr>
            <w:r>
              <w:rPr>
                <w:rFonts w:hint="eastAsia"/>
              </w:rPr>
              <w:t>-</w:t>
            </w:r>
          </w:p>
        </w:tc>
        <w:tc>
          <w:tcPr>
            <w:tcW w:w="2295" w:type="dxa"/>
            <w:vAlign w:val="center"/>
          </w:tcPr>
          <w:p w14:paraId="23FA0EAE">
            <w:pPr>
              <w:jc w:val="right"/>
            </w:pPr>
            <w:r>
              <w:rPr>
                <w:rFonts w:hint="eastAsia"/>
              </w:rPr>
              <w:t>-</w:t>
            </w:r>
          </w:p>
        </w:tc>
      </w:tr>
      <w:tr w14:paraId="6260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9070A2">
            <w:r>
              <w:rPr>
                <w:rFonts w:hint="eastAsia"/>
              </w:rPr>
              <w:t xml:space="preserve">      债券投资</w:t>
            </w:r>
          </w:p>
        </w:tc>
        <w:tc>
          <w:tcPr>
            <w:tcW w:w="1262" w:type="dxa"/>
            <w:vAlign w:val="center"/>
          </w:tcPr>
          <w:p w14:paraId="7A0C54D6"/>
        </w:tc>
        <w:tc>
          <w:tcPr>
            <w:tcW w:w="2289" w:type="dxa"/>
            <w:vAlign w:val="center"/>
          </w:tcPr>
          <w:p w14:paraId="11204F84">
            <w:pPr>
              <w:jc w:val="right"/>
            </w:pPr>
            <w:r>
              <w:rPr>
                <w:rFonts w:hint="eastAsia"/>
              </w:rPr>
              <w:t>67,041,816.43</w:t>
            </w:r>
          </w:p>
        </w:tc>
        <w:tc>
          <w:tcPr>
            <w:tcW w:w="2295" w:type="dxa"/>
            <w:vAlign w:val="center"/>
          </w:tcPr>
          <w:p w14:paraId="74CE7738">
            <w:pPr>
              <w:jc w:val="right"/>
            </w:pPr>
            <w:r>
              <w:rPr>
                <w:rFonts w:hint="eastAsia"/>
              </w:rPr>
              <w:t>3,864,818,458.53</w:t>
            </w:r>
          </w:p>
        </w:tc>
      </w:tr>
      <w:tr w14:paraId="6837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27C9D">
            <w:r>
              <w:rPr>
                <w:rFonts w:hint="eastAsia"/>
              </w:rPr>
              <w:t xml:space="preserve">      资产支持证券投资</w:t>
            </w:r>
          </w:p>
        </w:tc>
        <w:tc>
          <w:tcPr>
            <w:tcW w:w="1262" w:type="dxa"/>
            <w:vAlign w:val="center"/>
          </w:tcPr>
          <w:p w14:paraId="2CDB81FC"/>
        </w:tc>
        <w:tc>
          <w:tcPr>
            <w:tcW w:w="2289" w:type="dxa"/>
            <w:vAlign w:val="center"/>
          </w:tcPr>
          <w:p w14:paraId="5F65F58E">
            <w:pPr>
              <w:jc w:val="right"/>
            </w:pPr>
            <w:r>
              <w:rPr>
                <w:rFonts w:hint="eastAsia"/>
              </w:rPr>
              <w:t>-</w:t>
            </w:r>
          </w:p>
        </w:tc>
        <w:tc>
          <w:tcPr>
            <w:tcW w:w="2295" w:type="dxa"/>
            <w:vAlign w:val="center"/>
          </w:tcPr>
          <w:p w14:paraId="011F9740">
            <w:pPr>
              <w:jc w:val="right"/>
            </w:pPr>
            <w:r>
              <w:rPr>
                <w:rFonts w:hint="eastAsia"/>
              </w:rPr>
              <w:t>-</w:t>
            </w:r>
          </w:p>
        </w:tc>
      </w:tr>
      <w:tr w14:paraId="3520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D96D2">
            <w:r>
              <w:rPr>
                <w:rFonts w:hint="eastAsia"/>
              </w:rPr>
              <w:t xml:space="preserve">      贵金属投资</w:t>
            </w:r>
          </w:p>
        </w:tc>
        <w:tc>
          <w:tcPr>
            <w:tcW w:w="1262" w:type="dxa"/>
            <w:vAlign w:val="center"/>
          </w:tcPr>
          <w:p w14:paraId="3A6FB2A3"/>
        </w:tc>
        <w:tc>
          <w:tcPr>
            <w:tcW w:w="2289" w:type="dxa"/>
            <w:vAlign w:val="center"/>
          </w:tcPr>
          <w:p w14:paraId="513D02EA">
            <w:pPr>
              <w:jc w:val="right"/>
            </w:pPr>
            <w:r>
              <w:rPr>
                <w:rFonts w:hint="eastAsia"/>
              </w:rPr>
              <w:t>-</w:t>
            </w:r>
          </w:p>
        </w:tc>
        <w:tc>
          <w:tcPr>
            <w:tcW w:w="2295" w:type="dxa"/>
            <w:vAlign w:val="center"/>
          </w:tcPr>
          <w:p w14:paraId="2345CDD4">
            <w:pPr>
              <w:jc w:val="right"/>
            </w:pPr>
            <w:r>
              <w:rPr>
                <w:rFonts w:hint="eastAsia"/>
              </w:rPr>
              <w:t>-</w:t>
            </w:r>
          </w:p>
        </w:tc>
      </w:tr>
      <w:tr w14:paraId="3BC1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A7F66">
            <w:r>
              <w:rPr>
                <w:rFonts w:hint="eastAsia"/>
              </w:rPr>
              <w:t xml:space="preserve">      其他投资</w:t>
            </w:r>
          </w:p>
        </w:tc>
        <w:tc>
          <w:tcPr>
            <w:tcW w:w="1262" w:type="dxa"/>
            <w:vAlign w:val="center"/>
          </w:tcPr>
          <w:p w14:paraId="45578531"/>
        </w:tc>
        <w:tc>
          <w:tcPr>
            <w:tcW w:w="2289" w:type="dxa"/>
            <w:vAlign w:val="center"/>
          </w:tcPr>
          <w:p w14:paraId="6C9A9688">
            <w:pPr>
              <w:jc w:val="right"/>
            </w:pPr>
            <w:r>
              <w:rPr>
                <w:rFonts w:hint="eastAsia"/>
              </w:rPr>
              <w:t>-</w:t>
            </w:r>
          </w:p>
        </w:tc>
        <w:tc>
          <w:tcPr>
            <w:tcW w:w="2295" w:type="dxa"/>
            <w:vAlign w:val="center"/>
          </w:tcPr>
          <w:p w14:paraId="13B4968D">
            <w:pPr>
              <w:jc w:val="right"/>
            </w:pPr>
            <w:r>
              <w:rPr>
                <w:rFonts w:hint="eastAsia"/>
              </w:rPr>
              <w:t>-</w:t>
            </w:r>
          </w:p>
        </w:tc>
      </w:tr>
      <w:tr w14:paraId="6F56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DCDA2">
            <w:r>
              <w:rPr>
                <w:rFonts w:hint="eastAsia"/>
              </w:rPr>
              <w:t>衍生金融资产</w:t>
            </w:r>
          </w:p>
        </w:tc>
        <w:tc>
          <w:tcPr>
            <w:tcW w:w="1262" w:type="dxa"/>
            <w:vAlign w:val="center"/>
          </w:tcPr>
          <w:p w14:paraId="34B239FA">
            <w:r>
              <w:rPr>
                <w:rFonts w:hint="eastAsia"/>
              </w:rPr>
              <w:t>7.4.7.3</w:t>
            </w:r>
          </w:p>
        </w:tc>
        <w:tc>
          <w:tcPr>
            <w:tcW w:w="2289" w:type="dxa"/>
            <w:vAlign w:val="center"/>
          </w:tcPr>
          <w:p w14:paraId="7E2B2012">
            <w:pPr>
              <w:jc w:val="right"/>
            </w:pPr>
            <w:r>
              <w:rPr>
                <w:rFonts w:hint="eastAsia"/>
              </w:rPr>
              <w:t>-</w:t>
            </w:r>
          </w:p>
        </w:tc>
        <w:tc>
          <w:tcPr>
            <w:tcW w:w="2295" w:type="dxa"/>
            <w:vAlign w:val="center"/>
          </w:tcPr>
          <w:p w14:paraId="65CD705F">
            <w:pPr>
              <w:jc w:val="right"/>
            </w:pPr>
            <w:r>
              <w:rPr>
                <w:rFonts w:hint="eastAsia"/>
              </w:rPr>
              <w:t>-</w:t>
            </w:r>
          </w:p>
        </w:tc>
      </w:tr>
      <w:tr w14:paraId="0553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D0128">
            <w:r>
              <w:rPr>
                <w:rFonts w:hint="eastAsia"/>
              </w:rPr>
              <w:t>买入返售金融资产</w:t>
            </w:r>
          </w:p>
        </w:tc>
        <w:tc>
          <w:tcPr>
            <w:tcW w:w="1262" w:type="dxa"/>
            <w:vAlign w:val="center"/>
          </w:tcPr>
          <w:p w14:paraId="1CBD2CF1">
            <w:r>
              <w:rPr>
                <w:rFonts w:hint="eastAsia"/>
              </w:rPr>
              <w:t>7.4.7.4</w:t>
            </w:r>
          </w:p>
        </w:tc>
        <w:tc>
          <w:tcPr>
            <w:tcW w:w="2289" w:type="dxa"/>
            <w:vAlign w:val="center"/>
          </w:tcPr>
          <w:p w14:paraId="1145D723">
            <w:pPr>
              <w:jc w:val="right"/>
            </w:pPr>
            <w:r>
              <w:rPr>
                <w:rFonts w:hint="eastAsia"/>
              </w:rPr>
              <w:t>-</w:t>
            </w:r>
          </w:p>
        </w:tc>
        <w:tc>
          <w:tcPr>
            <w:tcW w:w="2295" w:type="dxa"/>
            <w:vAlign w:val="center"/>
          </w:tcPr>
          <w:p w14:paraId="4AEFE811">
            <w:pPr>
              <w:jc w:val="right"/>
            </w:pPr>
            <w:r>
              <w:rPr>
                <w:rFonts w:hint="eastAsia"/>
              </w:rPr>
              <w:t>-</w:t>
            </w:r>
          </w:p>
        </w:tc>
      </w:tr>
      <w:tr w14:paraId="43C4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D6271">
            <w:r>
              <w:rPr>
                <w:rFonts w:hint="eastAsia"/>
              </w:rPr>
              <w:t>债权投资</w:t>
            </w:r>
          </w:p>
        </w:tc>
        <w:tc>
          <w:tcPr>
            <w:tcW w:w="1262" w:type="dxa"/>
            <w:vAlign w:val="center"/>
          </w:tcPr>
          <w:p w14:paraId="79281D80"/>
        </w:tc>
        <w:tc>
          <w:tcPr>
            <w:tcW w:w="2289" w:type="dxa"/>
            <w:vAlign w:val="center"/>
          </w:tcPr>
          <w:p w14:paraId="2FC95764">
            <w:pPr>
              <w:jc w:val="right"/>
            </w:pPr>
            <w:r>
              <w:rPr>
                <w:rFonts w:hint="eastAsia"/>
              </w:rPr>
              <w:t>-</w:t>
            </w:r>
          </w:p>
        </w:tc>
        <w:tc>
          <w:tcPr>
            <w:tcW w:w="2295" w:type="dxa"/>
            <w:vAlign w:val="center"/>
          </w:tcPr>
          <w:p w14:paraId="044C7456">
            <w:pPr>
              <w:jc w:val="right"/>
            </w:pPr>
            <w:r>
              <w:rPr>
                <w:rFonts w:hint="eastAsia"/>
              </w:rPr>
              <w:t>-</w:t>
            </w:r>
          </w:p>
        </w:tc>
      </w:tr>
      <w:tr w14:paraId="13B5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0B24A">
            <w:r>
              <w:rPr>
                <w:rFonts w:hint="eastAsia"/>
              </w:rPr>
              <w:t>其中：债券投资</w:t>
            </w:r>
          </w:p>
        </w:tc>
        <w:tc>
          <w:tcPr>
            <w:tcW w:w="1262" w:type="dxa"/>
            <w:vAlign w:val="center"/>
          </w:tcPr>
          <w:p w14:paraId="3A6B7BBF"/>
        </w:tc>
        <w:tc>
          <w:tcPr>
            <w:tcW w:w="2289" w:type="dxa"/>
            <w:vAlign w:val="center"/>
          </w:tcPr>
          <w:p w14:paraId="4FCDA192">
            <w:pPr>
              <w:jc w:val="right"/>
            </w:pPr>
            <w:r>
              <w:rPr>
                <w:rFonts w:hint="eastAsia"/>
              </w:rPr>
              <w:t>-</w:t>
            </w:r>
          </w:p>
        </w:tc>
        <w:tc>
          <w:tcPr>
            <w:tcW w:w="2295" w:type="dxa"/>
            <w:vAlign w:val="center"/>
          </w:tcPr>
          <w:p w14:paraId="310B9A2A">
            <w:pPr>
              <w:jc w:val="right"/>
            </w:pPr>
            <w:r>
              <w:rPr>
                <w:rFonts w:hint="eastAsia"/>
              </w:rPr>
              <w:t>-</w:t>
            </w:r>
          </w:p>
        </w:tc>
      </w:tr>
      <w:tr w14:paraId="3752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A6FF5D">
            <w:r>
              <w:rPr>
                <w:rFonts w:hint="eastAsia"/>
              </w:rPr>
              <w:t xml:space="preserve">      资产支持证券投资</w:t>
            </w:r>
          </w:p>
        </w:tc>
        <w:tc>
          <w:tcPr>
            <w:tcW w:w="1262" w:type="dxa"/>
            <w:vAlign w:val="center"/>
          </w:tcPr>
          <w:p w14:paraId="25E6BB8D"/>
        </w:tc>
        <w:tc>
          <w:tcPr>
            <w:tcW w:w="2289" w:type="dxa"/>
            <w:vAlign w:val="center"/>
          </w:tcPr>
          <w:p w14:paraId="5A57E8F2">
            <w:pPr>
              <w:jc w:val="right"/>
            </w:pPr>
            <w:r>
              <w:rPr>
                <w:rFonts w:hint="eastAsia"/>
              </w:rPr>
              <w:t>-</w:t>
            </w:r>
          </w:p>
        </w:tc>
        <w:tc>
          <w:tcPr>
            <w:tcW w:w="2295" w:type="dxa"/>
            <w:vAlign w:val="center"/>
          </w:tcPr>
          <w:p w14:paraId="3A80913C">
            <w:pPr>
              <w:jc w:val="right"/>
            </w:pPr>
            <w:r>
              <w:rPr>
                <w:rFonts w:hint="eastAsia"/>
              </w:rPr>
              <w:t>-</w:t>
            </w:r>
          </w:p>
        </w:tc>
      </w:tr>
      <w:tr w14:paraId="703C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A534D">
            <w:r>
              <w:rPr>
                <w:rFonts w:hint="eastAsia"/>
              </w:rPr>
              <w:t xml:space="preserve">      其他投资</w:t>
            </w:r>
          </w:p>
        </w:tc>
        <w:tc>
          <w:tcPr>
            <w:tcW w:w="1262" w:type="dxa"/>
            <w:vAlign w:val="center"/>
          </w:tcPr>
          <w:p w14:paraId="38FD2CF5"/>
        </w:tc>
        <w:tc>
          <w:tcPr>
            <w:tcW w:w="2289" w:type="dxa"/>
            <w:vAlign w:val="center"/>
          </w:tcPr>
          <w:p w14:paraId="0BFC8437">
            <w:pPr>
              <w:jc w:val="right"/>
            </w:pPr>
            <w:r>
              <w:rPr>
                <w:rFonts w:hint="eastAsia"/>
              </w:rPr>
              <w:t>-</w:t>
            </w:r>
          </w:p>
        </w:tc>
        <w:tc>
          <w:tcPr>
            <w:tcW w:w="2295" w:type="dxa"/>
            <w:vAlign w:val="center"/>
          </w:tcPr>
          <w:p w14:paraId="2AB4F6F7">
            <w:pPr>
              <w:jc w:val="right"/>
            </w:pPr>
            <w:r>
              <w:rPr>
                <w:rFonts w:hint="eastAsia"/>
              </w:rPr>
              <w:t>-</w:t>
            </w:r>
          </w:p>
        </w:tc>
      </w:tr>
      <w:tr w14:paraId="2AE4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687E1">
            <w:r>
              <w:rPr>
                <w:rFonts w:hint="eastAsia"/>
              </w:rPr>
              <w:t>其他债权投资</w:t>
            </w:r>
          </w:p>
        </w:tc>
        <w:tc>
          <w:tcPr>
            <w:tcW w:w="1262" w:type="dxa"/>
            <w:vAlign w:val="center"/>
          </w:tcPr>
          <w:p w14:paraId="0027F0DC"/>
        </w:tc>
        <w:tc>
          <w:tcPr>
            <w:tcW w:w="2289" w:type="dxa"/>
            <w:vAlign w:val="center"/>
          </w:tcPr>
          <w:p w14:paraId="769D4774">
            <w:pPr>
              <w:jc w:val="right"/>
            </w:pPr>
            <w:r>
              <w:rPr>
                <w:rFonts w:hint="eastAsia"/>
              </w:rPr>
              <w:t>-</w:t>
            </w:r>
          </w:p>
        </w:tc>
        <w:tc>
          <w:tcPr>
            <w:tcW w:w="2295" w:type="dxa"/>
            <w:vAlign w:val="center"/>
          </w:tcPr>
          <w:p w14:paraId="2D9F92C4">
            <w:pPr>
              <w:jc w:val="right"/>
            </w:pPr>
            <w:r>
              <w:rPr>
                <w:rFonts w:hint="eastAsia"/>
              </w:rPr>
              <w:t>-</w:t>
            </w:r>
          </w:p>
        </w:tc>
      </w:tr>
      <w:tr w14:paraId="56E2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EDF22">
            <w:r>
              <w:rPr>
                <w:rFonts w:hint="eastAsia"/>
              </w:rPr>
              <w:t>其他权益工具投资</w:t>
            </w:r>
          </w:p>
        </w:tc>
        <w:tc>
          <w:tcPr>
            <w:tcW w:w="1262" w:type="dxa"/>
            <w:vAlign w:val="center"/>
          </w:tcPr>
          <w:p w14:paraId="41253CCD"/>
        </w:tc>
        <w:tc>
          <w:tcPr>
            <w:tcW w:w="2289" w:type="dxa"/>
            <w:vAlign w:val="center"/>
          </w:tcPr>
          <w:p w14:paraId="16640949">
            <w:pPr>
              <w:jc w:val="right"/>
            </w:pPr>
            <w:r>
              <w:rPr>
                <w:rFonts w:hint="eastAsia"/>
              </w:rPr>
              <w:t>-</w:t>
            </w:r>
          </w:p>
        </w:tc>
        <w:tc>
          <w:tcPr>
            <w:tcW w:w="2295" w:type="dxa"/>
            <w:vAlign w:val="center"/>
          </w:tcPr>
          <w:p w14:paraId="47A9375C">
            <w:pPr>
              <w:jc w:val="right"/>
            </w:pPr>
            <w:r>
              <w:rPr>
                <w:rFonts w:hint="eastAsia"/>
              </w:rPr>
              <w:t>-</w:t>
            </w:r>
          </w:p>
        </w:tc>
      </w:tr>
      <w:tr w14:paraId="1AD3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455D9A">
            <w:r>
              <w:rPr>
                <w:rFonts w:hint="eastAsia"/>
              </w:rPr>
              <w:t>应收清算款</w:t>
            </w:r>
          </w:p>
        </w:tc>
        <w:tc>
          <w:tcPr>
            <w:tcW w:w="1262" w:type="dxa"/>
            <w:vAlign w:val="center"/>
          </w:tcPr>
          <w:p w14:paraId="351F819C"/>
        </w:tc>
        <w:tc>
          <w:tcPr>
            <w:tcW w:w="2289" w:type="dxa"/>
            <w:vAlign w:val="center"/>
          </w:tcPr>
          <w:p w14:paraId="127706F0">
            <w:pPr>
              <w:jc w:val="right"/>
            </w:pPr>
            <w:r>
              <w:rPr>
                <w:rFonts w:hint="eastAsia"/>
              </w:rPr>
              <w:t>-</w:t>
            </w:r>
          </w:p>
        </w:tc>
        <w:tc>
          <w:tcPr>
            <w:tcW w:w="2295" w:type="dxa"/>
            <w:vAlign w:val="center"/>
          </w:tcPr>
          <w:p w14:paraId="49A6AD63">
            <w:pPr>
              <w:jc w:val="right"/>
            </w:pPr>
            <w:r>
              <w:rPr>
                <w:rFonts w:hint="eastAsia"/>
              </w:rPr>
              <w:t>-</w:t>
            </w:r>
          </w:p>
        </w:tc>
      </w:tr>
      <w:tr w14:paraId="2FF9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77D18F">
            <w:r>
              <w:rPr>
                <w:rFonts w:hint="eastAsia"/>
              </w:rPr>
              <w:t>应收股利</w:t>
            </w:r>
          </w:p>
        </w:tc>
        <w:tc>
          <w:tcPr>
            <w:tcW w:w="1262" w:type="dxa"/>
            <w:vAlign w:val="center"/>
          </w:tcPr>
          <w:p w14:paraId="3ED7F96C"/>
        </w:tc>
        <w:tc>
          <w:tcPr>
            <w:tcW w:w="2289" w:type="dxa"/>
            <w:vAlign w:val="center"/>
          </w:tcPr>
          <w:p w14:paraId="2B297E04">
            <w:pPr>
              <w:jc w:val="right"/>
            </w:pPr>
            <w:r>
              <w:rPr>
                <w:rFonts w:hint="eastAsia"/>
              </w:rPr>
              <w:t>-</w:t>
            </w:r>
          </w:p>
        </w:tc>
        <w:tc>
          <w:tcPr>
            <w:tcW w:w="2295" w:type="dxa"/>
            <w:vAlign w:val="center"/>
          </w:tcPr>
          <w:p w14:paraId="237EED09">
            <w:pPr>
              <w:jc w:val="right"/>
            </w:pPr>
            <w:r>
              <w:rPr>
                <w:rFonts w:hint="eastAsia"/>
              </w:rPr>
              <w:t>-</w:t>
            </w:r>
          </w:p>
        </w:tc>
      </w:tr>
      <w:tr w14:paraId="4A25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5B8B8">
            <w:r>
              <w:rPr>
                <w:rFonts w:hint="eastAsia"/>
              </w:rPr>
              <w:t>应收申购款</w:t>
            </w:r>
          </w:p>
        </w:tc>
        <w:tc>
          <w:tcPr>
            <w:tcW w:w="1262" w:type="dxa"/>
            <w:vAlign w:val="center"/>
          </w:tcPr>
          <w:p w14:paraId="09CF7455"/>
        </w:tc>
        <w:tc>
          <w:tcPr>
            <w:tcW w:w="2289" w:type="dxa"/>
            <w:vAlign w:val="center"/>
          </w:tcPr>
          <w:p w14:paraId="3F7E02DC">
            <w:pPr>
              <w:jc w:val="right"/>
            </w:pPr>
            <w:r>
              <w:rPr>
                <w:rFonts w:hint="eastAsia"/>
              </w:rPr>
              <w:t>-</w:t>
            </w:r>
          </w:p>
        </w:tc>
        <w:tc>
          <w:tcPr>
            <w:tcW w:w="2295" w:type="dxa"/>
            <w:vAlign w:val="center"/>
          </w:tcPr>
          <w:p w14:paraId="3545EC6E">
            <w:pPr>
              <w:jc w:val="right"/>
            </w:pPr>
            <w:r>
              <w:rPr>
                <w:rFonts w:hint="eastAsia"/>
              </w:rPr>
              <w:t>-</w:t>
            </w:r>
          </w:p>
        </w:tc>
      </w:tr>
      <w:tr w14:paraId="58D0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A8498">
            <w:r>
              <w:rPr>
                <w:rFonts w:hint="eastAsia"/>
              </w:rPr>
              <w:t>递延所得税资产</w:t>
            </w:r>
          </w:p>
        </w:tc>
        <w:tc>
          <w:tcPr>
            <w:tcW w:w="1262" w:type="dxa"/>
            <w:vAlign w:val="center"/>
          </w:tcPr>
          <w:p w14:paraId="223D9CBF"/>
        </w:tc>
        <w:tc>
          <w:tcPr>
            <w:tcW w:w="2289" w:type="dxa"/>
            <w:vAlign w:val="center"/>
          </w:tcPr>
          <w:p w14:paraId="552F1D4F">
            <w:pPr>
              <w:jc w:val="right"/>
            </w:pPr>
            <w:r>
              <w:rPr>
                <w:rFonts w:hint="eastAsia"/>
              </w:rPr>
              <w:t>-</w:t>
            </w:r>
          </w:p>
        </w:tc>
        <w:tc>
          <w:tcPr>
            <w:tcW w:w="2295" w:type="dxa"/>
            <w:vAlign w:val="center"/>
          </w:tcPr>
          <w:p w14:paraId="1167B788">
            <w:pPr>
              <w:jc w:val="right"/>
            </w:pPr>
            <w:r>
              <w:rPr>
                <w:rFonts w:hint="eastAsia"/>
              </w:rPr>
              <w:t>-</w:t>
            </w:r>
          </w:p>
        </w:tc>
      </w:tr>
      <w:tr w14:paraId="30FD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66AD6">
            <w:r>
              <w:rPr>
                <w:rFonts w:hint="eastAsia"/>
              </w:rPr>
              <w:t>其他资产</w:t>
            </w:r>
          </w:p>
        </w:tc>
        <w:tc>
          <w:tcPr>
            <w:tcW w:w="1262" w:type="dxa"/>
            <w:vAlign w:val="center"/>
          </w:tcPr>
          <w:p w14:paraId="6B03C80F">
            <w:r>
              <w:rPr>
                <w:rFonts w:hint="eastAsia"/>
              </w:rPr>
              <w:t>7.4.7.5</w:t>
            </w:r>
          </w:p>
        </w:tc>
        <w:tc>
          <w:tcPr>
            <w:tcW w:w="2289" w:type="dxa"/>
            <w:vAlign w:val="center"/>
          </w:tcPr>
          <w:p w14:paraId="3336DAFB">
            <w:pPr>
              <w:jc w:val="right"/>
            </w:pPr>
            <w:r>
              <w:rPr>
                <w:rFonts w:hint="eastAsia"/>
              </w:rPr>
              <w:t>-</w:t>
            </w:r>
          </w:p>
        </w:tc>
        <w:tc>
          <w:tcPr>
            <w:tcW w:w="2295" w:type="dxa"/>
            <w:vAlign w:val="center"/>
          </w:tcPr>
          <w:p w14:paraId="4E436D74">
            <w:pPr>
              <w:jc w:val="right"/>
            </w:pPr>
            <w:r>
              <w:rPr>
                <w:rFonts w:hint="eastAsia"/>
              </w:rPr>
              <w:t>-</w:t>
            </w:r>
          </w:p>
        </w:tc>
      </w:tr>
      <w:tr w14:paraId="1FB0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C8CBE1">
            <w:r>
              <w:rPr>
                <w:rFonts w:hint="eastAsia"/>
              </w:rPr>
              <w:t>资产总计</w:t>
            </w:r>
          </w:p>
        </w:tc>
        <w:tc>
          <w:tcPr>
            <w:tcW w:w="1262" w:type="dxa"/>
            <w:vAlign w:val="center"/>
          </w:tcPr>
          <w:p w14:paraId="01FBC4A9"/>
        </w:tc>
        <w:tc>
          <w:tcPr>
            <w:tcW w:w="2289" w:type="dxa"/>
            <w:vAlign w:val="center"/>
          </w:tcPr>
          <w:p w14:paraId="004D649D">
            <w:pPr>
              <w:jc w:val="right"/>
            </w:pPr>
            <w:r>
              <w:rPr>
                <w:rFonts w:hint="eastAsia"/>
              </w:rPr>
              <w:t>67,385,834.94</w:t>
            </w:r>
          </w:p>
        </w:tc>
        <w:tc>
          <w:tcPr>
            <w:tcW w:w="2295" w:type="dxa"/>
            <w:vAlign w:val="center"/>
          </w:tcPr>
          <w:p w14:paraId="320FB989">
            <w:pPr>
              <w:jc w:val="right"/>
            </w:pPr>
            <w:r>
              <w:rPr>
                <w:rFonts w:hint="eastAsia"/>
              </w:rPr>
              <w:t>3,865,406,234.49</w:t>
            </w:r>
          </w:p>
        </w:tc>
      </w:tr>
      <w:tr w14:paraId="4B9F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2B036">
            <w:r>
              <w:rPr>
                <w:rFonts w:hint="eastAsia"/>
              </w:rPr>
              <w:t>负债和净资产</w:t>
            </w:r>
          </w:p>
        </w:tc>
        <w:tc>
          <w:tcPr>
            <w:tcW w:w="1262" w:type="dxa"/>
            <w:vAlign w:val="center"/>
          </w:tcPr>
          <w:p w14:paraId="58BEE9D8">
            <w:r>
              <w:rPr>
                <w:rFonts w:hint="eastAsia"/>
              </w:rPr>
              <w:t>附注号</w:t>
            </w:r>
          </w:p>
        </w:tc>
        <w:tc>
          <w:tcPr>
            <w:tcW w:w="2289" w:type="dxa"/>
            <w:vAlign w:val="center"/>
          </w:tcPr>
          <w:p w14:paraId="4C257CBB">
            <w:r>
              <w:rPr>
                <w:rFonts w:hint="eastAsia"/>
              </w:rPr>
              <w:t>本期末2025年12月31日</w:t>
            </w:r>
          </w:p>
        </w:tc>
        <w:tc>
          <w:tcPr>
            <w:tcW w:w="2295" w:type="dxa"/>
            <w:vAlign w:val="center"/>
          </w:tcPr>
          <w:p w14:paraId="4E83D58B">
            <w:r>
              <w:rPr>
                <w:rFonts w:hint="eastAsia"/>
              </w:rPr>
              <w:t>上年度末2024年12月31日</w:t>
            </w:r>
          </w:p>
        </w:tc>
      </w:tr>
      <w:tr w14:paraId="01E3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61D09">
            <w:r>
              <w:rPr>
                <w:rFonts w:hint="eastAsia"/>
              </w:rPr>
              <w:t>负债：</w:t>
            </w:r>
          </w:p>
        </w:tc>
        <w:tc>
          <w:tcPr>
            <w:tcW w:w="1262" w:type="dxa"/>
            <w:vAlign w:val="center"/>
          </w:tcPr>
          <w:p w14:paraId="0FC816ED"/>
        </w:tc>
        <w:tc>
          <w:tcPr>
            <w:tcW w:w="2289" w:type="dxa"/>
            <w:vAlign w:val="center"/>
          </w:tcPr>
          <w:p w14:paraId="275D7FDD"/>
        </w:tc>
        <w:tc>
          <w:tcPr>
            <w:tcW w:w="2295" w:type="dxa"/>
            <w:vAlign w:val="center"/>
          </w:tcPr>
          <w:p w14:paraId="54F0B173"/>
        </w:tc>
      </w:tr>
      <w:tr w14:paraId="4C94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F11CD">
            <w:r>
              <w:rPr>
                <w:rFonts w:hint="eastAsia"/>
              </w:rPr>
              <w:t>短期借款</w:t>
            </w:r>
          </w:p>
        </w:tc>
        <w:tc>
          <w:tcPr>
            <w:tcW w:w="1262" w:type="dxa"/>
            <w:vAlign w:val="center"/>
          </w:tcPr>
          <w:p w14:paraId="45FE76CC"/>
        </w:tc>
        <w:tc>
          <w:tcPr>
            <w:tcW w:w="2289" w:type="dxa"/>
            <w:vAlign w:val="center"/>
          </w:tcPr>
          <w:p w14:paraId="64C95B38">
            <w:pPr>
              <w:jc w:val="right"/>
            </w:pPr>
            <w:r>
              <w:rPr>
                <w:rFonts w:hint="eastAsia"/>
              </w:rPr>
              <w:t>-</w:t>
            </w:r>
          </w:p>
        </w:tc>
        <w:tc>
          <w:tcPr>
            <w:tcW w:w="2295" w:type="dxa"/>
            <w:vAlign w:val="center"/>
          </w:tcPr>
          <w:p w14:paraId="0F129E4A">
            <w:pPr>
              <w:jc w:val="right"/>
            </w:pPr>
            <w:r>
              <w:rPr>
                <w:rFonts w:hint="eastAsia"/>
              </w:rPr>
              <w:t>-</w:t>
            </w:r>
          </w:p>
        </w:tc>
      </w:tr>
      <w:tr w14:paraId="14CF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1E7F3">
            <w:r>
              <w:rPr>
                <w:rFonts w:hint="eastAsia"/>
              </w:rPr>
              <w:t>交易性金融负债</w:t>
            </w:r>
          </w:p>
        </w:tc>
        <w:tc>
          <w:tcPr>
            <w:tcW w:w="1262" w:type="dxa"/>
            <w:vAlign w:val="center"/>
          </w:tcPr>
          <w:p w14:paraId="4D8B64D2"/>
        </w:tc>
        <w:tc>
          <w:tcPr>
            <w:tcW w:w="2289" w:type="dxa"/>
            <w:vAlign w:val="center"/>
          </w:tcPr>
          <w:p w14:paraId="11491A31">
            <w:pPr>
              <w:jc w:val="right"/>
            </w:pPr>
            <w:r>
              <w:rPr>
                <w:rFonts w:hint="eastAsia"/>
              </w:rPr>
              <w:t>-</w:t>
            </w:r>
          </w:p>
        </w:tc>
        <w:tc>
          <w:tcPr>
            <w:tcW w:w="2295" w:type="dxa"/>
            <w:vAlign w:val="center"/>
          </w:tcPr>
          <w:p w14:paraId="19085503">
            <w:pPr>
              <w:jc w:val="right"/>
            </w:pPr>
            <w:r>
              <w:rPr>
                <w:rFonts w:hint="eastAsia"/>
              </w:rPr>
              <w:t>-</w:t>
            </w:r>
          </w:p>
        </w:tc>
      </w:tr>
      <w:tr w14:paraId="5BBB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42EED">
            <w:r>
              <w:rPr>
                <w:rFonts w:hint="eastAsia"/>
              </w:rPr>
              <w:t>衍生金融负债</w:t>
            </w:r>
          </w:p>
        </w:tc>
        <w:tc>
          <w:tcPr>
            <w:tcW w:w="1262" w:type="dxa"/>
            <w:vAlign w:val="center"/>
          </w:tcPr>
          <w:p w14:paraId="61BFEE42">
            <w:r>
              <w:rPr>
                <w:rFonts w:hint="eastAsia"/>
              </w:rPr>
              <w:t>7.4.7.3</w:t>
            </w:r>
          </w:p>
        </w:tc>
        <w:tc>
          <w:tcPr>
            <w:tcW w:w="2289" w:type="dxa"/>
            <w:vAlign w:val="center"/>
          </w:tcPr>
          <w:p w14:paraId="024A7BF3">
            <w:pPr>
              <w:jc w:val="right"/>
            </w:pPr>
            <w:r>
              <w:rPr>
                <w:rFonts w:hint="eastAsia"/>
              </w:rPr>
              <w:t>-</w:t>
            </w:r>
          </w:p>
        </w:tc>
        <w:tc>
          <w:tcPr>
            <w:tcW w:w="2295" w:type="dxa"/>
            <w:vAlign w:val="center"/>
          </w:tcPr>
          <w:p w14:paraId="16011203">
            <w:pPr>
              <w:jc w:val="right"/>
            </w:pPr>
            <w:r>
              <w:rPr>
                <w:rFonts w:hint="eastAsia"/>
              </w:rPr>
              <w:t>-</w:t>
            </w:r>
          </w:p>
        </w:tc>
      </w:tr>
      <w:tr w14:paraId="1897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A45A8">
            <w:r>
              <w:rPr>
                <w:rFonts w:hint="eastAsia"/>
              </w:rPr>
              <w:t>卖出回购金融资产款</w:t>
            </w:r>
          </w:p>
        </w:tc>
        <w:tc>
          <w:tcPr>
            <w:tcW w:w="1262" w:type="dxa"/>
            <w:vAlign w:val="center"/>
          </w:tcPr>
          <w:p w14:paraId="23835FF0"/>
        </w:tc>
        <w:tc>
          <w:tcPr>
            <w:tcW w:w="2289" w:type="dxa"/>
            <w:vAlign w:val="center"/>
          </w:tcPr>
          <w:p w14:paraId="6952D8BD">
            <w:pPr>
              <w:jc w:val="right"/>
            </w:pPr>
            <w:r>
              <w:rPr>
                <w:rFonts w:hint="eastAsia"/>
              </w:rPr>
              <w:t>-</w:t>
            </w:r>
          </w:p>
        </w:tc>
        <w:tc>
          <w:tcPr>
            <w:tcW w:w="2295" w:type="dxa"/>
            <w:vAlign w:val="center"/>
          </w:tcPr>
          <w:p w14:paraId="5B55CABE">
            <w:pPr>
              <w:jc w:val="right"/>
            </w:pPr>
            <w:r>
              <w:rPr>
                <w:rFonts w:hint="eastAsia"/>
              </w:rPr>
              <w:t>619,075,129.36</w:t>
            </w:r>
          </w:p>
        </w:tc>
      </w:tr>
      <w:tr w14:paraId="3726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C80F7">
            <w:r>
              <w:rPr>
                <w:rFonts w:hint="eastAsia"/>
              </w:rPr>
              <w:t>应付清算款</w:t>
            </w:r>
          </w:p>
        </w:tc>
        <w:tc>
          <w:tcPr>
            <w:tcW w:w="1262" w:type="dxa"/>
            <w:vAlign w:val="center"/>
          </w:tcPr>
          <w:p w14:paraId="51C75240"/>
        </w:tc>
        <w:tc>
          <w:tcPr>
            <w:tcW w:w="2289" w:type="dxa"/>
            <w:vAlign w:val="center"/>
          </w:tcPr>
          <w:p w14:paraId="3CE1EF84">
            <w:pPr>
              <w:jc w:val="right"/>
            </w:pPr>
            <w:r>
              <w:rPr>
                <w:rFonts w:hint="eastAsia"/>
              </w:rPr>
              <w:t>-</w:t>
            </w:r>
          </w:p>
        </w:tc>
        <w:tc>
          <w:tcPr>
            <w:tcW w:w="2295" w:type="dxa"/>
            <w:vAlign w:val="center"/>
          </w:tcPr>
          <w:p w14:paraId="419EC126">
            <w:pPr>
              <w:jc w:val="right"/>
            </w:pPr>
            <w:r>
              <w:rPr>
                <w:rFonts w:hint="eastAsia"/>
              </w:rPr>
              <w:t>-</w:t>
            </w:r>
          </w:p>
        </w:tc>
      </w:tr>
      <w:tr w14:paraId="1222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4FB9D">
            <w:r>
              <w:rPr>
                <w:rFonts w:hint="eastAsia"/>
              </w:rPr>
              <w:t>应付赎回款</w:t>
            </w:r>
          </w:p>
        </w:tc>
        <w:tc>
          <w:tcPr>
            <w:tcW w:w="1262" w:type="dxa"/>
            <w:vAlign w:val="center"/>
          </w:tcPr>
          <w:p w14:paraId="2492871D"/>
        </w:tc>
        <w:tc>
          <w:tcPr>
            <w:tcW w:w="2289" w:type="dxa"/>
            <w:vAlign w:val="center"/>
          </w:tcPr>
          <w:p w14:paraId="2FE04FC2">
            <w:pPr>
              <w:jc w:val="right"/>
            </w:pPr>
            <w:r>
              <w:rPr>
                <w:rFonts w:hint="eastAsia"/>
              </w:rPr>
              <w:t>-</w:t>
            </w:r>
          </w:p>
        </w:tc>
        <w:tc>
          <w:tcPr>
            <w:tcW w:w="2295" w:type="dxa"/>
            <w:vAlign w:val="center"/>
          </w:tcPr>
          <w:p w14:paraId="4686D34D">
            <w:pPr>
              <w:jc w:val="right"/>
            </w:pPr>
            <w:r>
              <w:rPr>
                <w:rFonts w:hint="eastAsia"/>
              </w:rPr>
              <w:t>-</w:t>
            </w:r>
          </w:p>
        </w:tc>
      </w:tr>
      <w:tr w14:paraId="3173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9FCBF">
            <w:r>
              <w:rPr>
                <w:rFonts w:hint="eastAsia"/>
              </w:rPr>
              <w:t>应付管理人报酬</w:t>
            </w:r>
          </w:p>
        </w:tc>
        <w:tc>
          <w:tcPr>
            <w:tcW w:w="1262" w:type="dxa"/>
            <w:vAlign w:val="center"/>
          </w:tcPr>
          <w:p w14:paraId="735FE029"/>
        </w:tc>
        <w:tc>
          <w:tcPr>
            <w:tcW w:w="2289" w:type="dxa"/>
            <w:vAlign w:val="center"/>
          </w:tcPr>
          <w:p w14:paraId="5137E28B">
            <w:pPr>
              <w:jc w:val="right"/>
            </w:pPr>
            <w:r>
              <w:rPr>
                <w:rFonts w:hint="eastAsia"/>
              </w:rPr>
              <w:t>17,095.09</w:t>
            </w:r>
          </w:p>
        </w:tc>
        <w:tc>
          <w:tcPr>
            <w:tcW w:w="2295" w:type="dxa"/>
            <w:vAlign w:val="center"/>
          </w:tcPr>
          <w:p w14:paraId="5F938205">
            <w:pPr>
              <w:jc w:val="right"/>
            </w:pPr>
            <w:r>
              <w:rPr>
                <w:rFonts w:hint="eastAsia"/>
              </w:rPr>
              <w:t>820,665.14</w:t>
            </w:r>
          </w:p>
        </w:tc>
      </w:tr>
      <w:tr w14:paraId="1AFC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9F0C4">
            <w:r>
              <w:rPr>
                <w:rFonts w:hint="eastAsia"/>
              </w:rPr>
              <w:t>应付托管费</w:t>
            </w:r>
          </w:p>
        </w:tc>
        <w:tc>
          <w:tcPr>
            <w:tcW w:w="1262" w:type="dxa"/>
            <w:vAlign w:val="center"/>
          </w:tcPr>
          <w:p w14:paraId="317DE1D9"/>
        </w:tc>
        <w:tc>
          <w:tcPr>
            <w:tcW w:w="2289" w:type="dxa"/>
            <w:vAlign w:val="center"/>
          </w:tcPr>
          <w:p w14:paraId="300CD285">
            <w:pPr>
              <w:jc w:val="right"/>
            </w:pPr>
            <w:r>
              <w:rPr>
                <w:rFonts w:hint="eastAsia"/>
              </w:rPr>
              <w:t>5,698.37</w:t>
            </w:r>
          </w:p>
        </w:tc>
        <w:tc>
          <w:tcPr>
            <w:tcW w:w="2295" w:type="dxa"/>
            <w:vAlign w:val="center"/>
          </w:tcPr>
          <w:p w14:paraId="216CE803">
            <w:pPr>
              <w:jc w:val="right"/>
            </w:pPr>
            <w:r>
              <w:rPr>
                <w:rFonts w:hint="eastAsia"/>
              </w:rPr>
              <w:t>273,555.06</w:t>
            </w:r>
          </w:p>
        </w:tc>
      </w:tr>
      <w:tr w14:paraId="4D3D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8CEB8">
            <w:r>
              <w:rPr>
                <w:rFonts w:hint="eastAsia"/>
              </w:rPr>
              <w:t>应付销售服务费</w:t>
            </w:r>
          </w:p>
        </w:tc>
        <w:tc>
          <w:tcPr>
            <w:tcW w:w="1262" w:type="dxa"/>
            <w:vAlign w:val="center"/>
          </w:tcPr>
          <w:p w14:paraId="3B848F5C"/>
        </w:tc>
        <w:tc>
          <w:tcPr>
            <w:tcW w:w="2289" w:type="dxa"/>
            <w:vAlign w:val="center"/>
          </w:tcPr>
          <w:p w14:paraId="61AE6D57">
            <w:pPr>
              <w:jc w:val="right"/>
            </w:pPr>
            <w:r>
              <w:rPr>
                <w:rFonts w:hint="eastAsia"/>
              </w:rPr>
              <w:t>-</w:t>
            </w:r>
          </w:p>
        </w:tc>
        <w:tc>
          <w:tcPr>
            <w:tcW w:w="2295" w:type="dxa"/>
            <w:vAlign w:val="center"/>
          </w:tcPr>
          <w:p w14:paraId="43826F44">
            <w:pPr>
              <w:jc w:val="right"/>
            </w:pPr>
            <w:r>
              <w:rPr>
                <w:rFonts w:hint="eastAsia"/>
              </w:rPr>
              <w:t>-</w:t>
            </w:r>
          </w:p>
        </w:tc>
      </w:tr>
      <w:tr w14:paraId="1E36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6130C">
            <w:r>
              <w:rPr>
                <w:rFonts w:hint="eastAsia"/>
              </w:rPr>
              <w:t>应付投资顾问费</w:t>
            </w:r>
          </w:p>
        </w:tc>
        <w:tc>
          <w:tcPr>
            <w:tcW w:w="1262" w:type="dxa"/>
            <w:vAlign w:val="center"/>
          </w:tcPr>
          <w:p w14:paraId="217BD557"/>
        </w:tc>
        <w:tc>
          <w:tcPr>
            <w:tcW w:w="2289" w:type="dxa"/>
            <w:vAlign w:val="center"/>
          </w:tcPr>
          <w:p w14:paraId="6F3B06FF">
            <w:pPr>
              <w:jc w:val="right"/>
            </w:pPr>
            <w:r>
              <w:rPr>
                <w:rFonts w:hint="eastAsia"/>
              </w:rPr>
              <w:t>-</w:t>
            </w:r>
          </w:p>
        </w:tc>
        <w:tc>
          <w:tcPr>
            <w:tcW w:w="2295" w:type="dxa"/>
            <w:vAlign w:val="center"/>
          </w:tcPr>
          <w:p w14:paraId="05FDE2DD">
            <w:pPr>
              <w:jc w:val="right"/>
            </w:pPr>
            <w:r>
              <w:rPr>
                <w:rFonts w:hint="eastAsia"/>
              </w:rPr>
              <w:t>-</w:t>
            </w:r>
          </w:p>
        </w:tc>
      </w:tr>
      <w:tr w14:paraId="63D2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09555">
            <w:r>
              <w:rPr>
                <w:rFonts w:hint="eastAsia"/>
              </w:rPr>
              <w:t>应交税费</w:t>
            </w:r>
          </w:p>
        </w:tc>
        <w:tc>
          <w:tcPr>
            <w:tcW w:w="1262" w:type="dxa"/>
            <w:vAlign w:val="center"/>
          </w:tcPr>
          <w:p w14:paraId="02011F92"/>
        </w:tc>
        <w:tc>
          <w:tcPr>
            <w:tcW w:w="2289" w:type="dxa"/>
            <w:vAlign w:val="center"/>
          </w:tcPr>
          <w:p w14:paraId="53793669">
            <w:pPr>
              <w:jc w:val="right"/>
            </w:pPr>
            <w:r>
              <w:rPr>
                <w:rFonts w:hint="eastAsia"/>
              </w:rPr>
              <w:t>133.43</w:t>
            </w:r>
          </w:p>
        </w:tc>
        <w:tc>
          <w:tcPr>
            <w:tcW w:w="2295" w:type="dxa"/>
            <w:vAlign w:val="center"/>
          </w:tcPr>
          <w:p w14:paraId="0D9338CC">
            <w:pPr>
              <w:jc w:val="right"/>
            </w:pPr>
            <w:r>
              <w:rPr>
                <w:rFonts w:hint="eastAsia"/>
              </w:rPr>
              <w:t>-</w:t>
            </w:r>
          </w:p>
        </w:tc>
      </w:tr>
      <w:tr w14:paraId="319E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5D033">
            <w:r>
              <w:rPr>
                <w:rFonts w:hint="eastAsia"/>
              </w:rPr>
              <w:t>应付利润</w:t>
            </w:r>
          </w:p>
        </w:tc>
        <w:tc>
          <w:tcPr>
            <w:tcW w:w="1262" w:type="dxa"/>
            <w:vAlign w:val="center"/>
          </w:tcPr>
          <w:p w14:paraId="7FFF7583"/>
        </w:tc>
        <w:tc>
          <w:tcPr>
            <w:tcW w:w="2289" w:type="dxa"/>
            <w:vAlign w:val="center"/>
          </w:tcPr>
          <w:p w14:paraId="70CE6DC5">
            <w:pPr>
              <w:jc w:val="right"/>
            </w:pPr>
            <w:r>
              <w:rPr>
                <w:rFonts w:hint="eastAsia"/>
              </w:rPr>
              <w:t>-</w:t>
            </w:r>
          </w:p>
        </w:tc>
        <w:tc>
          <w:tcPr>
            <w:tcW w:w="2295" w:type="dxa"/>
            <w:vAlign w:val="center"/>
          </w:tcPr>
          <w:p w14:paraId="6498D3A8">
            <w:pPr>
              <w:jc w:val="right"/>
            </w:pPr>
            <w:r>
              <w:rPr>
                <w:rFonts w:hint="eastAsia"/>
              </w:rPr>
              <w:t>-</w:t>
            </w:r>
          </w:p>
        </w:tc>
      </w:tr>
      <w:tr w14:paraId="1EF9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F7DE4">
            <w:r>
              <w:rPr>
                <w:rFonts w:hint="eastAsia"/>
              </w:rPr>
              <w:t>递延所得税负债</w:t>
            </w:r>
          </w:p>
        </w:tc>
        <w:tc>
          <w:tcPr>
            <w:tcW w:w="1262" w:type="dxa"/>
            <w:vAlign w:val="center"/>
          </w:tcPr>
          <w:p w14:paraId="37939ECD"/>
        </w:tc>
        <w:tc>
          <w:tcPr>
            <w:tcW w:w="2289" w:type="dxa"/>
            <w:vAlign w:val="center"/>
          </w:tcPr>
          <w:p w14:paraId="19055768">
            <w:pPr>
              <w:jc w:val="right"/>
            </w:pPr>
            <w:r>
              <w:rPr>
                <w:rFonts w:hint="eastAsia"/>
              </w:rPr>
              <w:t>-</w:t>
            </w:r>
          </w:p>
        </w:tc>
        <w:tc>
          <w:tcPr>
            <w:tcW w:w="2295" w:type="dxa"/>
            <w:vAlign w:val="center"/>
          </w:tcPr>
          <w:p w14:paraId="424BD52E">
            <w:pPr>
              <w:jc w:val="right"/>
            </w:pPr>
            <w:r>
              <w:rPr>
                <w:rFonts w:hint="eastAsia"/>
              </w:rPr>
              <w:t>-</w:t>
            </w:r>
          </w:p>
        </w:tc>
      </w:tr>
      <w:tr w14:paraId="4895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8CEE2">
            <w:r>
              <w:rPr>
                <w:rFonts w:hint="eastAsia"/>
              </w:rPr>
              <w:t>其他负债</w:t>
            </w:r>
          </w:p>
        </w:tc>
        <w:tc>
          <w:tcPr>
            <w:tcW w:w="1262" w:type="dxa"/>
            <w:vAlign w:val="center"/>
          </w:tcPr>
          <w:p w14:paraId="152783F6">
            <w:r>
              <w:rPr>
                <w:rFonts w:hint="eastAsia"/>
              </w:rPr>
              <w:t>7.4.7.6</w:t>
            </w:r>
          </w:p>
        </w:tc>
        <w:tc>
          <w:tcPr>
            <w:tcW w:w="2289" w:type="dxa"/>
            <w:vAlign w:val="center"/>
          </w:tcPr>
          <w:p w14:paraId="47AB8C4A">
            <w:pPr>
              <w:jc w:val="right"/>
            </w:pPr>
            <w:r>
              <w:rPr>
                <w:rFonts w:hint="eastAsia"/>
              </w:rPr>
              <w:t>200,652.25</w:t>
            </w:r>
          </w:p>
        </w:tc>
        <w:tc>
          <w:tcPr>
            <w:tcW w:w="2295" w:type="dxa"/>
            <w:vAlign w:val="center"/>
          </w:tcPr>
          <w:p w14:paraId="22EAAE04">
            <w:pPr>
              <w:jc w:val="right"/>
            </w:pPr>
            <w:r>
              <w:rPr>
                <w:rFonts w:hint="eastAsia"/>
              </w:rPr>
              <w:t>251,541.00</w:t>
            </w:r>
          </w:p>
        </w:tc>
      </w:tr>
      <w:tr w14:paraId="7B27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86EE7">
            <w:r>
              <w:rPr>
                <w:rFonts w:hint="eastAsia"/>
              </w:rPr>
              <w:t>负债合计</w:t>
            </w:r>
          </w:p>
        </w:tc>
        <w:tc>
          <w:tcPr>
            <w:tcW w:w="1262" w:type="dxa"/>
            <w:vAlign w:val="center"/>
          </w:tcPr>
          <w:p w14:paraId="202CC31B"/>
        </w:tc>
        <w:tc>
          <w:tcPr>
            <w:tcW w:w="2289" w:type="dxa"/>
            <w:vAlign w:val="center"/>
          </w:tcPr>
          <w:p w14:paraId="55CB025D">
            <w:pPr>
              <w:jc w:val="right"/>
            </w:pPr>
            <w:r>
              <w:rPr>
                <w:rFonts w:hint="eastAsia"/>
              </w:rPr>
              <w:t>223,579.14</w:t>
            </w:r>
          </w:p>
        </w:tc>
        <w:tc>
          <w:tcPr>
            <w:tcW w:w="2295" w:type="dxa"/>
            <w:vAlign w:val="center"/>
          </w:tcPr>
          <w:p w14:paraId="362E5F7A">
            <w:pPr>
              <w:jc w:val="right"/>
            </w:pPr>
            <w:r>
              <w:rPr>
                <w:rFonts w:hint="eastAsia"/>
              </w:rPr>
              <w:t>620,420,890.56</w:t>
            </w:r>
          </w:p>
        </w:tc>
      </w:tr>
      <w:tr w14:paraId="2B39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E00E31">
            <w:r>
              <w:rPr>
                <w:rFonts w:hint="eastAsia"/>
              </w:rPr>
              <w:t>净资产：</w:t>
            </w:r>
          </w:p>
        </w:tc>
        <w:tc>
          <w:tcPr>
            <w:tcW w:w="1262" w:type="dxa"/>
            <w:vAlign w:val="center"/>
          </w:tcPr>
          <w:p w14:paraId="4A38D548"/>
        </w:tc>
        <w:tc>
          <w:tcPr>
            <w:tcW w:w="2289" w:type="dxa"/>
            <w:vAlign w:val="center"/>
          </w:tcPr>
          <w:p w14:paraId="061AAC8C"/>
        </w:tc>
        <w:tc>
          <w:tcPr>
            <w:tcW w:w="2295" w:type="dxa"/>
            <w:vAlign w:val="center"/>
          </w:tcPr>
          <w:p w14:paraId="6C5049A3"/>
        </w:tc>
      </w:tr>
      <w:tr w14:paraId="415F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25729E">
            <w:r>
              <w:rPr>
                <w:rFonts w:hint="eastAsia"/>
              </w:rPr>
              <w:t>实收基金</w:t>
            </w:r>
          </w:p>
        </w:tc>
        <w:tc>
          <w:tcPr>
            <w:tcW w:w="1262" w:type="dxa"/>
            <w:vAlign w:val="center"/>
          </w:tcPr>
          <w:p w14:paraId="11DF2BF5">
            <w:r>
              <w:rPr>
                <w:rFonts w:hint="eastAsia"/>
              </w:rPr>
              <w:t>7.4.7.7</w:t>
            </w:r>
          </w:p>
        </w:tc>
        <w:tc>
          <w:tcPr>
            <w:tcW w:w="2289" w:type="dxa"/>
            <w:vAlign w:val="center"/>
          </w:tcPr>
          <w:p w14:paraId="328DED19">
            <w:pPr>
              <w:jc w:val="right"/>
            </w:pPr>
            <w:r>
              <w:rPr>
                <w:rFonts w:hint="eastAsia"/>
              </w:rPr>
              <w:t>54,435,375.95</w:t>
            </w:r>
          </w:p>
        </w:tc>
        <w:tc>
          <w:tcPr>
            <w:tcW w:w="2295" w:type="dxa"/>
            <w:vAlign w:val="center"/>
          </w:tcPr>
          <w:p w14:paraId="5954EC1B">
            <w:pPr>
              <w:jc w:val="right"/>
            </w:pPr>
            <w:r>
              <w:rPr>
                <w:rFonts w:hint="eastAsia"/>
              </w:rPr>
              <w:t>2,590,534,731.15</w:t>
            </w:r>
          </w:p>
        </w:tc>
      </w:tr>
      <w:tr w14:paraId="460D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C456C">
            <w:r>
              <w:rPr>
                <w:rFonts w:hint="eastAsia"/>
              </w:rPr>
              <w:t>其他综合收益</w:t>
            </w:r>
          </w:p>
        </w:tc>
        <w:tc>
          <w:tcPr>
            <w:tcW w:w="1262" w:type="dxa"/>
            <w:vAlign w:val="center"/>
          </w:tcPr>
          <w:p w14:paraId="05DF346D"/>
        </w:tc>
        <w:tc>
          <w:tcPr>
            <w:tcW w:w="2289" w:type="dxa"/>
            <w:vAlign w:val="center"/>
          </w:tcPr>
          <w:p w14:paraId="4C19FBBE">
            <w:pPr>
              <w:jc w:val="right"/>
            </w:pPr>
            <w:r>
              <w:rPr>
                <w:rFonts w:hint="eastAsia"/>
              </w:rPr>
              <w:t>-</w:t>
            </w:r>
          </w:p>
        </w:tc>
        <w:tc>
          <w:tcPr>
            <w:tcW w:w="2295" w:type="dxa"/>
            <w:vAlign w:val="center"/>
          </w:tcPr>
          <w:p w14:paraId="2178AEB8">
            <w:pPr>
              <w:jc w:val="right"/>
            </w:pPr>
            <w:r>
              <w:rPr>
                <w:rFonts w:hint="eastAsia"/>
              </w:rPr>
              <w:t>-</w:t>
            </w:r>
          </w:p>
        </w:tc>
      </w:tr>
      <w:tr w14:paraId="3B12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746CA">
            <w:r>
              <w:rPr>
                <w:rFonts w:hint="eastAsia"/>
              </w:rPr>
              <w:t>未分配利润</w:t>
            </w:r>
          </w:p>
        </w:tc>
        <w:tc>
          <w:tcPr>
            <w:tcW w:w="1262" w:type="dxa"/>
            <w:vAlign w:val="center"/>
          </w:tcPr>
          <w:p w14:paraId="0989855E">
            <w:r>
              <w:rPr>
                <w:rFonts w:hint="eastAsia"/>
              </w:rPr>
              <w:t>7.4.7.8</w:t>
            </w:r>
          </w:p>
        </w:tc>
        <w:tc>
          <w:tcPr>
            <w:tcW w:w="2289" w:type="dxa"/>
            <w:vAlign w:val="center"/>
          </w:tcPr>
          <w:p w14:paraId="3A3ED1C2">
            <w:pPr>
              <w:jc w:val="right"/>
            </w:pPr>
            <w:r>
              <w:rPr>
                <w:rFonts w:hint="eastAsia"/>
              </w:rPr>
              <w:t>12,726,879.85</w:t>
            </w:r>
          </w:p>
        </w:tc>
        <w:tc>
          <w:tcPr>
            <w:tcW w:w="2295" w:type="dxa"/>
            <w:vAlign w:val="center"/>
          </w:tcPr>
          <w:p w14:paraId="624C9C72">
            <w:pPr>
              <w:jc w:val="right"/>
            </w:pPr>
            <w:r>
              <w:rPr>
                <w:rFonts w:hint="eastAsia"/>
              </w:rPr>
              <w:t>654,450,612.78</w:t>
            </w:r>
          </w:p>
        </w:tc>
      </w:tr>
      <w:tr w14:paraId="143E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5FD95">
            <w:r>
              <w:rPr>
                <w:rFonts w:hint="eastAsia"/>
              </w:rPr>
              <w:t>净资产合计</w:t>
            </w:r>
          </w:p>
        </w:tc>
        <w:tc>
          <w:tcPr>
            <w:tcW w:w="1262" w:type="dxa"/>
            <w:vAlign w:val="center"/>
          </w:tcPr>
          <w:p w14:paraId="68C479B4"/>
        </w:tc>
        <w:tc>
          <w:tcPr>
            <w:tcW w:w="2289" w:type="dxa"/>
            <w:vAlign w:val="center"/>
          </w:tcPr>
          <w:p w14:paraId="3856FE33">
            <w:pPr>
              <w:jc w:val="right"/>
            </w:pPr>
            <w:r>
              <w:rPr>
                <w:rFonts w:hint="eastAsia"/>
              </w:rPr>
              <w:t>67,162,255.80</w:t>
            </w:r>
          </w:p>
        </w:tc>
        <w:tc>
          <w:tcPr>
            <w:tcW w:w="2295" w:type="dxa"/>
            <w:vAlign w:val="center"/>
          </w:tcPr>
          <w:p w14:paraId="30EE3FF3">
            <w:pPr>
              <w:jc w:val="right"/>
            </w:pPr>
            <w:r>
              <w:rPr>
                <w:rFonts w:hint="eastAsia"/>
              </w:rPr>
              <w:t>3,244,985,343.93</w:t>
            </w:r>
          </w:p>
        </w:tc>
      </w:tr>
      <w:tr w14:paraId="61D9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76EAF">
            <w:r>
              <w:rPr>
                <w:rFonts w:hint="eastAsia"/>
              </w:rPr>
              <w:t>负债和净资产总计</w:t>
            </w:r>
          </w:p>
        </w:tc>
        <w:tc>
          <w:tcPr>
            <w:tcW w:w="1262" w:type="dxa"/>
            <w:vAlign w:val="center"/>
          </w:tcPr>
          <w:p w14:paraId="5B282ACF"/>
        </w:tc>
        <w:tc>
          <w:tcPr>
            <w:tcW w:w="2289" w:type="dxa"/>
            <w:vAlign w:val="center"/>
          </w:tcPr>
          <w:p w14:paraId="730BE972">
            <w:pPr>
              <w:jc w:val="right"/>
            </w:pPr>
            <w:r>
              <w:rPr>
                <w:rFonts w:hint="eastAsia"/>
              </w:rPr>
              <w:t>67,385,834.94</w:t>
            </w:r>
          </w:p>
        </w:tc>
        <w:tc>
          <w:tcPr>
            <w:tcW w:w="2295" w:type="dxa"/>
            <w:vAlign w:val="center"/>
          </w:tcPr>
          <w:p w14:paraId="54F66864">
            <w:pPr>
              <w:jc w:val="right"/>
            </w:pPr>
            <w:r>
              <w:rPr>
                <w:rFonts w:hint="eastAsia"/>
              </w:rPr>
              <w:t>3,865,406,234.49</w:t>
            </w:r>
          </w:p>
        </w:tc>
      </w:tr>
    </w:tbl>
    <w:p w14:paraId="5ED10003">
      <w:pPr>
        <w:pStyle w:val="47"/>
        <w:rPr>
          <w:rFonts w:hint="eastAsia"/>
        </w:rPr>
      </w:pPr>
      <w:r>
        <w:rPr>
          <w:rFonts w:hint="eastAsia"/>
        </w:rPr>
        <w:t>注：报告截止日2025年12月31日，基金份额净值1.2338元，基金份额总额54,435,375.95份。</w:t>
      </w:r>
    </w:p>
    <w:p w14:paraId="4C471EB0">
      <w:pPr>
        <w:pStyle w:val="23"/>
      </w:pPr>
      <w:bookmarkStart w:id="46" w:name="_Toc340"/>
      <w:r>
        <w:t>利润表</w:t>
      </w:r>
      <w:bookmarkEnd w:id="46"/>
    </w:p>
    <w:p w14:paraId="10147CD8">
      <w:pPr>
        <w:pStyle w:val="18"/>
        <w:rPr>
          <w:rFonts w:hint="eastAsia"/>
        </w:rPr>
      </w:pPr>
      <w:r>
        <w:rPr>
          <w:rFonts w:hint="eastAsia"/>
        </w:rPr>
        <w:t>会计主体：南方宏元定期开放债券型发起式证券投资基金</w:t>
      </w:r>
    </w:p>
    <w:p w14:paraId="451D624B">
      <w:pPr>
        <w:pStyle w:val="18"/>
        <w:rPr>
          <w:rFonts w:hint="eastAsia"/>
        </w:rPr>
      </w:pPr>
      <w:r>
        <w:rPr>
          <w:rFonts w:hint="eastAsia"/>
        </w:rPr>
        <w:t>本报告期：2025年1月1日至2025年12月31日</w:t>
      </w:r>
    </w:p>
    <w:p w14:paraId="4FAD5C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09D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2BFDF46">
            <w:pPr>
              <w:jc w:val="center"/>
            </w:pPr>
            <w:r>
              <w:rPr>
                <w:rFonts w:hint="eastAsia"/>
                <w:b/>
              </w:rPr>
              <w:t>项目</w:t>
            </w:r>
          </w:p>
        </w:tc>
        <w:tc>
          <w:tcPr>
            <w:tcW w:w="1262" w:type="dxa"/>
            <w:shd w:val="clear" w:color="auto" w:fill="BFBFBF"/>
            <w:vAlign w:val="center"/>
          </w:tcPr>
          <w:p w14:paraId="2DCEF0B7">
            <w:pPr>
              <w:jc w:val="center"/>
            </w:pPr>
            <w:r>
              <w:rPr>
                <w:rFonts w:hint="eastAsia"/>
                <w:b/>
              </w:rPr>
              <w:t>附注号</w:t>
            </w:r>
          </w:p>
        </w:tc>
        <w:tc>
          <w:tcPr>
            <w:tcW w:w="2289" w:type="dxa"/>
            <w:shd w:val="clear" w:color="auto" w:fill="BFBFBF"/>
            <w:vAlign w:val="center"/>
          </w:tcPr>
          <w:p w14:paraId="21EE99ED">
            <w:pPr>
              <w:jc w:val="center"/>
            </w:pPr>
            <w:r>
              <w:rPr>
                <w:rFonts w:hint="eastAsia"/>
                <w:b/>
              </w:rPr>
              <w:t>本期2025年1月1日至2025年12月31日</w:t>
            </w:r>
          </w:p>
        </w:tc>
        <w:tc>
          <w:tcPr>
            <w:tcW w:w="2295" w:type="dxa"/>
            <w:shd w:val="clear" w:color="auto" w:fill="BFBFBF"/>
            <w:vAlign w:val="center"/>
          </w:tcPr>
          <w:p w14:paraId="43F5E693">
            <w:pPr>
              <w:jc w:val="center"/>
            </w:pPr>
            <w:r>
              <w:rPr>
                <w:rFonts w:hint="eastAsia"/>
                <w:b/>
              </w:rPr>
              <w:t>上年度可比期间2024年1月1日至2024年12月31日</w:t>
            </w:r>
          </w:p>
        </w:tc>
      </w:tr>
      <w:tr w14:paraId="2622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2AB1A">
            <w:r>
              <w:rPr>
                <w:rFonts w:hint="eastAsia"/>
              </w:rPr>
              <w:t>一、营业总收入</w:t>
            </w:r>
          </w:p>
        </w:tc>
        <w:tc>
          <w:tcPr>
            <w:tcW w:w="1262" w:type="dxa"/>
            <w:vAlign w:val="center"/>
          </w:tcPr>
          <w:p w14:paraId="5ACCA5D9"/>
        </w:tc>
        <w:tc>
          <w:tcPr>
            <w:tcW w:w="2289" w:type="dxa"/>
            <w:vAlign w:val="center"/>
          </w:tcPr>
          <w:p w14:paraId="36FFE994">
            <w:pPr>
              <w:jc w:val="right"/>
            </w:pPr>
            <w:r>
              <w:rPr>
                <w:rFonts w:hint="eastAsia"/>
              </w:rPr>
              <w:t>23,608,354.32</w:t>
            </w:r>
          </w:p>
        </w:tc>
        <w:tc>
          <w:tcPr>
            <w:tcW w:w="2295" w:type="dxa"/>
            <w:vAlign w:val="center"/>
          </w:tcPr>
          <w:p w14:paraId="669053F8">
            <w:pPr>
              <w:jc w:val="right"/>
            </w:pPr>
            <w:r>
              <w:rPr>
                <w:rFonts w:hint="eastAsia"/>
              </w:rPr>
              <w:t>164,640,776.99</w:t>
            </w:r>
          </w:p>
        </w:tc>
      </w:tr>
      <w:tr w14:paraId="78D2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5EAF2">
            <w:r>
              <w:rPr>
                <w:rFonts w:hint="eastAsia"/>
              </w:rPr>
              <w:t>1.利息收入</w:t>
            </w:r>
          </w:p>
        </w:tc>
        <w:tc>
          <w:tcPr>
            <w:tcW w:w="1262" w:type="dxa"/>
            <w:vAlign w:val="center"/>
          </w:tcPr>
          <w:p w14:paraId="79B0C381"/>
        </w:tc>
        <w:tc>
          <w:tcPr>
            <w:tcW w:w="2289" w:type="dxa"/>
            <w:vAlign w:val="center"/>
          </w:tcPr>
          <w:p w14:paraId="220986C1">
            <w:pPr>
              <w:jc w:val="right"/>
            </w:pPr>
            <w:r>
              <w:rPr>
                <w:rFonts w:hint="eastAsia"/>
              </w:rPr>
              <w:t>274,489.36</w:t>
            </w:r>
          </w:p>
        </w:tc>
        <w:tc>
          <w:tcPr>
            <w:tcW w:w="2295" w:type="dxa"/>
            <w:vAlign w:val="center"/>
          </w:tcPr>
          <w:p w14:paraId="7034297B">
            <w:pPr>
              <w:jc w:val="right"/>
            </w:pPr>
            <w:r>
              <w:rPr>
                <w:rFonts w:hint="eastAsia"/>
              </w:rPr>
              <w:t>52,410.05</w:t>
            </w:r>
          </w:p>
        </w:tc>
      </w:tr>
      <w:tr w14:paraId="3E0D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86661">
            <w:r>
              <w:rPr>
                <w:rFonts w:hint="eastAsia"/>
              </w:rPr>
              <w:t>其中：存款利息收入</w:t>
            </w:r>
          </w:p>
        </w:tc>
        <w:tc>
          <w:tcPr>
            <w:tcW w:w="1262" w:type="dxa"/>
            <w:vAlign w:val="center"/>
          </w:tcPr>
          <w:p w14:paraId="2202ABB4">
            <w:r>
              <w:rPr>
                <w:rFonts w:hint="eastAsia"/>
              </w:rPr>
              <w:t>7.4.7.9</w:t>
            </w:r>
          </w:p>
        </w:tc>
        <w:tc>
          <w:tcPr>
            <w:tcW w:w="2289" w:type="dxa"/>
            <w:vAlign w:val="center"/>
          </w:tcPr>
          <w:p w14:paraId="29BA1B38">
            <w:pPr>
              <w:jc w:val="right"/>
            </w:pPr>
            <w:r>
              <w:rPr>
                <w:rFonts w:hint="eastAsia"/>
              </w:rPr>
              <w:t>73,288.25</w:t>
            </w:r>
          </w:p>
        </w:tc>
        <w:tc>
          <w:tcPr>
            <w:tcW w:w="2295" w:type="dxa"/>
            <w:vAlign w:val="center"/>
          </w:tcPr>
          <w:p w14:paraId="1AB7D292">
            <w:pPr>
              <w:jc w:val="right"/>
            </w:pPr>
            <w:r>
              <w:rPr>
                <w:rFonts w:hint="eastAsia"/>
              </w:rPr>
              <w:t>11,226.42</w:t>
            </w:r>
          </w:p>
        </w:tc>
      </w:tr>
      <w:tr w14:paraId="218A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06E354">
            <w:r>
              <w:rPr>
                <w:rFonts w:hint="eastAsia"/>
              </w:rPr>
              <w:t xml:space="preserve">      债券利息收入</w:t>
            </w:r>
          </w:p>
        </w:tc>
        <w:tc>
          <w:tcPr>
            <w:tcW w:w="1262" w:type="dxa"/>
            <w:vAlign w:val="center"/>
          </w:tcPr>
          <w:p w14:paraId="6E432D4B"/>
        </w:tc>
        <w:tc>
          <w:tcPr>
            <w:tcW w:w="2289" w:type="dxa"/>
            <w:vAlign w:val="center"/>
          </w:tcPr>
          <w:p w14:paraId="50C15B35">
            <w:pPr>
              <w:jc w:val="right"/>
            </w:pPr>
            <w:r>
              <w:rPr>
                <w:rFonts w:hint="eastAsia"/>
              </w:rPr>
              <w:t>-</w:t>
            </w:r>
          </w:p>
        </w:tc>
        <w:tc>
          <w:tcPr>
            <w:tcW w:w="2295" w:type="dxa"/>
            <w:vAlign w:val="center"/>
          </w:tcPr>
          <w:p w14:paraId="6DC29945">
            <w:pPr>
              <w:jc w:val="right"/>
            </w:pPr>
            <w:r>
              <w:rPr>
                <w:rFonts w:hint="eastAsia"/>
              </w:rPr>
              <w:t>-</w:t>
            </w:r>
          </w:p>
        </w:tc>
      </w:tr>
      <w:tr w14:paraId="074F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0AA78">
            <w:r>
              <w:rPr>
                <w:rFonts w:hint="eastAsia"/>
              </w:rPr>
              <w:t xml:space="preserve">      资产支持证券利息收入</w:t>
            </w:r>
          </w:p>
        </w:tc>
        <w:tc>
          <w:tcPr>
            <w:tcW w:w="1262" w:type="dxa"/>
            <w:vAlign w:val="center"/>
          </w:tcPr>
          <w:p w14:paraId="300B4904"/>
        </w:tc>
        <w:tc>
          <w:tcPr>
            <w:tcW w:w="2289" w:type="dxa"/>
            <w:vAlign w:val="center"/>
          </w:tcPr>
          <w:p w14:paraId="3CD00BFE">
            <w:pPr>
              <w:jc w:val="right"/>
            </w:pPr>
            <w:r>
              <w:rPr>
                <w:rFonts w:hint="eastAsia"/>
              </w:rPr>
              <w:t>-</w:t>
            </w:r>
          </w:p>
        </w:tc>
        <w:tc>
          <w:tcPr>
            <w:tcW w:w="2295" w:type="dxa"/>
            <w:vAlign w:val="center"/>
          </w:tcPr>
          <w:p w14:paraId="137B5739">
            <w:pPr>
              <w:jc w:val="right"/>
            </w:pPr>
            <w:r>
              <w:rPr>
                <w:rFonts w:hint="eastAsia"/>
              </w:rPr>
              <w:t>-</w:t>
            </w:r>
          </w:p>
        </w:tc>
      </w:tr>
      <w:tr w14:paraId="5637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A808A">
            <w:r>
              <w:rPr>
                <w:rFonts w:hint="eastAsia"/>
              </w:rPr>
              <w:t xml:space="preserve">      买入返售金融资产收入</w:t>
            </w:r>
          </w:p>
        </w:tc>
        <w:tc>
          <w:tcPr>
            <w:tcW w:w="1262" w:type="dxa"/>
            <w:vAlign w:val="center"/>
          </w:tcPr>
          <w:p w14:paraId="2986F0D7"/>
        </w:tc>
        <w:tc>
          <w:tcPr>
            <w:tcW w:w="2289" w:type="dxa"/>
            <w:vAlign w:val="center"/>
          </w:tcPr>
          <w:p w14:paraId="3AF85112">
            <w:pPr>
              <w:jc w:val="right"/>
            </w:pPr>
            <w:r>
              <w:rPr>
                <w:rFonts w:hint="eastAsia"/>
              </w:rPr>
              <w:t>201,201.11</w:t>
            </w:r>
          </w:p>
        </w:tc>
        <w:tc>
          <w:tcPr>
            <w:tcW w:w="2295" w:type="dxa"/>
            <w:vAlign w:val="center"/>
          </w:tcPr>
          <w:p w14:paraId="39BF8530">
            <w:pPr>
              <w:jc w:val="right"/>
            </w:pPr>
            <w:r>
              <w:rPr>
                <w:rFonts w:hint="eastAsia"/>
              </w:rPr>
              <w:t>41,183.63</w:t>
            </w:r>
          </w:p>
        </w:tc>
      </w:tr>
      <w:tr w14:paraId="5B66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1ACFF">
            <w:r>
              <w:rPr>
                <w:rFonts w:hint="eastAsia"/>
              </w:rPr>
              <w:t xml:space="preserve">      其他利息收入</w:t>
            </w:r>
          </w:p>
        </w:tc>
        <w:tc>
          <w:tcPr>
            <w:tcW w:w="1262" w:type="dxa"/>
            <w:vAlign w:val="center"/>
          </w:tcPr>
          <w:p w14:paraId="22200202"/>
        </w:tc>
        <w:tc>
          <w:tcPr>
            <w:tcW w:w="2289" w:type="dxa"/>
            <w:vAlign w:val="center"/>
          </w:tcPr>
          <w:p w14:paraId="50EAE9E5">
            <w:pPr>
              <w:jc w:val="right"/>
            </w:pPr>
            <w:r>
              <w:rPr>
                <w:rFonts w:hint="eastAsia"/>
              </w:rPr>
              <w:t>-</w:t>
            </w:r>
          </w:p>
        </w:tc>
        <w:tc>
          <w:tcPr>
            <w:tcW w:w="2295" w:type="dxa"/>
            <w:vAlign w:val="center"/>
          </w:tcPr>
          <w:p w14:paraId="0E42BE0C">
            <w:pPr>
              <w:jc w:val="right"/>
            </w:pPr>
            <w:r>
              <w:rPr>
                <w:rFonts w:hint="eastAsia"/>
              </w:rPr>
              <w:t>-</w:t>
            </w:r>
          </w:p>
        </w:tc>
      </w:tr>
      <w:tr w14:paraId="7FD7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7050AB">
            <w:r>
              <w:rPr>
                <w:rFonts w:hint="eastAsia"/>
              </w:rPr>
              <w:t>2.投资收益（损失以“-”填列）</w:t>
            </w:r>
          </w:p>
        </w:tc>
        <w:tc>
          <w:tcPr>
            <w:tcW w:w="1262" w:type="dxa"/>
            <w:vAlign w:val="center"/>
          </w:tcPr>
          <w:p w14:paraId="096B56E2"/>
        </w:tc>
        <w:tc>
          <w:tcPr>
            <w:tcW w:w="2289" w:type="dxa"/>
            <w:vAlign w:val="center"/>
          </w:tcPr>
          <w:p w14:paraId="4799BF41">
            <w:pPr>
              <w:jc w:val="right"/>
            </w:pPr>
            <w:r>
              <w:rPr>
                <w:rFonts w:hint="eastAsia"/>
              </w:rPr>
              <w:t>83,736,861.97</w:t>
            </w:r>
          </w:p>
        </w:tc>
        <w:tc>
          <w:tcPr>
            <w:tcW w:w="2295" w:type="dxa"/>
            <w:vAlign w:val="center"/>
          </w:tcPr>
          <w:p w14:paraId="70B9A281">
            <w:pPr>
              <w:jc w:val="right"/>
            </w:pPr>
            <w:r>
              <w:rPr>
                <w:rFonts w:hint="eastAsia"/>
              </w:rPr>
              <w:t>108,169,077.15</w:t>
            </w:r>
          </w:p>
        </w:tc>
      </w:tr>
      <w:tr w14:paraId="57FD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E10C4">
            <w:r>
              <w:rPr>
                <w:rFonts w:hint="eastAsia"/>
              </w:rPr>
              <w:t>其中：股票投资收益</w:t>
            </w:r>
          </w:p>
        </w:tc>
        <w:tc>
          <w:tcPr>
            <w:tcW w:w="1262" w:type="dxa"/>
            <w:vAlign w:val="center"/>
          </w:tcPr>
          <w:p w14:paraId="0FABAC21">
            <w:r>
              <w:rPr>
                <w:rFonts w:hint="eastAsia"/>
              </w:rPr>
              <w:t>7.4.7.10</w:t>
            </w:r>
          </w:p>
        </w:tc>
        <w:tc>
          <w:tcPr>
            <w:tcW w:w="2289" w:type="dxa"/>
            <w:vAlign w:val="center"/>
          </w:tcPr>
          <w:p w14:paraId="6DDA1FE5">
            <w:pPr>
              <w:jc w:val="right"/>
            </w:pPr>
            <w:r>
              <w:rPr>
                <w:rFonts w:hint="eastAsia"/>
              </w:rPr>
              <w:t>-</w:t>
            </w:r>
          </w:p>
        </w:tc>
        <w:tc>
          <w:tcPr>
            <w:tcW w:w="2295" w:type="dxa"/>
            <w:vAlign w:val="center"/>
          </w:tcPr>
          <w:p w14:paraId="7478DAA5">
            <w:pPr>
              <w:jc w:val="right"/>
            </w:pPr>
            <w:r>
              <w:rPr>
                <w:rFonts w:hint="eastAsia"/>
              </w:rPr>
              <w:t>-</w:t>
            </w:r>
          </w:p>
        </w:tc>
      </w:tr>
      <w:tr w14:paraId="444D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0A86C">
            <w:r>
              <w:rPr>
                <w:rFonts w:hint="eastAsia"/>
              </w:rPr>
              <w:t xml:space="preserve">      基金投资收益</w:t>
            </w:r>
          </w:p>
        </w:tc>
        <w:tc>
          <w:tcPr>
            <w:tcW w:w="1262" w:type="dxa"/>
            <w:vAlign w:val="center"/>
          </w:tcPr>
          <w:p w14:paraId="1C152BF1">
            <w:r>
              <w:rPr>
                <w:rFonts w:hint="eastAsia"/>
              </w:rPr>
              <w:t>7.4.7.11</w:t>
            </w:r>
          </w:p>
        </w:tc>
        <w:tc>
          <w:tcPr>
            <w:tcW w:w="2289" w:type="dxa"/>
            <w:vAlign w:val="center"/>
          </w:tcPr>
          <w:p w14:paraId="01E8A82C">
            <w:pPr>
              <w:jc w:val="right"/>
            </w:pPr>
            <w:r>
              <w:rPr>
                <w:rFonts w:hint="eastAsia"/>
              </w:rPr>
              <w:t>-</w:t>
            </w:r>
          </w:p>
        </w:tc>
        <w:tc>
          <w:tcPr>
            <w:tcW w:w="2295" w:type="dxa"/>
            <w:vAlign w:val="center"/>
          </w:tcPr>
          <w:p w14:paraId="501C576D">
            <w:pPr>
              <w:jc w:val="right"/>
            </w:pPr>
            <w:r>
              <w:rPr>
                <w:rFonts w:hint="eastAsia"/>
              </w:rPr>
              <w:t>-</w:t>
            </w:r>
          </w:p>
        </w:tc>
      </w:tr>
      <w:tr w14:paraId="75B7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362CB">
            <w:r>
              <w:rPr>
                <w:rFonts w:hint="eastAsia"/>
              </w:rPr>
              <w:t xml:space="preserve">      债券投资收益</w:t>
            </w:r>
          </w:p>
        </w:tc>
        <w:tc>
          <w:tcPr>
            <w:tcW w:w="1262" w:type="dxa"/>
            <w:vAlign w:val="center"/>
          </w:tcPr>
          <w:p w14:paraId="615633CA">
            <w:r>
              <w:rPr>
                <w:rFonts w:hint="eastAsia"/>
              </w:rPr>
              <w:t>7.4.7.12</w:t>
            </w:r>
          </w:p>
        </w:tc>
        <w:tc>
          <w:tcPr>
            <w:tcW w:w="2289" w:type="dxa"/>
            <w:vAlign w:val="center"/>
          </w:tcPr>
          <w:p w14:paraId="49B14BDF">
            <w:pPr>
              <w:jc w:val="right"/>
            </w:pPr>
            <w:r>
              <w:rPr>
                <w:rFonts w:hint="eastAsia"/>
              </w:rPr>
              <w:t>83,736,861.97</w:t>
            </w:r>
          </w:p>
        </w:tc>
        <w:tc>
          <w:tcPr>
            <w:tcW w:w="2295" w:type="dxa"/>
            <w:vAlign w:val="center"/>
          </w:tcPr>
          <w:p w14:paraId="6717F4F4">
            <w:pPr>
              <w:jc w:val="right"/>
            </w:pPr>
            <w:r>
              <w:rPr>
                <w:rFonts w:hint="eastAsia"/>
              </w:rPr>
              <w:t>108,169,077.15</w:t>
            </w:r>
          </w:p>
        </w:tc>
      </w:tr>
      <w:tr w14:paraId="11D0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AB2E1">
            <w:r>
              <w:rPr>
                <w:rFonts w:hint="eastAsia"/>
              </w:rPr>
              <w:t xml:space="preserve">      资产支持证券投资收益</w:t>
            </w:r>
          </w:p>
        </w:tc>
        <w:tc>
          <w:tcPr>
            <w:tcW w:w="1262" w:type="dxa"/>
            <w:vAlign w:val="center"/>
          </w:tcPr>
          <w:p w14:paraId="4058DB55">
            <w:r>
              <w:rPr>
                <w:rFonts w:hint="eastAsia"/>
              </w:rPr>
              <w:t>7.4.7.13</w:t>
            </w:r>
          </w:p>
        </w:tc>
        <w:tc>
          <w:tcPr>
            <w:tcW w:w="2289" w:type="dxa"/>
            <w:vAlign w:val="center"/>
          </w:tcPr>
          <w:p w14:paraId="3F303D48">
            <w:pPr>
              <w:jc w:val="right"/>
            </w:pPr>
            <w:r>
              <w:rPr>
                <w:rFonts w:hint="eastAsia"/>
              </w:rPr>
              <w:t>-</w:t>
            </w:r>
          </w:p>
        </w:tc>
        <w:tc>
          <w:tcPr>
            <w:tcW w:w="2295" w:type="dxa"/>
            <w:vAlign w:val="center"/>
          </w:tcPr>
          <w:p w14:paraId="74785F4D">
            <w:pPr>
              <w:jc w:val="right"/>
            </w:pPr>
            <w:r>
              <w:rPr>
                <w:rFonts w:hint="eastAsia"/>
              </w:rPr>
              <w:t>-</w:t>
            </w:r>
          </w:p>
        </w:tc>
      </w:tr>
      <w:tr w14:paraId="5D62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9BA2B">
            <w:r>
              <w:rPr>
                <w:rFonts w:hint="eastAsia"/>
              </w:rPr>
              <w:t xml:space="preserve">      贵金属投资收益</w:t>
            </w:r>
          </w:p>
        </w:tc>
        <w:tc>
          <w:tcPr>
            <w:tcW w:w="1262" w:type="dxa"/>
            <w:vAlign w:val="center"/>
          </w:tcPr>
          <w:p w14:paraId="0BF730C8"/>
        </w:tc>
        <w:tc>
          <w:tcPr>
            <w:tcW w:w="2289" w:type="dxa"/>
            <w:vAlign w:val="center"/>
          </w:tcPr>
          <w:p w14:paraId="0E54BD42">
            <w:pPr>
              <w:jc w:val="right"/>
            </w:pPr>
            <w:r>
              <w:rPr>
                <w:rFonts w:hint="eastAsia"/>
              </w:rPr>
              <w:t>-</w:t>
            </w:r>
          </w:p>
        </w:tc>
        <w:tc>
          <w:tcPr>
            <w:tcW w:w="2295" w:type="dxa"/>
            <w:vAlign w:val="center"/>
          </w:tcPr>
          <w:p w14:paraId="29214F87">
            <w:pPr>
              <w:jc w:val="right"/>
            </w:pPr>
            <w:r>
              <w:rPr>
                <w:rFonts w:hint="eastAsia"/>
              </w:rPr>
              <w:t>-</w:t>
            </w:r>
          </w:p>
        </w:tc>
      </w:tr>
      <w:tr w14:paraId="5B71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E3A96">
            <w:r>
              <w:rPr>
                <w:rFonts w:hint="eastAsia"/>
              </w:rPr>
              <w:t xml:space="preserve">      衍生工具收益</w:t>
            </w:r>
          </w:p>
        </w:tc>
        <w:tc>
          <w:tcPr>
            <w:tcW w:w="1262" w:type="dxa"/>
            <w:vAlign w:val="center"/>
          </w:tcPr>
          <w:p w14:paraId="5780FC30">
            <w:r>
              <w:rPr>
                <w:rFonts w:hint="eastAsia"/>
              </w:rPr>
              <w:t>7.4.7.14</w:t>
            </w:r>
          </w:p>
        </w:tc>
        <w:tc>
          <w:tcPr>
            <w:tcW w:w="2289" w:type="dxa"/>
            <w:vAlign w:val="center"/>
          </w:tcPr>
          <w:p w14:paraId="4CA94FA9">
            <w:pPr>
              <w:jc w:val="right"/>
            </w:pPr>
            <w:r>
              <w:rPr>
                <w:rFonts w:hint="eastAsia"/>
              </w:rPr>
              <w:t>-</w:t>
            </w:r>
          </w:p>
        </w:tc>
        <w:tc>
          <w:tcPr>
            <w:tcW w:w="2295" w:type="dxa"/>
            <w:vAlign w:val="center"/>
          </w:tcPr>
          <w:p w14:paraId="26AE336E">
            <w:pPr>
              <w:jc w:val="right"/>
            </w:pPr>
            <w:r>
              <w:rPr>
                <w:rFonts w:hint="eastAsia"/>
              </w:rPr>
              <w:t>-</w:t>
            </w:r>
          </w:p>
        </w:tc>
      </w:tr>
      <w:tr w14:paraId="4C64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8399A">
            <w:r>
              <w:rPr>
                <w:rFonts w:hint="eastAsia"/>
              </w:rPr>
              <w:t xml:space="preserve">      股利收益</w:t>
            </w:r>
          </w:p>
        </w:tc>
        <w:tc>
          <w:tcPr>
            <w:tcW w:w="1262" w:type="dxa"/>
            <w:vAlign w:val="center"/>
          </w:tcPr>
          <w:p w14:paraId="51F2656F">
            <w:r>
              <w:rPr>
                <w:rFonts w:hint="eastAsia"/>
              </w:rPr>
              <w:t>7.4.7.15</w:t>
            </w:r>
          </w:p>
        </w:tc>
        <w:tc>
          <w:tcPr>
            <w:tcW w:w="2289" w:type="dxa"/>
            <w:vAlign w:val="center"/>
          </w:tcPr>
          <w:p w14:paraId="2F33BF12">
            <w:pPr>
              <w:jc w:val="right"/>
            </w:pPr>
            <w:r>
              <w:rPr>
                <w:rFonts w:hint="eastAsia"/>
              </w:rPr>
              <w:t>-</w:t>
            </w:r>
          </w:p>
        </w:tc>
        <w:tc>
          <w:tcPr>
            <w:tcW w:w="2295" w:type="dxa"/>
            <w:vAlign w:val="center"/>
          </w:tcPr>
          <w:p w14:paraId="676BDAE7">
            <w:pPr>
              <w:jc w:val="right"/>
            </w:pPr>
            <w:r>
              <w:rPr>
                <w:rFonts w:hint="eastAsia"/>
              </w:rPr>
              <w:t>-</w:t>
            </w:r>
          </w:p>
        </w:tc>
      </w:tr>
      <w:tr w14:paraId="3666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04BF4">
            <w:r>
              <w:rPr>
                <w:rFonts w:hint="eastAsia"/>
              </w:rPr>
              <w:t xml:space="preserve">      以摊余成本计量的金融资产终止确认产生的收益</w:t>
            </w:r>
          </w:p>
        </w:tc>
        <w:tc>
          <w:tcPr>
            <w:tcW w:w="1262" w:type="dxa"/>
            <w:vAlign w:val="center"/>
          </w:tcPr>
          <w:p w14:paraId="6D38E5FF"/>
        </w:tc>
        <w:tc>
          <w:tcPr>
            <w:tcW w:w="2289" w:type="dxa"/>
            <w:vAlign w:val="center"/>
          </w:tcPr>
          <w:p w14:paraId="635A80E0">
            <w:pPr>
              <w:jc w:val="right"/>
            </w:pPr>
            <w:r>
              <w:rPr>
                <w:rFonts w:hint="eastAsia"/>
              </w:rPr>
              <w:t>-</w:t>
            </w:r>
          </w:p>
        </w:tc>
        <w:tc>
          <w:tcPr>
            <w:tcW w:w="2295" w:type="dxa"/>
            <w:vAlign w:val="center"/>
          </w:tcPr>
          <w:p w14:paraId="51490AA7">
            <w:pPr>
              <w:jc w:val="right"/>
            </w:pPr>
            <w:r>
              <w:rPr>
                <w:rFonts w:hint="eastAsia"/>
              </w:rPr>
              <w:t>-</w:t>
            </w:r>
          </w:p>
        </w:tc>
      </w:tr>
      <w:tr w14:paraId="4A46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98D64">
            <w:r>
              <w:rPr>
                <w:rFonts w:hint="eastAsia"/>
              </w:rPr>
              <w:t xml:space="preserve">      其他投资收益</w:t>
            </w:r>
          </w:p>
        </w:tc>
        <w:tc>
          <w:tcPr>
            <w:tcW w:w="1262" w:type="dxa"/>
            <w:vAlign w:val="center"/>
          </w:tcPr>
          <w:p w14:paraId="057F8B69"/>
        </w:tc>
        <w:tc>
          <w:tcPr>
            <w:tcW w:w="2289" w:type="dxa"/>
            <w:vAlign w:val="center"/>
          </w:tcPr>
          <w:p w14:paraId="108DBF7B">
            <w:pPr>
              <w:jc w:val="right"/>
            </w:pPr>
            <w:r>
              <w:rPr>
                <w:rFonts w:hint="eastAsia"/>
              </w:rPr>
              <w:t>-</w:t>
            </w:r>
          </w:p>
        </w:tc>
        <w:tc>
          <w:tcPr>
            <w:tcW w:w="2295" w:type="dxa"/>
            <w:vAlign w:val="center"/>
          </w:tcPr>
          <w:p w14:paraId="5A9C73FD">
            <w:pPr>
              <w:jc w:val="right"/>
            </w:pPr>
            <w:r>
              <w:rPr>
                <w:rFonts w:hint="eastAsia"/>
              </w:rPr>
              <w:t>-</w:t>
            </w:r>
          </w:p>
        </w:tc>
      </w:tr>
      <w:tr w14:paraId="03F4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1E936">
            <w:r>
              <w:rPr>
                <w:rFonts w:hint="eastAsia"/>
              </w:rPr>
              <w:t>3.公允价值变动收益（损失以“-”号填列）</w:t>
            </w:r>
          </w:p>
        </w:tc>
        <w:tc>
          <w:tcPr>
            <w:tcW w:w="1262" w:type="dxa"/>
            <w:vAlign w:val="center"/>
          </w:tcPr>
          <w:p w14:paraId="118796AF">
            <w:r>
              <w:rPr>
                <w:rFonts w:hint="eastAsia"/>
              </w:rPr>
              <w:t>7.4.7.16</w:t>
            </w:r>
          </w:p>
        </w:tc>
        <w:tc>
          <w:tcPr>
            <w:tcW w:w="2289" w:type="dxa"/>
            <w:vAlign w:val="center"/>
          </w:tcPr>
          <w:p w14:paraId="5DA1CA4C">
            <w:pPr>
              <w:jc w:val="right"/>
            </w:pPr>
            <w:r>
              <w:rPr>
                <w:rFonts w:hint="eastAsia"/>
              </w:rPr>
              <w:t>-60,402,999.26</w:t>
            </w:r>
          </w:p>
        </w:tc>
        <w:tc>
          <w:tcPr>
            <w:tcW w:w="2295" w:type="dxa"/>
            <w:vAlign w:val="center"/>
          </w:tcPr>
          <w:p w14:paraId="71E6B9AE">
            <w:pPr>
              <w:jc w:val="right"/>
            </w:pPr>
            <w:r>
              <w:rPr>
                <w:rFonts w:hint="eastAsia"/>
              </w:rPr>
              <w:t>56,419,289.79</w:t>
            </w:r>
          </w:p>
        </w:tc>
      </w:tr>
      <w:tr w14:paraId="493D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24180">
            <w:r>
              <w:rPr>
                <w:rFonts w:hint="eastAsia"/>
              </w:rPr>
              <w:t>4.汇兑收益（损失以“－”号填列）</w:t>
            </w:r>
          </w:p>
        </w:tc>
        <w:tc>
          <w:tcPr>
            <w:tcW w:w="1262" w:type="dxa"/>
            <w:vAlign w:val="center"/>
          </w:tcPr>
          <w:p w14:paraId="28FB3B8F"/>
        </w:tc>
        <w:tc>
          <w:tcPr>
            <w:tcW w:w="2289" w:type="dxa"/>
            <w:vAlign w:val="center"/>
          </w:tcPr>
          <w:p w14:paraId="642A6D9C">
            <w:pPr>
              <w:jc w:val="right"/>
            </w:pPr>
            <w:r>
              <w:rPr>
                <w:rFonts w:hint="eastAsia"/>
              </w:rPr>
              <w:t>-</w:t>
            </w:r>
          </w:p>
        </w:tc>
        <w:tc>
          <w:tcPr>
            <w:tcW w:w="2295" w:type="dxa"/>
            <w:vAlign w:val="center"/>
          </w:tcPr>
          <w:p w14:paraId="0B5B4F96">
            <w:pPr>
              <w:jc w:val="right"/>
            </w:pPr>
            <w:r>
              <w:rPr>
                <w:rFonts w:hint="eastAsia"/>
              </w:rPr>
              <w:t>-</w:t>
            </w:r>
          </w:p>
        </w:tc>
      </w:tr>
      <w:tr w14:paraId="34B7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940BB">
            <w:r>
              <w:rPr>
                <w:rFonts w:hint="eastAsia"/>
              </w:rPr>
              <w:t>5.其他收入（损失以“-”号填列）</w:t>
            </w:r>
          </w:p>
        </w:tc>
        <w:tc>
          <w:tcPr>
            <w:tcW w:w="1262" w:type="dxa"/>
            <w:vAlign w:val="center"/>
          </w:tcPr>
          <w:p w14:paraId="77579F5D">
            <w:r>
              <w:rPr>
                <w:rFonts w:hint="eastAsia"/>
              </w:rPr>
              <w:t>7.4.7.17</w:t>
            </w:r>
          </w:p>
        </w:tc>
        <w:tc>
          <w:tcPr>
            <w:tcW w:w="2289" w:type="dxa"/>
            <w:vAlign w:val="center"/>
          </w:tcPr>
          <w:p w14:paraId="2D2011FB">
            <w:pPr>
              <w:jc w:val="right"/>
            </w:pPr>
            <w:r>
              <w:rPr>
                <w:rFonts w:hint="eastAsia"/>
              </w:rPr>
              <w:t>2.25</w:t>
            </w:r>
          </w:p>
        </w:tc>
        <w:tc>
          <w:tcPr>
            <w:tcW w:w="2295" w:type="dxa"/>
            <w:vAlign w:val="center"/>
          </w:tcPr>
          <w:p w14:paraId="16E58AAF">
            <w:pPr>
              <w:jc w:val="right"/>
            </w:pPr>
            <w:r>
              <w:rPr>
                <w:rFonts w:hint="eastAsia"/>
              </w:rPr>
              <w:t>-</w:t>
            </w:r>
          </w:p>
        </w:tc>
      </w:tr>
      <w:tr w14:paraId="4DFF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75F2C">
            <w:r>
              <w:rPr>
                <w:rFonts w:hint="eastAsia"/>
              </w:rPr>
              <w:t>减：二、营业总支出</w:t>
            </w:r>
          </w:p>
        </w:tc>
        <w:tc>
          <w:tcPr>
            <w:tcW w:w="1262" w:type="dxa"/>
            <w:vAlign w:val="center"/>
          </w:tcPr>
          <w:p w14:paraId="1B313959"/>
        </w:tc>
        <w:tc>
          <w:tcPr>
            <w:tcW w:w="2289" w:type="dxa"/>
            <w:vAlign w:val="center"/>
          </w:tcPr>
          <w:p w14:paraId="037C0015">
            <w:pPr>
              <w:jc w:val="right"/>
            </w:pPr>
            <w:r>
              <w:rPr>
                <w:rFonts w:hint="eastAsia"/>
              </w:rPr>
              <w:t>15,978,957.52</w:t>
            </w:r>
          </w:p>
        </w:tc>
        <w:tc>
          <w:tcPr>
            <w:tcW w:w="2295" w:type="dxa"/>
            <w:vAlign w:val="center"/>
          </w:tcPr>
          <w:p w14:paraId="5C48A473">
            <w:pPr>
              <w:jc w:val="right"/>
            </w:pPr>
            <w:r>
              <w:rPr>
                <w:rFonts w:hint="eastAsia"/>
              </w:rPr>
              <w:t>28,467,274.29</w:t>
            </w:r>
          </w:p>
        </w:tc>
      </w:tr>
      <w:tr w14:paraId="4EF6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D2EC1">
            <w:r>
              <w:rPr>
                <w:rFonts w:hint="eastAsia"/>
              </w:rPr>
              <w:t>1.管理人报酬</w:t>
            </w:r>
          </w:p>
        </w:tc>
        <w:tc>
          <w:tcPr>
            <w:tcW w:w="1262" w:type="dxa"/>
            <w:vAlign w:val="center"/>
          </w:tcPr>
          <w:p w14:paraId="276B02CE">
            <w:r>
              <w:rPr>
                <w:rFonts w:hint="eastAsia"/>
              </w:rPr>
              <w:t>7.4.10.2.1</w:t>
            </w:r>
          </w:p>
        </w:tc>
        <w:tc>
          <w:tcPr>
            <w:tcW w:w="2289" w:type="dxa"/>
            <w:vAlign w:val="center"/>
          </w:tcPr>
          <w:p w14:paraId="05FD1087">
            <w:pPr>
              <w:jc w:val="right"/>
            </w:pPr>
            <w:r>
              <w:rPr>
                <w:rFonts w:hint="eastAsia"/>
              </w:rPr>
              <w:t>6,992,245.23</w:t>
            </w:r>
          </w:p>
        </w:tc>
        <w:tc>
          <w:tcPr>
            <w:tcW w:w="2295" w:type="dxa"/>
            <w:vAlign w:val="center"/>
          </w:tcPr>
          <w:p w14:paraId="51008AC3">
            <w:pPr>
              <w:jc w:val="right"/>
            </w:pPr>
            <w:r>
              <w:rPr>
                <w:rFonts w:hint="eastAsia"/>
              </w:rPr>
              <w:t>9,418,007.49</w:t>
            </w:r>
          </w:p>
        </w:tc>
      </w:tr>
      <w:tr w14:paraId="42D5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A74EB1">
            <w:r>
              <w:rPr>
                <w:rFonts w:hint="eastAsia"/>
              </w:rPr>
              <w:t>其中：暂估管理人报酬</w:t>
            </w:r>
          </w:p>
        </w:tc>
        <w:tc>
          <w:tcPr>
            <w:tcW w:w="1262" w:type="dxa"/>
            <w:vAlign w:val="center"/>
          </w:tcPr>
          <w:p w14:paraId="7C242C13"/>
        </w:tc>
        <w:tc>
          <w:tcPr>
            <w:tcW w:w="2289" w:type="dxa"/>
            <w:vAlign w:val="center"/>
          </w:tcPr>
          <w:p w14:paraId="4ACE6811">
            <w:pPr>
              <w:jc w:val="right"/>
            </w:pPr>
            <w:r>
              <w:rPr>
                <w:rFonts w:hint="eastAsia"/>
              </w:rPr>
              <w:t>-</w:t>
            </w:r>
          </w:p>
        </w:tc>
        <w:tc>
          <w:tcPr>
            <w:tcW w:w="2295" w:type="dxa"/>
            <w:vAlign w:val="center"/>
          </w:tcPr>
          <w:p w14:paraId="37DCC3EC">
            <w:pPr>
              <w:jc w:val="right"/>
            </w:pPr>
            <w:r>
              <w:rPr>
                <w:rFonts w:hint="eastAsia"/>
              </w:rPr>
              <w:t>-</w:t>
            </w:r>
          </w:p>
        </w:tc>
      </w:tr>
      <w:tr w14:paraId="46DF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B332D">
            <w:r>
              <w:rPr>
                <w:rFonts w:hint="eastAsia"/>
              </w:rPr>
              <w:t>2.托管费</w:t>
            </w:r>
          </w:p>
        </w:tc>
        <w:tc>
          <w:tcPr>
            <w:tcW w:w="1262" w:type="dxa"/>
            <w:vAlign w:val="center"/>
          </w:tcPr>
          <w:p w14:paraId="43EA6091">
            <w:r>
              <w:rPr>
                <w:rFonts w:hint="eastAsia"/>
              </w:rPr>
              <w:t>7.4.10.2.2</w:t>
            </w:r>
          </w:p>
        </w:tc>
        <w:tc>
          <w:tcPr>
            <w:tcW w:w="2289" w:type="dxa"/>
            <w:vAlign w:val="center"/>
          </w:tcPr>
          <w:p w14:paraId="5EE01B17">
            <w:pPr>
              <w:jc w:val="right"/>
            </w:pPr>
            <w:r>
              <w:rPr>
                <w:rFonts w:hint="eastAsia"/>
              </w:rPr>
              <w:t>2,330,748.44</w:t>
            </w:r>
          </w:p>
        </w:tc>
        <w:tc>
          <w:tcPr>
            <w:tcW w:w="2295" w:type="dxa"/>
            <w:vAlign w:val="center"/>
          </w:tcPr>
          <w:p w14:paraId="4098FA5A">
            <w:pPr>
              <w:jc w:val="right"/>
            </w:pPr>
            <w:r>
              <w:rPr>
                <w:rFonts w:hint="eastAsia"/>
              </w:rPr>
              <w:t>3,139,335.84</w:t>
            </w:r>
          </w:p>
        </w:tc>
      </w:tr>
      <w:tr w14:paraId="569F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0EB8D">
            <w:r>
              <w:rPr>
                <w:rFonts w:hint="eastAsia"/>
              </w:rPr>
              <w:t>3.销售服务费</w:t>
            </w:r>
          </w:p>
        </w:tc>
        <w:tc>
          <w:tcPr>
            <w:tcW w:w="1262" w:type="dxa"/>
            <w:vAlign w:val="center"/>
          </w:tcPr>
          <w:p w14:paraId="7199BE40">
            <w:r>
              <w:rPr>
                <w:rFonts w:hint="eastAsia"/>
              </w:rPr>
              <w:t>7.4.10.2.3</w:t>
            </w:r>
          </w:p>
        </w:tc>
        <w:tc>
          <w:tcPr>
            <w:tcW w:w="2289" w:type="dxa"/>
            <w:vAlign w:val="center"/>
          </w:tcPr>
          <w:p w14:paraId="7E81655E">
            <w:pPr>
              <w:jc w:val="right"/>
            </w:pPr>
            <w:r>
              <w:rPr>
                <w:rFonts w:hint="eastAsia"/>
              </w:rPr>
              <w:t>-</w:t>
            </w:r>
          </w:p>
        </w:tc>
        <w:tc>
          <w:tcPr>
            <w:tcW w:w="2295" w:type="dxa"/>
            <w:vAlign w:val="center"/>
          </w:tcPr>
          <w:p w14:paraId="2725632C">
            <w:pPr>
              <w:jc w:val="right"/>
            </w:pPr>
            <w:r>
              <w:rPr>
                <w:rFonts w:hint="eastAsia"/>
              </w:rPr>
              <w:t>-</w:t>
            </w:r>
          </w:p>
        </w:tc>
      </w:tr>
      <w:tr w14:paraId="464E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00710">
            <w:r>
              <w:rPr>
                <w:rFonts w:hint="eastAsia"/>
              </w:rPr>
              <w:t>4.投资顾问费</w:t>
            </w:r>
          </w:p>
        </w:tc>
        <w:tc>
          <w:tcPr>
            <w:tcW w:w="1262" w:type="dxa"/>
            <w:vAlign w:val="center"/>
          </w:tcPr>
          <w:p w14:paraId="69FFFA56"/>
        </w:tc>
        <w:tc>
          <w:tcPr>
            <w:tcW w:w="2289" w:type="dxa"/>
            <w:vAlign w:val="center"/>
          </w:tcPr>
          <w:p w14:paraId="7E18D5B2">
            <w:pPr>
              <w:jc w:val="right"/>
            </w:pPr>
            <w:r>
              <w:rPr>
                <w:rFonts w:hint="eastAsia"/>
              </w:rPr>
              <w:t>-</w:t>
            </w:r>
          </w:p>
        </w:tc>
        <w:tc>
          <w:tcPr>
            <w:tcW w:w="2295" w:type="dxa"/>
            <w:vAlign w:val="center"/>
          </w:tcPr>
          <w:p w14:paraId="4B1D44A7">
            <w:pPr>
              <w:jc w:val="right"/>
            </w:pPr>
            <w:r>
              <w:rPr>
                <w:rFonts w:hint="eastAsia"/>
              </w:rPr>
              <w:t>-</w:t>
            </w:r>
          </w:p>
        </w:tc>
      </w:tr>
      <w:tr w14:paraId="2F5C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C7462">
            <w:r>
              <w:rPr>
                <w:rFonts w:hint="eastAsia"/>
              </w:rPr>
              <w:t>5.利息支出</w:t>
            </w:r>
          </w:p>
        </w:tc>
        <w:tc>
          <w:tcPr>
            <w:tcW w:w="1262" w:type="dxa"/>
            <w:vAlign w:val="center"/>
          </w:tcPr>
          <w:p w14:paraId="51215B7D"/>
        </w:tc>
        <w:tc>
          <w:tcPr>
            <w:tcW w:w="2289" w:type="dxa"/>
            <w:vAlign w:val="center"/>
          </w:tcPr>
          <w:p w14:paraId="2201F045">
            <w:pPr>
              <w:jc w:val="right"/>
            </w:pPr>
            <w:r>
              <w:rPr>
                <w:rFonts w:hint="eastAsia"/>
              </w:rPr>
              <w:t>6,448,733.72</w:t>
            </w:r>
          </w:p>
        </w:tc>
        <w:tc>
          <w:tcPr>
            <w:tcW w:w="2295" w:type="dxa"/>
            <w:vAlign w:val="center"/>
          </w:tcPr>
          <w:p w14:paraId="3DFE4BE0">
            <w:pPr>
              <w:jc w:val="right"/>
            </w:pPr>
            <w:r>
              <w:rPr>
                <w:rFonts w:hint="eastAsia"/>
              </w:rPr>
              <w:t>15,672,680.96</w:t>
            </w:r>
          </w:p>
        </w:tc>
      </w:tr>
      <w:tr w14:paraId="02CC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CE122">
            <w:r>
              <w:rPr>
                <w:rFonts w:hint="eastAsia"/>
              </w:rPr>
              <w:t>其中：卖出回购金融资产支出</w:t>
            </w:r>
          </w:p>
        </w:tc>
        <w:tc>
          <w:tcPr>
            <w:tcW w:w="1262" w:type="dxa"/>
            <w:vAlign w:val="center"/>
          </w:tcPr>
          <w:p w14:paraId="6D840D7C"/>
        </w:tc>
        <w:tc>
          <w:tcPr>
            <w:tcW w:w="2289" w:type="dxa"/>
            <w:vAlign w:val="center"/>
          </w:tcPr>
          <w:p w14:paraId="7F5CE2BF">
            <w:pPr>
              <w:jc w:val="right"/>
            </w:pPr>
            <w:r>
              <w:rPr>
                <w:rFonts w:hint="eastAsia"/>
              </w:rPr>
              <w:t>6,448,733.72</w:t>
            </w:r>
          </w:p>
        </w:tc>
        <w:tc>
          <w:tcPr>
            <w:tcW w:w="2295" w:type="dxa"/>
            <w:vAlign w:val="center"/>
          </w:tcPr>
          <w:p w14:paraId="00578E47">
            <w:pPr>
              <w:jc w:val="right"/>
            </w:pPr>
            <w:r>
              <w:rPr>
                <w:rFonts w:hint="eastAsia"/>
              </w:rPr>
              <w:t>15,672,680.96</w:t>
            </w:r>
          </w:p>
        </w:tc>
      </w:tr>
      <w:tr w14:paraId="1E13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47E86">
            <w:r>
              <w:rPr>
                <w:rFonts w:hint="eastAsia"/>
              </w:rPr>
              <w:t>6.信用减值损失</w:t>
            </w:r>
          </w:p>
        </w:tc>
        <w:tc>
          <w:tcPr>
            <w:tcW w:w="1262" w:type="dxa"/>
            <w:vAlign w:val="center"/>
          </w:tcPr>
          <w:p w14:paraId="0A6B4986"/>
        </w:tc>
        <w:tc>
          <w:tcPr>
            <w:tcW w:w="2289" w:type="dxa"/>
            <w:vAlign w:val="center"/>
          </w:tcPr>
          <w:p w14:paraId="1FFBB01D">
            <w:pPr>
              <w:jc w:val="right"/>
            </w:pPr>
            <w:r>
              <w:rPr>
                <w:rFonts w:hint="eastAsia"/>
              </w:rPr>
              <w:t>-</w:t>
            </w:r>
          </w:p>
        </w:tc>
        <w:tc>
          <w:tcPr>
            <w:tcW w:w="2295" w:type="dxa"/>
            <w:vAlign w:val="center"/>
          </w:tcPr>
          <w:p w14:paraId="22A786F7">
            <w:pPr>
              <w:jc w:val="right"/>
            </w:pPr>
            <w:r>
              <w:rPr>
                <w:rFonts w:hint="eastAsia"/>
              </w:rPr>
              <w:t>-</w:t>
            </w:r>
          </w:p>
        </w:tc>
      </w:tr>
      <w:tr w14:paraId="678C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565A4">
            <w:r>
              <w:rPr>
                <w:rFonts w:hint="eastAsia"/>
              </w:rPr>
              <w:t>7.税金及附加</w:t>
            </w:r>
          </w:p>
        </w:tc>
        <w:tc>
          <w:tcPr>
            <w:tcW w:w="1262" w:type="dxa"/>
            <w:vAlign w:val="center"/>
          </w:tcPr>
          <w:p w14:paraId="36537F6E"/>
        </w:tc>
        <w:tc>
          <w:tcPr>
            <w:tcW w:w="2289" w:type="dxa"/>
            <w:vAlign w:val="center"/>
          </w:tcPr>
          <w:p w14:paraId="5823651B">
            <w:pPr>
              <w:jc w:val="right"/>
            </w:pPr>
            <w:r>
              <w:rPr>
                <w:rFonts w:hint="eastAsia"/>
              </w:rPr>
              <w:t>730.13</w:t>
            </w:r>
          </w:p>
        </w:tc>
        <w:tc>
          <w:tcPr>
            <w:tcW w:w="2295" w:type="dxa"/>
            <w:vAlign w:val="center"/>
          </w:tcPr>
          <w:p w14:paraId="3331E4A2">
            <w:pPr>
              <w:jc w:val="right"/>
            </w:pPr>
            <w:r>
              <w:rPr>
                <w:rFonts w:hint="eastAsia"/>
              </w:rPr>
              <w:t>-</w:t>
            </w:r>
          </w:p>
        </w:tc>
      </w:tr>
      <w:tr w14:paraId="0489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57E30">
            <w:r>
              <w:rPr>
                <w:rFonts w:hint="eastAsia"/>
              </w:rPr>
              <w:t>8.其他费用</w:t>
            </w:r>
          </w:p>
        </w:tc>
        <w:tc>
          <w:tcPr>
            <w:tcW w:w="1262" w:type="dxa"/>
            <w:vAlign w:val="center"/>
          </w:tcPr>
          <w:p w14:paraId="6F63D243">
            <w:r>
              <w:rPr>
                <w:rFonts w:hint="eastAsia"/>
              </w:rPr>
              <w:t>7.4.7.18</w:t>
            </w:r>
          </w:p>
        </w:tc>
        <w:tc>
          <w:tcPr>
            <w:tcW w:w="2289" w:type="dxa"/>
            <w:vAlign w:val="center"/>
          </w:tcPr>
          <w:p w14:paraId="705C9D00">
            <w:pPr>
              <w:jc w:val="right"/>
            </w:pPr>
            <w:r>
              <w:rPr>
                <w:rFonts w:hint="eastAsia"/>
              </w:rPr>
              <w:t>206,500.00</w:t>
            </w:r>
          </w:p>
        </w:tc>
        <w:tc>
          <w:tcPr>
            <w:tcW w:w="2295" w:type="dxa"/>
            <w:vAlign w:val="center"/>
          </w:tcPr>
          <w:p w14:paraId="7247646F">
            <w:pPr>
              <w:jc w:val="right"/>
            </w:pPr>
            <w:r>
              <w:rPr>
                <w:rFonts w:hint="eastAsia"/>
              </w:rPr>
              <w:t>237,250.00</w:t>
            </w:r>
          </w:p>
        </w:tc>
      </w:tr>
      <w:tr w14:paraId="6F1D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871B8">
            <w:r>
              <w:rPr>
                <w:rFonts w:hint="eastAsia"/>
              </w:rPr>
              <w:t>三、利润总额（亏损总额以“-”号填列）</w:t>
            </w:r>
          </w:p>
        </w:tc>
        <w:tc>
          <w:tcPr>
            <w:tcW w:w="1262" w:type="dxa"/>
            <w:vAlign w:val="center"/>
          </w:tcPr>
          <w:p w14:paraId="1B0B723C"/>
        </w:tc>
        <w:tc>
          <w:tcPr>
            <w:tcW w:w="2289" w:type="dxa"/>
            <w:vAlign w:val="center"/>
          </w:tcPr>
          <w:p w14:paraId="1464254A">
            <w:pPr>
              <w:jc w:val="right"/>
            </w:pPr>
            <w:r>
              <w:rPr>
                <w:rFonts w:hint="eastAsia"/>
              </w:rPr>
              <w:t>7,629,396.80</w:t>
            </w:r>
          </w:p>
        </w:tc>
        <w:tc>
          <w:tcPr>
            <w:tcW w:w="2295" w:type="dxa"/>
            <w:vAlign w:val="center"/>
          </w:tcPr>
          <w:p w14:paraId="3EBD6E41">
            <w:pPr>
              <w:jc w:val="right"/>
            </w:pPr>
            <w:r>
              <w:rPr>
                <w:rFonts w:hint="eastAsia"/>
              </w:rPr>
              <w:t>136,173,502.70</w:t>
            </w:r>
          </w:p>
        </w:tc>
      </w:tr>
      <w:tr w14:paraId="590C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D96AA">
            <w:r>
              <w:rPr>
                <w:rFonts w:hint="eastAsia"/>
              </w:rPr>
              <w:t>减：所得税费用</w:t>
            </w:r>
          </w:p>
        </w:tc>
        <w:tc>
          <w:tcPr>
            <w:tcW w:w="1262" w:type="dxa"/>
            <w:vAlign w:val="center"/>
          </w:tcPr>
          <w:p w14:paraId="4F3D02A0"/>
        </w:tc>
        <w:tc>
          <w:tcPr>
            <w:tcW w:w="2289" w:type="dxa"/>
            <w:vAlign w:val="center"/>
          </w:tcPr>
          <w:p w14:paraId="4A6A9BCA">
            <w:pPr>
              <w:jc w:val="right"/>
            </w:pPr>
            <w:r>
              <w:rPr>
                <w:rFonts w:hint="eastAsia"/>
              </w:rPr>
              <w:t>-</w:t>
            </w:r>
          </w:p>
        </w:tc>
        <w:tc>
          <w:tcPr>
            <w:tcW w:w="2295" w:type="dxa"/>
            <w:vAlign w:val="center"/>
          </w:tcPr>
          <w:p w14:paraId="18E62AD2">
            <w:pPr>
              <w:jc w:val="right"/>
            </w:pPr>
            <w:r>
              <w:rPr>
                <w:rFonts w:hint="eastAsia"/>
              </w:rPr>
              <w:t>-</w:t>
            </w:r>
          </w:p>
        </w:tc>
      </w:tr>
      <w:tr w14:paraId="5122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941CD">
            <w:r>
              <w:rPr>
                <w:rFonts w:hint="eastAsia"/>
              </w:rPr>
              <w:t>四、净利润（净亏损以“-”号填列）</w:t>
            </w:r>
          </w:p>
        </w:tc>
        <w:tc>
          <w:tcPr>
            <w:tcW w:w="1262" w:type="dxa"/>
            <w:vAlign w:val="center"/>
          </w:tcPr>
          <w:p w14:paraId="140F188A"/>
        </w:tc>
        <w:tc>
          <w:tcPr>
            <w:tcW w:w="2289" w:type="dxa"/>
            <w:vAlign w:val="center"/>
          </w:tcPr>
          <w:p w14:paraId="6E7ECD7F">
            <w:pPr>
              <w:jc w:val="right"/>
            </w:pPr>
            <w:r>
              <w:rPr>
                <w:rFonts w:hint="eastAsia"/>
              </w:rPr>
              <w:t>7,629,396.80</w:t>
            </w:r>
          </w:p>
        </w:tc>
        <w:tc>
          <w:tcPr>
            <w:tcW w:w="2295" w:type="dxa"/>
            <w:vAlign w:val="center"/>
          </w:tcPr>
          <w:p w14:paraId="210EDF50">
            <w:pPr>
              <w:jc w:val="right"/>
            </w:pPr>
            <w:r>
              <w:rPr>
                <w:rFonts w:hint="eastAsia"/>
              </w:rPr>
              <w:t>136,173,502.70</w:t>
            </w:r>
          </w:p>
        </w:tc>
      </w:tr>
      <w:tr w14:paraId="2029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DBB0D">
            <w:r>
              <w:rPr>
                <w:rFonts w:hint="eastAsia"/>
              </w:rPr>
              <w:t>五、其他综合收益的税后净额</w:t>
            </w:r>
          </w:p>
        </w:tc>
        <w:tc>
          <w:tcPr>
            <w:tcW w:w="1262" w:type="dxa"/>
            <w:vAlign w:val="center"/>
          </w:tcPr>
          <w:p w14:paraId="7CE58AC8"/>
        </w:tc>
        <w:tc>
          <w:tcPr>
            <w:tcW w:w="2289" w:type="dxa"/>
            <w:vAlign w:val="center"/>
          </w:tcPr>
          <w:p w14:paraId="0A2989EC">
            <w:pPr>
              <w:jc w:val="right"/>
            </w:pPr>
            <w:r>
              <w:rPr>
                <w:rFonts w:hint="eastAsia"/>
              </w:rPr>
              <w:t>-</w:t>
            </w:r>
          </w:p>
        </w:tc>
        <w:tc>
          <w:tcPr>
            <w:tcW w:w="2295" w:type="dxa"/>
            <w:vAlign w:val="center"/>
          </w:tcPr>
          <w:p w14:paraId="5CA9A3C9">
            <w:pPr>
              <w:jc w:val="right"/>
            </w:pPr>
            <w:r>
              <w:rPr>
                <w:rFonts w:hint="eastAsia"/>
              </w:rPr>
              <w:t>-</w:t>
            </w:r>
          </w:p>
        </w:tc>
      </w:tr>
      <w:tr w14:paraId="533D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E094B">
            <w:r>
              <w:rPr>
                <w:rFonts w:hint="eastAsia"/>
              </w:rPr>
              <w:t>六、综合收益总额</w:t>
            </w:r>
          </w:p>
        </w:tc>
        <w:tc>
          <w:tcPr>
            <w:tcW w:w="1262" w:type="dxa"/>
            <w:vAlign w:val="center"/>
          </w:tcPr>
          <w:p w14:paraId="40A69D57"/>
        </w:tc>
        <w:tc>
          <w:tcPr>
            <w:tcW w:w="2289" w:type="dxa"/>
            <w:vAlign w:val="center"/>
          </w:tcPr>
          <w:p w14:paraId="596F9656">
            <w:pPr>
              <w:jc w:val="right"/>
            </w:pPr>
            <w:r>
              <w:rPr>
                <w:rFonts w:hint="eastAsia"/>
              </w:rPr>
              <w:t>7,629,396.80</w:t>
            </w:r>
          </w:p>
        </w:tc>
        <w:tc>
          <w:tcPr>
            <w:tcW w:w="2295" w:type="dxa"/>
            <w:vAlign w:val="center"/>
          </w:tcPr>
          <w:p w14:paraId="70CB3864">
            <w:pPr>
              <w:jc w:val="right"/>
            </w:pPr>
            <w:r>
              <w:rPr>
                <w:rFonts w:hint="eastAsia"/>
              </w:rPr>
              <w:t>136,173,502.70</w:t>
            </w:r>
          </w:p>
        </w:tc>
      </w:tr>
    </w:tbl>
    <w:p w14:paraId="35293BBB">
      <w:pPr>
        <w:pStyle w:val="23"/>
      </w:pPr>
      <w:bookmarkStart w:id="47" w:name="_Toc20252"/>
      <w:r>
        <w:t>净资产变动表</w:t>
      </w:r>
      <w:bookmarkEnd w:id="47"/>
    </w:p>
    <w:p w14:paraId="3618C99D">
      <w:pPr>
        <w:pStyle w:val="18"/>
        <w:rPr>
          <w:rFonts w:hint="eastAsia"/>
        </w:rPr>
      </w:pPr>
      <w:r>
        <w:rPr>
          <w:rFonts w:hint="eastAsia"/>
        </w:rPr>
        <w:t>会计主体：南方宏元定期开放债券型发起式证券投资基金</w:t>
      </w:r>
    </w:p>
    <w:p w14:paraId="50F7E054">
      <w:pPr>
        <w:pStyle w:val="18"/>
        <w:rPr>
          <w:rFonts w:hint="eastAsia"/>
        </w:rPr>
      </w:pPr>
      <w:r>
        <w:rPr>
          <w:rFonts w:hint="eastAsia"/>
        </w:rPr>
        <w:t>本报告期：2025年1月1日至2025年12月31日</w:t>
      </w:r>
    </w:p>
    <w:p w14:paraId="365644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DD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631F61">
            <w:r>
              <w:rPr>
                <w:rFonts w:hint="eastAsia"/>
              </w:rPr>
              <w:t>项目</w:t>
            </w:r>
          </w:p>
        </w:tc>
        <w:tc>
          <w:tcPr>
            <w:tcW w:w="1661" w:type="dxa"/>
            <w:gridSpan w:val="4"/>
            <w:vAlign w:val="center"/>
          </w:tcPr>
          <w:p w14:paraId="5E8595E0">
            <w:r>
              <w:rPr>
                <w:rFonts w:hint="eastAsia"/>
              </w:rPr>
              <w:t>本期2025年1月1日至2025年12月31日</w:t>
            </w:r>
          </w:p>
        </w:tc>
      </w:tr>
      <w:tr w14:paraId="17A2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33FBB1"/>
        </w:tc>
        <w:tc>
          <w:tcPr>
            <w:tcW w:w="1661" w:type="dxa"/>
            <w:vAlign w:val="center"/>
          </w:tcPr>
          <w:p w14:paraId="73202265">
            <w:r>
              <w:rPr>
                <w:rFonts w:hint="eastAsia"/>
              </w:rPr>
              <w:t>实收基金</w:t>
            </w:r>
          </w:p>
        </w:tc>
        <w:tc>
          <w:tcPr>
            <w:tcW w:w="1661" w:type="dxa"/>
            <w:vAlign w:val="center"/>
          </w:tcPr>
          <w:p w14:paraId="6AC0C716">
            <w:r>
              <w:rPr>
                <w:rFonts w:hint="eastAsia"/>
              </w:rPr>
              <w:t>其他综合收益</w:t>
            </w:r>
          </w:p>
        </w:tc>
        <w:tc>
          <w:tcPr>
            <w:tcW w:w="1661" w:type="dxa"/>
            <w:vAlign w:val="center"/>
          </w:tcPr>
          <w:p w14:paraId="4E34EA99">
            <w:r>
              <w:rPr>
                <w:rFonts w:hint="eastAsia"/>
              </w:rPr>
              <w:t>未分配利润</w:t>
            </w:r>
          </w:p>
        </w:tc>
        <w:tc>
          <w:tcPr>
            <w:tcW w:w="1661" w:type="dxa"/>
            <w:vAlign w:val="center"/>
          </w:tcPr>
          <w:p w14:paraId="22DB857C">
            <w:r>
              <w:rPr>
                <w:rFonts w:hint="eastAsia"/>
              </w:rPr>
              <w:t>净资产合计</w:t>
            </w:r>
          </w:p>
        </w:tc>
      </w:tr>
      <w:tr w14:paraId="3ED8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70A0CD">
            <w:r>
              <w:rPr>
                <w:rFonts w:hint="eastAsia"/>
              </w:rPr>
              <w:t>一、上期期末净资产</w:t>
            </w:r>
          </w:p>
        </w:tc>
        <w:tc>
          <w:tcPr>
            <w:tcW w:w="1661" w:type="dxa"/>
            <w:vAlign w:val="center"/>
          </w:tcPr>
          <w:p w14:paraId="04109176">
            <w:pPr>
              <w:jc w:val="right"/>
            </w:pPr>
            <w:r>
              <w:rPr>
                <w:rFonts w:hint="eastAsia"/>
              </w:rPr>
              <w:t>2,590,534,731.15</w:t>
            </w:r>
          </w:p>
        </w:tc>
        <w:tc>
          <w:tcPr>
            <w:tcW w:w="1661" w:type="dxa"/>
            <w:vAlign w:val="center"/>
          </w:tcPr>
          <w:p w14:paraId="26074F43">
            <w:pPr>
              <w:jc w:val="right"/>
            </w:pPr>
            <w:r>
              <w:rPr>
                <w:rFonts w:hint="eastAsia"/>
              </w:rPr>
              <w:t>-</w:t>
            </w:r>
          </w:p>
        </w:tc>
        <w:tc>
          <w:tcPr>
            <w:tcW w:w="1661" w:type="dxa"/>
            <w:vAlign w:val="center"/>
          </w:tcPr>
          <w:p w14:paraId="008D0976">
            <w:pPr>
              <w:jc w:val="right"/>
            </w:pPr>
            <w:r>
              <w:rPr>
                <w:rFonts w:hint="eastAsia"/>
              </w:rPr>
              <w:t>654,450,612.78</w:t>
            </w:r>
          </w:p>
        </w:tc>
        <w:tc>
          <w:tcPr>
            <w:tcW w:w="1661" w:type="dxa"/>
            <w:vAlign w:val="center"/>
          </w:tcPr>
          <w:p w14:paraId="2DF1FFE7">
            <w:pPr>
              <w:jc w:val="right"/>
            </w:pPr>
            <w:r>
              <w:rPr>
                <w:rFonts w:hint="eastAsia"/>
              </w:rPr>
              <w:t>3,244,985,343.93</w:t>
            </w:r>
          </w:p>
        </w:tc>
      </w:tr>
      <w:tr w14:paraId="7F01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57FE0B">
            <w:r>
              <w:rPr>
                <w:rFonts w:hint="eastAsia"/>
              </w:rPr>
              <w:t>加：会计政策变更</w:t>
            </w:r>
          </w:p>
        </w:tc>
        <w:tc>
          <w:tcPr>
            <w:tcW w:w="1661" w:type="dxa"/>
            <w:vAlign w:val="center"/>
          </w:tcPr>
          <w:p w14:paraId="7F85231B">
            <w:pPr>
              <w:jc w:val="right"/>
            </w:pPr>
            <w:r>
              <w:rPr>
                <w:rFonts w:hint="eastAsia"/>
              </w:rPr>
              <w:t>-</w:t>
            </w:r>
          </w:p>
        </w:tc>
        <w:tc>
          <w:tcPr>
            <w:tcW w:w="1661" w:type="dxa"/>
            <w:vAlign w:val="center"/>
          </w:tcPr>
          <w:p w14:paraId="7C6EF47B">
            <w:pPr>
              <w:jc w:val="right"/>
            </w:pPr>
            <w:r>
              <w:rPr>
                <w:rFonts w:hint="eastAsia"/>
              </w:rPr>
              <w:t>-</w:t>
            </w:r>
          </w:p>
        </w:tc>
        <w:tc>
          <w:tcPr>
            <w:tcW w:w="1661" w:type="dxa"/>
            <w:vAlign w:val="center"/>
          </w:tcPr>
          <w:p w14:paraId="0F49E3E1">
            <w:pPr>
              <w:jc w:val="right"/>
            </w:pPr>
            <w:r>
              <w:rPr>
                <w:rFonts w:hint="eastAsia"/>
              </w:rPr>
              <w:t>-</w:t>
            </w:r>
          </w:p>
        </w:tc>
        <w:tc>
          <w:tcPr>
            <w:tcW w:w="1661" w:type="dxa"/>
            <w:vAlign w:val="center"/>
          </w:tcPr>
          <w:p w14:paraId="789168EE">
            <w:pPr>
              <w:jc w:val="right"/>
            </w:pPr>
            <w:r>
              <w:rPr>
                <w:rFonts w:hint="eastAsia"/>
              </w:rPr>
              <w:t>-</w:t>
            </w:r>
          </w:p>
        </w:tc>
      </w:tr>
      <w:tr w14:paraId="3093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BF688F">
            <w:r>
              <w:rPr>
                <w:rFonts w:hint="eastAsia"/>
              </w:rPr>
              <w:t xml:space="preserve">    前期差错更正</w:t>
            </w:r>
          </w:p>
        </w:tc>
        <w:tc>
          <w:tcPr>
            <w:tcW w:w="1661" w:type="dxa"/>
            <w:vAlign w:val="center"/>
          </w:tcPr>
          <w:p w14:paraId="5B1C3C01">
            <w:pPr>
              <w:jc w:val="right"/>
            </w:pPr>
            <w:r>
              <w:rPr>
                <w:rFonts w:hint="eastAsia"/>
              </w:rPr>
              <w:t>-</w:t>
            </w:r>
          </w:p>
        </w:tc>
        <w:tc>
          <w:tcPr>
            <w:tcW w:w="1661" w:type="dxa"/>
            <w:vAlign w:val="center"/>
          </w:tcPr>
          <w:p w14:paraId="21D84BD8">
            <w:pPr>
              <w:jc w:val="right"/>
            </w:pPr>
            <w:r>
              <w:rPr>
                <w:rFonts w:hint="eastAsia"/>
              </w:rPr>
              <w:t>-</w:t>
            </w:r>
          </w:p>
        </w:tc>
        <w:tc>
          <w:tcPr>
            <w:tcW w:w="1661" w:type="dxa"/>
            <w:vAlign w:val="center"/>
          </w:tcPr>
          <w:p w14:paraId="6B2D5512">
            <w:pPr>
              <w:jc w:val="right"/>
            </w:pPr>
            <w:r>
              <w:rPr>
                <w:rFonts w:hint="eastAsia"/>
              </w:rPr>
              <w:t>-</w:t>
            </w:r>
          </w:p>
        </w:tc>
        <w:tc>
          <w:tcPr>
            <w:tcW w:w="1661" w:type="dxa"/>
            <w:vAlign w:val="center"/>
          </w:tcPr>
          <w:p w14:paraId="49F2D895">
            <w:pPr>
              <w:jc w:val="right"/>
            </w:pPr>
            <w:r>
              <w:rPr>
                <w:rFonts w:hint="eastAsia"/>
              </w:rPr>
              <w:t>-</w:t>
            </w:r>
          </w:p>
        </w:tc>
      </w:tr>
      <w:tr w14:paraId="4276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36A8AA">
            <w:r>
              <w:rPr>
                <w:rFonts w:hint="eastAsia"/>
              </w:rPr>
              <w:t xml:space="preserve">    其他</w:t>
            </w:r>
          </w:p>
        </w:tc>
        <w:tc>
          <w:tcPr>
            <w:tcW w:w="1661" w:type="dxa"/>
            <w:vAlign w:val="center"/>
          </w:tcPr>
          <w:p w14:paraId="66DA8FA6">
            <w:pPr>
              <w:jc w:val="right"/>
            </w:pPr>
            <w:r>
              <w:rPr>
                <w:rFonts w:hint="eastAsia"/>
              </w:rPr>
              <w:t>-</w:t>
            </w:r>
          </w:p>
        </w:tc>
        <w:tc>
          <w:tcPr>
            <w:tcW w:w="1661" w:type="dxa"/>
            <w:vAlign w:val="center"/>
          </w:tcPr>
          <w:p w14:paraId="7603DFE5">
            <w:pPr>
              <w:jc w:val="right"/>
            </w:pPr>
            <w:r>
              <w:rPr>
                <w:rFonts w:hint="eastAsia"/>
              </w:rPr>
              <w:t>-</w:t>
            </w:r>
          </w:p>
        </w:tc>
        <w:tc>
          <w:tcPr>
            <w:tcW w:w="1661" w:type="dxa"/>
            <w:vAlign w:val="center"/>
          </w:tcPr>
          <w:p w14:paraId="5DAD63B7">
            <w:pPr>
              <w:jc w:val="right"/>
            </w:pPr>
            <w:r>
              <w:rPr>
                <w:rFonts w:hint="eastAsia"/>
              </w:rPr>
              <w:t>-</w:t>
            </w:r>
          </w:p>
        </w:tc>
        <w:tc>
          <w:tcPr>
            <w:tcW w:w="1661" w:type="dxa"/>
            <w:vAlign w:val="center"/>
          </w:tcPr>
          <w:p w14:paraId="07DA0DC3">
            <w:pPr>
              <w:jc w:val="right"/>
            </w:pPr>
            <w:r>
              <w:rPr>
                <w:rFonts w:hint="eastAsia"/>
              </w:rPr>
              <w:t>-</w:t>
            </w:r>
          </w:p>
        </w:tc>
      </w:tr>
      <w:tr w14:paraId="1ABF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86EB1B">
            <w:r>
              <w:rPr>
                <w:rFonts w:hint="eastAsia"/>
              </w:rPr>
              <w:t>二、本期期初净资产</w:t>
            </w:r>
          </w:p>
        </w:tc>
        <w:tc>
          <w:tcPr>
            <w:tcW w:w="1661" w:type="dxa"/>
            <w:vAlign w:val="center"/>
          </w:tcPr>
          <w:p w14:paraId="72BB26B5">
            <w:pPr>
              <w:jc w:val="right"/>
            </w:pPr>
            <w:r>
              <w:rPr>
                <w:rFonts w:hint="eastAsia"/>
              </w:rPr>
              <w:t>2,590,534,731.15</w:t>
            </w:r>
          </w:p>
        </w:tc>
        <w:tc>
          <w:tcPr>
            <w:tcW w:w="1661" w:type="dxa"/>
            <w:vAlign w:val="center"/>
          </w:tcPr>
          <w:p w14:paraId="7B56EAD1">
            <w:pPr>
              <w:jc w:val="right"/>
            </w:pPr>
            <w:r>
              <w:rPr>
                <w:rFonts w:hint="eastAsia"/>
              </w:rPr>
              <w:t>-</w:t>
            </w:r>
          </w:p>
        </w:tc>
        <w:tc>
          <w:tcPr>
            <w:tcW w:w="1661" w:type="dxa"/>
            <w:vAlign w:val="center"/>
          </w:tcPr>
          <w:p w14:paraId="7A674008">
            <w:pPr>
              <w:jc w:val="right"/>
            </w:pPr>
            <w:r>
              <w:rPr>
                <w:rFonts w:hint="eastAsia"/>
              </w:rPr>
              <w:t>654,450,612.78</w:t>
            </w:r>
          </w:p>
        </w:tc>
        <w:tc>
          <w:tcPr>
            <w:tcW w:w="1661" w:type="dxa"/>
            <w:vAlign w:val="center"/>
          </w:tcPr>
          <w:p w14:paraId="6B37CCB6">
            <w:pPr>
              <w:jc w:val="right"/>
            </w:pPr>
            <w:r>
              <w:rPr>
                <w:rFonts w:hint="eastAsia"/>
              </w:rPr>
              <w:t>3,244,985,343.93</w:t>
            </w:r>
          </w:p>
        </w:tc>
      </w:tr>
      <w:tr w14:paraId="482F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B01E52">
            <w:r>
              <w:rPr>
                <w:rFonts w:hint="eastAsia"/>
              </w:rPr>
              <w:t>三、本期增减变动额（减少以“-”号填列）</w:t>
            </w:r>
          </w:p>
        </w:tc>
        <w:tc>
          <w:tcPr>
            <w:tcW w:w="1661" w:type="dxa"/>
            <w:vAlign w:val="center"/>
          </w:tcPr>
          <w:p w14:paraId="20D10B0E">
            <w:pPr>
              <w:jc w:val="right"/>
            </w:pPr>
            <w:r>
              <w:rPr>
                <w:rFonts w:hint="eastAsia"/>
              </w:rPr>
              <w:t>-2,536,099,355.20</w:t>
            </w:r>
          </w:p>
        </w:tc>
        <w:tc>
          <w:tcPr>
            <w:tcW w:w="1661" w:type="dxa"/>
            <w:vAlign w:val="center"/>
          </w:tcPr>
          <w:p w14:paraId="4BA8A13A">
            <w:pPr>
              <w:jc w:val="right"/>
            </w:pPr>
            <w:r>
              <w:rPr>
                <w:rFonts w:hint="eastAsia"/>
              </w:rPr>
              <w:t>-</w:t>
            </w:r>
          </w:p>
        </w:tc>
        <w:tc>
          <w:tcPr>
            <w:tcW w:w="1661" w:type="dxa"/>
            <w:vAlign w:val="center"/>
          </w:tcPr>
          <w:p w14:paraId="7C3C0CA3">
            <w:pPr>
              <w:jc w:val="right"/>
            </w:pPr>
            <w:r>
              <w:rPr>
                <w:rFonts w:hint="eastAsia"/>
              </w:rPr>
              <w:t>-641,723,732.93</w:t>
            </w:r>
          </w:p>
        </w:tc>
        <w:tc>
          <w:tcPr>
            <w:tcW w:w="1661" w:type="dxa"/>
            <w:vAlign w:val="center"/>
          </w:tcPr>
          <w:p w14:paraId="39E2BA2D">
            <w:pPr>
              <w:jc w:val="right"/>
            </w:pPr>
            <w:r>
              <w:rPr>
                <w:rFonts w:hint="eastAsia"/>
              </w:rPr>
              <w:t>-3,177,823,088.13</w:t>
            </w:r>
          </w:p>
        </w:tc>
      </w:tr>
      <w:tr w14:paraId="63F2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2B9ED0">
            <w:r>
              <w:rPr>
                <w:rFonts w:hint="eastAsia"/>
              </w:rPr>
              <w:t>（一）、综合收益总额</w:t>
            </w:r>
          </w:p>
        </w:tc>
        <w:tc>
          <w:tcPr>
            <w:tcW w:w="1661" w:type="dxa"/>
            <w:vAlign w:val="center"/>
          </w:tcPr>
          <w:p w14:paraId="411F278A">
            <w:pPr>
              <w:jc w:val="right"/>
            </w:pPr>
            <w:r>
              <w:rPr>
                <w:rFonts w:hint="eastAsia"/>
              </w:rPr>
              <w:t>-</w:t>
            </w:r>
          </w:p>
        </w:tc>
        <w:tc>
          <w:tcPr>
            <w:tcW w:w="1661" w:type="dxa"/>
            <w:vAlign w:val="center"/>
          </w:tcPr>
          <w:p w14:paraId="62665386">
            <w:pPr>
              <w:jc w:val="right"/>
            </w:pPr>
            <w:r>
              <w:rPr>
                <w:rFonts w:hint="eastAsia"/>
              </w:rPr>
              <w:t>-</w:t>
            </w:r>
          </w:p>
        </w:tc>
        <w:tc>
          <w:tcPr>
            <w:tcW w:w="1661" w:type="dxa"/>
            <w:vAlign w:val="center"/>
          </w:tcPr>
          <w:p w14:paraId="2B42D4F3">
            <w:pPr>
              <w:jc w:val="right"/>
            </w:pPr>
            <w:r>
              <w:rPr>
                <w:rFonts w:hint="eastAsia"/>
              </w:rPr>
              <w:t>7,629,396.80</w:t>
            </w:r>
          </w:p>
        </w:tc>
        <w:tc>
          <w:tcPr>
            <w:tcW w:w="1661" w:type="dxa"/>
            <w:vAlign w:val="center"/>
          </w:tcPr>
          <w:p w14:paraId="2E43342D">
            <w:pPr>
              <w:jc w:val="right"/>
            </w:pPr>
            <w:r>
              <w:rPr>
                <w:rFonts w:hint="eastAsia"/>
              </w:rPr>
              <w:t>7,629,396.80</w:t>
            </w:r>
          </w:p>
        </w:tc>
      </w:tr>
      <w:tr w14:paraId="3C6B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F15069">
            <w:r>
              <w:rPr>
                <w:rFonts w:hint="eastAsia"/>
              </w:rPr>
              <w:t>（二）、本期基金份额交易产生的净资产变动数（净资产减少以“-”号填列）</w:t>
            </w:r>
          </w:p>
        </w:tc>
        <w:tc>
          <w:tcPr>
            <w:tcW w:w="1661" w:type="dxa"/>
            <w:vAlign w:val="center"/>
          </w:tcPr>
          <w:p w14:paraId="1DBF5A12">
            <w:pPr>
              <w:jc w:val="right"/>
            </w:pPr>
            <w:r>
              <w:rPr>
                <w:rFonts w:hint="eastAsia"/>
              </w:rPr>
              <w:t>-2,536,099,355.20</w:t>
            </w:r>
          </w:p>
        </w:tc>
        <w:tc>
          <w:tcPr>
            <w:tcW w:w="1661" w:type="dxa"/>
            <w:vAlign w:val="center"/>
          </w:tcPr>
          <w:p w14:paraId="04B37060">
            <w:pPr>
              <w:jc w:val="right"/>
            </w:pPr>
            <w:r>
              <w:rPr>
                <w:rFonts w:hint="eastAsia"/>
              </w:rPr>
              <w:t>-</w:t>
            </w:r>
          </w:p>
        </w:tc>
        <w:tc>
          <w:tcPr>
            <w:tcW w:w="1661" w:type="dxa"/>
            <w:vAlign w:val="center"/>
          </w:tcPr>
          <w:p w14:paraId="4A01010A">
            <w:pPr>
              <w:jc w:val="right"/>
            </w:pPr>
            <w:r>
              <w:rPr>
                <w:rFonts w:hint="eastAsia"/>
              </w:rPr>
              <w:t>-576,818,156.50</w:t>
            </w:r>
          </w:p>
        </w:tc>
        <w:tc>
          <w:tcPr>
            <w:tcW w:w="1661" w:type="dxa"/>
            <w:vAlign w:val="center"/>
          </w:tcPr>
          <w:p w14:paraId="2AC61935">
            <w:pPr>
              <w:jc w:val="right"/>
            </w:pPr>
            <w:r>
              <w:rPr>
                <w:rFonts w:hint="eastAsia"/>
              </w:rPr>
              <w:t>-3,112,917,511.70</w:t>
            </w:r>
          </w:p>
        </w:tc>
      </w:tr>
      <w:tr w14:paraId="1020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79CBA7">
            <w:r>
              <w:rPr>
                <w:rFonts w:hint="eastAsia"/>
              </w:rPr>
              <w:t>其中：1.基金申购款</w:t>
            </w:r>
          </w:p>
        </w:tc>
        <w:tc>
          <w:tcPr>
            <w:tcW w:w="1661" w:type="dxa"/>
            <w:vAlign w:val="center"/>
          </w:tcPr>
          <w:p w14:paraId="5D44B6EE">
            <w:pPr>
              <w:jc w:val="right"/>
            </w:pPr>
            <w:r>
              <w:rPr>
                <w:rFonts w:hint="eastAsia"/>
              </w:rPr>
              <w:t>55,747.04</w:t>
            </w:r>
          </w:p>
        </w:tc>
        <w:tc>
          <w:tcPr>
            <w:tcW w:w="1661" w:type="dxa"/>
            <w:vAlign w:val="center"/>
          </w:tcPr>
          <w:p w14:paraId="605AA41B">
            <w:pPr>
              <w:jc w:val="right"/>
            </w:pPr>
            <w:r>
              <w:rPr>
                <w:rFonts w:hint="eastAsia"/>
              </w:rPr>
              <w:t>-</w:t>
            </w:r>
          </w:p>
        </w:tc>
        <w:tc>
          <w:tcPr>
            <w:tcW w:w="1661" w:type="dxa"/>
            <w:vAlign w:val="center"/>
          </w:tcPr>
          <w:p w14:paraId="2CE0E742">
            <w:pPr>
              <w:jc w:val="right"/>
            </w:pPr>
            <w:r>
              <w:rPr>
                <w:rFonts w:hint="eastAsia"/>
              </w:rPr>
              <w:t>12,508.52</w:t>
            </w:r>
          </w:p>
        </w:tc>
        <w:tc>
          <w:tcPr>
            <w:tcW w:w="1661" w:type="dxa"/>
            <w:vAlign w:val="center"/>
          </w:tcPr>
          <w:p w14:paraId="6F48F923">
            <w:pPr>
              <w:jc w:val="right"/>
            </w:pPr>
            <w:r>
              <w:rPr>
                <w:rFonts w:hint="eastAsia"/>
              </w:rPr>
              <w:t>68,255.56</w:t>
            </w:r>
          </w:p>
        </w:tc>
      </w:tr>
      <w:tr w14:paraId="2198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C6AB9C">
            <w:r>
              <w:rPr>
                <w:rFonts w:hint="eastAsia"/>
              </w:rPr>
              <w:t xml:space="preserve">      2.基金赎回款</w:t>
            </w:r>
          </w:p>
        </w:tc>
        <w:tc>
          <w:tcPr>
            <w:tcW w:w="1661" w:type="dxa"/>
            <w:vAlign w:val="center"/>
          </w:tcPr>
          <w:p w14:paraId="2078209C">
            <w:pPr>
              <w:jc w:val="right"/>
            </w:pPr>
            <w:r>
              <w:rPr>
                <w:rFonts w:hint="eastAsia"/>
              </w:rPr>
              <w:t>-2,536,155,102.24</w:t>
            </w:r>
          </w:p>
        </w:tc>
        <w:tc>
          <w:tcPr>
            <w:tcW w:w="1661" w:type="dxa"/>
            <w:vAlign w:val="center"/>
          </w:tcPr>
          <w:p w14:paraId="5A2709EF">
            <w:pPr>
              <w:jc w:val="right"/>
            </w:pPr>
            <w:r>
              <w:rPr>
                <w:rFonts w:hint="eastAsia"/>
              </w:rPr>
              <w:t>-</w:t>
            </w:r>
          </w:p>
        </w:tc>
        <w:tc>
          <w:tcPr>
            <w:tcW w:w="1661" w:type="dxa"/>
            <w:vAlign w:val="center"/>
          </w:tcPr>
          <w:p w14:paraId="33E65151">
            <w:pPr>
              <w:jc w:val="right"/>
            </w:pPr>
            <w:r>
              <w:rPr>
                <w:rFonts w:hint="eastAsia"/>
              </w:rPr>
              <w:t>-576,830,665.02</w:t>
            </w:r>
          </w:p>
        </w:tc>
        <w:tc>
          <w:tcPr>
            <w:tcW w:w="1661" w:type="dxa"/>
            <w:vAlign w:val="center"/>
          </w:tcPr>
          <w:p w14:paraId="6F763F1B">
            <w:pPr>
              <w:jc w:val="right"/>
            </w:pPr>
            <w:r>
              <w:rPr>
                <w:rFonts w:hint="eastAsia"/>
              </w:rPr>
              <w:t>-3,112,985,767.26</w:t>
            </w:r>
          </w:p>
        </w:tc>
      </w:tr>
      <w:tr w14:paraId="463F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39A4F6">
            <w:r>
              <w:rPr>
                <w:rFonts w:hint="eastAsia"/>
              </w:rPr>
              <w:t>（三）、本期向基金份额持有人分配利润产生的净资产变动（净资产减少以“-”号填列）</w:t>
            </w:r>
          </w:p>
        </w:tc>
        <w:tc>
          <w:tcPr>
            <w:tcW w:w="1661" w:type="dxa"/>
            <w:vAlign w:val="center"/>
          </w:tcPr>
          <w:p w14:paraId="1EC53C07">
            <w:pPr>
              <w:jc w:val="right"/>
            </w:pPr>
            <w:r>
              <w:rPr>
                <w:rFonts w:hint="eastAsia"/>
              </w:rPr>
              <w:t>-</w:t>
            </w:r>
          </w:p>
        </w:tc>
        <w:tc>
          <w:tcPr>
            <w:tcW w:w="1661" w:type="dxa"/>
            <w:vAlign w:val="center"/>
          </w:tcPr>
          <w:p w14:paraId="3AFA2209">
            <w:pPr>
              <w:jc w:val="right"/>
            </w:pPr>
            <w:r>
              <w:rPr>
                <w:rFonts w:hint="eastAsia"/>
              </w:rPr>
              <w:t>-</w:t>
            </w:r>
          </w:p>
        </w:tc>
        <w:tc>
          <w:tcPr>
            <w:tcW w:w="1661" w:type="dxa"/>
            <w:vAlign w:val="center"/>
          </w:tcPr>
          <w:p w14:paraId="077C179E">
            <w:pPr>
              <w:jc w:val="right"/>
            </w:pPr>
            <w:r>
              <w:rPr>
                <w:rFonts w:hint="eastAsia"/>
              </w:rPr>
              <w:t>-72,534,973.23</w:t>
            </w:r>
          </w:p>
        </w:tc>
        <w:tc>
          <w:tcPr>
            <w:tcW w:w="1661" w:type="dxa"/>
            <w:vAlign w:val="center"/>
          </w:tcPr>
          <w:p w14:paraId="0691558B">
            <w:pPr>
              <w:jc w:val="right"/>
            </w:pPr>
            <w:r>
              <w:rPr>
                <w:rFonts w:hint="eastAsia"/>
              </w:rPr>
              <w:t>-72,534,973.23</w:t>
            </w:r>
          </w:p>
        </w:tc>
      </w:tr>
      <w:tr w14:paraId="6A5E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D19AB2">
            <w:r>
              <w:rPr>
                <w:rFonts w:hint="eastAsia"/>
              </w:rPr>
              <w:t>（四）、其他综合收益结转留存收益</w:t>
            </w:r>
          </w:p>
        </w:tc>
        <w:tc>
          <w:tcPr>
            <w:tcW w:w="1661" w:type="dxa"/>
            <w:vAlign w:val="center"/>
          </w:tcPr>
          <w:p w14:paraId="73D2D280">
            <w:pPr>
              <w:jc w:val="right"/>
            </w:pPr>
            <w:r>
              <w:rPr>
                <w:rFonts w:hint="eastAsia"/>
              </w:rPr>
              <w:t>-</w:t>
            </w:r>
          </w:p>
        </w:tc>
        <w:tc>
          <w:tcPr>
            <w:tcW w:w="1661" w:type="dxa"/>
            <w:vAlign w:val="center"/>
          </w:tcPr>
          <w:p w14:paraId="040DDCBE">
            <w:pPr>
              <w:jc w:val="right"/>
            </w:pPr>
            <w:r>
              <w:rPr>
                <w:rFonts w:hint="eastAsia"/>
              </w:rPr>
              <w:t>-</w:t>
            </w:r>
          </w:p>
        </w:tc>
        <w:tc>
          <w:tcPr>
            <w:tcW w:w="1661" w:type="dxa"/>
            <w:vAlign w:val="center"/>
          </w:tcPr>
          <w:p w14:paraId="4AC74B2D">
            <w:pPr>
              <w:jc w:val="right"/>
            </w:pPr>
            <w:r>
              <w:rPr>
                <w:rFonts w:hint="eastAsia"/>
              </w:rPr>
              <w:t>-</w:t>
            </w:r>
          </w:p>
        </w:tc>
        <w:tc>
          <w:tcPr>
            <w:tcW w:w="1661" w:type="dxa"/>
            <w:vAlign w:val="center"/>
          </w:tcPr>
          <w:p w14:paraId="7F4B91F4">
            <w:pPr>
              <w:jc w:val="right"/>
            </w:pPr>
            <w:r>
              <w:rPr>
                <w:rFonts w:hint="eastAsia"/>
              </w:rPr>
              <w:t>-</w:t>
            </w:r>
          </w:p>
        </w:tc>
      </w:tr>
      <w:tr w14:paraId="0F03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745C1">
            <w:r>
              <w:rPr>
                <w:rFonts w:hint="eastAsia"/>
              </w:rPr>
              <w:t>四、本期期末净资产</w:t>
            </w:r>
          </w:p>
        </w:tc>
        <w:tc>
          <w:tcPr>
            <w:tcW w:w="1661" w:type="dxa"/>
            <w:vAlign w:val="center"/>
          </w:tcPr>
          <w:p w14:paraId="605B60E5">
            <w:pPr>
              <w:jc w:val="right"/>
            </w:pPr>
            <w:r>
              <w:rPr>
                <w:rFonts w:hint="eastAsia"/>
              </w:rPr>
              <w:t>54,435,375.95</w:t>
            </w:r>
          </w:p>
        </w:tc>
        <w:tc>
          <w:tcPr>
            <w:tcW w:w="1661" w:type="dxa"/>
            <w:vAlign w:val="center"/>
          </w:tcPr>
          <w:p w14:paraId="26610D7E">
            <w:pPr>
              <w:jc w:val="right"/>
            </w:pPr>
            <w:r>
              <w:rPr>
                <w:rFonts w:hint="eastAsia"/>
              </w:rPr>
              <w:t>-</w:t>
            </w:r>
          </w:p>
        </w:tc>
        <w:tc>
          <w:tcPr>
            <w:tcW w:w="1661" w:type="dxa"/>
            <w:vAlign w:val="center"/>
          </w:tcPr>
          <w:p w14:paraId="734844DF">
            <w:pPr>
              <w:jc w:val="right"/>
            </w:pPr>
            <w:r>
              <w:rPr>
                <w:rFonts w:hint="eastAsia"/>
              </w:rPr>
              <w:t>12,726,879.85</w:t>
            </w:r>
          </w:p>
        </w:tc>
        <w:tc>
          <w:tcPr>
            <w:tcW w:w="1661" w:type="dxa"/>
            <w:vAlign w:val="center"/>
          </w:tcPr>
          <w:p w14:paraId="0A60D5DE">
            <w:pPr>
              <w:jc w:val="right"/>
            </w:pPr>
            <w:r>
              <w:rPr>
                <w:rFonts w:hint="eastAsia"/>
              </w:rPr>
              <w:t>67,162,255.80</w:t>
            </w:r>
          </w:p>
        </w:tc>
      </w:tr>
      <w:tr w14:paraId="6A12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D2ED42">
            <w:r>
              <w:rPr>
                <w:rFonts w:hint="eastAsia"/>
              </w:rPr>
              <w:t>项目</w:t>
            </w:r>
          </w:p>
        </w:tc>
        <w:tc>
          <w:tcPr>
            <w:tcW w:w="1661" w:type="dxa"/>
            <w:gridSpan w:val="4"/>
            <w:vAlign w:val="center"/>
          </w:tcPr>
          <w:p w14:paraId="42A4FDB4">
            <w:r>
              <w:rPr>
                <w:rFonts w:hint="eastAsia"/>
              </w:rPr>
              <w:t>上年度可比期间2024年1月1日至2024年12月31日</w:t>
            </w:r>
          </w:p>
        </w:tc>
      </w:tr>
      <w:tr w14:paraId="3824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C522FE"/>
        </w:tc>
        <w:tc>
          <w:tcPr>
            <w:tcW w:w="1661" w:type="dxa"/>
            <w:vAlign w:val="center"/>
          </w:tcPr>
          <w:p w14:paraId="3CDD3D21">
            <w:r>
              <w:rPr>
                <w:rFonts w:hint="eastAsia"/>
              </w:rPr>
              <w:t>实收基金</w:t>
            </w:r>
          </w:p>
        </w:tc>
        <w:tc>
          <w:tcPr>
            <w:tcW w:w="1661" w:type="dxa"/>
            <w:vAlign w:val="center"/>
          </w:tcPr>
          <w:p w14:paraId="710A7112">
            <w:r>
              <w:rPr>
                <w:rFonts w:hint="eastAsia"/>
              </w:rPr>
              <w:t>其他综合收益</w:t>
            </w:r>
          </w:p>
        </w:tc>
        <w:tc>
          <w:tcPr>
            <w:tcW w:w="1661" w:type="dxa"/>
            <w:vAlign w:val="center"/>
          </w:tcPr>
          <w:p w14:paraId="6D2704D3">
            <w:r>
              <w:rPr>
                <w:rFonts w:hint="eastAsia"/>
              </w:rPr>
              <w:t>未分配利润</w:t>
            </w:r>
          </w:p>
        </w:tc>
        <w:tc>
          <w:tcPr>
            <w:tcW w:w="1661" w:type="dxa"/>
            <w:vAlign w:val="center"/>
          </w:tcPr>
          <w:p w14:paraId="2FF597F3">
            <w:r>
              <w:rPr>
                <w:rFonts w:hint="eastAsia"/>
              </w:rPr>
              <w:t>净资产合计</w:t>
            </w:r>
          </w:p>
        </w:tc>
      </w:tr>
      <w:tr w14:paraId="01DC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02A313">
            <w:r>
              <w:rPr>
                <w:rFonts w:hint="eastAsia"/>
              </w:rPr>
              <w:t>一、上期期末净资产</w:t>
            </w:r>
          </w:p>
        </w:tc>
        <w:tc>
          <w:tcPr>
            <w:tcW w:w="1661" w:type="dxa"/>
            <w:vAlign w:val="center"/>
          </w:tcPr>
          <w:p w14:paraId="0AF5A456">
            <w:pPr>
              <w:jc w:val="right"/>
            </w:pPr>
            <w:r>
              <w:rPr>
                <w:rFonts w:hint="eastAsia"/>
              </w:rPr>
              <w:t>2,566,157,370.21</w:t>
            </w:r>
          </w:p>
        </w:tc>
        <w:tc>
          <w:tcPr>
            <w:tcW w:w="1661" w:type="dxa"/>
            <w:vAlign w:val="center"/>
          </w:tcPr>
          <w:p w14:paraId="65FCC1A9">
            <w:pPr>
              <w:jc w:val="right"/>
            </w:pPr>
            <w:r>
              <w:rPr>
                <w:rFonts w:hint="eastAsia"/>
              </w:rPr>
              <w:t>-</w:t>
            </w:r>
          </w:p>
        </w:tc>
        <w:tc>
          <w:tcPr>
            <w:tcW w:w="1661" w:type="dxa"/>
            <w:vAlign w:val="center"/>
          </w:tcPr>
          <w:p w14:paraId="32802A46">
            <w:pPr>
              <w:jc w:val="right"/>
            </w:pPr>
            <w:r>
              <w:rPr>
                <w:rFonts w:hint="eastAsia"/>
              </w:rPr>
              <w:t>512,655,690.81</w:t>
            </w:r>
          </w:p>
        </w:tc>
        <w:tc>
          <w:tcPr>
            <w:tcW w:w="1661" w:type="dxa"/>
            <w:vAlign w:val="center"/>
          </w:tcPr>
          <w:p w14:paraId="0043E578">
            <w:pPr>
              <w:jc w:val="right"/>
            </w:pPr>
            <w:r>
              <w:rPr>
                <w:rFonts w:hint="eastAsia"/>
              </w:rPr>
              <w:t>3,078,813,061.02</w:t>
            </w:r>
          </w:p>
        </w:tc>
      </w:tr>
      <w:tr w14:paraId="545E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D242B5">
            <w:r>
              <w:rPr>
                <w:rFonts w:hint="eastAsia"/>
              </w:rPr>
              <w:t>加：会计政策变更</w:t>
            </w:r>
          </w:p>
        </w:tc>
        <w:tc>
          <w:tcPr>
            <w:tcW w:w="1661" w:type="dxa"/>
            <w:vAlign w:val="center"/>
          </w:tcPr>
          <w:p w14:paraId="72763EF2">
            <w:pPr>
              <w:jc w:val="right"/>
            </w:pPr>
            <w:r>
              <w:rPr>
                <w:rFonts w:hint="eastAsia"/>
              </w:rPr>
              <w:t>-</w:t>
            </w:r>
          </w:p>
        </w:tc>
        <w:tc>
          <w:tcPr>
            <w:tcW w:w="1661" w:type="dxa"/>
            <w:vAlign w:val="center"/>
          </w:tcPr>
          <w:p w14:paraId="694D8BAE">
            <w:pPr>
              <w:jc w:val="right"/>
            </w:pPr>
            <w:r>
              <w:rPr>
                <w:rFonts w:hint="eastAsia"/>
              </w:rPr>
              <w:t>-</w:t>
            </w:r>
          </w:p>
        </w:tc>
        <w:tc>
          <w:tcPr>
            <w:tcW w:w="1661" w:type="dxa"/>
            <w:vAlign w:val="center"/>
          </w:tcPr>
          <w:p w14:paraId="176C028D">
            <w:pPr>
              <w:jc w:val="right"/>
            </w:pPr>
            <w:r>
              <w:rPr>
                <w:rFonts w:hint="eastAsia"/>
              </w:rPr>
              <w:t>-</w:t>
            </w:r>
          </w:p>
        </w:tc>
        <w:tc>
          <w:tcPr>
            <w:tcW w:w="1661" w:type="dxa"/>
            <w:vAlign w:val="center"/>
          </w:tcPr>
          <w:p w14:paraId="142C1CBA">
            <w:pPr>
              <w:jc w:val="right"/>
            </w:pPr>
            <w:r>
              <w:rPr>
                <w:rFonts w:hint="eastAsia"/>
              </w:rPr>
              <w:t>-</w:t>
            </w:r>
          </w:p>
        </w:tc>
      </w:tr>
      <w:tr w14:paraId="2975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05D877">
            <w:r>
              <w:rPr>
                <w:rFonts w:hint="eastAsia"/>
              </w:rPr>
              <w:t xml:space="preserve">    前期差错更正</w:t>
            </w:r>
          </w:p>
        </w:tc>
        <w:tc>
          <w:tcPr>
            <w:tcW w:w="1661" w:type="dxa"/>
            <w:vAlign w:val="center"/>
          </w:tcPr>
          <w:p w14:paraId="719523B2">
            <w:pPr>
              <w:jc w:val="right"/>
            </w:pPr>
            <w:r>
              <w:rPr>
                <w:rFonts w:hint="eastAsia"/>
              </w:rPr>
              <w:t>-</w:t>
            </w:r>
          </w:p>
        </w:tc>
        <w:tc>
          <w:tcPr>
            <w:tcW w:w="1661" w:type="dxa"/>
            <w:vAlign w:val="center"/>
          </w:tcPr>
          <w:p w14:paraId="6C5C80A7">
            <w:pPr>
              <w:jc w:val="right"/>
            </w:pPr>
            <w:r>
              <w:rPr>
                <w:rFonts w:hint="eastAsia"/>
              </w:rPr>
              <w:t>-</w:t>
            </w:r>
          </w:p>
        </w:tc>
        <w:tc>
          <w:tcPr>
            <w:tcW w:w="1661" w:type="dxa"/>
            <w:vAlign w:val="center"/>
          </w:tcPr>
          <w:p w14:paraId="484D3E7E">
            <w:pPr>
              <w:jc w:val="right"/>
            </w:pPr>
            <w:r>
              <w:rPr>
                <w:rFonts w:hint="eastAsia"/>
              </w:rPr>
              <w:t>-</w:t>
            </w:r>
          </w:p>
        </w:tc>
        <w:tc>
          <w:tcPr>
            <w:tcW w:w="1661" w:type="dxa"/>
            <w:vAlign w:val="center"/>
          </w:tcPr>
          <w:p w14:paraId="195B875C">
            <w:pPr>
              <w:jc w:val="right"/>
            </w:pPr>
            <w:r>
              <w:rPr>
                <w:rFonts w:hint="eastAsia"/>
              </w:rPr>
              <w:t>-</w:t>
            </w:r>
          </w:p>
        </w:tc>
      </w:tr>
      <w:tr w14:paraId="2224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AE5ED">
            <w:r>
              <w:rPr>
                <w:rFonts w:hint="eastAsia"/>
              </w:rPr>
              <w:t xml:space="preserve">    其他</w:t>
            </w:r>
          </w:p>
        </w:tc>
        <w:tc>
          <w:tcPr>
            <w:tcW w:w="1661" w:type="dxa"/>
            <w:vAlign w:val="center"/>
          </w:tcPr>
          <w:p w14:paraId="1EFB8E7D">
            <w:pPr>
              <w:jc w:val="right"/>
            </w:pPr>
            <w:r>
              <w:rPr>
                <w:rFonts w:hint="eastAsia"/>
              </w:rPr>
              <w:t>-</w:t>
            </w:r>
          </w:p>
        </w:tc>
        <w:tc>
          <w:tcPr>
            <w:tcW w:w="1661" w:type="dxa"/>
            <w:vAlign w:val="center"/>
          </w:tcPr>
          <w:p w14:paraId="42199C95">
            <w:pPr>
              <w:jc w:val="right"/>
            </w:pPr>
            <w:r>
              <w:rPr>
                <w:rFonts w:hint="eastAsia"/>
              </w:rPr>
              <w:t>-</w:t>
            </w:r>
          </w:p>
        </w:tc>
        <w:tc>
          <w:tcPr>
            <w:tcW w:w="1661" w:type="dxa"/>
            <w:vAlign w:val="center"/>
          </w:tcPr>
          <w:p w14:paraId="46011092">
            <w:pPr>
              <w:jc w:val="right"/>
            </w:pPr>
            <w:r>
              <w:rPr>
                <w:rFonts w:hint="eastAsia"/>
              </w:rPr>
              <w:t>-</w:t>
            </w:r>
          </w:p>
        </w:tc>
        <w:tc>
          <w:tcPr>
            <w:tcW w:w="1661" w:type="dxa"/>
            <w:vAlign w:val="center"/>
          </w:tcPr>
          <w:p w14:paraId="42CB7629">
            <w:pPr>
              <w:jc w:val="right"/>
            </w:pPr>
            <w:r>
              <w:rPr>
                <w:rFonts w:hint="eastAsia"/>
              </w:rPr>
              <w:t>-</w:t>
            </w:r>
          </w:p>
        </w:tc>
      </w:tr>
      <w:tr w14:paraId="161B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502ACF">
            <w:r>
              <w:rPr>
                <w:rFonts w:hint="eastAsia"/>
              </w:rPr>
              <w:t>二、本期期初净资产</w:t>
            </w:r>
          </w:p>
        </w:tc>
        <w:tc>
          <w:tcPr>
            <w:tcW w:w="1661" w:type="dxa"/>
            <w:vAlign w:val="center"/>
          </w:tcPr>
          <w:p w14:paraId="382E5C86">
            <w:pPr>
              <w:jc w:val="right"/>
            </w:pPr>
            <w:r>
              <w:rPr>
                <w:rFonts w:hint="eastAsia"/>
              </w:rPr>
              <w:t>2,566,157,370.21</w:t>
            </w:r>
          </w:p>
        </w:tc>
        <w:tc>
          <w:tcPr>
            <w:tcW w:w="1661" w:type="dxa"/>
            <w:vAlign w:val="center"/>
          </w:tcPr>
          <w:p w14:paraId="62D32036">
            <w:pPr>
              <w:jc w:val="right"/>
            </w:pPr>
            <w:r>
              <w:rPr>
                <w:rFonts w:hint="eastAsia"/>
              </w:rPr>
              <w:t>-</w:t>
            </w:r>
          </w:p>
        </w:tc>
        <w:tc>
          <w:tcPr>
            <w:tcW w:w="1661" w:type="dxa"/>
            <w:vAlign w:val="center"/>
          </w:tcPr>
          <w:p w14:paraId="73F9153C">
            <w:pPr>
              <w:jc w:val="right"/>
            </w:pPr>
            <w:r>
              <w:rPr>
                <w:rFonts w:hint="eastAsia"/>
              </w:rPr>
              <w:t>512,655,690.81</w:t>
            </w:r>
          </w:p>
        </w:tc>
        <w:tc>
          <w:tcPr>
            <w:tcW w:w="1661" w:type="dxa"/>
            <w:vAlign w:val="center"/>
          </w:tcPr>
          <w:p w14:paraId="6AD91BC7">
            <w:pPr>
              <w:jc w:val="right"/>
            </w:pPr>
            <w:r>
              <w:rPr>
                <w:rFonts w:hint="eastAsia"/>
              </w:rPr>
              <w:t>3,078,813,061.02</w:t>
            </w:r>
          </w:p>
        </w:tc>
      </w:tr>
      <w:tr w14:paraId="669F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4AF1A">
            <w:r>
              <w:rPr>
                <w:rFonts w:hint="eastAsia"/>
              </w:rPr>
              <w:t>三、本期增减变动额（减少以“-”号填列）</w:t>
            </w:r>
          </w:p>
        </w:tc>
        <w:tc>
          <w:tcPr>
            <w:tcW w:w="1661" w:type="dxa"/>
            <w:vAlign w:val="center"/>
          </w:tcPr>
          <w:p w14:paraId="06DA137D">
            <w:pPr>
              <w:jc w:val="right"/>
            </w:pPr>
            <w:r>
              <w:rPr>
                <w:rFonts w:hint="eastAsia"/>
              </w:rPr>
              <w:t>24,377,360.94</w:t>
            </w:r>
          </w:p>
        </w:tc>
        <w:tc>
          <w:tcPr>
            <w:tcW w:w="1661" w:type="dxa"/>
            <w:vAlign w:val="center"/>
          </w:tcPr>
          <w:p w14:paraId="7EBA55F0">
            <w:pPr>
              <w:jc w:val="right"/>
            </w:pPr>
            <w:r>
              <w:rPr>
                <w:rFonts w:hint="eastAsia"/>
              </w:rPr>
              <w:t>-</w:t>
            </w:r>
          </w:p>
        </w:tc>
        <w:tc>
          <w:tcPr>
            <w:tcW w:w="1661" w:type="dxa"/>
            <w:vAlign w:val="center"/>
          </w:tcPr>
          <w:p w14:paraId="3E47E2EE">
            <w:pPr>
              <w:jc w:val="right"/>
            </w:pPr>
            <w:r>
              <w:rPr>
                <w:rFonts w:hint="eastAsia"/>
              </w:rPr>
              <w:t>141,794,921.97</w:t>
            </w:r>
          </w:p>
        </w:tc>
        <w:tc>
          <w:tcPr>
            <w:tcW w:w="1661" w:type="dxa"/>
            <w:vAlign w:val="center"/>
          </w:tcPr>
          <w:p w14:paraId="4FA2E156">
            <w:pPr>
              <w:jc w:val="right"/>
            </w:pPr>
            <w:r>
              <w:rPr>
                <w:rFonts w:hint="eastAsia"/>
              </w:rPr>
              <w:t>166,172,282.91</w:t>
            </w:r>
          </w:p>
        </w:tc>
      </w:tr>
      <w:tr w14:paraId="3184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E6A3C1">
            <w:r>
              <w:rPr>
                <w:rFonts w:hint="eastAsia"/>
              </w:rPr>
              <w:t>（一）、综合收益总额</w:t>
            </w:r>
          </w:p>
        </w:tc>
        <w:tc>
          <w:tcPr>
            <w:tcW w:w="1661" w:type="dxa"/>
            <w:vAlign w:val="center"/>
          </w:tcPr>
          <w:p w14:paraId="10C6592D">
            <w:pPr>
              <w:jc w:val="right"/>
            </w:pPr>
            <w:r>
              <w:rPr>
                <w:rFonts w:hint="eastAsia"/>
              </w:rPr>
              <w:t>-</w:t>
            </w:r>
          </w:p>
        </w:tc>
        <w:tc>
          <w:tcPr>
            <w:tcW w:w="1661" w:type="dxa"/>
            <w:vAlign w:val="center"/>
          </w:tcPr>
          <w:p w14:paraId="32BAF512">
            <w:pPr>
              <w:jc w:val="right"/>
            </w:pPr>
            <w:r>
              <w:rPr>
                <w:rFonts w:hint="eastAsia"/>
              </w:rPr>
              <w:t>-</w:t>
            </w:r>
          </w:p>
        </w:tc>
        <w:tc>
          <w:tcPr>
            <w:tcW w:w="1661" w:type="dxa"/>
            <w:vAlign w:val="center"/>
          </w:tcPr>
          <w:p w14:paraId="39DC6DD8">
            <w:pPr>
              <w:jc w:val="right"/>
            </w:pPr>
            <w:r>
              <w:rPr>
                <w:rFonts w:hint="eastAsia"/>
              </w:rPr>
              <w:t>136,173,502.70</w:t>
            </w:r>
          </w:p>
        </w:tc>
        <w:tc>
          <w:tcPr>
            <w:tcW w:w="1661" w:type="dxa"/>
            <w:vAlign w:val="center"/>
          </w:tcPr>
          <w:p w14:paraId="59751AEA">
            <w:pPr>
              <w:jc w:val="right"/>
            </w:pPr>
            <w:r>
              <w:rPr>
                <w:rFonts w:hint="eastAsia"/>
              </w:rPr>
              <w:t>136,173,502.70</w:t>
            </w:r>
          </w:p>
        </w:tc>
      </w:tr>
      <w:tr w14:paraId="23B4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5E0A95">
            <w:r>
              <w:rPr>
                <w:rFonts w:hint="eastAsia"/>
              </w:rPr>
              <w:t>（二）、本期基金份额交易产生的净资产变动数（净资产减少以“-”号填列）</w:t>
            </w:r>
          </w:p>
        </w:tc>
        <w:tc>
          <w:tcPr>
            <w:tcW w:w="1661" w:type="dxa"/>
            <w:vAlign w:val="center"/>
          </w:tcPr>
          <w:p w14:paraId="1F32E903">
            <w:pPr>
              <w:jc w:val="right"/>
            </w:pPr>
            <w:r>
              <w:rPr>
                <w:rFonts w:hint="eastAsia"/>
              </w:rPr>
              <w:t>24,377,360.94</w:t>
            </w:r>
          </w:p>
        </w:tc>
        <w:tc>
          <w:tcPr>
            <w:tcW w:w="1661" w:type="dxa"/>
            <w:vAlign w:val="center"/>
          </w:tcPr>
          <w:p w14:paraId="6C36F8C2">
            <w:pPr>
              <w:jc w:val="right"/>
            </w:pPr>
            <w:r>
              <w:rPr>
                <w:rFonts w:hint="eastAsia"/>
              </w:rPr>
              <w:t>-</w:t>
            </w:r>
          </w:p>
        </w:tc>
        <w:tc>
          <w:tcPr>
            <w:tcW w:w="1661" w:type="dxa"/>
            <w:vAlign w:val="center"/>
          </w:tcPr>
          <w:p w14:paraId="283AA890">
            <w:pPr>
              <w:jc w:val="right"/>
            </w:pPr>
            <w:r>
              <w:rPr>
                <w:rFonts w:hint="eastAsia"/>
              </w:rPr>
              <w:t>5,621,419.27</w:t>
            </w:r>
          </w:p>
        </w:tc>
        <w:tc>
          <w:tcPr>
            <w:tcW w:w="1661" w:type="dxa"/>
            <w:vAlign w:val="center"/>
          </w:tcPr>
          <w:p w14:paraId="270C9D8A">
            <w:pPr>
              <w:jc w:val="right"/>
            </w:pPr>
            <w:r>
              <w:rPr>
                <w:rFonts w:hint="eastAsia"/>
              </w:rPr>
              <w:t>29,998,780.21</w:t>
            </w:r>
          </w:p>
        </w:tc>
      </w:tr>
      <w:tr w14:paraId="632A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635D7F">
            <w:r>
              <w:rPr>
                <w:rFonts w:hint="eastAsia"/>
              </w:rPr>
              <w:t>其中：1.基金申购款</w:t>
            </w:r>
          </w:p>
        </w:tc>
        <w:tc>
          <w:tcPr>
            <w:tcW w:w="1661" w:type="dxa"/>
            <w:vAlign w:val="center"/>
          </w:tcPr>
          <w:p w14:paraId="68CE9440">
            <w:pPr>
              <w:jc w:val="right"/>
            </w:pPr>
            <w:r>
              <w:rPr>
                <w:rFonts w:hint="eastAsia"/>
              </w:rPr>
              <w:t>24,377,539.41</w:t>
            </w:r>
          </w:p>
        </w:tc>
        <w:tc>
          <w:tcPr>
            <w:tcW w:w="1661" w:type="dxa"/>
            <w:vAlign w:val="center"/>
          </w:tcPr>
          <w:p w14:paraId="77EF6516">
            <w:pPr>
              <w:jc w:val="right"/>
            </w:pPr>
            <w:r>
              <w:rPr>
                <w:rFonts w:hint="eastAsia"/>
              </w:rPr>
              <w:t>-</w:t>
            </w:r>
          </w:p>
        </w:tc>
        <w:tc>
          <w:tcPr>
            <w:tcW w:w="1661" w:type="dxa"/>
            <w:vAlign w:val="center"/>
          </w:tcPr>
          <w:p w14:paraId="3A06118E">
            <w:pPr>
              <w:jc w:val="right"/>
            </w:pPr>
            <w:r>
              <w:rPr>
                <w:rFonts w:hint="eastAsia"/>
              </w:rPr>
              <w:t>5,621,460.59</w:t>
            </w:r>
          </w:p>
        </w:tc>
        <w:tc>
          <w:tcPr>
            <w:tcW w:w="1661" w:type="dxa"/>
            <w:vAlign w:val="center"/>
          </w:tcPr>
          <w:p w14:paraId="7A6F7C15">
            <w:pPr>
              <w:jc w:val="right"/>
            </w:pPr>
            <w:r>
              <w:rPr>
                <w:rFonts w:hint="eastAsia"/>
              </w:rPr>
              <w:t>29,999,000.00</w:t>
            </w:r>
          </w:p>
        </w:tc>
      </w:tr>
      <w:tr w14:paraId="3444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C30DAE">
            <w:r>
              <w:rPr>
                <w:rFonts w:hint="eastAsia"/>
              </w:rPr>
              <w:t xml:space="preserve">      2.基金赎回款</w:t>
            </w:r>
          </w:p>
        </w:tc>
        <w:tc>
          <w:tcPr>
            <w:tcW w:w="1661" w:type="dxa"/>
            <w:vAlign w:val="center"/>
          </w:tcPr>
          <w:p w14:paraId="55FBB230">
            <w:pPr>
              <w:jc w:val="right"/>
            </w:pPr>
            <w:r>
              <w:rPr>
                <w:rFonts w:hint="eastAsia"/>
              </w:rPr>
              <w:t>-178.47</w:t>
            </w:r>
          </w:p>
        </w:tc>
        <w:tc>
          <w:tcPr>
            <w:tcW w:w="1661" w:type="dxa"/>
            <w:vAlign w:val="center"/>
          </w:tcPr>
          <w:p w14:paraId="58E0E90F">
            <w:pPr>
              <w:jc w:val="right"/>
            </w:pPr>
            <w:r>
              <w:rPr>
                <w:rFonts w:hint="eastAsia"/>
              </w:rPr>
              <w:t>-</w:t>
            </w:r>
          </w:p>
        </w:tc>
        <w:tc>
          <w:tcPr>
            <w:tcW w:w="1661" w:type="dxa"/>
            <w:vAlign w:val="center"/>
          </w:tcPr>
          <w:p w14:paraId="2CC30715">
            <w:pPr>
              <w:jc w:val="right"/>
            </w:pPr>
            <w:r>
              <w:rPr>
                <w:rFonts w:hint="eastAsia"/>
              </w:rPr>
              <w:t>-41.32</w:t>
            </w:r>
          </w:p>
        </w:tc>
        <w:tc>
          <w:tcPr>
            <w:tcW w:w="1661" w:type="dxa"/>
            <w:vAlign w:val="center"/>
          </w:tcPr>
          <w:p w14:paraId="5E5175EC">
            <w:pPr>
              <w:jc w:val="right"/>
            </w:pPr>
            <w:r>
              <w:rPr>
                <w:rFonts w:hint="eastAsia"/>
              </w:rPr>
              <w:t>-219.79</w:t>
            </w:r>
          </w:p>
        </w:tc>
      </w:tr>
      <w:tr w14:paraId="0457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A46E20">
            <w:r>
              <w:rPr>
                <w:rFonts w:hint="eastAsia"/>
              </w:rPr>
              <w:t>（三）、本期向基金份额持有人分配利润产生的净资产变动（净资产减少以“-”号填列）</w:t>
            </w:r>
          </w:p>
        </w:tc>
        <w:tc>
          <w:tcPr>
            <w:tcW w:w="1661" w:type="dxa"/>
            <w:vAlign w:val="center"/>
          </w:tcPr>
          <w:p w14:paraId="083E62ED">
            <w:pPr>
              <w:jc w:val="right"/>
            </w:pPr>
            <w:r>
              <w:rPr>
                <w:rFonts w:hint="eastAsia"/>
              </w:rPr>
              <w:t>-</w:t>
            </w:r>
          </w:p>
        </w:tc>
        <w:tc>
          <w:tcPr>
            <w:tcW w:w="1661" w:type="dxa"/>
            <w:vAlign w:val="center"/>
          </w:tcPr>
          <w:p w14:paraId="7A1FC3DC">
            <w:pPr>
              <w:jc w:val="right"/>
            </w:pPr>
            <w:r>
              <w:rPr>
                <w:rFonts w:hint="eastAsia"/>
              </w:rPr>
              <w:t>-</w:t>
            </w:r>
          </w:p>
        </w:tc>
        <w:tc>
          <w:tcPr>
            <w:tcW w:w="1661" w:type="dxa"/>
            <w:vAlign w:val="center"/>
          </w:tcPr>
          <w:p w14:paraId="3776CE6E">
            <w:pPr>
              <w:jc w:val="right"/>
            </w:pPr>
            <w:r>
              <w:rPr>
                <w:rFonts w:hint="eastAsia"/>
              </w:rPr>
              <w:t>-</w:t>
            </w:r>
          </w:p>
        </w:tc>
        <w:tc>
          <w:tcPr>
            <w:tcW w:w="1661" w:type="dxa"/>
            <w:vAlign w:val="center"/>
          </w:tcPr>
          <w:p w14:paraId="699EC432">
            <w:pPr>
              <w:jc w:val="right"/>
            </w:pPr>
            <w:r>
              <w:rPr>
                <w:rFonts w:hint="eastAsia"/>
              </w:rPr>
              <w:t>-</w:t>
            </w:r>
          </w:p>
        </w:tc>
      </w:tr>
      <w:tr w14:paraId="7894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4E5215">
            <w:r>
              <w:rPr>
                <w:rFonts w:hint="eastAsia"/>
              </w:rPr>
              <w:t>（四）、其他综合收益结转留存收益</w:t>
            </w:r>
          </w:p>
        </w:tc>
        <w:tc>
          <w:tcPr>
            <w:tcW w:w="1661" w:type="dxa"/>
            <w:vAlign w:val="center"/>
          </w:tcPr>
          <w:p w14:paraId="21B70D42">
            <w:pPr>
              <w:jc w:val="right"/>
            </w:pPr>
            <w:r>
              <w:rPr>
                <w:rFonts w:hint="eastAsia"/>
              </w:rPr>
              <w:t>-</w:t>
            </w:r>
          </w:p>
        </w:tc>
        <w:tc>
          <w:tcPr>
            <w:tcW w:w="1661" w:type="dxa"/>
            <w:vAlign w:val="center"/>
          </w:tcPr>
          <w:p w14:paraId="361C1165">
            <w:pPr>
              <w:jc w:val="right"/>
            </w:pPr>
            <w:r>
              <w:rPr>
                <w:rFonts w:hint="eastAsia"/>
              </w:rPr>
              <w:t>-</w:t>
            </w:r>
          </w:p>
        </w:tc>
        <w:tc>
          <w:tcPr>
            <w:tcW w:w="1661" w:type="dxa"/>
            <w:vAlign w:val="center"/>
          </w:tcPr>
          <w:p w14:paraId="6AB45DDD">
            <w:pPr>
              <w:jc w:val="right"/>
            </w:pPr>
            <w:r>
              <w:rPr>
                <w:rFonts w:hint="eastAsia"/>
              </w:rPr>
              <w:t>-</w:t>
            </w:r>
          </w:p>
        </w:tc>
        <w:tc>
          <w:tcPr>
            <w:tcW w:w="1661" w:type="dxa"/>
            <w:vAlign w:val="center"/>
          </w:tcPr>
          <w:p w14:paraId="3DC180FD">
            <w:pPr>
              <w:jc w:val="right"/>
            </w:pPr>
            <w:r>
              <w:rPr>
                <w:rFonts w:hint="eastAsia"/>
              </w:rPr>
              <w:t>-</w:t>
            </w:r>
          </w:p>
        </w:tc>
      </w:tr>
      <w:tr w14:paraId="07B9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6630F8">
            <w:r>
              <w:rPr>
                <w:rFonts w:hint="eastAsia"/>
              </w:rPr>
              <w:t>四、本期期末净资产</w:t>
            </w:r>
          </w:p>
        </w:tc>
        <w:tc>
          <w:tcPr>
            <w:tcW w:w="1661" w:type="dxa"/>
            <w:vAlign w:val="center"/>
          </w:tcPr>
          <w:p w14:paraId="09D870B4">
            <w:pPr>
              <w:jc w:val="right"/>
            </w:pPr>
            <w:r>
              <w:rPr>
                <w:rFonts w:hint="eastAsia"/>
              </w:rPr>
              <w:t>2,590,534,731.15</w:t>
            </w:r>
          </w:p>
        </w:tc>
        <w:tc>
          <w:tcPr>
            <w:tcW w:w="1661" w:type="dxa"/>
            <w:vAlign w:val="center"/>
          </w:tcPr>
          <w:p w14:paraId="11117585">
            <w:pPr>
              <w:jc w:val="right"/>
            </w:pPr>
            <w:r>
              <w:rPr>
                <w:rFonts w:hint="eastAsia"/>
              </w:rPr>
              <w:t>-</w:t>
            </w:r>
          </w:p>
        </w:tc>
        <w:tc>
          <w:tcPr>
            <w:tcW w:w="1661" w:type="dxa"/>
            <w:vAlign w:val="center"/>
          </w:tcPr>
          <w:p w14:paraId="0EE0E587">
            <w:pPr>
              <w:jc w:val="right"/>
            </w:pPr>
            <w:r>
              <w:rPr>
                <w:rFonts w:hint="eastAsia"/>
              </w:rPr>
              <w:t>654,450,612.78</w:t>
            </w:r>
          </w:p>
        </w:tc>
        <w:tc>
          <w:tcPr>
            <w:tcW w:w="1661" w:type="dxa"/>
            <w:vAlign w:val="center"/>
          </w:tcPr>
          <w:p w14:paraId="1613082A">
            <w:pPr>
              <w:jc w:val="right"/>
            </w:pPr>
            <w:r>
              <w:rPr>
                <w:rFonts w:hint="eastAsia"/>
              </w:rPr>
              <w:t>3,244,985,343.93</w:t>
            </w:r>
          </w:p>
        </w:tc>
      </w:tr>
    </w:tbl>
    <w:p w14:paraId="1D1559B2">
      <w:pPr>
        <w:pStyle w:val="18"/>
        <w:rPr>
          <w:rFonts w:hint="eastAsia"/>
        </w:rPr>
      </w:pPr>
      <w:r>
        <w:rPr>
          <w:rFonts w:hint="eastAsia"/>
        </w:rPr>
        <w:t>报表附注为财务报表的组成部分。</w:t>
      </w:r>
    </w:p>
    <w:p w14:paraId="286CC3E2">
      <w:pPr>
        <w:pStyle w:val="18"/>
        <w:rPr>
          <w:rFonts w:hint="eastAsia"/>
        </w:rPr>
      </w:pPr>
      <w:r>
        <w:rPr>
          <w:rFonts w:hint="eastAsia"/>
        </w:rPr>
        <w:t>本报告 7.1 至 7.4 财务报表由下列负责人签署：</w:t>
      </w:r>
    </w:p>
    <w:p w14:paraId="761E2A3A">
      <w:pPr>
        <w:pStyle w:val="18"/>
        <w:rPr>
          <w:rFonts w:hint="eastAsia"/>
        </w:rPr>
      </w:pPr>
      <w:r>
        <w:rPr>
          <w:rFonts w:hint="eastAsia"/>
        </w:rPr>
        <w:t>____杨小松___           ____蔡忠评______          ____徐超____</w:t>
      </w:r>
    </w:p>
    <w:p w14:paraId="7C07BD1A">
      <w:pPr>
        <w:pStyle w:val="18"/>
        <w:rPr>
          <w:rFonts w:hint="eastAsia"/>
        </w:rPr>
      </w:pPr>
      <w:r>
        <w:rPr>
          <w:rFonts w:hint="eastAsia"/>
        </w:rPr>
        <w:t>基金管理人负责人     主管会计工作负责人         会计机构负责人</w:t>
      </w:r>
    </w:p>
    <w:p w14:paraId="5E65AAD9">
      <w:pPr>
        <w:pStyle w:val="23"/>
      </w:pPr>
      <w:bookmarkStart w:id="48" w:name="_Toc11485"/>
      <w:r>
        <w:t>报表附注</w:t>
      </w:r>
      <w:bookmarkEnd w:id="48"/>
      <w:r>
        <w:t xml:space="preserve"> </w:t>
      </w:r>
    </w:p>
    <w:p w14:paraId="0DA70EF7">
      <w:pPr>
        <w:pStyle w:val="28"/>
      </w:pPr>
      <w:bookmarkStart w:id="49" w:name="_Toc49"/>
      <w:r>
        <w:t>基金基本情况</w:t>
      </w:r>
      <w:bookmarkEnd w:id="49"/>
    </w:p>
    <w:p w14:paraId="441FE38C">
      <w:pPr>
        <w:pStyle w:val="18"/>
        <w:rPr>
          <w:rFonts w:hint="eastAsia"/>
        </w:rPr>
      </w:pPr>
      <w:r>
        <w:rPr>
          <w:rFonts w:hint="eastAsia"/>
        </w:rPr>
        <w:t>南方宏元定期开放债券型发起式证券投资基金(原南方宏元债券型发起式证券投资基金，以下简称“本基金”)经中国证券监督管理委员会(以下简称“中国证监会”)证监许可[2016]1518号《关于准予南方宏元债券型发起式证券投资基金注册的批复》注册，由南方基金管理股份有限公司(原南方基金管理有限公司，已于2018年1月4日办理完成工商变更登记)依照《中华人民共和国证券投资基金法》和《南方宏元债券型发起式证券投资基金基金合同》负责公开募集。本基金为契约型开放式，存续期限不定，首次设立募集不包括认购资金利息共募集人民币210,099,391.66元，业经普华永道中天会计师事务所(特殊普通合伙)普华永道中天验字(2017)第065号验资报告予以验证。经向中国证监会备案，《南方宏元债券型发起式证券投资基金基金合同》于2017年1月18日正式生效，基金合同生效日的基金份额总额为210,115,785.12份基金份额，其中认购资金利息折合16,393.46份基金份额。本基金的基金管理人为南方基金管理股份有限公司，基金托管人为中国邮政储蓄银行股份有限公司。</w:t>
      </w:r>
    </w:p>
    <w:p w14:paraId="3F3D3194">
      <w:pPr>
        <w:pStyle w:val="18"/>
        <w:rPr>
          <w:rFonts w:hint="eastAsia"/>
        </w:rPr>
      </w:pPr>
      <w:r>
        <w:rPr>
          <w:rFonts w:hint="eastAsia"/>
        </w:rPr>
        <w:t>根据本基金的基金管理人南方基金管理股份有限公司于2018年11月28日发布的《南方宏元债券型发起式证券投资基金基金份额持有人大会表决结果暨决议生效的公告》，本基金于2018年3月27日获得中国证监会证监许可[2018]541号《关于准予南方宏元债券型发起式证券投资基金变更注册的批复》，并于2018年10月26日起至2018年11月26日以通讯方式召开基金份额持有人大会，审议通过了《关于南方宏元债券型发起式证券投资基金转型有关事项的议案》。经与基金托管人协商一致，基金管理人已将《南方宏元债券型发起式证券投资基金基金合同》修订为《南方宏元定期开放债券型发起式证券投资基金基金合同》，《南方宏元定期开放债券型发起式证券投资基金基金合同》自2018年12月26日起生效，原《南方宏元债券型发起式证券投资基金基金合同》自同一日起失效。</w:t>
      </w:r>
    </w:p>
    <w:p w14:paraId="033D7872">
      <w:pPr>
        <w:pStyle w:val="18"/>
        <w:rPr>
          <w:rFonts w:hint="eastAsia"/>
        </w:rPr>
      </w:pPr>
      <w:r>
        <w:rPr>
          <w:rFonts w:hint="eastAsia"/>
        </w:rPr>
        <w:t>根据《南方宏元定期开放债券型发起式证券投资基金基金合同》和《南方宏元定期开放债券型发起式证券投资基金招募说明书》的有关规定，本基金自基金合同生效后，每三个月开放一次申购和赎回。本基金在封闭期内不办理申购与赎回业务，也不上市交易。</w:t>
      </w:r>
    </w:p>
    <w:p w14:paraId="3BC142CC">
      <w:pPr>
        <w:pStyle w:val="18"/>
        <w:rPr>
          <w:rFonts w:hint="eastAsia"/>
        </w:rPr>
      </w:pPr>
      <w:r>
        <w:rPr>
          <w:rFonts w:hint="eastAsia"/>
        </w:rPr>
        <w:t>本基金原根据认购/申购费用与销售服务费收取方式的不同，将基金份额分为不同的类别。在投资人认购/申购时收取前端认购/申购费用，且从本类别基金资产净值中不计提销售服务费的基金份额，称为A类基金份额；从本类别基金资产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根据本基金的基金管理人南方基金管理股份有限公司于2022年1月21日发布的《关于南方宏元定期开放债券型发起式证券投资基金减少C类基金份额并修改基金合同的公告》，自2022年1月26日起，本基金减少C类基金份额，原A类基金份额变更为南方宏元定开债券发起份额，其基金份额申购赎回业务规则以及费率结构均保持不变。</w:t>
      </w:r>
    </w:p>
    <w:p w14:paraId="73159725">
      <w:pPr>
        <w:pStyle w:val="18"/>
        <w:rPr>
          <w:rFonts w:hint="eastAsia"/>
        </w:rPr>
      </w:pPr>
      <w:r>
        <w:rPr>
          <w:rFonts w:hint="eastAsia"/>
        </w:rPr>
        <w:t>据《中华人民共和国证券投资基金法》和《南方宏元定期开放债券型发起式证券投资基金基金合同》的有关规定，本基金主要投资于国内依法发行上市交易的国债、央行票据、金融债券、企业债券、公司债券、中期票据、短期融资券、超短期融资券、次级债券、政府机构债券、地方政府债券、资产支持证券、中小企业私募债券、债券回购、银行存款(包括协议存款、定期存款及其他银行存款)、同业存单、货币市场工具以及经中国证监会允许基金投资的其他金融工具，但需符合中国证监会的相关规定。本基金不投资股票、权证及可转债。本基金的投资组合比例为：投资于债券资产比例不低于基金资产的80%，本基金开放期开始前10个工作日、开放期以及开放期结束后的10个工作日内，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信用债总指数收益率。</w:t>
      </w:r>
    </w:p>
    <w:p w14:paraId="40C6594B">
      <w:pPr>
        <w:pStyle w:val="18"/>
        <w:rPr>
          <w:rFonts w:hint="eastAsia"/>
        </w:rPr>
      </w:pPr>
      <w:r>
        <w:rPr>
          <w:rFonts w:hint="eastAsia"/>
        </w:rPr>
        <w:t>本财务报表由本基金的基金管理人南方基金管理股份有限公司于2026年3月27日批准报出。</w:t>
      </w:r>
    </w:p>
    <w:p w14:paraId="1A273A1D">
      <w:pPr>
        <w:pStyle w:val="28"/>
      </w:pPr>
      <w:bookmarkStart w:id="50" w:name="_Toc50"/>
      <w:r>
        <w:t xml:space="preserve"> 会计报表的编制基础 </w:t>
      </w:r>
      <w:bookmarkEnd w:id="50"/>
    </w:p>
    <w:p w14:paraId="54E23566">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454A9CD">
      <w:pPr>
        <w:pStyle w:val="18"/>
        <w:rPr>
          <w:rFonts w:hint="eastAsia"/>
        </w:rPr>
      </w:pPr>
      <w:r>
        <w:rPr>
          <w:rFonts w:hint="eastAsia"/>
        </w:rPr>
        <w:t>本财务报表以持续经营为基础编制。</w:t>
      </w:r>
    </w:p>
    <w:p w14:paraId="6C0F2FE4">
      <w:pPr>
        <w:pStyle w:val="28"/>
      </w:pPr>
      <w:bookmarkStart w:id="51" w:name="_Toc51"/>
      <w:r>
        <w:t xml:space="preserve"> 遵循企业会计准则及其他有关规定的声明</w:t>
      </w:r>
      <w:bookmarkEnd w:id="51"/>
    </w:p>
    <w:p w14:paraId="0A68ABF4">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97F2745">
      <w:pPr>
        <w:pStyle w:val="28"/>
      </w:pPr>
      <w:bookmarkStart w:id="52" w:name="_Toc52"/>
      <w:r>
        <w:t xml:space="preserve">重要会计政策和会计估计 </w:t>
      </w:r>
      <w:bookmarkEnd w:id="52"/>
    </w:p>
    <w:p w14:paraId="4F25CEC5">
      <w:pPr>
        <w:pStyle w:val="35"/>
      </w:pPr>
      <w:bookmarkStart w:id="53" w:name="_Toc53"/>
      <w:r>
        <w:t>会计年度</w:t>
      </w:r>
      <w:bookmarkEnd w:id="53"/>
    </w:p>
    <w:p w14:paraId="12E3124F">
      <w:pPr>
        <w:pStyle w:val="18"/>
        <w:rPr>
          <w:rFonts w:hint="eastAsia"/>
        </w:rPr>
      </w:pPr>
      <w:r>
        <w:rPr>
          <w:rFonts w:hint="eastAsia"/>
        </w:rPr>
        <w:t>本基金会计年度为公历1月1日起至12月31日止。</w:t>
      </w:r>
    </w:p>
    <w:p w14:paraId="6D8DEDFF">
      <w:pPr>
        <w:pStyle w:val="35"/>
      </w:pPr>
      <w:bookmarkStart w:id="54" w:name="_Toc54"/>
      <w:r>
        <w:t>记账本位币</w:t>
      </w:r>
      <w:bookmarkEnd w:id="54"/>
    </w:p>
    <w:p w14:paraId="6D31EEF3">
      <w:pPr>
        <w:pStyle w:val="18"/>
        <w:rPr>
          <w:rFonts w:hint="eastAsia"/>
        </w:rPr>
      </w:pPr>
      <w:r>
        <w:rPr>
          <w:rFonts w:hint="eastAsia"/>
        </w:rPr>
        <w:t>本基金的记账本位币为人民币。</w:t>
      </w:r>
    </w:p>
    <w:p w14:paraId="411FD0B4">
      <w:pPr>
        <w:pStyle w:val="35"/>
      </w:pPr>
      <w:bookmarkStart w:id="55" w:name="_Toc55"/>
      <w:r>
        <w:t>金融资产和金融负债的分类</w:t>
      </w:r>
      <w:bookmarkEnd w:id="55"/>
    </w:p>
    <w:p w14:paraId="66ACEBC4">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4F37AA8">
      <w:pPr>
        <w:pStyle w:val="18"/>
        <w:rPr>
          <w:rFonts w:hint="eastAsia"/>
        </w:rPr>
      </w:pPr>
      <w:r>
        <w:rPr>
          <w:rFonts w:hint="eastAsia"/>
        </w:rPr>
        <w:t>(1)金融资产</w:t>
      </w:r>
    </w:p>
    <w:p w14:paraId="7344A6EB">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445E738">
      <w:pPr>
        <w:pStyle w:val="18"/>
        <w:rPr>
          <w:rFonts w:hint="eastAsia"/>
        </w:rPr>
      </w:pPr>
      <w:r>
        <w:rPr>
          <w:rFonts w:hint="eastAsia"/>
        </w:rPr>
        <w:t>债务工具</w:t>
      </w:r>
    </w:p>
    <w:p w14:paraId="77C5C18A">
      <w:pPr>
        <w:pStyle w:val="18"/>
        <w:rPr>
          <w:rFonts w:hint="eastAsia"/>
        </w:rPr>
      </w:pPr>
      <w:r>
        <w:rPr>
          <w:rFonts w:hint="eastAsia"/>
        </w:rPr>
        <w:t>本基金持有的债务工具是指从发行方角度分析符合金融负债定义的工具，分别采用以下两种方式进行计量：</w:t>
      </w:r>
    </w:p>
    <w:p w14:paraId="3D312637">
      <w:pPr>
        <w:pStyle w:val="18"/>
        <w:rPr>
          <w:rFonts w:hint="eastAsia"/>
        </w:rPr>
      </w:pPr>
      <w:r>
        <w:rPr>
          <w:rFonts w:hint="eastAsia"/>
        </w:rPr>
        <w:t>以摊余成本计量：</w:t>
      </w:r>
    </w:p>
    <w:p w14:paraId="171A39BC">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60B8BFD">
      <w:pPr>
        <w:pStyle w:val="18"/>
        <w:rPr>
          <w:rFonts w:hint="eastAsia"/>
        </w:rPr>
      </w:pPr>
      <w:r>
        <w:rPr>
          <w:rFonts w:hint="eastAsia"/>
        </w:rPr>
        <w:t>以公允价值计量且其变动计入当期损益：</w:t>
      </w:r>
    </w:p>
    <w:p w14:paraId="7336BEA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E0AD1DB">
      <w:pPr>
        <w:pStyle w:val="18"/>
        <w:rPr>
          <w:rFonts w:hint="eastAsia"/>
        </w:rPr>
      </w:pPr>
      <w:r>
        <w:rPr>
          <w:rFonts w:hint="eastAsia"/>
        </w:rPr>
        <w:t>(2)金融负债</w:t>
      </w:r>
    </w:p>
    <w:p w14:paraId="0520AAA0">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2478022">
      <w:pPr>
        <w:pStyle w:val="35"/>
      </w:pPr>
      <w:bookmarkStart w:id="56" w:name="_Toc56"/>
      <w:r>
        <w:t xml:space="preserve">金融资产和金融负债的初始确认、后续计量和终止确认 </w:t>
      </w:r>
      <w:bookmarkEnd w:id="56"/>
    </w:p>
    <w:p w14:paraId="4188B29C">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DD96917">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3A9B695D">
      <w:pPr>
        <w:pStyle w:val="18"/>
        <w:rPr>
          <w:rFonts w:hint="eastAsia"/>
        </w:rPr>
      </w:pPr>
      <w:r>
        <w:rPr>
          <w:rFonts w:hint="eastAsia"/>
        </w:rPr>
        <w:t>本基金对于以摊余成本计量的金融资产，以预期信用损失为基础确认损失准备。</w:t>
      </w:r>
    </w:p>
    <w:p w14:paraId="7DFF9309">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AE6A2D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B804917">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CE169F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8965A43">
      <w:pPr>
        <w:pStyle w:val="18"/>
        <w:rPr>
          <w:rFonts w:hint="eastAsia"/>
        </w:rPr>
      </w:pPr>
      <w:r>
        <w:rPr>
          <w:rFonts w:hint="eastAsia"/>
        </w:rPr>
        <w:t>本基金将计提或转回的损失准备计入当期损益。</w:t>
      </w:r>
    </w:p>
    <w:p w14:paraId="109A05E3">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8525F7C">
      <w:pPr>
        <w:pStyle w:val="18"/>
        <w:rPr>
          <w:rFonts w:hint="eastAsia"/>
        </w:rPr>
      </w:pPr>
      <w:r>
        <w:rPr>
          <w:rFonts w:hint="eastAsia"/>
        </w:rPr>
        <w:t>金融资产终止确认时，其账面价值与收到的对价的差额，计入当期损益。</w:t>
      </w:r>
    </w:p>
    <w:p w14:paraId="004E1443">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2B5C54F">
      <w:pPr>
        <w:pStyle w:val="35"/>
      </w:pPr>
      <w:bookmarkStart w:id="57" w:name="_Toc57"/>
      <w:r>
        <w:t>金融资产和金融负债的估值原则</w:t>
      </w:r>
      <w:bookmarkEnd w:id="57"/>
    </w:p>
    <w:p w14:paraId="4AF34694">
      <w:pPr>
        <w:pStyle w:val="18"/>
        <w:rPr>
          <w:rFonts w:hint="eastAsia"/>
        </w:rPr>
      </w:pPr>
      <w:r>
        <w:rPr>
          <w:rFonts w:hint="eastAsia"/>
        </w:rPr>
        <w:t>本基金持有的以公允价值计量且其变动计入当期损益的金融资产按如下原则确定公允价值并进行估值：</w:t>
      </w:r>
    </w:p>
    <w:p w14:paraId="0876F995">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0FFF1C4">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F714A0E">
      <w:pPr>
        <w:pStyle w:val="18"/>
        <w:rPr>
          <w:rFonts w:hint="eastAsia"/>
        </w:rPr>
      </w:pPr>
      <w:r>
        <w:rPr>
          <w:rFonts w:hint="eastAsia"/>
        </w:rPr>
        <w:t>(3)如经济环境发生重大变化或证券发行人发生影响金融工具价格的重大事件，应对估值进行调整并确定公允价值。</w:t>
      </w:r>
    </w:p>
    <w:p w14:paraId="0D919CD0">
      <w:pPr>
        <w:pStyle w:val="35"/>
      </w:pPr>
      <w:bookmarkStart w:id="58" w:name="_Toc58"/>
      <w:r>
        <w:t>金融资产和金融负债的抵销</w:t>
      </w:r>
      <w:bookmarkEnd w:id="58"/>
    </w:p>
    <w:p w14:paraId="4A1C67F3">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D6AFF5D">
      <w:pPr>
        <w:pStyle w:val="35"/>
      </w:pPr>
      <w:bookmarkStart w:id="59" w:name="_Toc59"/>
      <w:r>
        <w:t>实收基金</w:t>
      </w:r>
      <w:bookmarkEnd w:id="59"/>
    </w:p>
    <w:p w14:paraId="083EBD47">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0D6F84E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4089159">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F766C5F">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8C38425">
      <w:pPr>
        <w:pStyle w:val="18"/>
        <w:rPr>
          <w:rFonts w:hint="eastAsia"/>
        </w:rPr>
      </w:pPr>
      <w:r>
        <w:rPr>
          <w:rFonts w:hint="eastAsia"/>
        </w:rPr>
        <w:t>本基金将实收基金分类为权益工具，列报于净资产。</w:t>
      </w:r>
    </w:p>
    <w:p w14:paraId="28EA0D26">
      <w:pPr>
        <w:pStyle w:val="35"/>
      </w:pPr>
      <w:bookmarkStart w:id="60" w:name="_Toc60"/>
      <w:r>
        <w:t>损益平准金</w:t>
      </w:r>
      <w:bookmarkEnd w:id="60"/>
    </w:p>
    <w:p w14:paraId="1BF13C82">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2DF42D17">
      <w:pPr>
        <w:pStyle w:val="35"/>
      </w:pPr>
      <w:bookmarkStart w:id="61" w:name="_Toc61"/>
      <w:r>
        <w:t>收入/（损失）的确认和计量</w:t>
      </w:r>
      <w:bookmarkEnd w:id="61"/>
    </w:p>
    <w:p w14:paraId="09DA1061">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2371123F">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CDEF580">
      <w:pPr>
        <w:pStyle w:val="18"/>
        <w:rPr>
          <w:rFonts w:hint="eastAsia"/>
        </w:rPr>
      </w:pPr>
      <w:r>
        <w:rPr>
          <w:rFonts w:hint="eastAsia"/>
        </w:rPr>
        <w:t>应收款项在持有期间确认的利息收入按实际利率法计算，实际利率法与直线法差异较小的则按直线法计算。</w:t>
      </w:r>
    </w:p>
    <w:p w14:paraId="570EA521">
      <w:pPr>
        <w:pStyle w:val="35"/>
      </w:pPr>
      <w:bookmarkStart w:id="62" w:name="_Toc62"/>
      <w:r>
        <w:t>费用的确认和计量</w:t>
      </w:r>
      <w:bookmarkEnd w:id="62"/>
    </w:p>
    <w:p w14:paraId="5A052063">
      <w:pPr>
        <w:pStyle w:val="18"/>
        <w:rPr>
          <w:rFonts w:hint="eastAsia"/>
        </w:rPr>
      </w:pPr>
      <w:r>
        <w:rPr>
          <w:rFonts w:hint="eastAsia"/>
        </w:rPr>
        <w:t>本基金的管理人报酬和托管费在费用涵盖期间按基金合同约定的费率和计算方法逐日确认。</w:t>
      </w:r>
    </w:p>
    <w:p w14:paraId="58F2121A">
      <w:pPr>
        <w:pStyle w:val="18"/>
        <w:rPr>
          <w:rFonts w:hint="eastAsia"/>
        </w:rPr>
      </w:pPr>
      <w:r>
        <w:rPr>
          <w:rFonts w:hint="eastAsia"/>
        </w:rPr>
        <w:t>以摊余成本计量的金融负债在持有期间确认的利息支出按实际利率法计算，实际利率法与直线法差异较小的则按直线法计算。</w:t>
      </w:r>
    </w:p>
    <w:p w14:paraId="52967060">
      <w:pPr>
        <w:pStyle w:val="35"/>
      </w:pPr>
      <w:bookmarkStart w:id="63" w:name="_Toc63"/>
      <w:r>
        <w:t>基金的收益分配政策</w:t>
      </w:r>
      <w:bookmarkEnd w:id="63"/>
    </w:p>
    <w:p w14:paraId="516CF76D">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FBF9144">
      <w:pPr>
        <w:pStyle w:val="18"/>
        <w:rPr>
          <w:rFonts w:hint="eastAsia"/>
        </w:rPr>
      </w:pPr>
      <w:r>
        <w:rPr>
          <w:rFonts w:hint="eastAsia"/>
        </w:rPr>
        <w:t>经宣告的拟分配基金收益于分红除权日从净资产转出。</w:t>
      </w:r>
    </w:p>
    <w:p w14:paraId="50767AB9">
      <w:pPr>
        <w:pStyle w:val="35"/>
      </w:pPr>
      <w:bookmarkStart w:id="64" w:name="_Toc64"/>
      <w:r>
        <w:t xml:space="preserve"> 分部报告</w:t>
      </w:r>
      <w:bookmarkEnd w:id="64"/>
    </w:p>
    <w:p w14:paraId="791A3D63">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CE2AA45">
      <w:pPr>
        <w:pStyle w:val="18"/>
        <w:rPr>
          <w:rFonts w:hint="eastAsia"/>
        </w:rPr>
      </w:pPr>
      <w:r>
        <w:rPr>
          <w:rFonts w:hint="eastAsia"/>
        </w:rPr>
        <w:t>本基金目前以一个单一的经营分部运作，不需要披露分部信息。</w:t>
      </w:r>
    </w:p>
    <w:p w14:paraId="470F265F">
      <w:pPr>
        <w:pStyle w:val="35"/>
      </w:pPr>
      <w:bookmarkStart w:id="65" w:name="_Toc65"/>
      <w:r>
        <w:t>其他重要的会计政策和会计估计</w:t>
      </w:r>
      <w:bookmarkEnd w:id="65"/>
    </w:p>
    <w:p w14:paraId="6589B97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F9DCDED">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8391FC8">
      <w:pPr>
        <w:pStyle w:val="28"/>
      </w:pPr>
      <w:bookmarkStart w:id="66" w:name="_Toc66"/>
      <w:r>
        <w:t xml:space="preserve">会计政策和会计估计变更以及差错更正的说明 </w:t>
      </w:r>
      <w:bookmarkEnd w:id="66"/>
    </w:p>
    <w:p w14:paraId="75276EFC">
      <w:pPr>
        <w:pStyle w:val="35"/>
      </w:pPr>
      <w:bookmarkStart w:id="67" w:name="_Toc67"/>
      <w:r>
        <w:t xml:space="preserve">会计政策变更的说明 </w:t>
      </w:r>
      <w:bookmarkEnd w:id="67"/>
    </w:p>
    <w:p w14:paraId="75437798">
      <w:pPr>
        <w:pStyle w:val="18"/>
        <w:rPr>
          <w:rFonts w:hint="eastAsia"/>
        </w:rPr>
      </w:pPr>
      <w:r>
        <w:rPr>
          <w:rFonts w:hint="eastAsia"/>
        </w:rPr>
        <w:t>本基金本报告期未发生会计政策变更。</w:t>
      </w:r>
    </w:p>
    <w:p w14:paraId="025DB2DC">
      <w:pPr>
        <w:pStyle w:val="35"/>
      </w:pPr>
      <w:bookmarkStart w:id="68" w:name="_Toc68"/>
      <w:r>
        <w:t>会计估计变更的说明</w:t>
      </w:r>
      <w:bookmarkEnd w:id="68"/>
    </w:p>
    <w:p w14:paraId="321E3529">
      <w:pPr>
        <w:pStyle w:val="18"/>
        <w:rPr>
          <w:rFonts w:hint="eastAsia"/>
        </w:rPr>
      </w:pPr>
      <w:r>
        <w:rPr>
          <w:rFonts w:hint="eastAsia"/>
        </w:rPr>
        <w:t>本基金本报告期未发生会计估计变更。</w:t>
      </w:r>
    </w:p>
    <w:p w14:paraId="69412B55">
      <w:pPr>
        <w:pStyle w:val="35"/>
      </w:pPr>
      <w:bookmarkStart w:id="69" w:name="_Toc69"/>
      <w:r>
        <w:t>差错更正的说明</w:t>
      </w:r>
      <w:bookmarkEnd w:id="69"/>
    </w:p>
    <w:p w14:paraId="3A4BE17D">
      <w:pPr>
        <w:pStyle w:val="18"/>
        <w:rPr>
          <w:rFonts w:hint="eastAsia"/>
        </w:rPr>
      </w:pPr>
      <w:r>
        <w:rPr>
          <w:rFonts w:hint="eastAsia"/>
        </w:rPr>
        <w:t>本基金在本报告期间无须说明的会计差错更正。</w:t>
      </w:r>
    </w:p>
    <w:p w14:paraId="498F0A0B">
      <w:pPr>
        <w:pStyle w:val="28"/>
      </w:pPr>
      <w:bookmarkStart w:id="70" w:name="_Toc70"/>
      <w:r>
        <w:t>税项</w:t>
      </w:r>
      <w:bookmarkEnd w:id="70"/>
    </w:p>
    <w:p w14:paraId="0FFAB219">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DE2659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2F0BDE9">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2437F25C">
      <w:pPr>
        <w:pStyle w:val="18"/>
        <w:rPr>
          <w:rFonts w:hint="eastAsia"/>
        </w:rPr>
      </w:pPr>
      <w:r>
        <w:rPr>
          <w:rFonts w:hint="eastAsia"/>
        </w:rPr>
        <w:t>(2)对基金从证券市场中取得的收入，包括买卖债券的差价收入，债券的利息收入及其他收入，暂不征收企业所得税。</w:t>
      </w:r>
    </w:p>
    <w:p w14:paraId="567D2273">
      <w:pPr>
        <w:pStyle w:val="18"/>
        <w:rPr>
          <w:rFonts w:hint="eastAsia"/>
        </w:rPr>
      </w:pPr>
      <w:r>
        <w:rPr>
          <w:rFonts w:hint="eastAsia"/>
        </w:rPr>
        <w:t>(3)对基金取得的企业债券利息收入，应由发行债券的企业在向基金支付利息时代扣代缴20%的个人所得税。</w:t>
      </w:r>
    </w:p>
    <w:p w14:paraId="10EA8408">
      <w:pPr>
        <w:pStyle w:val="18"/>
        <w:rPr>
          <w:rFonts w:hint="eastAsia"/>
        </w:rPr>
      </w:pPr>
      <w:r>
        <w:rPr>
          <w:rFonts w:hint="eastAsia"/>
        </w:rPr>
        <w:t>(4)本基金的城市维护建设税、教育费附加和地方教育附加等税费按照实际缴纳增值税额的适用比例计算缴纳。</w:t>
      </w:r>
    </w:p>
    <w:p w14:paraId="2035CADE">
      <w:pPr>
        <w:pStyle w:val="28"/>
      </w:pPr>
      <w:bookmarkStart w:id="71" w:name="_Toc71"/>
      <w:r>
        <w:t xml:space="preserve">重要财务报表项目的说明 </w:t>
      </w:r>
      <w:bookmarkEnd w:id="71"/>
    </w:p>
    <w:p w14:paraId="0EFA3ED4">
      <w:pPr>
        <w:pStyle w:val="35"/>
      </w:pPr>
      <w:bookmarkStart w:id="72" w:name="_Toc72"/>
      <w:r>
        <w:t>货币资金</w:t>
      </w:r>
      <w:bookmarkEnd w:id="72"/>
    </w:p>
    <w:p w14:paraId="0537BC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E6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1AF792B6">
            <w:pPr>
              <w:jc w:val="center"/>
            </w:pPr>
            <w:r>
              <w:rPr>
                <w:rFonts w:hint="eastAsia"/>
                <w:b/>
              </w:rPr>
              <w:t>项目</w:t>
            </w:r>
          </w:p>
        </w:tc>
        <w:tc>
          <w:tcPr>
            <w:tcW w:w="2768" w:type="dxa"/>
            <w:shd w:val="clear" w:color="auto" w:fill="BFBFBF"/>
            <w:vAlign w:val="center"/>
          </w:tcPr>
          <w:p w14:paraId="5B0BCE69">
            <w:pPr>
              <w:jc w:val="center"/>
            </w:pPr>
            <w:r>
              <w:rPr>
                <w:rFonts w:hint="eastAsia"/>
                <w:b/>
              </w:rPr>
              <w:t>本期末2025年12月31日</w:t>
            </w:r>
          </w:p>
        </w:tc>
        <w:tc>
          <w:tcPr>
            <w:tcW w:w="2768" w:type="dxa"/>
            <w:shd w:val="clear" w:color="auto" w:fill="BFBFBF"/>
            <w:vAlign w:val="center"/>
          </w:tcPr>
          <w:p w14:paraId="5B47FFFA">
            <w:pPr>
              <w:jc w:val="center"/>
            </w:pPr>
            <w:r>
              <w:rPr>
                <w:rFonts w:hint="eastAsia"/>
                <w:b/>
              </w:rPr>
              <w:t>上年度末2024年12月31日</w:t>
            </w:r>
          </w:p>
        </w:tc>
      </w:tr>
      <w:tr w14:paraId="5F12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D4ADB">
            <w:r>
              <w:rPr>
                <w:rFonts w:hint="eastAsia"/>
              </w:rPr>
              <w:t>活期存款</w:t>
            </w:r>
          </w:p>
        </w:tc>
        <w:tc>
          <w:tcPr>
            <w:tcW w:w="2768" w:type="dxa"/>
            <w:vAlign w:val="center"/>
          </w:tcPr>
          <w:p w14:paraId="74FBA21E">
            <w:pPr>
              <w:jc w:val="right"/>
            </w:pPr>
            <w:r>
              <w:rPr>
                <w:rFonts w:hint="eastAsia"/>
              </w:rPr>
              <w:t>209,206.49</w:t>
            </w:r>
          </w:p>
        </w:tc>
        <w:tc>
          <w:tcPr>
            <w:tcW w:w="2768" w:type="dxa"/>
            <w:vAlign w:val="center"/>
          </w:tcPr>
          <w:p w14:paraId="2FD9FCAD">
            <w:pPr>
              <w:jc w:val="right"/>
            </w:pPr>
            <w:r>
              <w:rPr>
                <w:rFonts w:hint="eastAsia"/>
              </w:rPr>
              <w:t>587,456.22</w:t>
            </w:r>
          </w:p>
        </w:tc>
      </w:tr>
      <w:tr w14:paraId="31D4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47788">
            <w:r>
              <w:rPr>
                <w:rFonts w:hint="eastAsia"/>
              </w:rPr>
              <w:t>等于：本金</w:t>
            </w:r>
          </w:p>
        </w:tc>
        <w:tc>
          <w:tcPr>
            <w:tcW w:w="2768" w:type="dxa"/>
            <w:vAlign w:val="center"/>
          </w:tcPr>
          <w:p w14:paraId="5896F726">
            <w:pPr>
              <w:jc w:val="right"/>
            </w:pPr>
            <w:r>
              <w:rPr>
                <w:rFonts w:hint="eastAsia"/>
              </w:rPr>
              <w:t>208,510.30</w:t>
            </w:r>
          </w:p>
        </w:tc>
        <w:tc>
          <w:tcPr>
            <w:tcW w:w="2768" w:type="dxa"/>
            <w:vAlign w:val="center"/>
          </w:tcPr>
          <w:p w14:paraId="2C965D11">
            <w:pPr>
              <w:jc w:val="right"/>
            </w:pPr>
            <w:r>
              <w:rPr>
                <w:rFonts w:hint="eastAsia"/>
              </w:rPr>
              <w:t>587,312.35</w:t>
            </w:r>
          </w:p>
        </w:tc>
      </w:tr>
      <w:tr w14:paraId="1E06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61CA4">
            <w:r>
              <w:rPr>
                <w:rFonts w:hint="eastAsia"/>
              </w:rPr>
              <w:t xml:space="preserve">      加：应计利息</w:t>
            </w:r>
          </w:p>
        </w:tc>
        <w:tc>
          <w:tcPr>
            <w:tcW w:w="2768" w:type="dxa"/>
            <w:vAlign w:val="center"/>
          </w:tcPr>
          <w:p w14:paraId="7A6983D5">
            <w:pPr>
              <w:jc w:val="right"/>
            </w:pPr>
            <w:r>
              <w:rPr>
                <w:rFonts w:hint="eastAsia"/>
              </w:rPr>
              <w:t>696.19</w:t>
            </w:r>
          </w:p>
        </w:tc>
        <w:tc>
          <w:tcPr>
            <w:tcW w:w="2768" w:type="dxa"/>
            <w:vAlign w:val="center"/>
          </w:tcPr>
          <w:p w14:paraId="7638D1A2">
            <w:pPr>
              <w:jc w:val="right"/>
            </w:pPr>
            <w:r>
              <w:rPr>
                <w:rFonts w:hint="eastAsia"/>
              </w:rPr>
              <w:t>143.87</w:t>
            </w:r>
          </w:p>
        </w:tc>
      </w:tr>
      <w:tr w14:paraId="7AC1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48A27">
            <w:r>
              <w:rPr>
                <w:rFonts w:hint="eastAsia"/>
              </w:rPr>
              <w:t xml:space="preserve">      减：坏账准备</w:t>
            </w:r>
          </w:p>
        </w:tc>
        <w:tc>
          <w:tcPr>
            <w:tcW w:w="2768" w:type="dxa"/>
            <w:vAlign w:val="center"/>
          </w:tcPr>
          <w:p w14:paraId="35F118D0">
            <w:pPr>
              <w:jc w:val="right"/>
            </w:pPr>
            <w:r>
              <w:rPr>
                <w:rFonts w:hint="eastAsia"/>
              </w:rPr>
              <w:t>-</w:t>
            </w:r>
          </w:p>
        </w:tc>
        <w:tc>
          <w:tcPr>
            <w:tcW w:w="2768" w:type="dxa"/>
            <w:vAlign w:val="center"/>
          </w:tcPr>
          <w:p w14:paraId="178AF4C9">
            <w:pPr>
              <w:jc w:val="right"/>
            </w:pPr>
            <w:r>
              <w:rPr>
                <w:rFonts w:hint="eastAsia"/>
              </w:rPr>
              <w:t>-</w:t>
            </w:r>
          </w:p>
        </w:tc>
      </w:tr>
      <w:tr w14:paraId="163E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38837">
            <w:r>
              <w:rPr>
                <w:rFonts w:hint="eastAsia"/>
              </w:rPr>
              <w:t>定期存款</w:t>
            </w:r>
          </w:p>
        </w:tc>
        <w:tc>
          <w:tcPr>
            <w:tcW w:w="2768" w:type="dxa"/>
            <w:vAlign w:val="center"/>
          </w:tcPr>
          <w:p w14:paraId="0421C751">
            <w:pPr>
              <w:jc w:val="right"/>
            </w:pPr>
            <w:r>
              <w:rPr>
                <w:rFonts w:hint="eastAsia"/>
              </w:rPr>
              <w:t>-</w:t>
            </w:r>
          </w:p>
        </w:tc>
        <w:tc>
          <w:tcPr>
            <w:tcW w:w="2768" w:type="dxa"/>
            <w:vAlign w:val="center"/>
          </w:tcPr>
          <w:p w14:paraId="5CABA59D">
            <w:pPr>
              <w:jc w:val="right"/>
            </w:pPr>
            <w:r>
              <w:rPr>
                <w:rFonts w:hint="eastAsia"/>
              </w:rPr>
              <w:t>-</w:t>
            </w:r>
          </w:p>
        </w:tc>
      </w:tr>
      <w:tr w14:paraId="16BC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79739">
            <w:r>
              <w:rPr>
                <w:rFonts w:hint="eastAsia"/>
              </w:rPr>
              <w:t>等于：本金</w:t>
            </w:r>
          </w:p>
        </w:tc>
        <w:tc>
          <w:tcPr>
            <w:tcW w:w="2768" w:type="dxa"/>
            <w:vAlign w:val="center"/>
          </w:tcPr>
          <w:p w14:paraId="03B5F7D2">
            <w:pPr>
              <w:jc w:val="right"/>
            </w:pPr>
            <w:r>
              <w:rPr>
                <w:rFonts w:hint="eastAsia"/>
              </w:rPr>
              <w:t>-</w:t>
            </w:r>
          </w:p>
        </w:tc>
        <w:tc>
          <w:tcPr>
            <w:tcW w:w="2768" w:type="dxa"/>
            <w:vAlign w:val="center"/>
          </w:tcPr>
          <w:p w14:paraId="7C7F335A">
            <w:pPr>
              <w:jc w:val="right"/>
            </w:pPr>
            <w:r>
              <w:rPr>
                <w:rFonts w:hint="eastAsia"/>
              </w:rPr>
              <w:t>-</w:t>
            </w:r>
          </w:p>
        </w:tc>
      </w:tr>
      <w:tr w14:paraId="5D42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E9FE8">
            <w:r>
              <w:rPr>
                <w:rFonts w:hint="eastAsia"/>
              </w:rPr>
              <w:t xml:space="preserve">      加：应计利息</w:t>
            </w:r>
          </w:p>
        </w:tc>
        <w:tc>
          <w:tcPr>
            <w:tcW w:w="2768" w:type="dxa"/>
            <w:vAlign w:val="center"/>
          </w:tcPr>
          <w:p w14:paraId="63738D38">
            <w:pPr>
              <w:jc w:val="right"/>
            </w:pPr>
            <w:r>
              <w:rPr>
                <w:rFonts w:hint="eastAsia"/>
              </w:rPr>
              <w:t>-</w:t>
            </w:r>
          </w:p>
        </w:tc>
        <w:tc>
          <w:tcPr>
            <w:tcW w:w="2768" w:type="dxa"/>
            <w:vAlign w:val="center"/>
          </w:tcPr>
          <w:p w14:paraId="0B9C0F47">
            <w:pPr>
              <w:jc w:val="right"/>
            </w:pPr>
            <w:r>
              <w:rPr>
                <w:rFonts w:hint="eastAsia"/>
              </w:rPr>
              <w:t>-</w:t>
            </w:r>
          </w:p>
        </w:tc>
      </w:tr>
      <w:tr w14:paraId="6614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295E3">
            <w:r>
              <w:rPr>
                <w:rFonts w:hint="eastAsia"/>
              </w:rPr>
              <w:t xml:space="preserve">      减：坏账准备</w:t>
            </w:r>
          </w:p>
        </w:tc>
        <w:tc>
          <w:tcPr>
            <w:tcW w:w="2768" w:type="dxa"/>
            <w:vAlign w:val="center"/>
          </w:tcPr>
          <w:p w14:paraId="7BF9A7E2">
            <w:pPr>
              <w:jc w:val="right"/>
            </w:pPr>
            <w:r>
              <w:rPr>
                <w:rFonts w:hint="eastAsia"/>
              </w:rPr>
              <w:t>-</w:t>
            </w:r>
          </w:p>
        </w:tc>
        <w:tc>
          <w:tcPr>
            <w:tcW w:w="2768" w:type="dxa"/>
            <w:vAlign w:val="center"/>
          </w:tcPr>
          <w:p w14:paraId="15F34E47">
            <w:pPr>
              <w:jc w:val="right"/>
            </w:pPr>
            <w:r>
              <w:rPr>
                <w:rFonts w:hint="eastAsia"/>
              </w:rPr>
              <w:t>-</w:t>
            </w:r>
          </w:p>
        </w:tc>
      </w:tr>
      <w:tr w14:paraId="5FDA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1AE24D">
            <w:r>
              <w:rPr>
                <w:rFonts w:hint="eastAsia"/>
              </w:rPr>
              <w:t>其中：存款期限1个月以内</w:t>
            </w:r>
          </w:p>
        </w:tc>
        <w:tc>
          <w:tcPr>
            <w:tcW w:w="2768" w:type="dxa"/>
            <w:vAlign w:val="center"/>
          </w:tcPr>
          <w:p w14:paraId="3E6CBA68">
            <w:pPr>
              <w:jc w:val="right"/>
            </w:pPr>
            <w:r>
              <w:rPr>
                <w:rFonts w:hint="eastAsia"/>
              </w:rPr>
              <w:t>-</w:t>
            </w:r>
          </w:p>
        </w:tc>
        <w:tc>
          <w:tcPr>
            <w:tcW w:w="2768" w:type="dxa"/>
            <w:vAlign w:val="center"/>
          </w:tcPr>
          <w:p w14:paraId="73D5FDE9">
            <w:pPr>
              <w:jc w:val="right"/>
            </w:pPr>
            <w:r>
              <w:rPr>
                <w:rFonts w:hint="eastAsia"/>
              </w:rPr>
              <w:t>-</w:t>
            </w:r>
          </w:p>
        </w:tc>
      </w:tr>
      <w:tr w14:paraId="2C0D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82C8E3">
            <w:r>
              <w:rPr>
                <w:rFonts w:hint="eastAsia"/>
              </w:rPr>
              <w:t xml:space="preserve">      存款期限1-3个月</w:t>
            </w:r>
          </w:p>
        </w:tc>
        <w:tc>
          <w:tcPr>
            <w:tcW w:w="2768" w:type="dxa"/>
            <w:vAlign w:val="center"/>
          </w:tcPr>
          <w:p w14:paraId="00DF335D">
            <w:pPr>
              <w:jc w:val="right"/>
            </w:pPr>
            <w:r>
              <w:rPr>
                <w:rFonts w:hint="eastAsia"/>
              </w:rPr>
              <w:t>-</w:t>
            </w:r>
          </w:p>
        </w:tc>
        <w:tc>
          <w:tcPr>
            <w:tcW w:w="2768" w:type="dxa"/>
            <w:vAlign w:val="center"/>
          </w:tcPr>
          <w:p w14:paraId="12A5E147">
            <w:pPr>
              <w:jc w:val="right"/>
            </w:pPr>
            <w:r>
              <w:rPr>
                <w:rFonts w:hint="eastAsia"/>
              </w:rPr>
              <w:t>-</w:t>
            </w:r>
          </w:p>
        </w:tc>
      </w:tr>
      <w:tr w14:paraId="55ED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472E4">
            <w:r>
              <w:rPr>
                <w:rFonts w:hint="eastAsia"/>
              </w:rPr>
              <w:t xml:space="preserve">      存款期限3个月以上</w:t>
            </w:r>
          </w:p>
        </w:tc>
        <w:tc>
          <w:tcPr>
            <w:tcW w:w="2768" w:type="dxa"/>
            <w:vAlign w:val="center"/>
          </w:tcPr>
          <w:p w14:paraId="3903C17F">
            <w:pPr>
              <w:jc w:val="right"/>
            </w:pPr>
            <w:r>
              <w:rPr>
                <w:rFonts w:hint="eastAsia"/>
              </w:rPr>
              <w:t>-</w:t>
            </w:r>
          </w:p>
        </w:tc>
        <w:tc>
          <w:tcPr>
            <w:tcW w:w="2768" w:type="dxa"/>
            <w:vAlign w:val="center"/>
          </w:tcPr>
          <w:p w14:paraId="7D6DDDC1">
            <w:pPr>
              <w:jc w:val="right"/>
            </w:pPr>
            <w:r>
              <w:rPr>
                <w:rFonts w:hint="eastAsia"/>
              </w:rPr>
              <w:t>-</w:t>
            </w:r>
          </w:p>
        </w:tc>
      </w:tr>
      <w:tr w14:paraId="1C5E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C51F0">
            <w:r>
              <w:rPr>
                <w:rFonts w:hint="eastAsia"/>
              </w:rPr>
              <w:t>其他存款</w:t>
            </w:r>
          </w:p>
        </w:tc>
        <w:tc>
          <w:tcPr>
            <w:tcW w:w="2768" w:type="dxa"/>
            <w:vAlign w:val="center"/>
          </w:tcPr>
          <w:p w14:paraId="7D40471C">
            <w:pPr>
              <w:jc w:val="right"/>
            </w:pPr>
            <w:r>
              <w:rPr>
                <w:rFonts w:hint="eastAsia"/>
              </w:rPr>
              <w:t>-</w:t>
            </w:r>
          </w:p>
        </w:tc>
        <w:tc>
          <w:tcPr>
            <w:tcW w:w="2768" w:type="dxa"/>
            <w:vAlign w:val="center"/>
          </w:tcPr>
          <w:p w14:paraId="4FBFDA8D">
            <w:pPr>
              <w:jc w:val="right"/>
            </w:pPr>
            <w:r>
              <w:rPr>
                <w:rFonts w:hint="eastAsia"/>
              </w:rPr>
              <w:t>-</w:t>
            </w:r>
          </w:p>
        </w:tc>
      </w:tr>
      <w:tr w14:paraId="5E2C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E5870">
            <w:r>
              <w:rPr>
                <w:rFonts w:hint="eastAsia"/>
              </w:rPr>
              <w:t>等于：本金</w:t>
            </w:r>
          </w:p>
        </w:tc>
        <w:tc>
          <w:tcPr>
            <w:tcW w:w="2768" w:type="dxa"/>
            <w:vAlign w:val="center"/>
          </w:tcPr>
          <w:p w14:paraId="73BAE063">
            <w:pPr>
              <w:jc w:val="right"/>
            </w:pPr>
            <w:r>
              <w:rPr>
                <w:rFonts w:hint="eastAsia"/>
              </w:rPr>
              <w:t>-</w:t>
            </w:r>
          </w:p>
        </w:tc>
        <w:tc>
          <w:tcPr>
            <w:tcW w:w="2768" w:type="dxa"/>
            <w:vAlign w:val="center"/>
          </w:tcPr>
          <w:p w14:paraId="7C08B0D1">
            <w:pPr>
              <w:jc w:val="right"/>
            </w:pPr>
            <w:r>
              <w:rPr>
                <w:rFonts w:hint="eastAsia"/>
              </w:rPr>
              <w:t>-</w:t>
            </w:r>
          </w:p>
        </w:tc>
      </w:tr>
      <w:tr w14:paraId="6686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AB297">
            <w:r>
              <w:rPr>
                <w:rFonts w:hint="eastAsia"/>
              </w:rPr>
              <w:t xml:space="preserve">      加：应计利息</w:t>
            </w:r>
          </w:p>
        </w:tc>
        <w:tc>
          <w:tcPr>
            <w:tcW w:w="2768" w:type="dxa"/>
            <w:vAlign w:val="center"/>
          </w:tcPr>
          <w:p w14:paraId="3C4D294D">
            <w:pPr>
              <w:jc w:val="right"/>
            </w:pPr>
            <w:r>
              <w:rPr>
                <w:rFonts w:hint="eastAsia"/>
              </w:rPr>
              <w:t>-</w:t>
            </w:r>
          </w:p>
        </w:tc>
        <w:tc>
          <w:tcPr>
            <w:tcW w:w="2768" w:type="dxa"/>
            <w:vAlign w:val="center"/>
          </w:tcPr>
          <w:p w14:paraId="627AF810">
            <w:pPr>
              <w:jc w:val="right"/>
            </w:pPr>
            <w:r>
              <w:rPr>
                <w:rFonts w:hint="eastAsia"/>
              </w:rPr>
              <w:t>-</w:t>
            </w:r>
          </w:p>
        </w:tc>
      </w:tr>
      <w:tr w14:paraId="6984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CD090">
            <w:r>
              <w:rPr>
                <w:rFonts w:hint="eastAsia"/>
              </w:rPr>
              <w:t xml:space="preserve">      减：坏账准备</w:t>
            </w:r>
          </w:p>
        </w:tc>
        <w:tc>
          <w:tcPr>
            <w:tcW w:w="2768" w:type="dxa"/>
            <w:vAlign w:val="center"/>
          </w:tcPr>
          <w:p w14:paraId="04A31EAE">
            <w:pPr>
              <w:jc w:val="right"/>
            </w:pPr>
            <w:r>
              <w:rPr>
                <w:rFonts w:hint="eastAsia"/>
              </w:rPr>
              <w:t>-</w:t>
            </w:r>
          </w:p>
        </w:tc>
        <w:tc>
          <w:tcPr>
            <w:tcW w:w="2768" w:type="dxa"/>
            <w:vAlign w:val="center"/>
          </w:tcPr>
          <w:p w14:paraId="75217D3F">
            <w:pPr>
              <w:jc w:val="right"/>
            </w:pPr>
            <w:r>
              <w:rPr>
                <w:rFonts w:hint="eastAsia"/>
              </w:rPr>
              <w:t>-</w:t>
            </w:r>
          </w:p>
        </w:tc>
      </w:tr>
      <w:tr w14:paraId="1120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3B940">
            <w:r>
              <w:rPr>
                <w:rFonts w:hint="eastAsia"/>
              </w:rPr>
              <w:t>合计</w:t>
            </w:r>
          </w:p>
        </w:tc>
        <w:tc>
          <w:tcPr>
            <w:tcW w:w="2768" w:type="dxa"/>
            <w:vAlign w:val="center"/>
          </w:tcPr>
          <w:p w14:paraId="521BA2D1">
            <w:pPr>
              <w:jc w:val="right"/>
            </w:pPr>
            <w:r>
              <w:rPr>
                <w:rFonts w:hint="eastAsia"/>
              </w:rPr>
              <w:t>209,206.49</w:t>
            </w:r>
          </w:p>
        </w:tc>
        <w:tc>
          <w:tcPr>
            <w:tcW w:w="2768" w:type="dxa"/>
            <w:vAlign w:val="center"/>
          </w:tcPr>
          <w:p w14:paraId="7E3C412E">
            <w:pPr>
              <w:jc w:val="right"/>
            </w:pPr>
            <w:r>
              <w:rPr>
                <w:rFonts w:hint="eastAsia"/>
              </w:rPr>
              <w:t>587,456.22</w:t>
            </w:r>
          </w:p>
        </w:tc>
      </w:tr>
    </w:tbl>
    <w:p w14:paraId="6B2F6FB9">
      <w:pPr>
        <w:pStyle w:val="35"/>
      </w:pPr>
      <w:bookmarkStart w:id="73" w:name="_Toc73"/>
      <w:r>
        <w:t>交易性金融资产</w:t>
      </w:r>
      <w:bookmarkEnd w:id="73"/>
    </w:p>
    <w:p w14:paraId="4D9B518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39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6C49B84">
            <w:r>
              <w:rPr>
                <w:rFonts w:hint="eastAsia"/>
              </w:rPr>
              <w:t>项目</w:t>
            </w:r>
          </w:p>
        </w:tc>
        <w:tc>
          <w:tcPr>
            <w:tcW w:w="1860" w:type="dxa"/>
            <w:gridSpan w:val="4"/>
            <w:vAlign w:val="center"/>
          </w:tcPr>
          <w:p w14:paraId="08F623C9">
            <w:r>
              <w:rPr>
                <w:rFonts w:hint="eastAsia"/>
              </w:rPr>
              <w:t>本期末2025年12月31日</w:t>
            </w:r>
          </w:p>
        </w:tc>
      </w:tr>
      <w:tr w14:paraId="1B07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9CAFD2D"/>
        </w:tc>
        <w:tc>
          <w:tcPr>
            <w:tcW w:w="1860" w:type="dxa"/>
            <w:vAlign w:val="center"/>
          </w:tcPr>
          <w:p w14:paraId="6C938D0A">
            <w:r>
              <w:rPr>
                <w:rFonts w:hint="eastAsia"/>
              </w:rPr>
              <w:t>成本</w:t>
            </w:r>
          </w:p>
        </w:tc>
        <w:tc>
          <w:tcPr>
            <w:tcW w:w="1517" w:type="dxa"/>
            <w:vAlign w:val="center"/>
          </w:tcPr>
          <w:p w14:paraId="5956D619">
            <w:r>
              <w:rPr>
                <w:rFonts w:hint="eastAsia"/>
              </w:rPr>
              <w:t>应计利息</w:t>
            </w:r>
          </w:p>
        </w:tc>
        <w:tc>
          <w:tcPr>
            <w:tcW w:w="1860" w:type="dxa"/>
            <w:vAlign w:val="center"/>
          </w:tcPr>
          <w:p w14:paraId="26B503F7">
            <w:r>
              <w:rPr>
                <w:rFonts w:hint="eastAsia"/>
              </w:rPr>
              <w:t>公允价值</w:t>
            </w:r>
          </w:p>
        </w:tc>
        <w:tc>
          <w:tcPr>
            <w:tcW w:w="1517" w:type="dxa"/>
            <w:vAlign w:val="center"/>
          </w:tcPr>
          <w:p w14:paraId="2EDC9E6E">
            <w:r>
              <w:rPr>
                <w:rFonts w:hint="eastAsia"/>
              </w:rPr>
              <w:t>公允价值变动</w:t>
            </w:r>
          </w:p>
        </w:tc>
      </w:tr>
      <w:tr w14:paraId="5A90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98C21F">
            <w:r>
              <w:rPr>
                <w:rFonts w:hint="eastAsia"/>
              </w:rPr>
              <w:t>股票</w:t>
            </w:r>
          </w:p>
        </w:tc>
        <w:tc>
          <w:tcPr>
            <w:tcW w:w="1860" w:type="dxa"/>
            <w:vAlign w:val="center"/>
          </w:tcPr>
          <w:p w14:paraId="26FD81BF">
            <w:pPr>
              <w:jc w:val="right"/>
            </w:pPr>
            <w:r>
              <w:rPr>
                <w:rFonts w:hint="eastAsia"/>
              </w:rPr>
              <w:t>-</w:t>
            </w:r>
          </w:p>
        </w:tc>
        <w:tc>
          <w:tcPr>
            <w:tcW w:w="1517" w:type="dxa"/>
            <w:vAlign w:val="center"/>
          </w:tcPr>
          <w:p w14:paraId="4726F441">
            <w:pPr>
              <w:jc w:val="right"/>
            </w:pPr>
            <w:r>
              <w:rPr>
                <w:rFonts w:hint="eastAsia"/>
              </w:rPr>
              <w:t>-</w:t>
            </w:r>
          </w:p>
        </w:tc>
        <w:tc>
          <w:tcPr>
            <w:tcW w:w="1860" w:type="dxa"/>
            <w:vAlign w:val="center"/>
          </w:tcPr>
          <w:p w14:paraId="385C3182">
            <w:pPr>
              <w:jc w:val="right"/>
            </w:pPr>
            <w:r>
              <w:rPr>
                <w:rFonts w:hint="eastAsia"/>
              </w:rPr>
              <w:t>-</w:t>
            </w:r>
          </w:p>
        </w:tc>
        <w:tc>
          <w:tcPr>
            <w:tcW w:w="1517" w:type="dxa"/>
            <w:vAlign w:val="center"/>
          </w:tcPr>
          <w:p w14:paraId="5364E719">
            <w:pPr>
              <w:jc w:val="right"/>
            </w:pPr>
            <w:r>
              <w:rPr>
                <w:rFonts w:hint="eastAsia"/>
              </w:rPr>
              <w:t>-</w:t>
            </w:r>
          </w:p>
        </w:tc>
      </w:tr>
      <w:tr w14:paraId="0DD4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AA3BAC">
            <w:r>
              <w:rPr>
                <w:rFonts w:hint="eastAsia"/>
              </w:rPr>
              <w:t>贵金属投资-金交所黄金合约</w:t>
            </w:r>
          </w:p>
        </w:tc>
        <w:tc>
          <w:tcPr>
            <w:tcW w:w="1860" w:type="dxa"/>
            <w:vAlign w:val="center"/>
          </w:tcPr>
          <w:p w14:paraId="02DB1FBC">
            <w:pPr>
              <w:jc w:val="right"/>
            </w:pPr>
            <w:r>
              <w:rPr>
                <w:rFonts w:hint="eastAsia"/>
              </w:rPr>
              <w:t>-</w:t>
            </w:r>
          </w:p>
        </w:tc>
        <w:tc>
          <w:tcPr>
            <w:tcW w:w="1517" w:type="dxa"/>
            <w:vAlign w:val="center"/>
          </w:tcPr>
          <w:p w14:paraId="0490C283">
            <w:pPr>
              <w:jc w:val="right"/>
            </w:pPr>
            <w:r>
              <w:rPr>
                <w:rFonts w:hint="eastAsia"/>
              </w:rPr>
              <w:t>-</w:t>
            </w:r>
          </w:p>
        </w:tc>
        <w:tc>
          <w:tcPr>
            <w:tcW w:w="1860" w:type="dxa"/>
            <w:vAlign w:val="center"/>
          </w:tcPr>
          <w:p w14:paraId="4E093F36">
            <w:pPr>
              <w:jc w:val="right"/>
            </w:pPr>
            <w:r>
              <w:rPr>
                <w:rFonts w:hint="eastAsia"/>
              </w:rPr>
              <w:t>-</w:t>
            </w:r>
          </w:p>
        </w:tc>
        <w:tc>
          <w:tcPr>
            <w:tcW w:w="1517" w:type="dxa"/>
            <w:vAlign w:val="center"/>
          </w:tcPr>
          <w:p w14:paraId="1E18ECFD">
            <w:pPr>
              <w:jc w:val="right"/>
            </w:pPr>
            <w:r>
              <w:rPr>
                <w:rFonts w:hint="eastAsia"/>
              </w:rPr>
              <w:t>-</w:t>
            </w:r>
          </w:p>
        </w:tc>
      </w:tr>
      <w:tr w14:paraId="1B27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50E1803">
            <w:r>
              <w:rPr>
                <w:rFonts w:hint="eastAsia"/>
              </w:rPr>
              <w:t>债券</w:t>
            </w:r>
          </w:p>
        </w:tc>
        <w:tc>
          <w:tcPr>
            <w:tcW w:w="897" w:type="dxa"/>
            <w:vAlign w:val="center"/>
          </w:tcPr>
          <w:p w14:paraId="277D8B8F">
            <w:r>
              <w:rPr>
                <w:rFonts w:hint="eastAsia"/>
              </w:rPr>
              <w:t>交易所市场</w:t>
            </w:r>
          </w:p>
        </w:tc>
        <w:tc>
          <w:tcPr>
            <w:tcW w:w="1860" w:type="dxa"/>
            <w:vAlign w:val="center"/>
          </w:tcPr>
          <w:p w14:paraId="318FD9C5">
            <w:pPr>
              <w:jc w:val="right"/>
            </w:pPr>
            <w:r>
              <w:rPr>
                <w:rFonts w:hint="eastAsia"/>
              </w:rPr>
              <w:t>-</w:t>
            </w:r>
          </w:p>
        </w:tc>
        <w:tc>
          <w:tcPr>
            <w:tcW w:w="1517" w:type="dxa"/>
            <w:vAlign w:val="center"/>
          </w:tcPr>
          <w:p w14:paraId="275A4477">
            <w:pPr>
              <w:jc w:val="right"/>
            </w:pPr>
            <w:r>
              <w:rPr>
                <w:rFonts w:hint="eastAsia"/>
              </w:rPr>
              <w:t>-</w:t>
            </w:r>
          </w:p>
        </w:tc>
        <w:tc>
          <w:tcPr>
            <w:tcW w:w="1860" w:type="dxa"/>
            <w:vAlign w:val="center"/>
          </w:tcPr>
          <w:p w14:paraId="276D6668">
            <w:pPr>
              <w:jc w:val="right"/>
            </w:pPr>
            <w:r>
              <w:rPr>
                <w:rFonts w:hint="eastAsia"/>
              </w:rPr>
              <w:t>-</w:t>
            </w:r>
          </w:p>
        </w:tc>
        <w:tc>
          <w:tcPr>
            <w:tcW w:w="1517" w:type="dxa"/>
            <w:vAlign w:val="center"/>
          </w:tcPr>
          <w:p w14:paraId="6DCC9BAD">
            <w:pPr>
              <w:jc w:val="right"/>
            </w:pPr>
            <w:r>
              <w:rPr>
                <w:rFonts w:hint="eastAsia"/>
              </w:rPr>
              <w:t>-</w:t>
            </w:r>
          </w:p>
        </w:tc>
      </w:tr>
      <w:tr w14:paraId="6F8F7BD0">
        <w:tblPrEx>
          <w:tblCellMar>
            <w:top w:w="0" w:type="dxa"/>
            <w:left w:w="108" w:type="dxa"/>
            <w:bottom w:w="0" w:type="dxa"/>
            <w:right w:w="108" w:type="dxa"/>
          </w:tblCellMar>
        </w:tblPrEx>
        <w:trPr>
          <w:jc w:val="center"/>
        </w:trPr>
        <w:tc>
          <w:tcPr>
            <w:tcW w:w="653" w:type="dxa"/>
            <w:vMerge w:val="continue"/>
            <w:vAlign w:val="center"/>
          </w:tcPr>
          <w:p w14:paraId="1D6B6F40"/>
        </w:tc>
        <w:tc>
          <w:tcPr>
            <w:tcW w:w="897" w:type="dxa"/>
            <w:vAlign w:val="center"/>
          </w:tcPr>
          <w:p w14:paraId="70E3CD42">
            <w:r>
              <w:rPr>
                <w:rFonts w:hint="eastAsia"/>
              </w:rPr>
              <w:t>银行间市场</w:t>
            </w:r>
          </w:p>
        </w:tc>
        <w:tc>
          <w:tcPr>
            <w:tcW w:w="1860" w:type="dxa"/>
            <w:vAlign w:val="center"/>
          </w:tcPr>
          <w:p w14:paraId="5377F0A3">
            <w:pPr>
              <w:jc w:val="right"/>
            </w:pPr>
            <w:r>
              <w:rPr>
                <w:rFonts w:hint="eastAsia"/>
              </w:rPr>
              <w:t>66,217,666.00</w:t>
            </w:r>
          </w:p>
        </w:tc>
        <w:tc>
          <w:tcPr>
            <w:tcW w:w="1517" w:type="dxa"/>
            <w:vAlign w:val="center"/>
          </w:tcPr>
          <w:p w14:paraId="2FCE2D61">
            <w:pPr>
              <w:jc w:val="right"/>
            </w:pPr>
            <w:r>
              <w:rPr>
                <w:rFonts w:hint="eastAsia"/>
              </w:rPr>
              <w:t>888,816.43</w:t>
            </w:r>
          </w:p>
        </w:tc>
        <w:tc>
          <w:tcPr>
            <w:tcW w:w="1860" w:type="dxa"/>
            <w:vAlign w:val="center"/>
          </w:tcPr>
          <w:p w14:paraId="6233BAD2">
            <w:pPr>
              <w:jc w:val="right"/>
            </w:pPr>
            <w:r>
              <w:rPr>
                <w:rFonts w:hint="eastAsia"/>
              </w:rPr>
              <w:t>67,041,816.43</w:t>
            </w:r>
          </w:p>
        </w:tc>
        <w:tc>
          <w:tcPr>
            <w:tcW w:w="1517" w:type="dxa"/>
            <w:vAlign w:val="center"/>
          </w:tcPr>
          <w:p w14:paraId="217DBD42">
            <w:pPr>
              <w:jc w:val="right"/>
            </w:pPr>
            <w:r>
              <w:rPr>
                <w:rFonts w:hint="eastAsia"/>
              </w:rPr>
              <w:t>-64,666.00</w:t>
            </w:r>
          </w:p>
        </w:tc>
      </w:tr>
      <w:tr w14:paraId="338C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AB4E01"/>
        </w:tc>
        <w:tc>
          <w:tcPr>
            <w:tcW w:w="897" w:type="dxa"/>
            <w:vAlign w:val="center"/>
          </w:tcPr>
          <w:p w14:paraId="4D50A189">
            <w:r>
              <w:rPr>
                <w:rFonts w:hint="eastAsia"/>
              </w:rPr>
              <w:t>合计</w:t>
            </w:r>
          </w:p>
        </w:tc>
        <w:tc>
          <w:tcPr>
            <w:tcW w:w="1860" w:type="dxa"/>
            <w:vAlign w:val="center"/>
          </w:tcPr>
          <w:p w14:paraId="44D53159">
            <w:pPr>
              <w:jc w:val="right"/>
            </w:pPr>
            <w:r>
              <w:rPr>
                <w:rFonts w:hint="eastAsia"/>
              </w:rPr>
              <w:t>66,217,666.00</w:t>
            </w:r>
          </w:p>
        </w:tc>
        <w:tc>
          <w:tcPr>
            <w:tcW w:w="1517" w:type="dxa"/>
            <w:vAlign w:val="center"/>
          </w:tcPr>
          <w:p w14:paraId="242666FF">
            <w:pPr>
              <w:jc w:val="right"/>
            </w:pPr>
            <w:r>
              <w:rPr>
                <w:rFonts w:hint="eastAsia"/>
              </w:rPr>
              <w:t>888,816.43</w:t>
            </w:r>
          </w:p>
        </w:tc>
        <w:tc>
          <w:tcPr>
            <w:tcW w:w="1860" w:type="dxa"/>
            <w:vAlign w:val="center"/>
          </w:tcPr>
          <w:p w14:paraId="294AE079">
            <w:pPr>
              <w:jc w:val="right"/>
            </w:pPr>
            <w:r>
              <w:rPr>
                <w:rFonts w:hint="eastAsia"/>
              </w:rPr>
              <w:t>67,041,816.43</w:t>
            </w:r>
          </w:p>
        </w:tc>
        <w:tc>
          <w:tcPr>
            <w:tcW w:w="1517" w:type="dxa"/>
            <w:vAlign w:val="center"/>
          </w:tcPr>
          <w:p w14:paraId="79DC1978">
            <w:pPr>
              <w:jc w:val="right"/>
            </w:pPr>
            <w:r>
              <w:rPr>
                <w:rFonts w:hint="eastAsia"/>
              </w:rPr>
              <w:t>-64,666.00</w:t>
            </w:r>
          </w:p>
        </w:tc>
      </w:tr>
      <w:tr w14:paraId="01FF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F582D6">
            <w:r>
              <w:rPr>
                <w:rFonts w:hint="eastAsia"/>
              </w:rPr>
              <w:t>资产支持证券</w:t>
            </w:r>
          </w:p>
        </w:tc>
        <w:tc>
          <w:tcPr>
            <w:tcW w:w="1860" w:type="dxa"/>
            <w:vAlign w:val="center"/>
          </w:tcPr>
          <w:p w14:paraId="4099BD4D">
            <w:pPr>
              <w:jc w:val="right"/>
            </w:pPr>
            <w:r>
              <w:rPr>
                <w:rFonts w:hint="eastAsia"/>
              </w:rPr>
              <w:t>-</w:t>
            </w:r>
          </w:p>
        </w:tc>
        <w:tc>
          <w:tcPr>
            <w:tcW w:w="1517" w:type="dxa"/>
            <w:vAlign w:val="center"/>
          </w:tcPr>
          <w:p w14:paraId="79A87383">
            <w:pPr>
              <w:jc w:val="right"/>
            </w:pPr>
            <w:r>
              <w:rPr>
                <w:rFonts w:hint="eastAsia"/>
              </w:rPr>
              <w:t>-</w:t>
            </w:r>
          </w:p>
        </w:tc>
        <w:tc>
          <w:tcPr>
            <w:tcW w:w="1860" w:type="dxa"/>
            <w:vAlign w:val="center"/>
          </w:tcPr>
          <w:p w14:paraId="49452049">
            <w:pPr>
              <w:jc w:val="right"/>
            </w:pPr>
            <w:r>
              <w:rPr>
                <w:rFonts w:hint="eastAsia"/>
              </w:rPr>
              <w:t>-</w:t>
            </w:r>
          </w:p>
        </w:tc>
        <w:tc>
          <w:tcPr>
            <w:tcW w:w="1517" w:type="dxa"/>
            <w:vAlign w:val="center"/>
          </w:tcPr>
          <w:p w14:paraId="5783DA3B">
            <w:pPr>
              <w:jc w:val="right"/>
            </w:pPr>
            <w:r>
              <w:rPr>
                <w:rFonts w:hint="eastAsia"/>
              </w:rPr>
              <w:t>-</w:t>
            </w:r>
          </w:p>
        </w:tc>
      </w:tr>
      <w:tr w14:paraId="6AB1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54CE71">
            <w:r>
              <w:rPr>
                <w:rFonts w:hint="eastAsia"/>
              </w:rPr>
              <w:t>基金</w:t>
            </w:r>
          </w:p>
        </w:tc>
        <w:tc>
          <w:tcPr>
            <w:tcW w:w="1860" w:type="dxa"/>
            <w:vAlign w:val="center"/>
          </w:tcPr>
          <w:p w14:paraId="0C833861">
            <w:pPr>
              <w:jc w:val="right"/>
            </w:pPr>
            <w:r>
              <w:rPr>
                <w:rFonts w:hint="eastAsia"/>
              </w:rPr>
              <w:t>-</w:t>
            </w:r>
          </w:p>
        </w:tc>
        <w:tc>
          <w:tcPr>
            <w:tcW w:w="1517" w:type="dxa"/>
            <w:vAlign w:val="center"/>
          </w:tcPr>
          <w:p w14:paraId="129D7A76">
            <w:pPr>
              <w:jc w:val="right"/>
            </w:pPr>
            <w:r>
              <w:rPr>
                <w:rFonts w:hint="eastAsia"/>
              </w:rPr>
              <w:t>-</w:t>
            </w:r>
          </w:p>
        </w:tc>
        <w:tc>
          <w:tcPr>
            <w:tcW w:w="1860" w:type="dxa"/>
            <w:vAlign w:val="center"/>
          </w:tcPr>
          <w:p w14:paraId="48581789">
            <w:pPr>
              <w:jc w:val="right"/>
            </w:pPr>
            <w:r>
              <w:rPr>
                <w:rFonts w:hint="eastAsia"/>
              </w:rPr>
              <w:t>-</w:t>
            </w:r>
          </w:p>
        </w:tc>
        <w:tc>
          <w:tcPr>
            <w:tcW w:w="1517" w:type="dxa"/>
            <w:vAlign w:val="center"/>
          </w:tcPr>
          <w:p w14:paraId="178B72C6">
            <w:pPr>
              <w:jc w:val="right"/>
            </w:pPr>
            <w:r>
              <w:rPr>
                <w:rFonts w:hint="eastAsia"/>
              </w:rPr>
              <w:t>-</w:t>
            </w:r>
          </w:p>
        </w:tc>
      </w:tr>
      <w:tr w14:paraId="5A14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F90314">
            <w:r>
              <w:rPr>
                <w:rFonts w:hint="eastAsia"/>
              </w:rPr>
              <w:t>其他</w:t>
            </w:r>
          </w:p>
        </w:tc>
        <w:tc>
          <w:tcPr>
            <w:tcW w:w="1860" w:type="dxa"/>
            <w:vAlign w:val="center"/>
          </w:tcPr>
          <w:p w14:paraId="6C979530">
            <w:pPr>
              <w:jc w:val="right"/>
            </w:pPr>
            <w:r>
              <w:rPr>
                <w:rFonts w:hint="eastAsia"/>
              </w:rPr>
              <w:t>-</w:t>
            </w:r>
          </w:p>
        </w:tc>
        <w:tc>
          <w:tcPr>
            <w:tcW w:w="1517" w:type="dxa"/>
            <w:vAlign w:val="center"/>
          </w:tcPr>
          <w:p w14:paraId="007F5D1A">
            <w:pPr>
              <w:jc w:val="right"/>
            </w:pPr>
            <w:r>
              <w:rPr>
                <w:rFonts w:hint="eastAsia"/>
              </w:rPr>
              <w:t>-</w:t>
            </w:r>
          </w:p>
        </w:tc>
        <w:tc>
          <w:tcPr>
            <w:tcW w:w="1860" w:type="dxa"/>
            <w:vAlign w:val="center"/>
          </w:tcPr>
          <w:p w14:paraId="1A4A7ECC">
            <w:pPr>
              <w:jc w:val="right"/>
            </w:pPr>
            <w:r>
              <w:rPr>
                <w:rFonts w:hint="eastAsia"/>
              </w:rPr>
              <w:t>-</w:t>
            </w:r>
          </w:p>
        </w:tc>
        <w:tc>
          <w:tcPr>
            <w:tcW w:w="1517" w:type="dxa"/>
            <w:vAlign w:val="center"/>
          </w:tcPr>
          <w:p w14:paraId="6D3F182B">
            <w:pPr>
              <w:jc w:val="right"/>
            </w:pPr>
            <w:r>
              <w:rPr>
                <w:rFonts w:hint="eastAsia"/>
              </w:rPr>
              <w:t>-</w:t>
            </w:r>
          </w:p>
        </w:tc>
      </w:tr>
      <w:tr w14:paraId="0DC1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8E5966">
            <w:r>
              <w:rPr>
                <w:rFonts w:hint="eastAsia"/>
              </w:rPr>
              <w:t>合计</w:t>
            </w:r>
          </w:p>
        </w:tc>
        <w:tc>
          <w:tcPr>
            <w:tcW w:w="1860" w:type="dxa"/>
            <w:vAlign w:val="center"/>
          </w:tcPr>
          <w:p w14:paraId="6022EBF4">
            <w:pPr>
              <w:jc w:val="right"/>
            </w:pPr>
            <w:r>
              <w:rPr>
                <w:rFonts w:hint="eastAsia"/>
              </w:rPr>
              <w:t>66,217,666.00</w:t>
            </w:r>
          </w:p>
        </w:tc>
        <w:tc>
          <w:tcPr>
            <w:tcW w:w="1517" w:type="dxa"/>
            <w:vAlign w:val="center"/>
          </w:tcPr>
          <w:p w14:paraId="40DCA17A">
            <w:pPr>
              <w:jc w:val="right"/>
            </w:pPr>
            <w:r>
              <w:rPr>
                <w:rFonts w:hint="eastAsia"/>
              </w:rPr>
              <w:t>888,816.43</w:t>
            </w:r>
          </w:p>
        </w:tc>
        <w:tc>
          <w:tcPr>
            <w:tcW w:w="1860" w:type="dxa"/>
            <w:vAlign w:val="center"/>
          </w:tcPr>
          <w:p w14:paraId="7ED72A18">
            <w:pPr>
              <w:jc w:val="right"/>
            </w:pPr>
            <w:r>
              <w:rPr>
                <w:rFonts w:hint="eastAsia"/>
              </w:rPr>
              <w:t>67,041,816.43</w:t>
            </w:r>
          </w:p>
        </w:tc>
        <w:tc>
          <w:tcPr>
            <w:tcW w:w="1517" w:type="dxa"/>
            <w:vAlign w:val="center"/>
          </w:tcPr>
          <w:p w14:paraId="49BB9142">
            <w:pPr>
              <w:jc w:val="right"/>
            </w:pPr>
            <w:r>
              <w:rPr>
                <w:rFonts w:hint="eastAsia"/>
              </w:rPr>
              <w:t>-64,666.00</w:t>
            </w:r>
          </w:p>
        </w:tc>
      </w:tr>
      <w:tr w14:paraId="5D15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AFFB16F">
            <w:r>
              <w:rPr>
                <w:rFonts w:hint="eastAsia"/>
              </w:rPr>
              <w:t>项目</w:t>
            </w:r>
          </w:p>
        </w:tc>
        <w:tc>
          <w:tcPr>
            <w:tcW w:w="1860" w:type="dxa"/>
            <w:gridSpan w:val="4"/>
            <w:vAlign w:val="center"/>
          </w:tcPr>
          <w:p w14:paraId="25F1CDAD">
            <w:r>
              <w:rPr>
                <w:rFonts w:hint="eastAsia"/>
              </w:rPr>
              <w:t>上年度末2024年12月31日</w:t>
            </w:r>
          </w:p>
        </w:tc>
      </w:tr>
      <w:tr w14:paraId="4B3D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00B0165"/>
        </w:tc>
        <w:tc>
          <w:tcPr>
            <w:tcW w:w="1860" w:type="dxa"/>
            <w:vAlign w:val="center"/>
          </w:tcPr>
          <w:p w14:paraId="6BEBC387">
            <w:r>
              <w:rPr>
                <w:rFonts w:hint="eastAsia"/>
              </w:rPr>
              <w:t>成本</w:t>
            </w:r>
          </w:p>
        </w:tc>
        <w:tc>
          <w:tcPr>
            <w:tcW w:w="1517" w:type="dxa"/>
            <w:vAlign w:val="center"/>
          </w:tcPr>
          <w:p w14:paraId="707B8F2E">
            <w:r>
              <w:rPr>
                <w:rFonts w:hint="eastAsia"/>
              </w:rPr>
              <w:t>应计利息</w:t>
            </w:r>
          </w:p>
        </w:tc>
        <w:tc>
          <w:tcPr>
            <w:tcW w:w="1860" w:type="dxa"/>
            <w:vAlign w:val="center"/>
          </w:tcPr>
          <w:p w14:paraId="3A72D35B">
            <w:r>
              <w:rPr>
                <w:rFonts w:hint="eastAsia"/>
              </w:rPr>
              <w:t>公允价值</w:t>
            </w:r>
          </w:p>
        </w:tc>
        <w:tc>
          <w:tcPr>
            <w:tcW w:w="1517" w:type="dxa"/>
            <w:vAlign w:val="center"/>
          </w:tcPr>
          <w:p w14:paraId="460A7AF1">
            <w:r>
              <w:rPr>
                <w:rFonts w:hint="eastAsia"/>
              </w:rPr>
              <w:t>公允价值变动</w:t>
            </w:r>
          </w:p>
        </w:tc>
      </w:tr>
      <w:tr w14:paraId="4A7F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7A03CA">
            <w:r>
              <w:rPr>
                <w:rFonts w:hint="eastAsia"/>
              </w:rPr>
              <w:t>股票</w:t>
            </w:r>
          </w:p>
        </w:tc>
        <w:tc>
          <w:tcPr>
            <w:tcW w:w="1860" w:type="dxa"/>
            <w:vAlign w:val="center"/>
          </w:tcPr>
          <w:p w14:paraId="4379A1EE">
            <w:pPr>
              <w:jc w:val="right"/>
            </w:pPr>
            <w:r>
              <w:rPr>
                <w:rFonts w:hint="eastAsia"/>
              </w:rPr>
              <w:t>-</w:t>
            </w:r>
          </w:p>
        </w:tc>
        <w:tc>
          <w:tcPr>
            <w:tcW w:w="1517" w:type="dxa"/>
            <w:vAlign w:val="center"/>
          </w:tcPr>
          <w:p w14:paraId="1DF35501">
            <w:pPr>
              <w:jc w:val="right"/>
            </w:pPr>
            <w:r>
              <w:rPr>
                <w:rFonts w:hint="eastAsia"/>
              </w:rPr>
              <w:t>-</w:t>
            </w:r>
          </w:p>
        </w:tc>
        <w:tc>
          <w:tcPr>
            <w:tcW w:w="1860" w:type="dxa"/>
            <w:vAlign w:val="center"/>
          </w:tcPr>
          <w:p w14:paraId="7C4FCA3D">
            <w:pPr>
              <w:jc w:val="right"/>
            </w:pPr>
            <w:r>
              <w:rPr>
                <w:rFonts w:hint="eastAsia"/>
              </w:rPr>
              <w:t>-</w:t>
            </w:r>
          </w:p>
        </w:tc>
        <w:tc>
          <w:tcPr>
            <w:tcW w:w="1517" w:type="dxa"/>
            <w:vAlign w:val="center"/>
          </w:tcPr>
          <w:p w14:paraId="6AC4A9B0">
            <w:pPr>
              <w:jc w:val="right"/>
            </w:pPr>
            <w:r>
              <w:rPr>
                <w:rFonts w:hint="eastAsia"/>
              </w:rPr>
              <w:t>-</w:t>
            </w:r>
          </w:p>
        </w:tc>
      </w:tr>
      <w:tr w14:paraId="4E45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8BCD19">
            <w:r>
              <w:rPr>
                <w:rFonts w:hint="eastAsia"/>
              </w:rPr>
              <w:t>贵金属投资-金交所黄金合约</w:t>
            </w:r>
          </w:p>
        </w:tc>
        <w:tc>
          <w:tcPr>
            <w:tcW w:w="1860" w:type="dxa"/>
            <w:vAlign w:val="center"/>
          </w:tcPr>
          <w:p w14:paraId="4B63FD40">
            <w:pPr>
              <w:jc w:val="right"/>
            </w:pPr>
            <w:r>
              <w:rPr>
                <w:rFonts w:hint="eastAsia"/>
              </w:rPr>
              <w:t>-</w:t>
            </w:r>
          </w:p>
        </w:tc>
        <w:tc>
          <w:tcPr>
            <w:tcW w:w="1517" w:type="dxa"/>
            <w:vAlign w:val="center"/>
          </w:tcPr>
          <w:p w14:paraId="4083CB47">
            <w:pPr>
              <w:jc w:val="right"/>
            </w:pPr>
            <w:r>
              <w:rPr>
                <w:rFonts w:hint="eastAsia"/>
              </w:rPr>
              <w:t>-</w:t>
            </w:r>
          </w:p>
        </w:tc>
        <w:tc>
          <w:tcPr>
            <w:tcW w:w="1860" w:type="dxa"/>
            <w:vAlign w:val="center"/>
          </w:tcPr>
          <w:p w14:paraId="3F14A6C9">
            <w:pPr>
              <w:jc w:val="right"/>
            </w:pPr>
            <w:r>
              <w:rPr>
                <w:rFonts w:hint="eastAsia"/>
              </w:rPr>
              <w:t>-</w:t>
            </w:r>
          </w:p>
        </w:tc>
        <w:tc>
          <w:tcPr>
            <w:tcW w:w="1517" w:type="dxa"/>
            <w:vAlign w:val="center"/>
          </w:tcPr>
          <w:p w14:paraId="690348D0">
            <w:pPr>
              <w:jc w:val="right"/>
            </w:pPr>
            <w:r>
              <w:rPr>
                <w:rFonts w:hint="eastAsia"/>
              </w:rPr>
              <w:t>-</w:t>
            </w:r>
          </w:p>
        </w:tc>
      </w:tr>
      <w:tr w14:paraId="60C9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5C2BEB">
            <w:r>
              <w:rPr>
                <w:rFonts w:hint="eastAsia"/>
              </w:rPr>
              <w:t>债券</w:t>
            </w:r>
          </w:p>
        </w:tc>
        <w:tc>
          <w:tcPr>
            <w:tcW w:w="897" w:type="dxa"/>
            <w:vAlign w:val="center"/>
          </w:tcPr>
          <w:p w14:paraId="4BF02D4D">
            <w:r>
              <w:rPr>
                <w:rFonts w:hint="eastAsia"/>
              </w:rPr>
              <w:t>交易所市场</w:t>
            </w:r>
          </w:p>
        </w:tc>
        <w:tc>
          <w:tcPr>
            <w:tcW w:w="1860" w:type="dxa"/>
            <w:vAlign w:val="center"/>
          </w:tcPr>
          <w:p w14:paraId="1111C686">
            <w:pPr>
              <w:jc w:val="right"/>
            </w:pPr>
            <w:r>
              <w:rPr>
                <w:rFonts w:hint="eastAsia"/>
              </w:rPr>
              <w:t>-</w:t>
            </w:r>
          </w:p>
        </w:tc>
        <w:tc>
          <w:tcPr>
            <w:tcW w:w="1517" w:type="dxa"/>
            <w:vAlign w:val="center"/>
          </w:tcPr>
          <w:p w14:paraId="1438C63D">
            <w:pPr>
              <w:jc w:val="right"/>
            </w:pPr>
            <w:r>
              <w:rPr>
                <w:rFonts w:hint="eastAsia"/>
              </w:rPr>
              <w:t>-</w:t>
            </w:r>
          </w:p>
        </w:tc>
        <w:tc>
          <w:tcPr>
            <w:tcW w:w="1860" w:type="dxa"/>
            <w:vAlign w:val="center"/>
          </w:tcPr>
          <w:p w14:paraId="5F403AE1">
            <w:pPr>
              <w:jc w:val="right"/>
            </w:pPr>
            <w:r>
              <w:rPr>
                <w:rFonts w:hint="eastAsia"/>
              </w:rPr>
              <w:t>-</w:t>
            </w:r>
          </w:p>
        </w:tc>
        <w:tc>
          <w:tcPr>
            <w:tcW w:w="1517" w:type="dxa"/>
            <w:vAlign w:val="center"/>
          </w:tcPr>
          <w:p w14:paraId="4D204B24">
            <w:pPr>
              <w:jc w:val="right"/>
            </w:pPr>
            <w:r>
              <w:rPr>
                <w:rFonts w:hint="eastAsia"/>
              </w:rPr>
              <w:t>-</w:t>
            </w:r>
          </w:p>
        </w:tc>
      </w:tr>
      <w:tr w14:paraId="0A3C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6BD9F83"/>
        </w:tc>
        <w:tc>
          <w:tcPr>
            <w:tcW w:w="897" w:type="dxa"/>
            <w:vAlign w:val="center"/>
          </w:tcPr>
          <w:p w14:paraId="5CE3BC7D">
            <w:r>
              <w:rPr>
                <w:rFonts w:hint="eastAsia"/>
              </w:rPr>
              <w:t>银行间市场</w:t>
            </w:r>
          </w:p>
        </w:tc>
        <w:tc>
          <w:tcPr>
            <w:tcW w:w="1860" w:type="dxa"/>
            <w:vAlign w:val="center"/>
          </w:tcPr>
          <w:p w14:paraId="712415A7">
            <w:pPr>
              <w:jc w:val="right"/>
            </w:pPr>
            <w:r>
              <w:rPr>
                <w:rFonts w:hint="eastAsia"/>
              </w:rPr>
              <w:t>3,747,098,666.74</w:t>
            </w:r>
          </w:p>
        </w:tc>
        <w:tc>
          <w:tcPr>
            <w:tcW w:w="1517" w:type="dxa"/>
            <w:vAlign w:val="center"/>
          </w:tcPr>
          <w:p w14:paraId="1EAA4F30">
            <w:pPr>
              <w:jc w:val="right"/>
            </w:pPr>
            <w:r>
              <w:rPr>
                <w:rFonts w:hint="eastAsia"/>
              </w:rPr>
              <w:t>57,381,458.53</w:t>
            </w:r>
          </w:p>
        </w:tc>
        <w:tc>
          <w:tcPr>
            <w:tcW w:w="1860" w:type="dxa"/>
            <w:vAlign w:val="center"/>
          </w:tcPr>
          <w:p w14:paraId="58E51483">
            <w:pPr>
              <w:jc w:val="right"/>
            </w:pPr>
            <w:r>
              <w:rPr>
                <w:rFonts w:hint="eastAsia"/>
              </w:rPr>
              <w:t>3,864,818,458.53</w:t>
            </w:r>
          </w:p>
        </w:tc>
        <w:tc>
          <w:tcPr>
            <w:tcW w:w="1517" w:type="dxa"/>
            <w:vAlign w:val="center"/>
          </w:tcPr>
          <w:p w14:paraId="7DCF134A">
            <w:pPr>
              <w:jc w:val="right"/>
            </w:pPr>
            <w:r>
              <w:rPr>
                <w:rFonts w:hint="eastAsia"/>
              </w:rPr>
              <w:t>60,338,333.26</w:t>
            </w:r>
          </w:p>
        </w:tc>
      </w:tr>
      <w:tr w14:paraId="1803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6CEF781"/>
        </w:tc>
        <w:tc>
          <w:tcPr>
            <w:tcW w:w="897" w:type="dxa"/>
            <w:vAlign w:val="center"/>
          </w:tcPr>
          <w:p w14:paraId="2AB7B362">
            <w:r>
              <w:rPr>
                <w:rFonts w:hint="eastAsia"/>
              </w:rPr>
              <w:t>合计</w:t>
            </w:r>
          </w:p>
        </w:tc>
        <w:tc>
          <w:tcPr>
            <w:tcW w:w="1860" w:type="dxa"/>
            <w:vAlign w:val="center"/>
          </w:tcPr>
          <w:p w14:paraId="434583D0">
            <w:pPr>
              <w:jc w:val="right"/>
            </w:pPr>
            <w:r>
              <w:rPr>
                <w:rFonts w:hint="eastAsia"/>
              </w:rPr>
              <w:t>3,747,098,666.74</w:t>
            </w:r>
          </w:p>
        </w:tc>
        <w:tc>
          <w:tcPr>
            <w:tcW w:w="1517" w:type="dxa"/>
            <w:vAlign w:val="center"/>
          </w:tcPr>
          <w:p w14:paraId="7E6F3818">
            <w:pPr>
              <w:jc w:val="right"/>
            </w:pPr>
            <w:r>
              <w:rPr>
                <w:rFonts w:hint="eastAsia"/>
              </w:rPr>
              <w:t>57,381,458.53</w:t>
            </w:r>
          </w:p>
        </w:tc>
        <w:tc>
          <w:tcPr>
            <w:tcW w:w="1860" w:type="dxa"/>
            <w:vAlign w:val="center"/>
          </w:tcPr>
          <w:p w14:paraId="24B6DC8F">
            <w:pPr>
              <w:jc w:val="right"/>
            </w:pPr>
            <w:r>
              <w:rPr>
                <w:rFonts w:hint="eastAsia"/>
              </w:rPr>
              <w:t>3,864,818,458.53</w:t>
            </w:r>
          </w:p>
        </w:tc>
        <w:tc>
          <w:tcPr>
            <w:tcW w:w="1517" w:type="dxa"/>
            <w:vAlign w:val="center"/>
          </w:tcPr>
          <w:p w14:paraId="265BCC9E">
            <w:pPr>
              <w:jc w:val="right"/>
            </w:pPr>
            <w:r>
              <w:rPr>
                <w:rFonts w:hint="eastAsia"/>
              </w:rPr>
              <w:t>60,338,333.26</w:t>
            </w:r>
          </w:p>
        </w:tc>
      </w:tr>
      <w:tr w14:paraId="1FAB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977FEA">
            <w:r>
              <w:rPr>
                <w:rFonts w:hint="eastAsia"/>
              </w:rPr>
              <w:t>资产支持证券</w:t>
            </w:r>
          </w:p>
        </w:tc>
        <w:tc>
          <w:tcPr>
            <w:tcW w:w="1860" w:type="dxa"/>
            <w:vAlign w:val="center"/>
          </w:tcPr>
          <w:p w14:paraId="1875F53E">
            <w:pPr>
              <w:jc w:val="right"/>
            </w:pPr>
            <w:r>
              <w:rPr>
                <w:rFonts w:hint="eastAsia"/>
              </w:rPr>
              <w:t>-</w:t>
            </w:r>
          </w:p>
        </w:tc>
        <w:tc>
          <w:tcPr>
            <w:tcW w:w="1517" w:type="dxa"/>
            <w:vAlign w:val="center"/>
          </w:tcPr>
          <w:p w14:paraId="1EDA19CD">
            <w:pPr>
              <w:jc w:val="right"/>
            </w:pPr>
            <w:r>
              <w:rPr>
                <w:rFonts w:hint="eastAsia"/>
              </w:rPr>
              <w:t>-</w:t>
            </w:r>
          </w:p>
        </w:tc>
        <w:tc>
          <w:tcPr>
            <w:tcW w:w="1860" w:type="dxa"/>
            <w:vAlign w:val="center"/>
          </w:tcPr>
          <w:p w14:paraId="49A8EC0A">
            <w:pPr>
              <w:jc w:val="right"/>
            </w:pPr>
            <w:r>
              <w:rPr>
                <w:rFonts w:hint="eastAsia"/>
              </w:rPr>
              <w:t>-</w:t>
            </w:r>
          </w:p>
        </w:tc>
        <w:tc>
          <w:tcPr>
            <w:tcW w:w="1517" w:type="dxa"/>
            <w:vAlign w:val="center"/>
          </w:tcPr>
          <w:p w14:paraId="3353BD84">
            <w:pPr>
              <w:jc w:val="right"/>
            </w:pPr>
            <w:r>
              <w:rPr>
                <w:rFonts w:hint="eastAsia"/>
              </w:rPr>
              <w:t>-</w:t>
            </w:r>
          </w:p>
        </w:tc>
      </w:tr>
      <w:tr w14:paraId="0D8F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ABEFFF">
            <w:r>
              <w:rPr>
                <w:rFonts w:hint="eastAsia"/>
              </w:rPr>
              <w:t>基金</w:t>
            </w:r>
          </w:p>
        </w:tc>
        <w:tc>
          <w:tcPr>
            <w:tcW w:w="1860" w:type="dxa"/>
            <w:vAlign w:val="center"/>
          </w:tcPr>
          <w:p w14:paraId="2616E2D5">
            <w:pPr>
              <w:jc w:val="right"/>
            </w:pPr>
            <w:r>
              <w:rPr>
                <w:rFonts w:hint="eastAsia"/>
              </w:rPr>
              <w:t>-</w:t>
            </w:r>
          </w:p>
        </w:tc>
        <w:tc>
          <w:tcPr>
            <w:tcW w:w="1517" w:type="dxa"/>
            <w:vAlign w:val="center"/>
          </w:tcPr>
          <w:p w14:paraId="347A78E9">
            <w:pPr>
              <w:jc w:val="right"/>
            </w:pPr>
            <w:r>
              <w:rPr>
                <w:rFonts w:hint="eastAsia"/>
              </w:rPr>
              <w:t>-</w:t>
            </w:r>
          </w:p>
        </w:tc>
        <w:tc>
          <w:tcPr>
            <w:tcW w:w="1860" w:type="dxa"/>
            <w:vAlign w:val="center"/>
          </w:tcPr>
          <w:p w14:paraId="73BAE147">
            <w:pPr>
              <w:jc w:val="right"/>
            </w:pPr>
            <w:r>
              <w:rPr>
                <w:rFonts w:hint="eastAsia"/>
              </w:rPr>
              <w:t>-</w:t>
            </w:r>
          </w:p>
        </w:tc>
        <w:tc>
          <w:tcPr>
            <w:tcW w:w="1517" w:type="dxa"/>
            <w:vAlign w:val="center"/>
          </w:tcPr>
          <w:p w14:paraId="42A6B854">
            <w:pPr>
              <w:jc w:val="right"/>
            </w:pPr>
            <w:r>
              <w:rPr>
                <w:rFonts w:hint="eastAsia"/>
              </w:rPr>
              <w:t>-</w:t>
            </w:r>
          </w:p>
        </w:tc>
      </w:tr>
      <w:tr w14:paraId="2462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78BD5B">
            <w:r>
              <w:rPr>
                <w:rFonts w:hint="eastAsia"/>
              </w:rPr>
              <w:t>其他</w:t>
            </w:r>
          </w:p>
        </w:tc>
        <w:tc>
          <w:tcPr>
            <w:tcW w:w="1860" w:type="dxa"/>
            <w:vAlign w:val="center"/>
          </w:tcPr>
          <w:p w14:paraId="5DA73908">
            <w:pPr>
              <w:jc w:val="right"/>
            </w:pPr>
            <w:r>
              <w:rPr>
                <w:rFonts w:hint="eastAsia"/>
              </w:rPr>
              <w:t>-</w:t>
            </w:r>
          </w:p>
        </w:tc>
        <w:tc>
          <w:tcPr>
            <w:tcW w:w="1517" w:type="dxa"/>
            <w:vAlign w:val="center"/>
          </w:tcPr>
          <w:p w14:paraId="19EE275C">
            <w:pPr>
              <w:jc w:val="right"/>
            </w:pPr>
            <w:r>
              <w:rPr>
                <w:rFonts w:hint="eastAsia"/>
              </w:rPr>
              <w:t>-</w:t>
            </w:r>
          </w:p>
        </w:tc>
        <w:tc>
          <w:tcPr>
            <w:tcW w:w="1860" w:type="dxa"/>
            <w:vAlign w:val="center"/>
          </w:tcPr>
          <w:p w14:paraId="26AAEE30">
            <w:pPr>
              <w:jc w:val="right"/>
            </w:pPr>
            <w:r>
              <w:rPr>
                <w:rFonts w:hint="eastAsia"/>
              </w:rPr>
              <w:t>-</w:t>
            </w:r>
          </w:p>
        </w:tc>
        <w:tc>
          <w:tcPr>
            <w:tcW w:w="1517" w:type="dxa"/>
            <w:vAlign w:val="center"/>
          </w:tcPr>
          <w:p w14:paraId="285BB9D2">
            <w:pPr>
              <w:jc w:val="right"/>
            </w:pPr>
            <w:r>
              <w:rPr>
                <w:rFonts w:hint="eastAsia"/>
              </w:rPr>
              <w:t>-</w:t>
            </w:r>
          </w:p>
        </w:tc>
      </w:tr>
      <w:tr w14:paraId="76DF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9189A6">
            <w:r>
              <w:rPr>
                <w:rFonts w:hint="eastAsia"/>
              </w:rPr>
              <w:t>合计</w:t>
            </w:r>
          </w:p>
        </w:tc>
        <w:tc>
          <w:tcPr>
            <w:tcW w:w="1860" w:type="dxa"/>
            <w:vAlign w:val="center"/>
          </w:tcPr>
          <w:p w14:paraId="42D2169C">
            <w:pPr>
              <w:jc w:val="right"/>
            </w:pPr>
            <w:r>
              <w:rPr>
                <w:rFonts w:hint="eastAsia"/>
              </w:rPr>
              <w:t>3,747,098,666.74</w:t>
            </w:r>
          </w:p>
        </w:tc>
        <w:tc>
          <w:tcPr>
            <w:tcW w:w="1517" w:type="dxa"/>
            <w:vAlign w:val="center"/>
          </w:tcPr>
          <w:p w14:paraId="4F07A0B3">
            <w:pPr>
              <w:jc w:val="right"/>
            </w:pPr>
            <w:r>
              <w:rPr>
                <w:rFonts w:hint="eastAsia"/>
              </w:rPr>
              <w:t>57,381,458.53</w:t>
            </w:r>
          </w:p>
        </w:tc>
        <w:tc>
          <w:tcPr>
            <w:tcW w:w="1860" w:type="dxa"/>
            <w:vAlign w:val="center"/>
          </w:tcPr>
          <w:p w14:paraId="52690560">
            <w:pPr>
              <w:jc w:val="right"/>
            </w:pPr>
            <w:r>
              <w:rPr>
                <w:rFonts w:hint="eastAsia"/>
              </w:rPr>
              <w:t>3,864,818,458.53</w:t>
            </w:r>
          </w:p>
        </w:tc>
        <w:tc>
          <w:tcPr>
            <w:tcW w:w="1517" w:type="dxa"/>
            <w:vAlign w:val="center"/>
          </w:tcPr>
          <w:p w14:paraId="72871F2B">
            <w:pPr>
              <w:jc w:val="right"/>
            </w:pPr>
            <w:r>
              <w:rPr>
                <w:rFonts w:hint="eastAsia"/>
              </w:rPr>
              <w:t>60,338,333.26</w:t>
            </w:r>
          </w:p>
        </w:tc>
      </w:tr>
    </w:tbl>
    <w:p w14:paraId="11F7C5DC">
      <w:pPr>
        <w:pStyle w:val="35"/>
      </w:pPr>
      <w:bookmarkStart w:id="74" w:name="_Toc74"/>
      <w:r>
        <w:t>衍生金融资产/负债</w:t>
      </w:r>
      <w:bookmarkEnd w:id="74"/>
    </w:p>
    <w:p w14:paraId="109BA8FE">
      <w:pPr>
        <w:pStyle w:val="36"/>
      </w:pPr>
      <w:bookmarkStart w:id="75" w:name="_Toc75"/>
      <w:r>
        <w:t>衍生金融资产/负债期末余额</w:t>
      </w:r>
      <w:bookmarkEnd w:id="75"/>
    </w:p>
    <w:p w14:paraId="37A3995A">
      <w:pPr>
        <w:pStyle w:val="18"/>
        <w:rPr>
          <w:rFonts w:hint="eastAsia"/>
        </w:rPr>
      </w:pPr>
      <w:r>
        <w:rPr>
          <w:rFonts w:hint="eastAsia"/>
        </w:rPr>
        <w:t>无。</w:t>
      </w:r>
    </w:p>
    <w:p w14:paraId="0309C10C">
      <w:pPr>
        <w:pStyle w:val="35"/>
      </w:pPr>
      <w:bookmarkStart w:id="76" w:name="_Toc76"/>
      <w:r>
        <w:t xml:space="preserve"> 买入返售金融资产</w:t>
      </w:r>
      <w:bookmarkEnd w:id="76"/>
    </w:p>
    <w:p w14:paraId="0FE09789">
      <w:pPr>
        <w:pStyle w:val="36"/>
      </w:pPr>
      <w:bookmarkStart w:id="77" w:name="_Toc77"/>
      <w:r>
        <w:t>各项买入返售金融资产期末余额</w:t>
      </w:r>
      <w:bookmarkEnd w:id="77"/>
    </w:p>
    <w:p w14:paraId="516A3091">
      <w:pPr>
        <w:pStyle w:val="18"/>
        <w:rPr>
          <w:rFonts w:hint="eastAsia"/>
        </w:rPr>
      </w:pPr>
      <w:r>
        <w:rPr>
          <w:rFonts w:hint="eastAsia"/>
        </w:rPr>
        <w:t>无。</w:t>
      </w:r>
    </w:p>
    <w:p w14:paraId="11D99398">
      <w:pPr>
        <w:pStyle w:val="36"/>
      </w:pPr>
      <w:bookmarkStart w:id="78" w:name="_Toc78"/>
      <w:r>
        <w:t xml:space="preserve"> 期末买断式逆回购交易中取得的债券</w:t>
      </w:r>
      <w:bookmarkEnd w:id="78"/>
    </w:p>
    <w:p w14:paraId="434AA178">
      <w:pPr>
        <w:pStyle w:val="18"/>
        <w:rPr>
          <w:rFonts w:hint="eastAsia"/>
        </w:rPr>
      </w:pPr>
      <w:r>
        <w:rPr>
          <w:rFonts w:hint="eastAsia"/>
        </w:rPr>
        <w:t>无。</w:t>
      </w:r>
    </w:p>
    <w:p w14:paraId="53657BE0">
      <w:pPr>
        <w:pStyle w:val="35"/>
      </w:pPr>
      <w:bookmarkStart w:id="79" w:name="_Toc79"/>
      <w:r>
        <w:t xml:space="preserve"> 其他资产</w:t>
      </w:r>
      <w:bookmarkEnd w:id="79"/>
    </w:p>
    <w:p w14:paraId="1DDD161F">
      <w:pPr>
        <w:pStyle w:val="18"/>
        <w:rPr>
          <w:rFonts w:hint="eastAsia"/>
        </w:rPr>
      </w:pPr>
      <w:r>
        <w:rPr>
          <w:rFonts w:hint="eastAsia"/>
        </w:rPr>
        <w:t>无。</w:t>
      </w:r>
    </w:p>
    <w:p w14:paraId="35740E1F">
      <w:pPr>
        <w:pStyle w:val="35"/>
      </w:pPr>
      <w:bookmarkStart w:id="80" w:name="_Toc80"/>
      <w:r>
        <w:t>其他负债</w:t>
      </w:r>
      <w:bookmarkEnd w:id="80"/>
    </w:p>
    <w:p w14:paraId="6A4006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C4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30A1A7">
            <w:pPr>
              <w:jc w:val="center"/>
            </w:pPr>
            <w:r>
              <w:rPr>
                <w:rFonts w:hint="eastAsia"/>
                <w:b/>
              </w:rPr>
              <w:t>项目</w:t>
            </w:r>
          </w:p>
        </w:tc>
        <w:tc>
          <w:tcPr>
            <w:tcW w:w="2768" w:type="dxa"/>
            <w:shd w:val="clear" w:color="auto" w:fill="BFBFBF"/>
            <w:vAlign w:val="center"/>
          </w:tcPr>
          <w:p w14:paraId="574F07CE">
            <w:pPr>
              <w:jc w:val="center"/>
            </w:pPr>
            <w:r>
              <w:rPr>
                <w:rFonts w:hint="eastAsia"/>
                <w:b/>
              </w:rPr>
              <w:t>本期末2025年12月31日</w:t>
            </w:r>
          </w:p>
        </w:tc>
        <w:tc>
          <w:tcPr>
            <w:tcW w:w="2768" w:type="dxa"/>
            <w:shd w:val="clear" w:color="auto" w:fill="BFBFBF"/>
            <w:vAlign w:val="center"/>
          </w:tcPr>
          <w:p w14:paraId="2AF6807F">
            <w:pPr>
              <w:jc w:val="center"/>
            </w:pPr>
            <w:r>
              <w:rPr>
                <w:rFonts w:hint="eastAsia"/>
                <w:b/>
              </w:rPr>
              <w:t>上年度末2024年12月31日</w:t>
            </w:r>
          </w:p>
        </w:tc>
      </w:tr>
      <w:tr w14:paraId="176F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D4A6C">
            <w:r>
              <w:rPr>
                <w:rFonts w:hint="eastAsia"/>
              </w:rPr>
              <w:t>应付券商交易单元保证金</w:t>
            </w:r>
          </w:p>
        </w:tc>
        <w:tc>
          <w:tcPr>
            <w:tcW w:w="2768" w:type="dxa"/>
            <w:vAlign w:val="center"/>
          </w:tcPr>
          <w:p w14:paraId="0F94C298">
            <w:pPr>
              <w:jc w:val="right"/>
            </w:pPr>
            <w:r>
              <w:rPr>
                <w:rFonts w:hint="eastAsia"/>
              </w:rPr>
              <w:t>-</w:t>
            </w:r>
          </w:p>
        </w:tc>
        <w:tc>
          <w:tcPr>
            <w:tcW w:w="2768" w:type="dxa"/>
            <w:vAlign w:val="center"/>
          </w:tcPr>
          <w:p w14:paraId="0FDD34E5">
            <w:pPr>
              <w:jc w:val="right"/>
            </w:pPr>
            <w:r>
              <w:rPr>
                <w:rFonts w:hint="eastAsia"/>
              </w:rPr>
              <w:t>-</w:t>
            </w:r>
          </w:p>
        </w:tc>
      </w:tr>
      <w:tr w14:paraId="75EE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E97F0">
            <w:r>
              <w:rPr>
                <w:rFonts w:hint="eastAsia"/>
              </w:rPr>
              <w:t>应付赎回费</w:t>
            </w:r>
          </w:p>
        </w:tc>
        <w:tc>
          <w:tcPr>
            <w:tcW w:w="2768" w:type="dxa"/>
            <w:vAlign w:val="center"/>
          </w:tcPr>
          <w:p w14:paraId="67026651">
            <w:pPr>
              <w:jc w:val="right"/>
            </w:pPr>
            <w:r>
              <w:rPr>
                <w:rFonts w:hint="eastAsia"/>
              </w:rPr>
              <w:t>-</w:t>
            </w:r>
          </w:p>
        </w:tc>
        <w:tc>
          <w:tcPr>
            <w:tcW w:w="2768" w:type="dxa"/>
            <w:vAlign w:val="center"/>
          </w:tcPr>
          <w:p w14:paraId="64545F74">
            <w:pPr>
              <w:jc w:val="right"/>
            </w:pPr>
            <w:r>
              <w:rPr>
                <w:rFonts w:hint="eastAsia"/>
              </w:rPr>
              <w:t>-</w:t>
            </w:r>
          </w:p>
        </w:tc>
      </w:tr>
      <w:tr w14:paraId="7798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84E73">
            <w:r>
              <w:rPr>
                <w:rFonts w:hint="eastAsia"/>
              </w:rPr>
              <w:t>应付证券出借违约金</w:t>
            </w:r>
          </w:p>
        </w:tc>
        <w:tc>
          <w:tcPr>
            <w:tcW w:w="2768" w:type="dxa"/>
            <w:vAlign w:val="center"/>
          </w:tcPr>
          <w:p w14:paraId="1435EFFD">
            <w:pPr>
              <w:jc w:val="right"/>
            </w:pPr>
            <w:r>
              <w:rPr>
                <w:rFonts w:hint="eastAsia"/>
              </w:rPr>
              <w:t>-</w:t>
            </w:r>
          </w:p>
        </w:tc>
        <w:tc>
          <w:tcPr>
            <w:tcW w:w="2768" w:type="dxa"/>
            <w:vAlign w:val="center"/>
          </w:tcPr>
          <w:p w14:paraId="3E7B4910">
            <w:pPr>
              <w:jc w:val="right"/>
            </w:pPr>
            <w:r>
              <w:rPr>
                <w:rFonts w:hint="eastAsia"/>
              </w:rPr>
              <w:t>-</w:t>
            </w:r>
          </w:p>
        </w:tc>
      </w:tr>
      <w:tr w14:paraId="359A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FCD09">
            <w:r>
              <w:rPr>
                <w:rFonts w:hint="eastAsia"/>
              </w:rPr>
              <w:t>应付交易费用</w:t>
            </w:r>
          </w:p>
        </w:tc>
        <w:tc>
          <w:tcPr>
            <w:tcW w:w="2768" w:type="dxa"/>
            <w:vAlign w:val="center"/>
          </w:tcPr>
          <w:p w14:paraId="66E01CEC">
            <w:pPr>
              <w:jc w:val="right"/>
            </w:pPr>
            <w:r>
              <w:rPr>
                <w:rFonts w:hint="eastAsia"/>
              </w:rPr>
              <w:t>31,352.25</w:t>
            </w:r>
          </w:p>
        </w:tc>
        <w:tc>
          <w:tcPr>
            <w:tcW w:w="2768" w:type="dxa"/>
            <w:vAlign w:val="center"/>
          </w:tcPr>
          <w:p w14:paraId="1DBD0E86">
            <w:pPr>
              <w:jc w:val="right"/>
            </w:pPr>
            <w:r>
              <w:rPr>
                <w:rFonts w:hint="eastAsia"/>
              </w:rPr>
              <w:t>51,541.00</w:t>
            </w:r>
          </w:p>
        </w:tc>
      </w:tr>
      <w:tr w14:paraId="557F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3DA27">
            <w:r>
              <w:rPr>
                <w:rFonts w:hint="eastAsia"/>
              </w:rPr>
              <w:t>其中：交易所市场</w:t>
            </w:r>
          </w:p>
        </w:tc>
        <w:tc>
          <w:tcPr>
            <w:tcW w:w="2768" w:type="dxa"/>
            <w:vAlign w:val="center"/>
          </w:tcPr>
          <w:p w14:paraId="795B0487">
            <w:pPr>
              <w:jc w:val="right"/>
            </w:pPr>
            <w:r>
              <w:rPr>
                <w:rFonts w:hint="eastAsia"/>
              </w:rPr>
              <w:t>-</w:t>
            </w:r>
          </w:p>
        </w:tc>
        <w:tc>
          <w:tcPr>
            <w:tcW w:w="2768" w:type="dxa"/>
            <w:vAlign w:val="center"/>
          </w:tcPr>
          <w:p w14:paraId="14B4C12F">
            <w:pPr>
              <w:jc w:val="right"/>
            </w:pPr>
            <w:r>
              <w:rPr>
                <w:rFonts w:hint="eastAsia"/>
              </w:rPr>
              <w:t>-</w:t>
            </w:r>
          </w:p>
        </w:tc>
      </w:tr>
      <w:tr w14:paraId="1B4B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C80F25">
            <w:r>
              <w:rPr>
                <w:rFonts w:hint="eastAsia"/>
              </w:rPr>
              <w:t xml:space="preserve">      银行间市场</w:t>
            </w:r>
          </w:p>
        </w:tc>
        <w:tc>
          <w:tcPr>
            <w:tcW w:w="2768" w:type="dxa"/>
            <w:vAlign w:val="center"/>
          </w:tcPr>
          <w:p w14:paraId="2F4AC920">
            <w:pPr>
              <w:jc w:val="right"/>
            </w:pPr>
            <w:r>
              <w:rPr>
                <w:rFonts w:hint="eastAsia"/>
              </w:rPr>
              <w:t>31,352.25</w:t>
            </w:r>
          </w:p>
        </w:tc>
        <w:tc>
          <w:tcPr>
            <w:tcW w:w="2768" w:type="dxa"/>
            <w:vAlign w:val="center"/>
          </w:tcPr>
          <w:p w14:paraId="033DF4F8">
            <w:pPr>
              <w:jc w:val="right"/>
            </w:pPr>
            <w:r>
              <w:rPr>
                <w:rFonts w:hint="eastAsia"/>
              </w:rPr>
              <w:t>51,541.00</w:t>
            </w:r>
          </w:p>
        </w:tc>
      </w:tr>
      <w:tr w14:paraId="54AA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35AD3">
            <w:r>
              <w:rPr>
                <w:rFonts w:hint="eastAsia"/>
              </w:rPr>
              <w:t>应付利息</w:t>
            </w:r>
          </w:p>
        </w:tc>
        <w:tc>
          <w:tcPr>
            <w:tcW w:w="2768" w:type="dxa"/>
            <w:vAlign w:val="center"/>
          </w:tcPr>
          <w:p w14:paraId="3E8BFB28">
            <w:pPr>
              <w:jc w:val="right"/>
            </w:pPr>
            <w:r>
              <w:rPr>
                <w:rFonts w:hint="eastAsia"/>
              </w:rPr>
              <w:t>-</w:t>
            </w:r>
          </w:p>
        </w:tc>
        <w:tc>
          <w:tcPr>
            <w:tcW w:w="2768" w:type="dxa"/>
            <w:vAlign w:val="center"/>
          </w:tcPr>
          <w:p w14:paraId="0971CD95">
            <w:pPr>
              <w:jc w:val="right"/>
            </w:pPr>
            <w:r>
              <w:rPr>
                <w:rFonts w:hint="eastAsia"/>
              </w:rPr>
              <w:t>-</w:t>
            </w:r>
          </w:p>
        </w:tc>
      </w:tr>
      <w:tr w14:paraId="09EA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38434">
            <w:r>
              <w:rPr>
                <w:rFonts w:hint="eastAsia"/>
              </w:rPr>
              <w:t>预提费用</w:t>
            </w:r>
          </w:p>
        </w:tc>
        <w:tc>
          <w:tcPr>
            <w:tcW w:w="2768" w:type="dxa"/>
            <w:vAlign w:val="center"/>
          </w:tcPr>
          <w:p w14:paraId="5676983B">
            <w:pPr>
              <w:jc w:val="right"/>
            </w:pPr>
            <w:r>
              <w:rPr>
                <w:rFonts w:hint="eastAsia"/>
              </w:rPr>
              <w:t>169,300.00</w:t>
            </w:r>
          </w:p>
        </w:tc>
        <w:tc>
          <w:tcPr>
            <w:tcW w:w="2768" w:type="dxa"/>
            <w:vAlign w:val="center"/>
          </w:tcPr>
          <w:p w14:paraId="70B5B928">
            <w:pPr>
              <w:jc w:val="right"/>
            </w:pPr>
            <w:r>
              <w:rPr>
                <w:rFonts w:hint="eastAsia"/>
              </w:rPr>
              <w:t>200,000.00</w:t>
            </w:r>
          </w:p>
        </w:tc>
      </w:tr>
      <w:tr w14:paraId="15C9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64E21">
            <w:r>
              <w:rPr>
                <w:rFonts w:hint="eastAsia"/>
              </w:rPr>
              <w:t>合计</w:t>
            </w:r>
          </w:p>
        </w:tc>
        <w:tc>
          <w:tcPr>
            <w:tcW w:w="2768" w:type="dxa"/>
            <w:vAlign w:val="center"/>
          </w:tcPr>
          <w:p w14:paraId="73D93037">
            <w:pPr>
              <w:jc w:val="right"/>
            </w:pPr>
            <w:r>
              <w:rPr>
                <w:rFonts w:hint="eastAsia"/>
              </w:rPr>
              <w:t>200,652.25</w:t>
            </w:r>
          </w:p>
        </w:tc>
        <w:tc>
          <w:tcPr>
            <w:tcW w:w="2768" w:type="dxa"/>
            <w:vAlign w:val="center"/>
          </w:tcPr>
          <w:p w14:paraId="18C64384">
            <w:pPr>
              <w:jc w:val="right"/>
            </w:pPr>
            <w:r>
              <w:rPr>
                <w:rFonts w:hint="eastAsia"/>
              </w:rPr>
              <w:t>251,541.00</w:t>
            </w:r>
          </w:p>
        </w:tc>
      </w:tr>
    </w:tbl>
    <w:p w14:paraId="2C95C3CC">
      <w:pPr>
        <w:pStyle w:val="35"/>
      </w:pPr>
      <w:bookmarkStart w:id="81" w:name="_Toc81"/>
      <w:r>
        <w:t xml:space="preserve">实收基金 </w:t>
      </w:r>
      <w:bookmarkEnd w:id="81"/>
    </w:p>
    <w:p w14:paraId="052841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B91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14CA077">
            <w:pPr>
              <w:jc w:val="center"/>
            </w:pPr>
            <w:r>
              <w:rPr>
                <w:rFonts w:hint="eastAsia"/>
                <w:b/>
              </w:rPr>
              <w:t>项目</w:t>
            </w:r>
          </w:p>
        </w:tc>
        <w:tc>
          <w:tcPr>
            <w:tcW w:w="2491" w:type="dxa"/>
            <w:gridSpan w:val="2"/>
            <w:shd w:val="clear" w:color="auto" w:fill="BFBFBF"/>
            <w:vAlign w:val="center"/>
          </w:tcPr>
          <w:p w14:paraId="52694881">
            <w:pPr>
              <w:jc w:val="center"/>
            </w:pPr>
            <w:r>
              <w:rPr>
                <w:rFonts w:hint="eastAsia"/>
                <w:b/>
              </w:rPr>
              <w:t>本期2025年1月1日至2025年12月31日</w:t>
            </w:r>
          </w:p>
        </w:tc>
      </w:tr>
      <w:tr w14:paraId="4522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4FC705"/>
        </w:tc>
        <w:tc>
          <w:tcPr>
            <w:tcW w:w="2491" w:type="dxa"/>
            <w:shd w:val="clear" w:color="auto" w:fill="BFBFBF"/>
            <w:vAlign w:val="center"/>
          </w:tcPr>
          <w:p w14:paraId="2D99BCAA">
            <w:pPr>
              <w:jc w:val="center"/>
            </w:pPr>
            <w:r>
              <w:rPr>
                <w:rFonts w:hint="eastAsia"/>
                <w:b/>
              </w:rPr>
              <w:t>基金份额（份）</w:t>
            </w:r>
          </w:p>
        </w:tc>
        <w:tc>
          <w:tcPr>
            <w:tcW w:w="2907" w:type="dxa"/>
            <w:shd w:val="clear" w:color="auto" w:fill="BFBFBF"/>
            <w:vAlign w:val="center"/>
          </w:tcPr>
          <w:p w14:paraId="5D2013EF">
            <w:pPr>
              <w:jc w:val="center"/>
            </w:pPr>
            <w:r>
              <w:rPr>
                <w:rFonts w:hint="eastAsia"/>
                <w:b/>
              </w:rPr>
              <w:t>账面金额</w:t>
            </w:r>
          </w:p>
        </w:tc>
      </w:tr>
      <w:tr w14:paraId="1C1B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BB0E2C">
            <w:r>
              <w:rPr>
                <w:rFonts w:hint="eastAsia"/>
              </w:rPr>
              <w:t>上年度末</w:t>
            </w:r>
          </w:p>
        </w:tc>
        <w:tc>
          <w:tcPr>
            <w:tcW w:w="2491" w:type="dxa"/>
            <w:vAlign w:val="center"/>
          </w:tcPr>
          <w:p w14:paraId="448C0A73">
            <w:pPr>
              <w:jc w:val="right"/>
            </w:pPr>
            <w:r>
              <w:rPr>
                <w:rFonts w:hint="eastAsia"/>
              </w:rPr>
              <w:t>2,590,534,731.15</w:t>
            </w:r>
          </w:p>
        </w:tc>
        <w:tc>
          <w:tcPr>
            <w:tcW w:w="2907" w:type="dxa"/>
            <w:vAlign w:val="center"/>
          </w:tcPr>
          <w:p w14:paraId="6C8DBE46">
            <w:pPr>
              <w:jc w:val="right"/>
            </w:pPr>
            <w:r>
              <w:rPr>
                <w:rFonts w:hint="eastAsia"/>
              </w:rPr>
              <w:t>2,590,534,731.15</w:t>
            </w:r>
          </w:p>
        </w:tc>
      </w:tr>
      <w:tr w14:paraId="4BED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C9955C">
            <w:r>
              <w:rPr>
                <w:rFonts w:hint="eastAsia"/>
              </w:rPr>
              <w:t>本期申购</w:t>
            </w:r>
          </w:p>
        </w:tc>
        <w:tc>
          <w:tcPr>
            <w:tcW w:w="2491" w:type="dxa"/>
            <w:vAlign w:val="center"/>
          </w:tcPr>
          <w:p w14:paraId="4ACC7D24">
            <w:pPr>
              <w:jc w:val="right"/>
            </w:pPr>
            <w:r>
              <w:rPr>
                <w:rFonts w:hint="eastAsia"/>
              </w:rPr>
              <w:t>55,747.04</w:t>
            </w:r>
          </w:p>
        </w:tc>
        <w:tc>
          <w:tcPr>
            <w:tcW w:w="2907" w:type="dxa"/>
            <w:vAlign w:val="center"/>
          </w:tcPr>
          <w:p w14:paraId="0B6495FE">
            <w:pPr>
              <w:jc w:val="right"/>
            </w:pPr>
            <w:r>
              <w:rPr>
                <w:rFonts w:hint="eastAsia"/>
              </w:rPr>
              <w:t>55,747.04</w:t>
            </w:r>
          </w:p>
        </w:tc>
      </w:tr>
      <w:tr w14:paraId="5923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AD6BCE">
            <w:r>
              <w:rPr>
                <w:rFonts w:hint="eastAsia"/>
              </w:rPr>
              <w:t>本期赎回（以“-”号填列）</w:t>
            </w:r>
          </w:p>
        </w:tc>
        <w:tc>
          <w:tcPr>
            <w:tcW w:w="2491" w:type="dxa"/>
            <w:vAlign w:val="center"/>
          </w:tcPr>
          <w:p w14:paraId="3F7295CB">
            <w:pPr>
              <w:jc w:val="right"/>
            </w:pPr>
            <w:r>
              <w:rPr>
                <w:rFonts w:hint="eastAsia"/>
              </w:rPr>
              <w:t>-2,536,155,102.24</w:t>
            </w:r>
          </w:p>
        </w:tc>
        <w:tc>
          <w:tcPr>
            <w:tcW w:w="2907" w:type="dxa"/>
            <w:vAlign w:val="center"/>
          </w:tcPr>
          <w:p w14:paraId="40FCC672">
            <w:pPr>
              <w:jc w:val="right"/>
            </w:pPr>
            <w:r>
              <w:rPr>
                <w:rFonts w:hint="eastAsia"/>
              </w:rPr>
              <w:t>-2,536,155,102.24</w:t>
            </w:r>
          </w:p>
        </w:tc>
      </w:tr>
      <w:tr w14:paraId="058B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2FBC96">
            <w:r>
              <w:rPr>
                <w:rFonts w:hint="eastAsia"/>
              </w:rPr>
              <w:t>基金拆分/份额折算前</w:t>
            </w:r>
          </w:p>
        </w:tc>
        <w:tc>
          <w:tcPr>
            <w:tcW w:w="2491" w:type="dxa"/>
            <w:vAlign w:val="center"/>
          </w:tcPr>
          <w:p w14:paraId="69DFBD23">
            <w:pPr>
              <w:jc w:val="right"/>
            </w:pPr>
            <w:r>
              <w:rPr>
                <w:rFonts w:hint="eastAsia"/>
              </w:rPr>
              <w:t>-</w:t>
            </w:r>
          </w:p>
        </w:tc>
        <w:tc>
          <w:tcPr>
            <w:tcW w:w="2907" w:type="dxa"/>
            <w:vAlign w:val="center"/>
          </w:tcPr>
          <w:p w14:paraId="538CEA67">
            <w:pPr>
              <w:jc w:val="right"/>
            </w:pPr>
            <w:r>
              <w:rPr>
                <w:rFonts w:hint="eastAsia"/>
              </w:rPr>
              <w:t>-</w:t>
            </w:r>
          </w:p>
        </w:tc>
      </w:tr>
      <w:tr w14:paraId="0826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0B1B34">
            <w:r>
              <w:rPr>
                <w:rFonts w:hint="eastAsia"/>
              </w:rPr>
              <w:t>基金拆分/份额折算调整</w:t>
            </w:r>
          </w:p>
        </w:tc>
        <w:tc>
          <w:tcPr>
            <w:tcW w:w="2491" w:type="dxa"/>
            <w:vAlign w:val="center"/>
          </w:tcPr>
          <w:p w14:paraId="3C7B27B0">
            <w:pPr>
              <w:jc w:val="right"/>
            </w:pPr>
            <w:r>
              <w:rPr>
                <w:rFonts w:hint="eastAsia"/>
              </w:rPr>
              <w:t>-</w:t>
            </w:r>
          </w:p>
        </w:tc>
        <w:tc>
          <w:tcPr>
            <w:tcW w:w="2907" w:type="dxa"/>
            <w:vAlign w:val="center"/>
          </w:tcPr>
          <w:p w14:paraId="597DB417">
            <w:pPr>
              <w:jc w:val="right"/>
            </w:pPr>
            <w:r>
              <w:rPr>
                <w:rFonts w:hint="eastAsia"/>
              </w:rPr>
              <w:t>-</w:t>
            </w:r>
          </w:p>
        </w:tc>
      </w:tr>
      <w:tr w14:paraId="027B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D4D7CB">
            <w:r>
              <w:rPr>
                <w:rFonts w:hint="eastAsia"/>
              </w:rPr>
              <w:t>本期申购</w:t>
            </w:r>
          </w:p>
        </w:tc>
        <w:tc>
          <w:tcPr>
            <w:tcW w:w="2491" w:type="dxa"/>
            <w:vAlign w:val="center"/>
          </w:tcPr>
          <w:p w14:paraId="5A03D25D">
            <w:pPr>
              <w:jc w:val="right"/>
            </w:pPr>
            <w:r>
              <w:rPr>
                <w:rFonts w:hint="eastAsia"/>
              </w:rPr>
              <w:t>-</w:t>
            </w:r>
          </w:p>
        </w:tc>
        <w:tc>
          <w:tcPr>
            <w:tcW w:w="2907" w:type="dxa"/>
            <w:vAlign w:val="center"/>
          </w:tcPr>
          <w:p w14:paraId="04D82C88">
            <w:pPr>
              <w:jc w:val="right"/>
            </w:pPr>
            <w:r>
              <w:rPr>
                <w:rFonts w:hint="eastAsia"/>
              </w:rPr>
              <w:t>-</w:t>
            </w:r>
          </w:p>
        </w:tc>
      </w:tr>
      <w:tr w14:paraId="648D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466815">
            <w:r>
              <w:rPr>
                <w:rFonts w:hint="eastAsia"/>
              </w:rPr>
              <w:t>本期赎回（以“-”号填列）</w:t>
            </w:r>
          </w:p>
        </w:tc>
        <w:tc>
          <w:tcPr>
            <w:tcW w:w="2491" w:type="dxa"/>
            <w:vAlign w:val="center"/>
          </w:tcPr>
          <w:p w14:paraId="18038F37">
            <w:pPr>
              <w:jc w:val="right"/>
            </w:pPr>
            <w:r>
              <w:rPr>
                <w:rFonts w:hint="eastAsia"/>
              </w:rPr>
              <w:t>-</w:t>
            </w:r>
          </w:p>
        </w:tc>
        <w:tc>
          <w:tcPr>
            <w:tcW w:w="2907" w:type="dxa"/>
            <w:vAlign w:val="center"/>
          </w:tcPr>
          <w:p w14:paraId="5AD21E98">
            <w:pPr>
              <w:jc w:val="right"/>
            </w:pPr>
            <w:r>
              <w:rPr>
                <w:rFonts w:hint="eastAsia"/>
              </w:rPr>
              <w:t>-</w:t>
            </w:r>
          </w:p>
        </w:tc>
      </w:tr>
      <w:tr w14:paraId="350B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4D977B">
            <w:r>
              <w:rPr>
                <w:rFonts w:hint="eastAsia"/>
              </w:rPr>
              <w:t>本期末</w:t>
            </w:r>
          </w:p>
        </w:tc>
        <w:tc>
          <w:tcPr>
            <w:tcW w:w="2491" w:type="dxa"/>
            <w:vAlign w:val="center"/>
          </w:tcPr>
          <w:p w14:paraId="22B68B15">
            <w:pPr>
              <w:jc w:val="right"/>
            </w:pPr>
            <w:r>
              <w:rPr>
                <w:rFonts w:hint="eastAsia"/>
              </w:rPr>
              <w:t>54,435,375.95</w:t>
            </w:r>
          </w:p>
        </w:tc>
        <w:tc>
          <w:tcPr>
            <w:tcW w:w="2907" w:type="dxa"/>
            <w:vAlign w:val="center"/>
          </w:tcPr>
          <w:p w14:paraId="24E19E84">
            <w:pPr>
              <w:jc w:val="right"/>
            </w:pPr>
            <w:r>
              <w:rPr>
                <w:rFonts w:hint="eastAsia"/>
              </w:rPr>
              <w:t>54,435,375.95</w:t>
            </w:r>
          </w:p>
        </w:tc>
      </w:tr>
    </w:tbl>
    <w:p w14:paraId="6A666F22">
      <w:pPr>
        <w:pStyle w:val="47"/>
        <w:rPr>
          <w:rFonts w:hint="eastAsia"/>
        </w:rPr>
      </w:pPr>
      <w:r>
        <w:rPr>
          <w:rFonts w:hint="eastAsia"/>
        </w:rPr>
        <w:t>注：本基金申购含红利再投份额（如有）、转换入份额（如有）；赎回含转出份额（如有）。</w:t>
      </w:r>
    </w:p>
    <w:p w14:paraId="6411A32D">
      <w:pPr>
        <w:pStyle w:val="35"/>
      </w:pPr>
      <w:bookmarkStart w:id="82" w:name="_Toc82"/>
      <w:r>
        <w:t xml:space="preserve"> 未分配利润 </w:t>
      </w:r>
      <w:bookmarkEnd w:id="82"/>
    </w:p>
    <w:p w14:paraId="1EEDB2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002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33EFEEF">
            <w:pPr>
              <w:jc w:val="center"/>
            </w:pPr>
            <w:r>
              <w:rPr>
                <w:rFonts w:hint="eastAsia"/>
                <w:b/>
              </w:rPr>
              <w:t>项目</w:t>
            </w:r>
          </w:p>
        </w:tc>
        <w:tc>
          <w:tcPr>
            <w:tcW w:w="2076" w:type="dxa"/>
            <w:shd w:val="clear" w:color="auto" w:fill="BFBFBF"/>
            <w:vAlign w:val="center"/>
          </w:tcPr>
          <w:p w14:paraId="034A40F8">
            <w:pPr>
              <w:jc w:val="center"/>
            </w:pPr>
            <w:r>
              <w:rPr>
                <w:rFonts w:hint="eastAsia"/>
                <w:b/>
              </w:rPr>
              <w:t>已实现部分</w:t>
            </w:r>
          </w:p>
        </w:tc>
        <w:tc>
          <w:tcPr>
            <w:tcW w:w="2076" w:type="dxa"/>
            <w:shd w:val="clear" w:color="auto" w:fill="BFBFBF"/>
            <w:vAlign w:val="center"/>
          </w:tcPr>
          <w:p w14:paraId="33899E3D">
            <w:pPr>
              <w:jc w:val="center"/>
            </w:pPr>
            <w:r>
              <w:rPr>
                <w:rFonts w:hint="eastAsia"/>
                <w:b/>
              </w:rPr>
              <w:t>未实现部分</w:t>
            </w:r>
          </w:p>
        </w:tc>
        <w:tc>
          <w:tcPr>
            <w:tcW w:w="2076" w:type="dxa"/>
            <w:shd w:val="clear" w:color="auto" w:fill="BFBFBF"/>
            <w:vAlign w:val="center"/>
          </w:tcPr>
          <w:p w14:paraId="16D2892D">
            <w:pPr>
              <w:jc w:val="center"/>
            </w:pPr>
            <w:r>
              <w:rPr>
                <w:rFonts w:hint="eastAsia"/>
                <w:b/>
              </w:rPr>
              <w:t>未分配利润合计</w:t>
            </w:r>
          </w:p>
        </w:tc>
      </w:tr>
      <w:tr w14:paraId="45E8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E0833A">
            <w:r>
              <w:rPr>
                <w:rFonts w:hint="eastAsia"/>
              </w:rPr>
              <w:t>上年度末</w:t>
            </w:r>
          </w:p>
        </w:tc>
        <w:tc>
          <w:tcPr>
            <w:tcW w:w="2076" w:type="dxa"/>
            <w:vAlign w:val="center"/>
          </w:tcPr>
          <w:p w14:paraId="3989A2A9">
            <w:pPr>
              <w:jc w:val="right"/>
            </w:pPr>
            <w:r>
              <w:rPr>
                <w:rFonts w:hint="eastAsia"/>
              </w:rPr>
              <w:t>616,609,557.78</w:t>
            </w:r>
          </w:p>
        </w:tc>
        <w:tc>
          <w:tcPr>
            <w:tcW w:w="2076" w:type="dxa"/>
            <w:vAlign w:val="center"/>
          </w:tcPr>
          <w:p w14:paraId="45CB13A5">
            <w:pPr>
              <w:jc w:val="right"/>
            </w:pPr>
            <w:r>
              <w:rPr>
                <w:rFonts w:hint="eastAsia"/>
              </w:rPr>
              <w:t>37,841,055.00</w:t>
            </w:r>
          </w:p>
        </w:tc>
        <w:tc>
          <w:tcPr>
            <w:tcW w:w="2076" w:type="dxa"/>
            <w:vAlign w:val="center"/>
          </w:tcPr>
          <w:p w14:paraId="22BB55FA">
            <w:pPr>
              <w:jc w:val="right"/>
            </w:pPr>
            <w:r>
              <w:rPr>
                <w:rFonts w:hint="eastAsia"/>
              </w:rPr>
              <w:t>654,450,612.78</w:t>
            </w:r>
          </w:p>
        </w:tc>
      </w:tr>
      <w:tr w14:paraId="2FEF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343ABA">
            <w:r>
              <w:rPr>
                <w:rFonts w:hint="eastAsia"/>
              </w:rPr>
              <w:t>加：会计政策变更</w:t>
            </w:r>
          </w:p>
        </w:tc>
        <w:tc>
          <w:tcPr>
            <w:tcW w:w="2076" w:type="dxa"/>
            <w:vAlign w:val="center"/>
          </w:tcPr>
          <w:p w14:paraId="3078FEB6">
            <w:pPr>
              <w:jc w:val="right"/>
            </w:pPr>
            <w:r>
              <w:rPr>
                <w:rFonts w:hint="eastAsia"/>
              </w:rPr>
              <w:t>-</w:t>
            </w:r>
          </w:p>
        </w:tc>
        <w:tc>
          <w:tcPr>
            <w:tcW w:w="2076" w:type="dxa"/>
            <w:vAlign w:val="center"/>
          </w:tcPr>
          <w:p w14:paraId="3CEE8BCF">
            <w:pPr>
              <w:jc w:val="right"/>
            </w:pPr>
            <w:r>
              <w:rPr>
                <w:rFonts w:hint="eastAsia"/>
              </w:rPr>
              <w:t>-</w:t>
            </w:r>
          </w:p>
        </w:tc>
        <w:tc>
          <w:tcPr>
            <w:tcW w:w="2076" w:type="dxa"/>
            <w:vAlign w:val="center"/>
          </w:tcPr>
          <w:p w14:paraId="3427D97F">
            <w:pPr>
              <w:jc w:val="right"/>
            </w:pPr>
            <w:r>
              <w:rPr>
                <w:rFonts w:hint="eastAsia"/>
              </w:rPr>
              <w:t>-</w:t>
            </w:r>
          </w:p>
        </w:tc>
      </w:tr>
      <w:tr w14:paraId="44B0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A3FA72">
            <w:r>
              <w:rPr>
                <w:rFonts w:hint="eastAsia"/>
              </w:rPr>
              <w:t xml:space="preserve">      前期差错更正</w:t>
            </w:r>
          </w:p>
        </w:tc>
        <w:tc>
          <w:tcPr>
            <w:tcW w:w="2076" w:type="dxa"/>
            <w:vAlign w:val="center"/>
          </w:tcPr>
          <w:p w14:paraId="44CC1882">
            <w:pPr>
              <w:jc w:val="right"/>
            </w:pPr>
            <w:r>
              <w:rPr>
                <w:rFonts w:hint="eastAsia"/>
              </w:rPr>
              <w:t>-</w:t>
            </w:r>
          </w:p>
        </w:tc>
        <w:tc>
          <w:tcPr>
            <w:tcW w:w="2076" w:type="dxa"/>
            <w:vAlign w:val="center"/>
          </w:tcPr>
          <w:p w14:paraId="39AEA5AC">
            <w:pPr>
              <w:jc w:val="right"/>
            </w:pPr>
            <w:r>
              <w:rPr>
                <w:rFonts w:hint="eastAsia"/>
              </w:rPr>
              <w:t>-</w:t>
            </w:r>
          </w:p>
        </w:tc>
        <w:tc>
          <w:tcPr>
            <w:tcW w:w="2076" w:type="dxa"/>
            <w:vAlign w:val="center"/>
          </w:tcPr>
          <w:p w14:paraId="5DBF0E26">
            <w:pPr>
              <w:jc w:val="right"/>
            </w:pPr>
            <w:r>
              <w:rPr>
                <w:rFonts w:hint="eastAsia"/>
              </w:rPr>
              <w:t>-</w:t>
            </w:r>
          </w:p>
        </w:tc>
      </w:tr>
      <w:tr w14:paraId="4FFE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17F954">
            <w:r>
              <w:rPr>
                <w:rFonts w:hint="eastAsia"/>
              </w:rPr>
              <w:t xml:space="preserve">      其他</w:t>
            </w:r>
          </w:p>
        </w:tc>
        <w:tc>
          <w:tcPr>
            <w:tcW w:w="2076" w:type="dxa"/>
            <w:vAlign w:val="center"/>
          </w:tcPr>
          <w:p w14:paraId="18A6C8ED">
            <w:pPr>
              <w:jc w:val="right"/>
            </w:pPr>
            <w:r>
              <w:rPr>
                <w:rFonts w:hint="eastAsia"/>
              </w:rPr>
              <w:t>-</w:t>
            </w:r>
          </w:p>
        </w:tc>
        <w:tc>
          <w:tcPr>
            <w:tcW w:w="2076" w:type="dxa"/>
            <w:vAlign w:val="center"/>
          </w:tcPr>
          <w:p w14:paraId="3654D8D8">
            <w:pPr>
              <w:jc w:val="right"/>
            </w:pPr>
            <w:r>
              <w:rPr>
                <w:rFonts w:hint="eastAsia"/>
              </w:rPr>
              <w:t>-</w:t>
            </w:r>
          </w:p>
        </w:tc>
        <w:tc>
          <w:tcPr>
            <w:tcW w:w="2076" w:type="dxa"/>
            <w:vAlign w:val="center"/>
          </w:tcPr>
          <w:p w14:paraId="77AD2E60">
            <w:pPr>
              <w:jc w:val="right"/>
            </w:pPr>
            <w:r>
              <w:rPr>
                <w:rFonts w:hint="eastAsia"/>
              </w:rPr>
              <w:t>-</w:t>
            </w:r>
          </w:p>
        </w:tc>
      </w:tr>
      <w:tr w14:paraId="0CED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6412E">
            <w:r>
              <w:rPr>
                <w:rFonts w:hint="eastAsia"/>
              </w:rPr>
              <w:t>本期期初</w:t>
            </w:r>
          </w:p>
        </w:tc>
        <w:tc>
          <w:tcPr>
            <w:tcW w:w="2076" w:type="dxa"/>
            <w:vAlign w:val="center"/>
          </w:tcPr>
          <w:p w14:paraId="640741D3">
            <w:pPr>
              <w:jc w:val="right"/>
            </w:pPr>
            <w:r>
              <w:rPr>
                <w:rFonts w:hint="eastAsia"/>
              </w:rPr>
              <w:t>616,609,557.78</w:t>
            </w:r>
          </w:p>
        </w:tc>
        <w:tc>
          <w:tcPr>
            <w:tcW w:w="2076" w:type="dxa"/>
            <w:vAlign w:val="center"/>
          </w:tcPr>
          <w:p w14:paraId="73A13590">
            <w:pPr>
              <w:jc w:val="right"/>
            </w:pPr>
            <w:r>
              <w:rPr>
                <w:rFonts w:hint="eastAsia"/>
              </w:rPr>
              <w:t>37,841,055.00</w:t>
            </w:r>
          </w:p>
        </w:tc>
        <w:tc>
          <w:tcPr>
            <w:tcW w:w="2076" w:type="dxa"/>
            <w:vAlign w:val="center"/>
          </w:tcPr>
          <w:p w14:paraId="63A246B1">
            <w:pPr>
              <w:jc w:val="right"/>
            </w:pPr>
            <w:r>
              <w:rPr>
                <w:rFonts w:hint="eastAsia"/>
              </w:rPr>
              <w:t>654,450,612.78</w:t>
            </w:r>
          </w:p>
        </w:tc>
      </w:tr>
      <w:tr w14:paraId="6D26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6AEFB8">
            <w:r>
              <w:rPr>
                <w:rFonts w:hint="eastAsia"/>
              </w:rPr>
              <w:t>本期利润</w:t>
            </w:r>
          </w:p>
        </w:tc>
        <w:tc>
          <w:tcPr>
            <w:tcW w:w="2076" w:type="dxa"/>
            <w:vAlign w:val="center"/>
          </w:tcPr>
          <w:p w14:paraId="19679498">
            <w:pPr>
              <w:jc w:val="right"/>
            </w:pPr>
            <w:r>
              <w:rPr>
                <w:rFonts w:hint="eastAsia"/>
              </w:rPr>
              <w:t>68,032,396.06</w:t>
            </w:r>
          </w:p>
        </w:tc>
        <w:tc>
          <w:tcPr>
            <w:tcW w:w="2076" w:type="dxa"/>
            <w:vAlign w:val="center"/>
          </w:tcPr>
          <w:p w14:paraId="4D85A39D">
            <w:pPr>
              <w:jc w:val="right"/>
            </w:pPr>
            <w:r>
              <w:rPr>
                <w:rFonts w:hint="eastAsia"/>
              </w:rPr>
              <w:t>-60,402,999.26</w:t>
            </w:r>
          </w:p>
        </w:tc>
        <w:tc>
          <w:tcPr>
            <w:tcW w:w="2076" w:type="dxa"/>
            <w:vAlign w:val="center"/>
          </w:tcPr>
          <w:p w14:paraId="34BA5EAC">
            <w:pPr>
              <w:jc w:val="right"/>
            </w:pPr>
            <w:r>
              <w:rPr>
                <w:rFonts w:hint="eastAsia"/>
              </w:rPr>
              <w:t>7,629,396.80</w:t>
            </w:r>
          </w:p>
        </w:tc>
      </w:tr>
      <w:tr w14:paraId="6C1B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39F908">
            <w:r>
              <w:rPr>
                <w:rFonts w:hint="eastAsia"/>
              </w:rPr>
              <w:t>本期基金份额交易产生的变动数</w:t>
            </w:r>
          </w:p>
        </w:tc>
        <w:tc>
          <w:tcPr>
            <w:tcW w:w="2076" w:type="dxa"/>
            <w:vAlign w:val="center"/>
          </w:tcPr>
          <w:p w14:paraId="445F6282">
            <w:pPr>
              <w:jc w:val="right"/>
            </w:pPr>
            <w:r>
              <w:rPr>
                <w:rFonts w:hint="eastAsia"/>
              </w:rPr>
              <w:t>-599,705,129.78</w:t>
            </w:r>
          </w:p>
        </w:tc>
        <w:tc>
          <w:tcPr>
            <w:tcW w:w="2076" w:type="dxa"/>
            <w:vAlign w:val="center"/>
          </w:tcPr>
          <w:p w14:paraId="4530CFC0">
            <w:pPr>
              <w:jc w:val="right"/>
            </w:pPr>
            <w:r>
              <w:rPr>
                <w:rFonts w:hint="eastAsia"/>
              </w:rPr>
              <w:t>22,886,973.28</w:t>
            </w:r>
          </w:p>
        </w:tc>
        <w:tc>
          <w:tcPr>
            <w:tcW w:w="2076" w:type="dxa"/>
            <w:vAlign w:val="center"/>
          </w:tcPr>
          <w:p w14:paraId="668D1A8E">
            <w:pPr>
              <w:jc w:val="right"/>
            </w:pPr>
            <w:r>
              <w:rPr>
                <w:rFonts w:hint="eastAsia"/>
              </w:rPr>
              <w:t>-576,818,156.50</w:t>
            </w:r>
          </w:p>
        </w:tc>
      </w:tr>
      <w:tr w14:paraId="5011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E5D9DA">
            <w:r>
              <w:rPr>
                <w:rFonts w:hint="eastAsia"/>
              </w:rPr>
              <w:t>其中：基金申购款</w:t>
            </w:r>
          </w:p>
        </w:tc>
        <w:tc>
          <w:tcPr>
            <w:tcW w:w="2076" w:type="dxa"/>
            <w:vAlign w:val="center"/>
          </w:tcPr>
          <w:p w14:paraId="40E72AC0">
            <w:pPr>
              <w:jc w:val="right"/>
            </w:pPr>
            <w:r>
              <w:rPr>
                <w:rFonts w:hint="eastAsia"/>
              </w:rPr>
              <w:t>12,921.37</w:t>
            </w:r>
          </w:p>
        </w:tc>
        <w:tc>
          <w:tcPr>
            <w:tcW w:w="2076" w:type="dxa"/>
            <w:vAlign w:val="center"/>
          </w:tcPr>
          <w:p w14:paraId="194D9563">
            <w:pPr>
              <w:jc w:val="right"/>
            </w:pPr>
            <w:r>
              <w:rPr>
                <w:rFonts w:hint="eastAsia"/>
              </w:rPr>
              <w:t>-412.85</w:t>
            </w:r>
          </w:p>
        </w:tc>
        <w:tc>
          <w:tcPr>
            <w:tcW w:w="2076" w:type="dxa"/>
            <w:vAlign w:val="center"/>
          </w:tcPr>
          <w:p w14:paraId="5C9BFED9">
            <w:pPr>
              <w:jc w:val="right"/>
            </w:pPr>
            <w:r>
              <w:rPr>
                <w:rFonts w:hint="eastAsia"/>
              </w:rPr>
              <w:t>12,508.52</w:t>
            </w:r>
          </w:p>
        </w:tc>
      </w:tr>
      <w:tr w14:paraId="19BD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33B055">
            <w:r>
              <w:rPr>
                <w:rFonts w:hint="eastAsia"/>
              </w:rPr>
              <w:t xml:space="preserve">      基金赎回款</w:t>
            </w:r>
          </w:p>
        </w:tc>
        <w:tc>
          <w:tcPr>
            <w:tcW w:w="2076" w:type="dxa"/>
            <w:vAlign w:val="center"/>
          </w:tcPr>
          <w:p w14:paraId="5B34C6D5">
            <w:pPr>
              <w:jc w:val="right"/>
            </w:pPr>
            <w:r>
              <w:rPr>
                <w:rFonts w:hint="eastAsia"/>
              </w:rPr>
              <w:t>-599,718,051.15</w:t>
            </w:r>
          </w:p>
        </w:tc>
        <w:tc>
          <w:tcPr>
            <w:tcW w:w="2076" w:type="dxa"/>
            <w:vAlign w:val="center"/>
          </w:tcPr>
          <w:p w14:paraId="13F3A222">
            <w:pPr>
              <w:jc w:val="right"/>
            </w:pPr>
            <w:r>
              <w:rPr>
                <w:rFonts w:hint="eastAsia"/>
              </w:rPr>
              <w:t>22,887,386.13</w:t>
            </w:r>
          </w:p>
        </w:tc>
        <w:tc>
          <w:tcPr>
            <w:tcW w:w="2076" w:type="dxa"/>
            <w:vAlign w:val="center"/>
          </w:tcPr>
          <w:p w14:paraId="17B19CE2">
            <w:pPr>
              <w:jc w:val="right"/>
            </w:pPr>
            <w:r>
              <w:rPr>
                <w:rFonts w:hint="eastAsia"/>
              </w:rPr>
              <w:t>-576,830,665.02</w:t>
            </w:r>
          </w:p>
        </w:tc>
      </w:tr>
      <w:tr w14:paraId="0E11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2C5F6A">
            <w:r>
              <w:rPr>
                <w:rFonts w:hint="eastAsia"/>
              </w:rPr>
              <w:t>本期已分配利润</w:t>
            </w:r>
          </w:p>
        </w:tc>
        <w:tc>
          <w:tcPr>
            <w:tcW w:w="2076" w:type="dxa"/>
            <w:vAlign w:val="center"/>
          </w:tcPr>
          <w:p w14:paraId="511A8C53">
            <w:pPr>
              <w:jc w:val="right"/>
            </w:pPr>
            <w:r>
              <w:rPr>
                <w:rFonts w:hint="eastAsia"/>
              </w:rPr>
              <w:t>-72,534,973.23</w:t>
            </w:r>
          </w:p>
        </w:tc>
        <w:tc>
          <w:tcPr>
            <w:tcW w:w="2076" w:type="dxa"/>
            <w:vAlign w:val="center"/>
          </w:tcPr>
          <w:p w14:paraId="50AF5331">
            <w:pPr>
              <w:jc w:val="right"/>
            </w:pPr>
            <w:r>
              <w:rPr>
                <w:rFonts w:hint="eastAsia"/>
              </w:rPr>
              <w:t>-</w:t>
            </w:r>
          </w:p>
        </w:tc>
        <w:tc>
          <w:tcPr>
            <w:tcW w:w="2076" w:type="dxa"/>
            <w:vAlign w:val="center"/>
          </w:tcPr>
          <w:p w14:paraId="63718ABA">
            <w:pPr>
              <w:jc w:val="right"/>
            </w:pPr>
            <w:r>
              <w:rPr>
                <w:rFonts w:hint="eastAsia"/>
              </w:rPr>
              <w:t>-72,534,973.23</w:t>
            </w:r>
          </w:p>
        </w:tc>
      </w:tr>
      <w:tr w14:paraId="28AF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E21EA">
            <w:r>
              <w:rPr>
                <w:rFonts w:hint="eastAsia"/>
              </w:rPr>
              <w:t>本期末</w:t>
            </w:r>
          </w:p>
        </w:tc>
        <w:tc>
          <w:tcPr>
            <w:tcW w:w="2076" w:type="dxa"/>
            <w:vAlign w:val="center"/>
          </w:tcPr>
          <w:p w14:paraId="29561E49">
            <w:pPr>
              <w:jc w:val="right"/>
            </w:pPr>
            <w:r>
              <w:rPr>
                <w:rFonts w:hint="eastAsia"/>
              </w:rPr>
              <w:t>12,401,850.83</w:t>
            </w:r>
          </w:p>
        </w:tc>
        <w:tc>
          <w:tcPr>
            <w:tcW w:w="2076" w:type="dxa"/>
            <w:vAlign w:val="center"/>
          </w:tcPr>
          <w:p w14:paraId="3D8FCCA0">
            <w:pPr>
              <w:jc w:val="right"/>
            </w:pPr>
            <w:r>
              <w:rPr>
                <w:rFonts w:hint="eastAsia"/>
              </w:rPr>
              <w:t>325,029.02</w:t>
            </w:r>
          </w:p>
        </w:tc>
        <w:tc>
          <w:tcPr>
            <w:tcW w:w="2076" w:type="dxa"/>
            <w:vAlign w:val="center"/>
          </w:tcPr>
          <w:p w14:paraId="07B351C2">
            <w:pPr>
              <w:jc w:val="right"/>
            </w:pPr>
            <w:r>
              <w:rPr>
                <w:rFonts w:hint="eastAsia"/>
              </w:rPr>
              <w:t>12,726,879.85</w:t>
            </w:r>
          </w:p>
        </w:tc>
      </w:tr>
    </w:tbl>
    <w:p w14:paraId="79B4CC2B">
      <w:pPr>
        <w:pStyle w:val="35"/>
      </w:pPr>
      <w:bookmarkStart w:id="83" w:name="_Toc83"/>
      <w:r>
        <w:t xml:space="preserve"> 存款利息收入</w:t>
      </w:r>
      <w:bookmarkEnd w:id="83"/>
    </w:p>
    <w:p w14:paraId="14A1D6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81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C3E4D3">
            <w:pPr>
              <w:jc w:val="center"/>
            </w:pPr>
            <w:r>
              <w:rPr>
                <w:rFonts w:hint="eastAsia"/>
                <w:b/>
              </w:rPr>
              <w:t>项目</w:t>
            </w:r>
          </w:p>
        </w:tc>
        <w:tc>
          <w:tcPr>
            <w:tcW w:w="2768" w:type="dxa"/>
            <w:shd w:val="clear" w:color="auto" w:fill="BFBFBF"/>
            <w:vAlign w:val="center"/>
          </w:tcPr>
          <w:p w14:paraId="52FA9E3D">
            <w:pPr>
              <w:jc w:val="center"/>
            </w:pPr>
            <w:r>
              <w:rPr>
                <w:rFonts w:hint="eastAsia"/>
                <w:b/>
              </w:rPr>
              <w:t>本期2025年1月1日至2025年12月31日</w:t>
            </w:r>
          </w:p>
        </w:tc>
        <w:tc>
          <w:tcPr>
            <w:tcW w:w="2768" w:type="dxa"/>
            <w:shd w:val="clear" w:color="auto" w:fill="BFBFBF"/>
            <w:vAlign w:val="center"/>
          </w:tcPr>
          <w:p w14:paraId="4FCC7F86">
            <w:pPr>
              <w:jc w:val="center"/>
            </w:pPr>
            <w:r>
              <w:rPr>
                <w:rFonts w:hint="eastAsia"/>
                <w:b/>
              </w:rPr>
              <w:t>上年度可比期间2024年1月1日至2024年12月31日</w:t>
            </w:r>
          </w:p>
        </w:tc>
      </w:tr>
      <w:tr w14:paraId="6073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C1A47">
            <w:r>
              <w:rPr>
                <w:rFonts w:hint="eastAsia"/>
              </w:rPr>
              <w:t>活期存款利息收入</w:t>
            </w:r>
          </w:p>
        </w:tc>
        <w:tc>
          <w:tcPr>
            <w:tcW w:w="2768" w:type="dxa"/>
            <w:vAlign w:val="center"/>
          </w:tcPr>
          <w:p w14:paraId="2C81F930">
            <w:pPr>
              <w:jc w:val="right"/>
            </w:pPr>
            <w:r>
              <w:rPr>
                <w:rFonts w:hint="eastAsia"/>
              </w:rPr>
              <w:t>72,957.26</w:t>
            </w:r>
          </w:p>
        </w:tc>
        <w:tc>
          <w:tcPr>
            <w:tcW w:w="2768" w:type="dxa"/>
            <w:vAlign w:val="center"/>
          </w:tcPr>
          <w:p w14:paraId="10F8571F">
            <w:pPr>
              <w:jc w:val="right"/>
            </w:pPr>
            <w:r>
              <w:rPr>
                <w:rFonts w:hint="eastAsia"/>
              </w:rPr>
              <w:t>8,914.69</w:t>
            </w:r>
          </w:p>
        </w:tc>
      </w:tr>
      <w:tr w14:paraId="6326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27BC9">
            <w:r>
              <w:rPr>
                <w:rFonts w:hint="eastAsia"/>
              </w:rPr>
              <w:t>定期存款利息收入</w:t>
            </w:r>
          </w:p>
        </w:tc>
        <w:tc>
          <w:tcPr>
            <w:tcW w:w="2768" w:type="dxa"/>
            <w:vAlign w:val="center"/>
          </w:tcPr>
          <w:p w14:paraId="20C4D274">
            <w:pPr>
              <w:jc w:val="right"/>
            </w:pPr>
            <w:r>
              <w:rPr>
                <w:rFonts w:hint="eastAsia"/>
              </w:rPr>
              <w:t>-</w:t>
            </w:r>
          </w:p>
        </w:tc>
        <w:tc>
          <w:tcPr>
            <w:tcW w:w="2768" w:type="dxa"/>
            <w:vAlign w:val="center"/>
          </w:tcPr>
          <w:p w14:paraId="09ADBECD">
            <w:pPr>
              <w:jc w:val="right"/>
            </w:pPr>
            <w:r>
              <w:rPr>
                <w:rFonts w:hint="eastAsia"/>
              </w:rPr>
              <w:t>-</w:t>
            </w:r>
          </w:p>
        </w:tc>
      </w:tr>
      <w:tr w14:paraId="1850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E3FA7">
            <w:r>
              <w:rPr>
                <w:rFonts w:hint="eastAsia"/>
              </w:rPr>
              <w:t>其他存款利息收入</w:t>
            </w:r>
          </w:p>
        </w:tc>
        <w:tc>
          <w:tcPr>
            <w:tcW w:w="2768" w:type="dxa"/>
            <w:vAlign w:val="center"/>
          </w:tcPr>
          <w:p w14:paraId="04588CDF">
            <w:pPr>
              <w:jc w:val="right"/>
            </w:pPr>
            <w:r>
              <w:rPr>
                <w:rFonts w:hint="eastAsia"/>
              </w:rPr>
              <w:t>-</w:t>
            </w:r>
          </w:p>
        </w:tc>
        <w:tc>
          <w:tcPr>
            <w:tcW w:w="2768" w:type="dxa"/>
            <w:vAlign w:val="center"/>
          </w:tcPr>
          <w:p w14:paraId="4191E718">
            <w:pPr>
              <w:jc w:val="right"/>
            </w:pPr>
            <w:r>
              <w:rPr>
                <w:rFonts w:hint="eastAsia"/>
              </w:rPr>
              <w:t>-</w:t>
            </w:r>
          </w:p>
        </w:tc>
      </w:tr>
      <w:tr w14:paraId="5439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28074">
            <w:r>
              <w:rPr>
                <w:rFonts w:hint="eastAsia"/>
              </w:rPr>
              <w:t>结算备付金利息收入</w:t>
            </w:r>
          </w:p>
        </w:tc>
        <w:tc>
          <w:tcPr>
            <w:tcW w:w="2768" w:type="dxa"/>
            <w:vAlign w:val="center"/>
          </w:tcPr>
          <w:p w14:paraId="5AF2767B">
            <w:pPr>
              <w:jc w:val="right"/>
            </w:pPr>
            <w:r>
              <w:rPr>
                <w:rFonts w:hint="eastAsia"/>
              </w:rPr>
              <w:t>319.58</w:t>
            </w:r>
          </w:p>
        </w:tc>
        <w:tc>
          <w:tcPr>
            <w:tcW w:w="2768" w:type="dxa"/>
            <w:vAlign w:val="center"/>
          </w:tcPr>
          <w:p w14:paraId="5B2732DD">
            <w:pPr>
              <w:jc w:val="right"/>
            </w:pPr>
            <w:r>
              <w:rPr>
                <w:rFonts w:hint="eastAsia"/>
              </w:rPr>
              <w:t>1,362.28</w:t>
            </w:r>
          </w:p>
        </w:tc>
      </w:tr>
      <w:tr w14:paraId="2CE5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5EC93">
            <w:r>
              <w:rPr>
                <w:rFonts w:hint="eastAsia"/>
              </w:rPr>
              <w:t>其他</w:t>
            </w:r>
          </w:p>
        </w:tc>
        <w:tc>
          <w:tcPr>
            <w:tcW w:w="2768" w:type="dxa"/>
            <w:vAlign w:val="center"/>
          </w:tcPr>
          <w:p w14:paraId="1E673BBF">
            <w:pPr>
              <w:jc w:val="right"/>
            </w:pPr>
            <w:r>
              <w:rPr>
                <w:rFonts w:hint="eastAsia"/>
              </w:rPr>
              <w:t>11.41</w:t>
            </w:r>
          </w:p>
        </w:tc>
        <w:tc>
          <w:tcPr>
            <w:tcW w:w="2768" w:type="dxa"/>
            <w:vAlign w:val="center"/>
          </w:tcPr>
          <w:p w14:paraId="1B9FDD10">
            <w:pPr>
              <w:jc w:val="right"/>
            </w:pPr>
            <w:r>
              <w:rPr>
                <w:rFonts w:hint="eastAsia"/>
              </w:rPr>
              <w:t>949.45</w:t>
            </w:r>
          </w:p>
        </w:tc>
      </w:tr>
      <w:tr w14:paraId="29D1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B4E13">
            <w:r>
              <w:rPr>
                <w:rFonts w:hint="eastAsia"/>
              </w:rPr>
              <w:t>合计</w:t>
            </w:r>
          </w:p>
        </w:tc>
        <w:tc>
          <w:tcPr>
            <w:tcW w:w="2768" w:type="dxa"/>
            <w:vAlign w:val="center"/>
          </w:tcPr>
          <w:p w14:paraId="25BB4280">
            <w:pPr>
              <w:jc w:val="right"/>
            </w:pPr>
            <w:r>
              <w:rPr>
                <w:rFonts w:hint="eastAsia"/>
              </w:rPr>
              <w:t>73,288.25</w:t>
            </w:r>
          </w:p>
        </w:tc>
        <w:tc>
          <w:tcPr>
            <w:tcW w:w="2768" w:type="dxa"/>
            <w:vAlign w:val="center"/>
          </w:tcPr>
          <w:p w14:paraId="52D55DDC">
            <w:pPr>
              <w:jc w:val="right"/>
            </w:pPr>
            <w:r>
              <w:rPr>
                <w:rFonts w:hint="eastAsia"/>
              </w:rPr>
              <w:t>11,226.42</w:t>
            </w:r>
          </w:p>
        </w:tc>
      </w:tr>
    </w:tbl>
    <w:p w14:paraId="4792D684">
      <w:pPr>
        <w:pStyle w:val="35"/>
      </w:pPr>
      <w:bookmarkStart w:id="84" w:name="_Toc84"/>
      <w:r>
        <w:t>股票投资收益</w:t>
      </w:r>
      <w:bookmarkEnd w:id="84"/>
    </w:p>
    <w:p w14:paraId="387487D5">
      <w:pPr>
        <w:pStyle w:val="36"/>
      </w:pPr>
      <w:bookmarkStart w:id="85" w:name="_Toc85"/>
      <w:r>
        <w:t>股票投资收益——买卖股票差价收入</w:t>
      </w:r>
      <w:bookmarkEnd w:id="85"/>
    </w:p>
    <w:p w14:paraId="5878A054">
      <w:pPr>
        <w:pStyle w:val="18"/>
        <w:rPr>
          <w:rFonts w:hint="eastAsia"/>
        </w:rPr>
      </w:pPr>
      <w:r>
        <w:rPr>
          <w:rFonts w:hint="eastAsia"/>
        </w:rPr>
        <w:t>无。</w:t>
      </w:r>
    </w:p>
    <w:p w14:paraId="246E597E">
      <w:pPr>
        <w:pStyle w:val="35"/>
      </w:pPr>
      <w:bookmarkStart w:id="86" w:name="_Toc86"/>
      <w:r>
        <w:t>基金投资收益</w:t>
      </w:r>
      <w:bookmarkEnd w:id="86"/>
    </w:p>
    <w:p w14:paraId="086133F1">
      <w:pPr>
        <w:pStyle w:val="18"/>
        <w:rPr>
          <w:rFonts w:hint="eastAsia"/>
        </w:rPr>
      </w:pPr>
      <w:r>
        <w:rPr>
          <w:rFonts w:hint="eastAsia"/>
        </w:rPr>
        <w:t>无。</w:t>
      </w:r>
    </w:p>
    <w:p w14:paraId="742E8936">
      <w:pPr>
        <w:pStyle w:val="35"/>
      </w:pPr>
      <w:bookmarkStart w:id="87" w:name="_Toc87"/>
      <w:r>
        <w:t>债券投资收益</w:t>
      </w:r>
      <w:bookmarkEnd w:id="87"/>
    </w:p>
    <w:p w14:paraId="1AA5FB7D">
      <w:pPr>
        <w:pStyle w:val="36"/>
      </w:pPr>
      <w:bookmarkStart w:id="88" w:name="_Toc88"/>
      <w:r>
        <w:t>债券投资收益项目构成</w:t>
      </w:r>
      <w:bookmarkEnd w:id="88"/>
    </w:p>
    <w:p w14:paraId="118B79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BF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4E65E11">
            <w:pPr>
              <w:jc w:val="center"/>
            </w:pPr>
            <w:r>
              <w:rPr>
                <w:rFonts w:hint="eastAsia"/>
                <w:b/>
              </w:rPr>
              <w:t>项目</w:t>
            </w:r>
          </w:p>
        </w:tc>
        <w:tc>
          <w:tcPr>
            <w:tcW w:w="2469" w:type="dxa"/>
            <w:shd w:val="clear" w:color="auto" w:fill="BFBFBF"/>
            <w:vAlign w:val="center"/>
          </w:tcPr>
          <w:p w14:paraId="08E1C56D">
            <w:pPr>
              <w:jc w:val="center"/>
            </w:pPr>
            <w:r>
              <w:rPr>
                <w:rFonts w:hint="eastAsia"/>
                <w:b/>
              </w:rPr>
              <w:t>本期2025年1月1日至2025年12月31日</w:t>
            </w:r>
          </w:p>
        </w:tc>
        <w:tc>
          <w:tcPr>
            <w:tcW w:w="2801" w:type="dxa"/>
            <w:shd w:val="clear" w:color="auto" w:fill="BFBFBF"/>
            <w:vAlign w:val="center"/>
          </w:tcPr>
          <w:p w14:paraId="15E65C86">
            <w:pPr>
              <w:jc w:val="center"/>
            </w:pPr>
            <w:r>
              <w:rPr>
                <w:rFonts w:hint="eastAsia"/>
                <w:b/>
              </w:rPr>
              <w:t>上年度可比期间2024年1月1日至2024年12月31日</w:t>
            </w:r>
          </w:p>
        </w:tc>
      </w:tr>
      <w:tr w14:paraId="3974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EFA446">
            <w:r>
              <w:rPr>
                <w:rFonts w:hint="eastAsia"/>
              </w:rPr>
              <w:t>债券投资收益——利息收入</w:t>
            </w:r>
          </w:p>
        </w:tc>
        <w:tc>
          <w:tcPr>
            <w:tcW w:w="2469" w:type="dxa"/>
            <w:vAlign w:val="center"/>
          </w:tcPr>
          <w:p w14:paraId="499CEA02">
            <w:pPr>
              <w:jc w:val="right"/>
            </w:pPr>
            <w:r>
              <w:rPr>
                <w:rFonts w:hint="eastAsia"/>
              </w:rPr>
              <w:t>70,364,140.10</w:t>
            </w:r>
          </w:p>
        </w:tc>
        <w:tc>
          <w:tcPr>
            <w:tcW w:w="2801" w:type="dxa"/>
            <w:vAlign w:val="center"/>
          </w:tcPr>
          <w:p w14:paraId="26A4B198">
            <w:pPr>
              <w:jc w:val="right"/>
            </w:pPr>
            <w:r>
              <w:rPr>
                <w:rFonts w:hint="eastAsia"/>
              </w:rPr>
              <w:t>111,388,623.91</w:t>
            </w:r>
          </w:p>
        </w:tc>
      </w:tr>
      <w:tr w14:paraId="0983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618CEC">
            <w:r>
              <w:rPr>
                <w:rFonts w:hint="eastAsia"/>
              </w:rPr>
              <w:t>债券投资收益——买卖债券（债转股及债券到期兑付）差价收入</w:t>
            </w:r>
          </w:p>
        </w:tc>
        <w:tc>
          <w:tcPr>
            <w:tcW w:w="2469" w:type="dxa"/>
            <w:vAlign w:val="center"/>
          </w:tcPr>
          <w:p w14:paraId="0FDA2ED5">
            <w:pPr>
              <w:jc w:val="right"/>
            </w:pPr>
            <w:r>
              <w:rPr>
                <w:rFonts w:hint="eastAsia"/>
              </w:rPr>
              <w:t>13,372,721.87</w:t>
            </w:r>
          </w:p>
        </w:tc>
        <w:tc>
          <w:tcPr>
            <w:tcW w:w="2801" w:type="dxa"/>
            <w:vAlign w:val="center"/>
          </w:tcPr>
          <w:p w14:paraId="54A592B2">
            <w:pPr>
              <w:jc w:val="right"/>
            </w:pPr>
            <w:r>
              <w:rPr>
                <w:rFonts w:hint="eastAsia"/>
              </w:rPr>
              <w:t>-3,219,546.76</w:t>
            </w:r>
          </w:p>
        </w:tc>
      </w:tr>
      <w:tr w14:paraId="42B3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00979A">
            <w:r>
              <w:rPr>
                <w:rFonts w:hint="eastAsia"/>
              </w:rPr>
              <w:t>债券投资收益——赎回差价收入</w:t>
            </w:r>
          </w:p>
        </w:tc>
        <w:tc>
          <w:tcPr>
            <w:tcW w:w="2469" w:type="dxa"/>
            <w:vAlign w:val="center"/>
          </w:tcPr>
          <w:p w14:paraId="19269BAD">
            <w:pPr>
              <w:jc w:val="right"/>
            </w:pPr>
            <w:r>
              <w:rPr>
                <w:rFonts w:hint="eastAsia"/>
              </w:rPr>
              <w:t>-</w:t>
            </w:r>
          </w:p>
        </w:tc>
        <w:tc>
          <w:tcPr>
            <w:tcW w:w="2801" w:type="dxa"/>
            <w:vAlign w:val="center"/>
          </w:tcPr>
          <w:p w14:paraId="467DF3AB">
            <w:pPr>
              <w:jc w:val="right"/>
            </w:pPr>
            <w:r>
              <w:rPr>
                <w:rFonts w:hint="eastAsia"/>
              </w:rPr>
              <w:t>-</w:t>
            </w:r>
          </w:p>
        </w:tc>
      </w:tr>
      <w:tr w14:paraId="1E64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036B8B">
            <w:r>
              <w:rPr>
                <w:rFonts w:hint="eastAsia"/>
              </w:rPr>
              <w:t>债券投资收益——申购差价收入</w:t>
            </w:r>
          </w:p>
        </w:tc>
        <w:tc>
          <w:tcPr>
            <w:tcW w:w="2469" w:type="dxa"/>
            <w:vAlign w:val="center"/>
          </w:tcPr>
          <w:p w14:paraId="774D6B65">
            <w:pPr>
              <w:jc w:val="right"/>
            </w:pPr>
            <w:r>
              <w:rPr>
                <w:rFonts w:hint="eastAsia"/>
              </w:rPr>
              <w:t>-</w:t>
            </w:r>
          </w:p>
        </w:tc>
        <w:tc>
          <w:tcPr>
            <w:tcW w:w="2801" w:type="dxa"/>
            <w:vAlign w:val="center"/>
          </w:tcPr>
          <w:p w14:paraId="45BEDB53">
            <w:pPr>
              <w:jc w:val="right"/>
            </w:pPr>
            <w:r>
              <w:rPr>
                <w:rFonts w:hint="eastAsia"/>
              </w:rPr>
              <w:t>-</w:t>
            </w:r>
          </w:p>
        </w:tc>
      </w:tr>
      <w:tr w14:paraId="1A8A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5FACA5">
            <w:r>
              <w:rPr>
                <w:rFonts w:hint="eastAsia"/>
              </w:rPr>
              <w:t>合计</w:t>
            </w:r>
          </w:p>
        </w:tc>
        <w:tc>
          <w:tcPr>
            <w:tcW w:w="2469" w:type="dxa"/>
            <w:vAlign w:val="center"/>
          </w:tcPr>
          <w:p w14:paraId="7E31484D">
            <w:pPr>
              <w:jc w:val="right"/>
            </w:pPr>
            <w:r>
              <w:rPr>
                <w:rFonts w:hint="eastAsia"/>
              </w:rPr>
              <w:t>83,736,861.97</w:t>
            </w:r>
          </w:p>
        </w:tc>
        <w:tc>
          <w:tcPr>
            <w:tcW w:w="2801" w:type="dxa"/>
            <w:vAlign w:val="center"/>
          </w:tcPr>
          <w:p w14:paraId="3F88E5B4">
            <w:pPr>
              <w:jc w:val="right"/>
            </w:pPr>
            <w:r>
              <w:rPr>
                <w:rFonts w:hint="eastAsia"/>
              </w:rPr>
              <w:t>108,169,077.15</w:t>
            </w:r>
          </w:p>
        </w:tc>
      </w:tr>
    </w:tbl>
    <w:p w14:paraId="0E80A3EC">
      <w:pPr>
        <w:pStyle w:val="36"/>
      </w:pPr>
      <w:bookmarkStart w:id="89" w:name="_Toc89"/>
      <w:r>
        <w:t>债券投资收益——买卖债券差价收入</w:t>
      </w:r>
      <w:bookmarkEnd w:id="89"/>
    </w:p>
    <w:p w14:paraId="3DF204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D5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54F22E">
            <w:pPr>
              <w:jc w:val="center"/>
            </w:pPr>
            <w:r>
              <w:rPr>
                <w:rFonts w:hint="eastAsia"/>
                <w:b/>
              </w:rPr>
              <w:t>项目</w:t>
            </w:r>
          </w:p>
        </w:tc>
        <w:tc>
          <w:tcPr>
            <w:tcW w:w="2768" w:type="dxa"/>
            <w:shd w:val="clear" w:color="auto" w:fill="BFBFBF"/>
            <w:vAlign w:val="center"/>
          </w:tcPr>
          <w:p w14:paraId="781DC8B7">
            <w:pPr>
              <w:jc w:val="center"/>
            </w:pPr>
            <w:r>
              <w:rPr>
                <w:rFonts w:hint="eastAsia"/>
                <w:b/>
              </w:rPr>
              <w:t>本期2025年1月1日至2025年12月31日</w:t>
            </w:r>
          </w:p>
        </w:tc>
        <w:tc>
          <w:tcPr>
            <w:tcW w:w="2768" w:type="dxa"/>
            <w:shd w:val="clear" w:color="auto" w:fill="BFBFBF"/>
            <w:vAlign w:val="center"/>
          </w:tcPr>
          <w:p w14:paraId="44311B21">
            <w:pPr>
              <w:jc w:val="center"/>
            </w:pPr>
            <w:r>
              <w:rPr>
                <w:rFonts w:hint="eastAsia"/>
                <w:b/>
              </w:rPr>
              <w:t>上年度可比期间2024年1月1日至2024年12月31日</w:t>
            </w:r>
          </w:p>
        </w:tc>
      </w:tr>
      <w:tr w14:paraId="65C7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F3B01">
            <w:r>
              <w:rPr>
                <w:rFonts w:hint="eastAsia"/>
              </w:rPr>
              <w:t>卖出债券（债转股及债券到期兑付）成交总额</w:t>
            </w:r>
          </w:p>
        </w:tc>
        <w:tc>
          <w:tcPr>
            <w:tcW w:w="2768" w:type="dxa"/>
            <w:vAlign w:val="center"/>
          </w:tcPr>
          <w:p w14:paraId="65EAE663">
            <w:pPr>
              <w:jc w:val="right"/>
            </w:pPr>
            <w:r>
              <w:rPr>
                <w:rFonts w:hint="eastAsia"/>
              </w:rPr>
              <w:t>7,007,929,025.41</w:t>
            </w:r>
          </w:p>
        </w:tc>
        <w:tc>
          <w:tcPr>
            <w:tcW w:w="2768" w:type="dxa"/>
            <w:vAlign w:val="center"/>
          </w:tcPr>
          <w:p w14:paraId="51AFABA3">
            <w:pPr>
              <w:jc w:val="right"/>
            </w:pPr>
            <w:r>
              <w:rPr>
                <w:rFonts w:hint="eastAsia"/>
              </w:rPr>
              <w:t>3,081,198,623.56</w:t>
            </w:r>
          </w:p>
        </w:tc>
      </w:tr>
      <w:tr w14:paraId="0B70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EDEC8">
            <w:r>
              <w:rPr>
                <w:rFonts w:hint="eastAsia"/>
              </w:rPr>
              <w:t>减：卖出债券（债转股及债券到期兑付）成本总额</w:t>
            </w:r>
          </w:p>
        </w:tc>
        <w:tc>
          <w:tcPr>
            <w:tcW w:w="2768" w:type="dxa"/>
            <w:vAlign w:val="center"/>
          </w:tcPr>
          <w:p w14:paraId="0925DED2">
            <w:pPr>
              <w:jc w:val="right"/>
            </w:pPr>
            <w:r>
              <w:rPr>
                <w:rFonts w:hint="eastAsia"/>
              </w:rPr>
              <w:t>6,891,716,668.84</w:t>
            </w:r>
          </w:p>
        </w:tc>
        <w:tc>
          <w:tcPr>
            <w:tcW w:w="2768" w:type="dxa"/>
            <w:vAlign w:val="center"/>
          </w:tcPr>
          <w:p w14:paraId="38B3D265">
            <w:pPr>
              <w:jc w:val="right"/>
            </w:pPr>
            <w:r>
              <w:rPr>
                <w:rFonts w:hint="eastAsia"/>
              </w:rPr>
              <w:t>3,026,076,709.79</w:t>
            </w:r>
          </w:p>
        </w:tc>
      </w:tr>
      <w:tr w14:paraId="4A07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9B3B3">
            <w:r>
              <w:rPr>
                <w:rFonts w:hint="eastAsia"/>
              </w:rPr>
              <w:t>减：应计利息总额</w:t>
            </w:r>
          </w:p>
        </w:tc>
        <w:tc>
          <w:tcPr>
            <w:tcW w:w="2768" w:type="dxa"/>
            <w:vAlign w:val="center"/>
          </w:tcPr>
          <w:p w14:paraId="049FA9C5">
            <w:pPr>
              <w:jc w:val="right"/>
            </w:pPr>
            <w:r>
              <w:rPr>
                <w:rFonts w:hint="eastAsia"/>
              </w:rPr>
              <w:t>102,799,204.70</w:t>
            </w:r>
          </w:p>
        </w:tc>
        <w:tc>
          <w:tcPr>
            <w:tcW w:w="2768" w:type="dxa"/>
            <w:vAlign w:val="center"/>
          </w:tcPr>
          <w:p w14:paraId="4F55424F">
            <w:pPr>
              <w:jc w:val="right"/>
            </w:pPr>
            <w:r>
              <w:rPr>
                <w:rFonts w:hint="eastAsia"/>
              </w:rPr>
              <w:t>58,311,535.53</w:t>
            </w:r>
          </w:p>
        </w:tc>
      </w:tr>
      <w:tr w14:paraId="0F90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0AB4E">
            <w:r>
              <w:rPr>
                <w:rFonts w:hint="eastAsia"/>
              </w:rPr>
              <w:t>减：交易费用</w:t>
            </w:r>
          </w:p>
        </w:tc>
        <w:tc>
          <w:tcPr>
            <w:tcW w:w="2768" w:type="dxa"/>
            <w:vAlign w:val="center"/>
          </w:tcPr>
          <w:p w14:paraId="5B8F98BC">
            <w:pPr>
              <w:jc w:val="right"/>
            </w:pPr>
            <w:r>
              <w:rPr>
                <w:rFonts w:hint="eastAsia"/>
              </w:rPr>
              <w:t>40,430.00</w:t>
            </w:r>
          </w:p>
        </w:tc>
        <w:tc>
          <w:tcPr>
            <w:tcW w:w="2768" w:type="dxa"/>
            <w:vAlign w:val="center"/>
          </w:tcPr>
          <w:p w14:paraId="0FBCFFEA">
            <w:pPr>
              <w:jc w:val="right"/>
            </w:pPr>
            <w:r>
              <w:rPr>
                <w:rFonts w:hint="eastAsia"/>
              </w:rPr>
              <w:t>29,925.00</w:t>
            </w:r>
          </w:p>
        </w:tc>
      </w:tr>
      <w:tr w14:paraId="7112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9444C">
            <w:r>
              <w:rPr>
                <w:rFonts w:hint="eastAsia"/>
              </w:rPr>
              <w:t>买卖债券差价收入</w:t>
            </w:r>
          </w:p>
        </w:tc>
        <w:tc>
          <w:tcPr>
            <w:tcW w:w="2768" w:type="dxa"/>
            <w:vAlign w:val="center"/>
          </w:tcPr>
          <w:p w14:paraId="1453E949">
            <w:pPr>
              <w:jc w:val="right"/>
            </w:pPr>
            <w:r>
              <w:rPr>
                <w:rFonts w:hint="eastAsia"/>
              </w:rPr>
              <w:t>13,372,721.87</w:t>
            </w:r>
          </w:p>
        </w:tc>
        <w:tc>
          <w:tcPr>
            <w:tcW w:w="2768" w:type="dxa"/>
            <w:vAlign w:val="center"/>
          </w:tcPr>
          <w:p w14:paraId="23B0BDAA">
            <w:pPr>
              <w:jc w:val="right"/>
            </w:pPr>
            <w:r>
              <w:rPr>
                <w:rFonts w:hint="eastAsia"/>
              </w:rPr>
              <w:t>-3,219,546.76</w:t>
            </w:r>
          </w:p>
        </w:tc>
      </w:tr>
    </w:tbl>
    <w:p w14:paraId="11D6C7D9">
      <w:pPr>
        <w:pStyle w:val="47"/>
        <w:rPr>
          <w:rFonts w:hint="eastAsia"/>
        </w:rPr>
      </w:pPr>
      <w:r>
        <w:rPr>
          <w:rFonts w:hint="eastAsia"/>
        </w:rPr>
        <w:t>注：上述交易费用（如有）包含债券买卖产生的交易费用。</w:t>
      </w:r>
    </w:p>
    <w:p w14:paraId="25993132">
      <w:pPr>
        <w:pStyle w:val="35"/>
      </w:pPr>
      <w:bookmarkStart w:id="90" w:name="_Toc90"/>
      <w:r>
        <w:t>资产支持证券投资收益</w:t>
      </w:r>
      <w:bookmarkEnd w:id="90"/>
    </w:p>
    <w:p w14:paraId="6077F249">
      <w:pPr>
        <w:pStyle w:val="36"/>
      </w:pPr>
      <w:bookmarkStart w:id="91" w:name="_Toc91"/>
      <w:r>
        <w:t>资产支持证券投资收益——买卖资产支持证券差价收入</w:t>
      </w:r>
      <w:bookmarkEnd w:id="91"/>
    </w:p>
    <w:p w14:paraId="35766E57">
      <w:pPr>
        <w:pStyle w:val="18"/>
        <w:rPr>
          <w:rFonts w:hint="eastAsia"/>
        </w:rPr>
      </w:pPr>
      <w:r>
        <w:rPr>
          <w:rFonts w:hint="eastAsia"/>
        </w:rPr>
        <w:t>无。</w:t>
      </w:r>
    </w:p>
    <w:p w14:paraId="40CE8AA3">
      <w:pPr>
        <w:pStyle w:val="35"/>
      </w:pPr>
      <w:bookmarkStart w:id="92" w:name="_Toc92"/>
      <w:r>
        <w:t>衍生工具收益</w:t>
      </w:r>
      <w:bookmarkEnd w:id="92"/>
    </w:p>
    <w:p w14:paraId="6E5557C1">
      <w:pPr>
        <w:pStyle w:val="36"/>
      </w:pPr>
      <w:bookmarkStart w:id="93" w:name="_Toc93"/>
      <w:r>
        <w:t xml:space="preserve">衍生工具收益——买卖权证差价收入 </w:t>
      </w:r>
      <w:bookmarkEnd w:id="93"/>
    </w:p>
    <w:p w14:paraId="64247A18">
      <w:pPr>
        <w:pStyle w:val="18"/>
        <w:rPr>
          <w:rFonts w:hint="eastAsia"/>
        </w:rPr>
      </w:pPr>
      <w:r>
        <w:rPr>
          <w:rFonts w:hint="eastAsia"/>
        </w:rPr>
        <w:t>无。</w:t>
      </w:r>
    </w:p>
    <w:p w14:paraId="0A399BAA">
      <w:pPr>
        <w:pStyle w:val="36"/>
      </w:pPr>
      <w:bookmarkStart w:id="94" w:name="_Toc94"/>
      <w:r>
        <w:t>衍生工具收益——其他投资收益</w:t>
      </w:r>
      <w:bookmarkEnd w:id="94"/>
    </w:p>
    <w:p w14:paraId="3A38E92A">
      <w:pPr>
        <w:pStyle w:val="18"/>
        <w:rPr>
          <w:rFonts w:hint="eastAsia"/>
        </w:rPr>
      </w:pPr>
      <w:r>
        <w:rPr>
          <w:rFonts w:hint="eastAsia"/>
        </w:rPr>
        <w:t>无。</w:t>
      </w:r>
    </w:p>
    <w:p w14:paraId="2DC9F57B">
      <w:pPr>
        <w:pStyle w:val="35"/>
      </w:pPr>
      <w:bookmarkStart w:id="95" w:name="_Toc95"/>
      <w:r>
        <w:t>股利收益</w:t>
      </w:r>
      <w:bookmarkEnd w:id="95"/>
    </w:p>
    <w:p w14:paraId="31988777">
      <w:pPr>
        <w:pStyle w:val="18"/>
        <w:rPr>
          <w:rFonts w:hint="eastAsia"/>
        </w:rPr>
      </w:pPr>
      <w:r>
        <w:rPr>
          <w:rFonts w:hint="eastAsia"/>
        </w:rPr>
        <w:t>无。</w:t>
      </w:r>
    </w:p>
    <w:p w14:paraId="4964A31C">
      <w:pPr>
        <w:pStyle w:val="35"/>
      </w:pPr>
      <w:bookmarkStart w:id="96" w:name="_Toc96"/>
      <w:r>
        <w:t>公允价值变动收益</w:t>
      </w:r>
      <w:bookmarkEnd w:id="96"/>
    </w:p>
    <w:p w14:paraId="3AE442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7E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266392">
            <w:pPr>
              <w:jc w:val="center"/>
            </w:pPr>
            <w:r>
              <w:rPr>
                <w:rFonts w:hint="eastAsia"/>
                <w:b/>
              </w:rPr>
              <w:t>项目名称</w:t>
            </w:r>
          </w:p>
        </w:tc>
        <w:tc>
          <w:tcPr>
            <w:tcW w:w="2768" w:type="dxa"/>
            <w:shd w:val="clear" w:color="auto" w:fill="BFBFBF"/>
            <w:vAlign w:val="center"/>
          </w:tcPr>
          <w:p w14:paraId="42EA7F3A">
            <w:pPr>
              <w:jc w:val="center"/>
            </w:pPr>
            <w:r>
              <w:rPr>
                <w:rFonts w:hint="eastAsia"/>
                <w:b/>
              </w:rPr>
              <w:t>本期2025年1月1日至2025年12月31日</w:t>
            </w:r>
          </w:p>
        </w:tc>
        <w:tc>
          <w:tcPr>
            <w:tcW w:w="2768" w:type="dxa"/>
            <w:shd w:val="clear" w:color="auto" w:fill="BFBFBF"/>
            <w:vAlign w:val="center"/>
          </w:tcPr>
          <w:p w14:paraId="52C0BEE7">
            <w:pPr>
              <w:jc w:val="center"/>
            </w:pPr>
            <w:r>
              <w:rPr>
                <w:rFonts w:hint="eastAsia"/>
                <w:b/>
              </w:rPr>
              <w:t>上年度可比期间2024年1月1日至2024年12月31日</w:t>
            </w:r>
          </w:p>
        </w:tc>
      </w:tr>
      <w:tr w14:paraId="1AF5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9F889">
            <w:r>
              <w:rPr>
                <w:rFonts w:hint="eastAsia"/>
              </w:rPr>
              <w:t>1.交易性金融资产</w:t>
            </w:r>
          </w:p>
        </w:tc>
        <w:tc>
          <w:tcPr>
            <w:tcW w:w="2768" w:type="dxa"/>
            <w:vAlign w:val="center"/>
          </w:tcPr>
          <w:p w14:paraId="1FA765A6">
            <w:pPr>
              <w:jc w:val="right"/>
            </w:pPr>
            <w:r>
              <w:rPr>
                <w:rFonts w:hint="eastAsia"/>
              </w:rPr>
              <w:t>-60,402,999.26</w:t>
            </w:r>
          </w:p>
        </w:tc>
        <w:tc>
          <w:tcPr>
            <w:tcW w:w="2768" w:type="dxa"/>
            <w:vAlign w:val="center"/>
          </w:tcPr>
          <w:p w14:paraId="68DF3C96">
            <w:pPr>
              <w:jc w:val="right"/>
            </w:pPr>
            <w:r>
              <w:rPr>
                <w:rFonts w:hint="eastAsia"/>
              </w:rPr>
              <w:t>56,419,289.79</w:t>
            </w:r>
          </w:p>
        </w:tc>
      </w:tr>
      <w:tr w14:paraId="5300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5BF1D">
            <w:r>
              <w:rPr>
                <w:rFonts w:hint="eastAsia"/>
              </w:rPr>
              <w:t>——股票投资</w:t>
            </w:r>
          </w:p>
        </w:tc>
        <w:tc>
          <w:tcPr>
            <w:tcW w:w="2768" w:type="dxa"/>
            <w:vAlign w:val="center"/>
          </w:tcPr>
          <w:p w14:paraId="56E0F440">
            <w:pPr>
              <w:jc w:val="right"/>
            </w:pPr>
            <w:r>
              <w:rPr>
                <w:rFonts w:hint="eastAsia"/>
              </w:rPr>
              <w:t>-</w:t>
            </w:r>
          </w:p>
        </w:tc>
        <w:tc>
          <w:tcPr>
            <w:tcW w:w="2768" w:type="dxa"/>
            <w:vAlign w:val="center"/>
          </w:tcPr>
          <w:p w14:paraId="5FCED558">
            <w:pPr>
              <w:jc w:val="right"/>
            </w:pPr>
            <w:r>
              <w:rPr>
                <w:rFonts w:hint="eastAsia"/>
              </w:rPr>
              <w:t>-</w:t>
            </w:r>
          </w:p>
        </w:tc>
      </w:tr>
      <w:tr w14:paraId="168F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658212">
            <w:r>
              <w:rPr>
                <w:rFonts w:hint="eastAsia"/>
              </w:rPr>
              <w:t>——债券投资</w:t>
            </w:r>
          </w:p>
        </w:tc>
        <w:tc>
          <w:tcPr>
            <w:tcW w:w="2768" w:type="dxa"/>
            <w:vAlign w:val="center"/>
          </w:tcPr>
          <w:p w14:paraId="700F6E69">
            <w:pPr>
              <w:jc w:val="right"/>
            </w:pPr>
            <w:r>
              <w:rPr>
                <w:rFonts w:hint="eastAsia"/>
              </w:rPr>
              <w:t>-60,402,999.26</w:t>
            </w:r>
          </w:p>
        </w:tc>
        <w:tc>
          <w:tcPr>
            <w:tcW w:w="2768" w:type="dxa"/>
            <w:vAlign w:val="center"/>
          </w:tcPr>
          <w:p w14:paraId="1B08DD14">
            <w:pPr>
              <w:jc w:val="right"/>
            </w:pPr>
            <w:r>
              <w:rPr>
                <w:rFonts w:hint="eastAsia"/>
              </w:rPr>
              <w:t>56,419,289.79</w:t>
            </w:r>
          </w:p>
        </w:tc>
      </w:tr>
      <w:tr w14:paraId="16B7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8FD32">
            <w:r>
              <w:rPr>
                <w:rFonts w:hint="eastAsia"/>
              </w:rPr>
              <w:t>——资产支持证券投资</w:t>
            </w:r>
          </w:p>
        </w:tc>
        <w:tc>
          <w:tcPr>
            <w:tcW w:w="2768" w:type="dxa"/>
            <w:vAlign w:val="center"/>
          </w:tcPr>
          <w:p w14:paraId="786F407F">
            <w:pPr>
              <w:jc w:val="right"/>
            </w:pPr>
            <w:r>
              <w:rPr>
                <w:rFonts w:hint="eastAsia"/>
              </w:rPr>
              <w:t>-</w:t>
            </w:r>
          </w:p>
        </w:tc>
        <w:tc>
          <w:tcPr>
            <w:tcW w:w="2768" w:type="dxa"/>
            <w:vAlign w:val="center"/>
          </w:tcPr>
          <w:p w14:paraId="4035AA77">
            <w:pPr>
              <w:jc w:val="right"/>
            </w:pPr>
            <w:r>
              <w:rPr>
                <w:rFonts w:hint="eastAsia"/>
              </w:rPr>
              <w:t>-</w:t>
            </w:r>
          </w:p>
        </w:tc>
      </w:tr>
      <w:tr w14:paraId="708C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D9C6E">
            <w:r>
              <w:rPr>
                <w:rFonts w:hint="eastAsia"/>
              </w:rPr>
              <w:t>——贵金属投资</w:t>
            </w:r>
          </w:p>
        </w:tc>
        <w:tc>
          <w:tcPr>
            <w:tcW w:w="2768" w:type="dxa"/>
            <w:vAlign w:val="center"/>
          </w:tcPr>
          <w:p w14:paraId="1B35D3A4">
            <w:pPr>
              <w:jc w:val="right"/>
            </w:pPr>
            <w:r>
              <w:rPr>
                <w:rFonts w:hint="eastAsia"/>
              </w:rPr>
              <w:t>-</w:t>
            </w:r>
          </w:p>
        </w:tc>
        <w:tc>
          <w:tcPr>
            <w:tcW w:w="2768" w:type="dxa"/>
            <w:vAlign w:val="center"/>
          </w:tcPr>
          <w:p w14:paraId="3C58C920">
            <w:pPr>
              <w:jc w:val="right"/>
            </w:pPr>
            <w:r>
              <w:rPr>
                <w:rFonts w:hint="eastAsia"/>
              </w:rPr>
              <w:t>-</w:t>
            </w:r>
          </w:p>
        </w:tc>
      </w:tr>
      <w:tr w14:paraId="7CB2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470FB">
            <w:r>
              <w:rPr>
                <w:rFonts w:hint="eastAsia"/>
              </w:rPr>
              <w:t>——其他</w:t>
            </w:r>
          </w:p>
        </w:tc>
        <w:tc>
          <w:tcPr>
            <w:tcW w:w="2768" w:type="dxa"/>
            <w:vAlign w:val="center"/>
          </w:tcPr>
          <w:p w14:paraId="05E92371">
            <w:pPr>
              <w:jc w:val="right"/>
            </w:pPr>
            <w:r>
              <w:rPr>
                <w:rFonts w:hint="eastAsia"/>
              </w:rPr>
              <w:t>-</w:t>
            </w:r>
          </w:p>
        </w:tc>
        <w:tc>
          <w:tcPr>
            <w:tcW w:w="2768" w:type="dxa"/>
            <w:vAlign w:val="center"/>
          </w:tcPr>
          <w:p w14:paraId="19EED13F">
            <w:pPr>
              <w:jc w:val="right"/>
            </w:pPr>
            <w:r>
              <w:rPr>
                <w:rFonts w:hint="eastAsia"/>
              </w:rPr>
              <w:t>-</w:t>
            </w:r>
          </w:p>
        </w:tc>
      </w:tr>
      <w:tr w14:paraId="4B23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44F86">
            <w:r>
              <w:rPr>
                <w:rFonts w:hint="eastAsia"/>
              </w:rPr>
              <w:t>2.衍生工具</w:t>
            </w:r>
          </w:p>
        </w:tc>
        <w:tc>
          <w:tcPr>
            <w:tcW w:w="2768" w:type="dxa"/>
            <w:vAlign w:val="center"/>
          </w:tcPr>
          <w:p w14:paraId="6CD6633F">
            <w:pPr>
              <w:jc w:val="right"/>
            </w:pPr>
            <w:r>
              <w:rPr>
                <w:rFonts w:hint="eastAsia"/>
              </w:rPr>
              <w:t>-</w:t>
            </w:r>
          </w:p>
        </w:tc>
        <w:tc>
          <w:tcPr>
            <w:tcW w:w="2768" w:type="dxa"/>
            <w:vAlign w:val="center"/>
          </w:tcPr>
          <w:p w14:paraId="391C65CC">
            <w:pPr>
              <w:jc w:val="right"/>
            </w:pPr>
            <w:r>
              <w:rPr>
                <w:rFonts w:hint="eastAsia"/>
              </w:rPr>
              <w:t>-</w:t>
            </w:r>
          </w:p>
        </w:tc>
      </w:tr>
      <w:tr w14:paraId="2365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DB38B">
            <w:r>
              <w:rPr>
                <w:rFonts w:hint="eastAsia"/>
              </w:rPr>
              <w:t>——权证投资</w:t>
            </w:r>
          </w:p>
        </w:tc>
        <w:tc>
          <w:tcPr>
            <w:tcW w:w="2768" w:type="dxa"/>
            <w:vAlign w:val="center"/>
          </w:tcPr>
          <w:p w14:paraId="7F364CDF">
            <w:pPr>
              <w:jc w:val="right"/>
            </w:pPr>
            <w:r>
              <w:rPr>
                <w:rFonts w:hint="eastAsia"/>
              </w:rPr>
              <w:t>-</w:t>
            </w:r>
          </w:p>
        </w:tc>
        <w:tc>
          <w:tcPr>
            <w:tcW w:w="2768" w:type="dxa"/>
            <w:vAlign w:val="center"/>
          </w:tcPr>
          <w:p w14:paraId="31393684">
            <w:pPr>
              <w:jc w:val="right"/>
            </w:pPr>
            <w:r>
              <w:rPr>
                <w:rFonts w:hint="eastAsia"/>
              </w:rPr>
              <w:t>-</w:t>
            </w:r>
          </w:p>
        </w:tc>
      </w:tr>
      <w:tr w14:paraId="685B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ADA2E">
            <w:r>
              <w:rPr>
                <w:rFonts w:hint="eastAsia"/>
              </w:rPr>
              <w:t>——期货投资</w:t>
            </w:r>
          </w:p>
        </w:tc>
        <w:tc>
          <w:tcPr>
            <w:tcW w:w="2768" w:type="dxa"/>
            <w:vAlign w:val="center"/>
          </w:tcPr>
          <w:p w14:paraId="104C70A4">
            <w:pPr>
              <w:jc w:val="right"/>
            </w:pPr>
            <w:r>
              <w:rPr>
                <w:rFonts w:hint="eastAsia"/>
              </w:rPr>
              <w:t>-</w:t>
            </w:r>
          </w:p>
        </w:tc>
        <w:tc>
          <w:tcPr>
            <w:tcW w:w="2768" w:type="dxa"/>
            <w:vAlign w:val="center"/>
          </w:tcPr>
          <w:p w14:paraId="503A0C33">
            <w:pPr>
              <w:jc w:val="right"/>
            </w:pPr>
            <w:r>
              <w:rPr>
                <w:rFonts w:hint="eastAsia"/>
              </w:rPr>
              <w:t>-</w:t>
            </w:r>
          </w:p>
        </w:tc>
      </w:tr>
      <w:tr w14:paraId="09FD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44234">
            <w:r>
              <w:rPr>
                <w:rFonts w:hint="eastAsia"/>
              </w:rPr>
              <w:t>3.其他</w:t>
            </w:r>
          </w:p>
        </w:tc>
        <w:tc>
          <w:tcPr>
            <w:tcW w:w="2768" w:type="dxa"/>
            <w:vAlign w:val="center"/>
          </w:tcPr>
          <w:p w14:paraId="7626E433">
            <w:pPr>
              <w:jc w:val="right"/>
            </w:pPr>
            <w:r>
              <w:rPr>
                <w:rFonts w:hint="eastAsia"/>
              </w:rPr>
              <w:t>-</w:t>
            </w:r>
          </w:p>
        </w:tc>
        <w:tc>
          <w:tcPr>
            <w:tcW w:w="2768" w:type="dxa"/>
            <w:vAlign w:val="center"/>
          </w:tcPr>
          <w:p w14:paraId="0271244B">
            <w:pPr>
              <w:jc w:val="right"/>
            </w:pPr>
            <w:r>
              <w:rPr>
                <w:rFonts w:hint="eastAsia"/>
              </w:rPr>
              <w:t>-</w:t>
            </w:r>
          </w:p>
        </w:tc>
      </w:tr>
      <w:tr w14:paraId="027E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26957">
            <w:r>
              <w:rPr>
                <w:rFonts w:hint="eastAsia"/>
              </w:rPr>
              <w:t>减：应税金融商品公允价值变动产生的预估增值税</w:t>
            </w:r>
          </w:p>
        </w:tc>
        <w:tc>
          <w:tcPr>
            <w:tcW w:w="2768" w:type="dxa"/>
            <w:vAlign w:val="center"/>
          </w:tcPr>
          <w:p w14:paraId="09AD0110">
            <w:pPr>
              <w:jc w:val="right"/>
            </w:pPr>
            <w:r>
              <w:rPr>
                <w:rFonts w:hint="eastAsia"/>
              </w:rPr>
              <w:t>-</w:t>
            </w:r>
          </w:p>
        </w:tc>
        <w:tc>
          <w:tcPr>
            <w:tcW w:w="2768" w:type="dxa"/>
            <w:vAlign w:val="center"/>
          </w:tcPr>
          <w:p w14:paraId="253D6113">
            <w:pPr>
              <w:jc w:val="right"/>
            </w:pPr>
            <w:r>
              <w:rPr>
                <w:rFonts w:hint="eastAsia"/>
              </w:rPr>
              <w:t>-</w:t>
            </w:r>
          </w:p>
        </w:tc>
      </w:tr>
      <w:tr w14:paraId="0B95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ACD9F">
            <w:r>
              <w:rPr>
                <w:rFonts w:hint="eastAsia"/>
              </w:rPr>
              <w:t>合计</w:t>
            </w:r>
          </w:p>
        </w:tc>
        <w:tc>
          <w:tcPr>
            <w:tcW w:w="2768" w:type="dxa"/>
            <w:vAlign w:val="center"/>
          </w:tcPr>
          <w:p w14:paraId="305B0D16">
            <w:pPr>
              <w:jc w:val="right"/>
            </w:pPr>
            <w:r>
              <w:rPr>
                <w:rFonts w:hint="eastAsia"/>
              </w:rPr>
              <w:t>-60,402,999.26</w:t>
            </w:r>
          </w:p>
        </w:tc>
        <w:tc>
          <w:tcPr>
            <w:tcW w:w="2768" w:type="dxa"/>
            <w:vAlign w:val="center"/>
          </w:tcPr>
          <w:p w14:paraId="69EF33A5">
            <w:pPr>
              <w:jc w:val="right"/>
            </w:pPr>
            <w:r>
              <w:rPr>
                <w:rFonts w:hint="eastAsia"/>
              </w:rPr>
              <w:t>56,419,289.79</w:t>
            </w:r>
          </w:p>
        </w:tc>
      </w:tr>
    </w:tbl>
    <w:p w14:paraId="4EACFCF8">
      <w:pPr>
        <w:pStyle w:val="35"/>
      </w:pPr>
      <w:bookmarkStart w:id="97" w:name="_Toc97"/>
      <w:r>
        <w:t>其他收入</w:t>
      </w:r>
      <w:bookmarkEnd w:id="97"/>
    </w:p>
    <w:p w14:paraId="4EC6FC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81A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A27DC7">
            <w:pPr>
              <w:jc w:val="center"/>
            </w:pPr>
            <w:r>
              <w:rPr>
                <w:rFonts w:hint="eastAsia"/>
                <w:b/>
              </w:rPr>
              <w:t>项目</w:t>
            </w:r>
          </w:p>
        </w:tc>
        <w:tc>
          <w:tcPr>
            <w:tcW w:w="2469" w:type="dxa"/>
            <w:shd w:val="clear" w:color="auto" w:fill="BFBFBF"/>
            <w:vAlign w:val="center"/>
          </w:tcPr>
          <w:p w14:paraId="61A714F4">
            <w:pPr>
              <w:jc w:val="center"/>
            </w:pPr>
            <w:r>
              <w:rPr>
                <w:rFonts w:hint="eastAsia"/>
                <w:b/>
              </w:rPr>
              <w:t>本期2025年1月1日至2025年12月31日</w:t>
            </w:r>
          </w:p>
        </w:tc>
        <w:tc>
          <w:tcPr>
            <w:tcW w:w="2801" w:type="dxa"/>
            <w:shd w:val="clear" w:color="auto" w:fill="BFBFBF"/>
            <w:vAlign w:val="center"/>
          </w:tcPr>
          <w:p w14:paraId="2E6A419C">
            <w:pPr>
              <w:jc w:val="center"/>
            </w:pPr>
            <w:r>
              <w:rPr>
                <w:rFonts w:hint="eastAsia"/>
                <w:b/>
              </w:rPr>
              <w:t>上年度可比期间2024年1月1日至2024年12月31日</w:t>
            </w:r>
          </w:p>
        </w:tc>
      </w:tr>
      <w:tr w14:paraId="77CA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C76DFC">
            <w:r>
              <w:rPr>
                <w:rFonts w:hint="eastAsia"/>
              </w:rPr>
              <w:t>基金赎回费收入</w:t>
            </w:r>
          </w:p>
        </w:tc>
        <w:tc>
          <w:tcPr>
            <w:tcW w:w="2469" w:type="dxa"/>
            <w:vAlign w:val="center"/>
          </w:tcPr>
          <w:p w14:paraId="02E0B2FF">
            <w:pPr>
              <w:jc w:val="right"/>
            </w:pPr>
            <w:r>
              <w:rPr>
                <w:rFonts w:hint="eastAsia"/>
              </w:rPr>
              <w:t>2.25</w:t>
            </w:r>
          </w:p>
        </w:tc>
        <w:tc>
          <w:tcPr>
            <w:tcW w:w="2801" w:type="dxa"/>
            <w:vAlign w:val="center"/>
          </w:tcPr>
          <w:p w14:paraId="6B8F213C">
            <w:pPr>
              <w:jc w:val="right"/>
            </w:pPr>
            <w:r>
              <w:rPr>
                <w:rFonts w:hint="eastAsia"/>
              </w:rPr>
              <w:t>-</w:t>
            </w:r>
          </w:p>
        </w:tc>
      </w:tr>
      <w:tr w14:paraId="2162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B79402">
            <w:r>
              <w:rPr>
                <w:rFonts w:hint="eastAsia"/>
              </w:rPr>
              <w:t>合计</w:t>
            </w:r>
          </w:p>
        </w:tc>
        <w:tc>
          <w:tcPr>
            <w:tcW w:w="2469" w:type="dxa"/>
            <w:vAlign w:val="center"/>
          </w:tcPr>
          <w:p w14:paraId="735A1BCA">
            <w:pPr>
              <w:jc w:val="right"/>
            </w:pPr>
            <w:r>
              <w:rPr>
                <w:rFonts w:hint="eastAsia"/>
              </w:rPr>
              <w:t>2.25</w:t>
            </w:r>
          </w:p>
        </w:tc>
        <w:tc>
          <w:tcPr>
            <w:tcW w:w="2801" w:type="dxa"/>
            <w:vAlign w:val="center"/>
          </w:tcPr>
          <w:p w14:paraId="2308C54C">
            <w:pPr>
              <w:jc w:val="right"/>
            </w:pPr>
            <w:r>
              <w:rPr>
                <w:rFonts w:hint="eastAsia"/>
              </w:rPr>
              <w:t>-</w:t>
            </w:r>
          </w:p>
        </w:tc>
      </w:tr>
    </w:tbl>
    <w:p w14:paraId="51FC13E2">
      <w:pPr>
        <w:pStyle w:val="35"/>
      </w:pPr>
      <w:bookmarkStart w:id="98" w:name="_Toc98"/>
      <w:r>
        <w:t>其他费用</w:t>
      </w:r>
      <w:bookmarkEnd w:id="98"/>
    </w:p>
    <w:p w14:paraId="1F43B1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2B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C3ADB1">
            <w:pPr>
              <w:jc w:val="center"/>
            </w:pPr>
            <w:r>
              <w:rPr>
                <w:rFonts w:hint="eastAsia"/>
                <w:b/>
              </w:rPr>
              <w:t>项目</w:t>
            </w:r>
          </w:p>
        </w:tc>
        <w:tc>
          <w:tcPr>
            <w:tcW w:w="2768" w:type="dxa"/>
            <w:shd w:val="clear" w:color="auto" w:fill="BFBFBF"/>
            <w:vAlign w:val="center"/>
          </w:tcPr>
          <w:p w14:paraId="3BDAC838">
            <w:pPr>
              <w:jc w:val="center"/>
            </w:pPr>
            <w:r>
              <w:rPr>
                <w:rFonts w:hint="eastAsia"/>
                <w:b/>
              </w:rPr>
              <w:t>本期2025年1月1日至2025年12月31日</w:t>
            </w:r>
          </w:p>
        </w:tc>
        <w:tc>
          <w:tcPr>
            <w:tcW w:w="2768" w:type="dxa"/>
            <w:shd w:val="clear" w:color="auto" w:fill="BFBFBF"/>
            <w:vAlign w:val="center"/>
          </w:tcPr>
          <w:p w14:paraId="06F482F2">
            <w:pPr>
              <w:jc w:val="center"/>
            </w:pPr>
            <w:r>
              <w:rPr>
                <w:rFonts w:hint="eastAsia"/>
                <w:b/>
              </w:rPr>
              <w:t>上年度可比期间2024年1月1日至2024年12月31日</w:t>
            </w:r>
          </w:p>
        </w:tc>
      </w:tr>
      <w:tr w14:paraId="433B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67A28">
            <w:r>
              <w:rPr>
                <w:rFonts w:hint="eastAsia"/>
              </w:rPr>
              <w:t>审计费用</w:t>
            </w:r>
          </w:p>
        </w:tc>
        <w:tc>
          <w:tcPr>
            <w:tcW w:w="2768" w:type="dxa"/>
            <w:vAlign w:val="center"/>
          </w:tcPr>
          <w:p w14:paraId="4AF0BA5B">
            <w:pPr>
              <w:jc w:val="right"/>
            </w:pPr>
            <w:r>
              <w:rPr>
                <w:rFonts w:hint="eastAsia"/>
              </w:rPr>
              <w:t>40,000.00</w:t>
            </w:r>
          </w:p>
        </w:tc>
        <w:tc>
          <w:tcPr>
            <w:tcW w:w="2768" w:type="dxa"/>
            <w:vAlign w:val="center"/>
          </w:tcPr>
          <w:p w14:paraId="5376A91E">
            <w:pPr>
              <w:jc w:val="right"/>
            </w:pPr>
            <w:r>
              <w:rPr>
                <w:rFonts w:hint="eastAsia"/>
              </w:rPr>
              <w:t>80,000.00</w:t>
            </w:r>
          </w:p>
        </w:tc>
      </w:tr>
      <w:tr w14:paraId="0031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0E3FE">
            <w:r>
              <w:rPr>
                <w:rFonts w:hint="eastAsia"/>
              </w:rPr>
              <w:t>信息披露费</w:t>
            </w:r>
          </w:p>
        </w:tc>
        <w:tc>
          <w:tcPr>
            <w:tcW w:w="2768" w:type="dxa"/>
            <w:vAlign w:val="center"/>
          </w:tcPr>
          <w:p w14:paraId="21006FC3">
            <w:pPr>
              <w:jc w:val="right"/>
            </w:pPr>
            <w:r>
              <w:rPr>
                <w:rFonts w:hint="eastAsia"/>
              </w:rPr>
              <w:t>120,000.00</w:t>
            </w:r>
          </w:p>
        </w:tc>
        <w:tc>
          <w:tcPr>
            <w:tcW w:w="2768" w:type="dxa"/>
            <w:vAlign w:val="center"/>
          </w:tcPr>
          <w:p w14:paraId="7CA90DF9">
            <w:pPr>
              <w:jc w:val="right"/>
            </w:pPr>
            <w:r>
              <w:rPr>
                <w:rFonts w:hint="eastAsia"/>
              </w:rPr>
              <w:t>120,000.00</w:t>
            </w:r>
          </w:p>
        </w:tc>
      </w:tr>
      <w:tr w14:paraId="5215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6273B">
            <w:r>
              <w:rPr>
                <w:rFonts w:hint="eastAsia"/>
              </w:rPr>
              <w:t>证券出借违约金</w:t>
            </w:r>
          </w:p>
        </w:tc>
        <w:tc>
          <w:tcPr>
            <w:tcW w:w="2768" w:type="dxa"/>
            <w:vAlign w:val="center"/>
          </w:tcPr>
          <w:p w14:paraId="3AD88336">
            <w:pPr>
              <w:jc w:val="right"/>
            </w:pPr>
            <w:r>
              <w:rPr>
                <w:rFonts w:hint="eastAsia"/>
              </w:rPr>
              <w:t>-</w:t>
            </w:r>
          </w:p>
        </w:tc>
        <w:tc>
          <w:tcPr>
            <w:tcW w:w="2768" w:type="dxa"/>
            <w:vAlign w:val="center"/>
          </w:tcPr>
          <w:p w14:paraId="198A0B2E">
            <w:pPr>
              <w:jc w:val="right"/>
            </w:pPr>
            <w:r>
              <w:rPr>
                <w:rFonts w:hint="eastAsia"/>
              </w:rPr>
              <w:t>-</w:t>
            </w:r>
          </w:p>
        </w:tc>
      </w:tr>
      <w:tr w14:paraId="62D9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7E4F6">
            <w:r>
              <w:rPr>
                <w:rFonts w:hint="eastAsia"/>
              </w:rPr>
              <w:t>账户维护费</w:t>
            </w:r>
          </w:p>
        </w:tc>
        <w:tc>
          <w:tcPr>
            <w:tcW w:w="2768" w:type="dxa"/>
            <w:vAlign w:val="center"/>
          </w:tcPr>
          <w:p w14:paraId="6A1617B1">
            <w:pPr>
              <w:jc w:val="right"/>
            </w:pPr>
            <w:r>
              <w:rPr>
                <w:rFonts w:hint="eastAsia"/>
              </w:rPr>
              <w:t>46,500.00</w:t>
            </w:r>
          </w:p>
        </w:tc>
        <w:tc>
          <w:tcPr>
            <w:tcW w:w="2768" w:type="dxa"/>
            <w:vAlign w:val="center"/>
          </w:tcPr>
          <w:p w14:paraId="4CAA7EAF">
            <w:pPr>
              <w:jc w:val="right"/>
            </w:pPr>
            <w:r>
              <w:rPr>
                <w:rFonts w:hint="eastAsia"/>
              </w:rPr>
              <w:t>37,200.00</w:t>
            </w:r>
          </w:p>
        </w:tc>
      </w:tr>
      <w:tr w14:paraId="7004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E918F">
            <w:r>
              <w:rPr>
                <w:rFonts w:hint="eastAsia"/>
              </w:rPr>
              <w:t>其他</w:t>
            </w:r>
          </w:p>
        </w:tc>
        <w:tc>
          <w:tcPr>
            <w:tcW w:w="2768" w:type="dxa"/>
            <w:vAlign w:val="center"/>
          </w:tcPr>
          <w:p w14:paraId="569CE704">
            <w:pPr>
              <w:jc w:val="right"/>
            </w:pPr>
            <w:r>
              <w:rPr>
                <w:rFonts w:hint="eastAsia"/>
              </w:rPr>
              <w:t>-</w:t>
            </w:r>
          </w:p>
        </w:tc>
        <w:tc>
          <w:tcPr>
            <w:tcW w:w="2768" w:type="dxa"/>
            <w:vAlign w:val="center"/>
          </w:tcPr>
          <w:p w14:paraId="1FC29F72">
            <w:pPr>
              <w:jc w:val="right"/>
            </w:pPr>
            <w:r>
              <w:rPr>
                <w:rFonts w:hint="eastAsia"/>
              </w:rPr>
              <w:t>50.00</w:t>
            </w:r>
          </w:p>
        </w:tc>
      </w:tr>
      <w:tr w14:paraId="3C89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54107">
            <w:r>
              <w:rPr>
                <w:rFonts w:hint="eastAsia"/>
              </w:rPr>
              <w:t>合计</w:t>
            </w:r>
          </w:p>
        </w:tc>
        <w:tc>
          <w:tcPr>
            <w:tcW w:w="2768" w:type="dxa"/>
            <w:vAlign w:val="center"/>
          </w:tcPr>
          <w:p w14:paraId="112F7C94">
            <w:pPr>
              <w:jc w:val="right"/>
            </w:pPr>
            <w:r>
              <w:rPr>
                <w:rFonts w:hint="eastAsia"/>
              </w:rPr>
              <w:t>206,500.00</w:t>
            </w:r>
          </w:p>
        </w:tc>
        <w:tc>
          <w:tcPr>
            <w:tcW w:w="2768" w:type="dxa"/>
            <w:vAlign w:val="center"/>
          </w:tcPr>
          <w:p w14:paraId="347817CB">
            <w:pPr>
              <w:jc w:val="right"/>
            </w:pPr>
            <w:r>
              <w:rPr>
                <w:rFonts w:hint="eastAsia"/>
              </w:rPr>
              <w:t>237,250.00</w:t>
            </w:r>
          </w:p>
        </w:tc>
      </w:tr>
    </w:tbl>
    <w:p w14:paraId="4F1544B2">
      <w:pPr>
        <w:pStyle w:val="28"/>
      </w:pPr>
      <w:bookmarkStart w:id="99" w:name="_Toc99"/>
      <w:r>
        <w:t>或有事项、资产负债表日后事项的说明</w:t>
      </w:r>
      <w:bookmarkEnd w:id="99"/>
    </w:p>
    <w:p w14:paraId="4DB14B86">
      <w:pPr>
        <w:pStyle w:val="35"/>
      </w:pPr>
      <w:bookmarkStart w:id="100" w:name="_Toc100"/>
      <w:r>
        <w:t>或有事项</w:t>
      </w:r>
      <w:bookmarkEnd w:id="100"/>
    </w:p>
    <w:p w14:paraId="67EA2E7C">
      <w:pPr>
        <w:pStyle w:val="18"/>
        <w:rPr>
          <w:rFonts w:hint="eastAsia"/>
        </w:rPr>
      </w:pPr>
      <w:r>
        <w:rPr>
          <w:rFonts w:hint="eastAsia"/>
        </w:rPr>
        <w:t>无。</w:t>
      </w:r>
    </w:p>
    <w:p w14:paraId="6AC14BF7">
      <w:pPr>
        <w:pStyle w:val="35"/>
      </w:pPr>
      <w:bookmarkStart w:id="101" w:name="_Toc101"/>
      <w:r>
        <w:t>资产负债表日后事项</w:t>
      </w:r>
      <w:bookmarkEnd w:id="101"/>
    </w:p>
    <w:p w14:paraId="7C080E9C">
      <w:pPr>
        <w:pStyle w:val="18"/>
        <w:rPr>
          <w:rFonts w:hint="eastAsia"/>
        </w:rPr>
      </w:pPr>
      <w:r>
        <w:rPr>
          <w:rFonts w:hint="eastAsia"/>
        </w:rPr>
        <w:t>截至财务报告批准报出日，本基金无需要披露的资产负债表日后事项。</w:t>
      </w:r>
    </w:p>
    <w:p w14:paraId="4A4E017C">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1FE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6C4FEC2">
            <w:pPr>
              <w:jc w:val="center"/>
            </w:pPr>
            <w:r>
              <w:rPr>
                <w:rFonts w:hint="eastAsia"/>
                <w:b/>
              </w:rPr>
              <w:t>关联方名称</w:t>
            </w:r>
          </w:p>
        </w:tc>
        <w:tc>
          <w:tcPr>
            <w:tcW w:w="3322" w:type="dxa"/>
            <w:shd w:val="clear" w:color="auto" w:fill="BFBFBF"/>
            <w:vAlign w:val="center"/>
          </w:tcPr>
          <w:p w14:paraId="01201287">
            <w:pPr>
              <w:jc w:val="center"/>
            </w:pPr>
            <w:r>
              <w:rPr>
                <w:rFonts w:hint="eastAsia"/>
                <w:b/>
              </w:rPr>
              <w:t>与本基金的关系</w:t>
            </w:r>
          </w:p>
        </w:tc>
      </w:tr>
      <w:tr w14:paraId="6728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019999">
            <w:r>
              <w:rPr>
                <w:rFonts w:hint="eastAsia"/>
              </w:rPr>
              <w:t>南方基金管理股份有限公司（“南方基金”）</w:t>
            </w:r>
          </w:p>
        </w:tc>
        <w:tc>
          <w:tcPr>
            <w:tcW w:w="3322" w:type="dxa"/>
            <w:vAlign w:val="center"/>
          </w:tcPr>
          <w:p w14:paraId="78BFA245">
            <w:r>
              <w:rPr>
                <w:rFonts w:hint="eastAsia"/>
              </w:rPr>
              <w:t>基金管理人、登记机构、基金销售机构</w:t>
            </w:r>
          </w:p>
        </w:tc>
      </w:tr>
      <w:tr w14:paraId="109A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D60B5B">
            <w:r>
              <w:rPr>
                <w:rFonts w:hint="eastAsia"/>
              </w:rPr>
              <w:t>中国邮政储蓄银行股份有限公司（“中国邮储银行”）</w:t>
            </w:r>
          </w:p>
        </w:tc>
        <w:tc>
          <w:tcPr>
            <w:tcW w:w="3322" w:type="dxa"/>
            <w:vAlign w:val="center"/>
          </w:tcPr>
          <w:p w14:paraId="05DFE972">
            <w:r>
              <w:rPr>
                <w:rFonts w:hint="eastAsia"/>
              </w:rPr>
              <w:t>基金托管人</w:t>
            </w:r>
          </w:p>
        </w:tc>
      </w:tr>
      <w:tr w14:paraId="05DB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E6E09C">
            <w:r>
              <w:rPr>
                <w:rFonts w:hint="eastAsia"/>
              </w:rPr>
              <w:t>华泰证券股份有限公司（“华泰证券”）</w:t>
            </w:r>
          </w:p>
        </w:tc>
        <w:tc>
          <w:tcPr>
            <w:tcW w:w="3322" w:type="dxa"/>
            <w:vAlign w:val="center"/>
          </w:tcPr>
          <w:p w14:paraId="1A240C62">
            <w:r>
              <w:rPr>
                <w:rFonts w:hint="eastAsia"/>
              </w:rPr>
              <w:t>基金管理人的股东、基金销售机构</w:t>
            </w:r>
          </w:p>
        </w:tc>
      </w:tr>
      <w:tr w14:paraId="352C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4313F8">
            <w:r>
              <w:rPr>
                <w:rFonts w:hint="eastAsia"/>
              </w:rPr>
              <w:t>兴业证券股份有限公司（“兴业证券”）</w:t>
            </w:r>
          </w:p>
        </w:tc>
        <w:tc>
          <w:tcPr>
            <w:tcW w:w="3322" w:type="dxa"/>
            <w:vAlign w:val="center"/>
          </w:tcPr>
          <w:p w14:paraId="2D4C624F">
            <w:r>
              <w:rPr>
                <w:rFonts w:hint="eastAsia"/>
              </w:rPr>
              <w:t>基金管理人的股东、基金销售机构</w:t>
            </w:r>
          </w:p>
        </w:tc>
      </w:tr>
      <w:tr w14:paraId="7118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606C70">
            <w:r>
              <w:rPr>
                <w:rFonts w:hint="eastAsia"/>
              </w:rPr>
              <w:t>南方资本管理有限公司（“南方资本”）</w:t>
            </w:r>
          </w:p>
        </w:tc>
        <w:tc>
          <w:tcPr>
            <w:tcW w:w="3322" w:type="dxa"/>
            <w:vAlign w:val="center"/>
          </w:tcPr>
          <w:p w14:paraId="6671A5B0">
            <w:r>
              <w:rPr>
                <w:rFonts w:hint="eastAsia"/>
              </w:rPr>
              <w:t>基金管理人的子公司</w:t>
            </w:r>
          </w:p>
        </w:tc>
      </w:tr>
      <w:tr w14:paraId="1507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D97D38">
            <w:r>
              <w:rPr>
                <w:rFonts w:hint="eastAsia"/>
              </w:rPr>
              <w:t>南方东英资产管理有限公司（“南方东英”）</w:t>
            </w:r>
          </w:p>
        </w:tc>
        <w:tc>
          <w:tcPr>
            <w:tcW w:w="3322" w:type="dxa"/>
            <w:vAlign w:val="center"/>
          </w:tcPr>
          <w:p w14:paraId="5D24078E">
            <w:r>
              <w:rPr>
                <w:rFonts w:hint="eastAsia"/>
              </w:rPr>
              <w:t>基金管理人的子公司</w:t>
            </w:r>
          </w:p>
        </w:tc>
      </w:tr>
      <w:tr w14:paraId="70D3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CA5CDA">
            <w:r>
              <w:rPr>
                <w:rFonts w:hint="eastAsia"/>
              </w:rPr>
              <w:t>厦门国际信托有限公司（“厦门国际信托”）</w:t>
            </w:r>
          </w:p>
        </w:tc>
        <w:tc>
          <w:tcPr>
            <w:tcW w:w="3322" w:type="dxa"/>
            <w:vAlign w:val="center"/>
          </w:tcPr>
          <w:p w14:paraId="65F8D997">
            <w:r>
              <w:rPr>
                <w:rFonts w:hint="eastAsia"/>
              </w:rPr>
              <w:t>基金管理人的股东</w:t>
            </w:r>
          </w:p>
        </w:tc>
      </w:tr>
      <w:tr w14:paraId="227DA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FDF52A">
            <w:r>
              <w:rPr>
                <w:rFonts w:hint="eastAsia"/>
              </w:rPr>
              <w:t>深圳市投资控股有限公司（“深圳投资控股”）</w:t>
            </w:r>
          </w:p>
        </w:tc>
        <w:tc>
          <w:tcPr>
            <w:tcW w:w="3322" w:type="dxa"/>
            <w:vAlign w:val="center"/>
          </w:tcPr>
          <w:p w14:paraId="423185FD">
            <w:r>
              <w:rPr>
                <w:rFonts w:hint="eastAsia"/>
              </w:rPr>
              <w:t>基金管理人的股东</w:t>
            </w:r>
          </w:p>
        </w:tc>
      </w:tr>
      <w:tr w14:paraId="3181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416ED7">
            <w:r>
              <w:rPr>
                <w:rFonts w:hint="eastAsia"/>
              </w:rPr>
              <w:t>厦门合泽吉企业管理合伙企业（有限合伙）</w:t>
            </w:r>
          </w:p>
        </w:tc>
        <w:tc>
          <w:tcPr>
            <w:tcW w:w="3322" w:type="dxa"/>
            <w:vAlign w:val="center"/>
          </w:tcPr>
          <w:p w14:paraId="545060E4">
            <w:r>
              <w:rPr>
                <w:rFonts w:hint="eastAsia"/>
              </w:rPr>
              <w:t>基金管理人的股东</w:t>
            </w:r>
          </w:p>
        </w:tc>
      </w:tr>
      <w:tr w14:paraId="4E12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C996C8">
            <w:r>
              <w:rPr>
                <w:rFonts w:hint="eastAsia"/>
              </w:rPr>
              <w:t>厦门合泽祥企业管理合伙企业（有限合伙）</w:t>
            </w:r>
          </w:p>
        </w:tc>
        <w:tc>
          <w:tcPr>
            <w:tcW w:w="3322" w:type="dxa"/>
            <w:vAlign w:val="center"/>
          </w:tcPr>
          <w:p w14:paraId="4D8F1C26">
            <w:r>
              <w:rPr>
                <w:rFonts w:hint="eastAsia"/>
              </w:rPr>
              <w:t>基金管理人的股东</w:t>
            </w:r>
          </w:p>
        </w:tc>
      </w:tr>
      <w:tr w14:paraId="1BF2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65EFC9">
            <w:r>
              <w:rPr>
                <w:rFonts w:hint="eastAsia"/>
              </w:rPr>
              <w:t>厦门合泽益企业管理合伙企业（有限合伙）</w:t>
            </w:r>
          </w:p>
        </w:tc>
        <w:tc>
          <w:tcPr>
            <w:tcW w:w="3322" w:type="dxa"/>
            <w:vAlign w:val="center"/>
          </w:tcPr>
          <w:p w14:paraId="2840E673">
            <w:r>
              <w:rPr>
                <w:rFonts w:hint="eastAsia"/>
              </w:rPr>
              <w:t>基金管理人的股东</w:t>
            </w:r>
          </w:p>
        </w:tc>
      </w:tr>
      <w:tr w14:paraId="7348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AEBFC8">
            <w:r>
              <w:rPr>
                <w:rFonts w:hint="eastAsia"/>
              </w:rPr>
              <w:t>厦门合泽盈企业管理合伙企业（有限合伙）</w:t>
            </w:r>
          </w:p>
        </w:tc>
        <w:tc>
          <w:tcPr>
            <w:tcW w:w="3322" w:type="dxa"/>
            <w:vAlign w:val="center"/>
          </w:tcPr>
          <w:p w14:paraId="154FD196">
            <w:r>
              <w:rPr>
                <w:rFonts w:hint="eastAsia"/>
              </w:rPr>
              <w:t>基金管理人的股东</w:t>
            </w:r>
          </w:p>
        </w:tc>
      </w:tr>
    </w:tbl>
    <w:p w14:paraId="6E402304">
      <w:pPr>
        <w:pStyle w:val="47"/>
        <w:rPr>
          <w:rFonts w:hint="eastAsia"/>
        </w:rPr>
      </w:pPr>
      <w:r>
        <w:rPr>
          <w:rFonts w:hint="eastAsia"/>
        </w:rPr>
        <w:t>注：下述关联交易均在正常业务范围内按一般商业条款订立。</w:t>
      </w:r>
    </w:p>
    <w:p w14:paraId="574AA44D">
      <w:pPr>
        <w:pStyle w:val="28"/>
      </w:pPr>
      <w:bookmarkStart w:id="103" w:name="_Toc103"/>
      <w:r>
        <w:t>本报告期及上年度可比期间的关联方交易</w:t>
      </w:r>
      <w:bookmarkEnd w:id="103"/>
    </w:p>
    <w:p w14:paraId="7BEA83EA">
      <w:pPr>
        <w:pStyle w:val="35"/>
      </w:pPr>
      <w:bookmarkStart w:id="104" w:name="_Toc104"/>
      <w:r>
        <w:t>通过关联方交易单元进行的交易</w:t>
      </w:r>
      <w:bookmarkEnd w:id="104"/>
    </w:p>
    <w:p w14:paraId="3FE1E025">
      <w:pPr>
        <w:pStyle w:val="36"/>
      </w:pPr>
      <w:bookmarkStart w:id="105" w:name="_Toc105"/>
      <w:r>
        <w:t>股票交易</w:t>
      </w:r>
      <w:bookmarkEnd w:id="105"/>
    </w:p>
    <w:p w14:paraId="1AF9A74E">
      <w:pPr>
        <w:pStyle w:val="18"/>
        <w:rPr>
          <w:rFonts w:hint="eastAsia"/>
        </w:rPr>
      </w:pPr>
      <w:r>
        <w:rPr>
          <w:rFonts w:hint="eastAsia"/>
        </w:rPr>
        <w:t>无。</w:t>
      </w:r>
    </w:p>
    <w:p w14:paraId="34CECC2C">
      <w:pPr>
        <w:pStyle w:val="36"/>
      </w:pPr>
      <w:bookmarkStart w:id="106" w:name="_Toc106"/>
      <w:r>
        <w:t>债券交易</w:t>
      </w:r>
      <w:bookmarkEnd w:id="106"/>
    </w:p>
    <w:p w14:paraId="59C8E6C5">
      <w:pPr>
        <w:pStyle w:val="18"/>
        <w:rPr>
          <w:rFonts w:hint="eastAsia"/>
        </w:rPr>
      </w:pPr>
      <w:r>
        <w:rPr>
          <w:rFonts w:hint="eastAsia"/>
        </w:rPr>
        <w:t>无。</w:t>
      </w:r>
    </w:p>
    <w:p w14:paraId="007B6CE6">
      <w:pPr>
        <w:pStyle w:val="36"/>
      </w:pPr>
      <w:bookmarkStart w:id="107" w:name="_Toc107"/>
      <w:r>
        <w:t>债券回购交易</w:t>
      </w:r>
      <w:bookmarkEnd w:id="107"/>
    </w:p>
    <w:p w14:paraId="7939D1BD">
      <w:pPr>
        <w:pStyle w:val="18"/>
        <w:rPr>
          <w:rFonts w:hint="eastAsia"/>
        </w:rPr>
      </w:pPr>
      <w:r>
        <w:rPr>
          <w:rFonts w:hint="eastAsia"/>
        </w:rPr>
        <w:t>无。</w:t>
      </w:r>
    </w:p>
    <w:p w14:paraId="483B61A8">
      <w:pPr>
        <w:pStyle w:val="36"/>
      </w:pPr>
      <w:bookmarkStart w:id="108" w:name="_Toc108"/>
      <w:r>
        <w:t>基金交易</w:t>
      </w:r>
      <w:bookmarkEnd w:id="108"/>
    </w:p>
    <w:p w14:paraId="639E0081">
      <w:pPr>
        <w:pStyle w:val="18"/>
        <w:rPr>
          <w:rFonts w:hint="eastAsia"/>
        </w:rPr>
      </w:pPr>
      <w:r>
        <w:rPr>
          <w:rFonts w:hint="eastAsia"/>
        </w:rPr>
        <w:t>无。</w:t>
      </w:r>
    </w:p>
    <w:p w14:paraId="273C28FA">
      <w:pPr>
        <w:pStyle w:val="36"/>
      </w:pPr>
      <w:bookmarkStart w:id="109" w:name="_Toc109"/>
      <w:r>
        <w:t>权证交易</w:t>
      </w:r>
      <w:bookmarkEnd w:id="109"/>
    </w:p>
    <w:p w14:paraId="62F110AA">
      <w:pPr>
        <w:pStyle w:val="18"/>
        <w:rPr>
          <w:rFonts w:hint="eastAsia"/>
        </w:rPr>
      </w:pPr>
      <w:r>
        <w:rPr>
          <w:rFonts w:hint="eastAsia"/>
        </w:rPr>
        <w:t>无。</w:t>
      </w:r>
    </w:p>
    <w:p w14:paraId="3E62725C">
      <w:pPr>
        <w:pStyle w:val="36"/>
      </w:pPr>
      <w:bookmarkStart w:id="110" w:name="_Toc110"/>
      <w:r>
        <w:t>应支付关联方的佣金</w:t>
      </w:r>
      <w:bookmarkEnd w:id="110"/>
    </w:p>
    <w:p w14:paraId="1760611B">
      <w:pPr>
        <w:pStyle w:val="18"/>
        <w:rPr>
          <w:rFonts w:hint="eastAsia"/>
        </w:rPr>
      </w:pPr>
      <w:r>
        <w:rPr>
          <w:rFonts w:hint="eastAsia"/>
        </w:rPr>
        <w:t>无。</w:t>
      </w:r>
    </w:p>
    <w:p w14:paraId="4251F754">
      <w:pPr>
        <w:pStyle w:val="35"/>
      </w:pPr>
      <w:bookmarkStart w:id="111" w:name="_Toc111"/>
      <w:r>
        <w:t>关联方报酬</w:t>
      </w:r>
      <w:bookmarkEnd w:id="111"/>
    </w:p>
    <w:p w14:paraId="5567CFD3">
      <w:pPr>
        <w:pStyle w:val="36"/>
      </w:pPr>
      <w:bookmarkStart w:id="112" w:name="_Toc112"/>
      <w:r>
        <w:t>基金管理费</w:t>
      </w:r>
      <w:bookmarkEnd w:id="112"/>
    </w:p>
    <w:p w14:paraId="681513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6E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8433B54">
            <w:pPr>
              <w:jc w:val="center"/>
            </w:pPr>
            <w:r>
              <w:rPr>
                <w:rFonts w:hint="eastAsia"/>
                <w:b/>
              </w:rPr>
              <w:t>项目</w:t>
            </w:r>
          </w:p>
        </w:tc>
        <w:tc>
          <w:tcPr>
            <w:tcW w:w="2768" w:type="dxa"/>
            <w:shd w:val="clear" w:color="auto" w:fill="BFBFBF"/>
            <w:vAlign w:val="center"/>
          </w:tcPr>
          <w:p w14:paraId="243D03C9">
            <w:pPr>
              <w:jc w:val="center"/>
            </w:pPr>
            <w:r>
              <w:rPr>
                <w:rFonts w:hint="eastAsia"/>
                <w:b/>
              </w:rPr>
              <w:t>本期2025年1月1日至2025年12月31日</w:t>
            </w:r>
          </w:p>
        </w:tc>
        <w:tc>
          <w:tcPr>
            <w:tcW w:w="2768" w:type="dxa"/>
            <w:shd w:val="clear" w:color="auto" w:fill="BFBFBF"/>
            <w:vAlign w:val="center"/>
          </w:tcPr>
          <w:p w14:paraId="6B1E1D58">
            <w:pPr>
              <w:jc w:val="center"/>
            </w:pPr>
            <w:r>
              <w:rPr>
                <w:rFonts w:hint="eastAsia"/>
                <w:b/>
              </w:rPr>
              <w:t>上年度可比期间2024年1月1日至2024年12月31日</w:t>
            </w:r>
          </w:p>
        </w:tc>
      </w:tr>
      <w:tr w14:paraId="1D0F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DF86E">
            <w:r>
              <w:rPr>
                <w:rFonts w:hint="eastAsia"/>
              </w:rPr>
              <w:t>当期发生的基金应支付的管理费</w:t>
            </w:r>
          </w:p>
        </w:tc>
        <w:tc>
          <w:tcPr>
            <w:tcW w:w="2768" w:type="dxa"/>
            <w:vAlign w:val="center"/>
          </w:tcPr>
          <w:p w14:paraId="688F1351">
            <w:pPr>
              <w:jc w:val="right"/>
            </w:pPr>
            <w:r>
              <w:rPr>
                <w:rFonts w:hint="eastAsia"/>
              </w:rPr>
              <w:t>6,992,245.23</w:t>
            </w:r>
          </w:p>
        </w:tc>
        <w:tc>
          <w:tcPr>
            <w:tcW w:w="2768" w:type="dxa"/>
            <w:vAlign w:val="center"/>
          </w:tcPr>
          <w:p w14:paraId="673909BA">
            <w:pPr>
              <w:jc w:val="right"/>
            </w:pPr>
            <w:r>
              <w:rPr>
                <w:rFonts w:hint="eastAsia"/>
              </w:rPr>
              <w:t>9,418,007.49</w:t>
            </w:r>
          </w:p>
        </w:tc>
      </w:tr>
      <w:tr w14:paraId="74E7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741FA">
            <w:r>
              <w:rPr>
                <w:rFonts w:hint="eastAsia"/>
              </w:rPr>
              <w:t>其中：应支付销售机构的客户维护费</w:t>
            </w:r>
          </w:p>
        </w:tc>
        <w:tc>
          <w:tcPr>
            <w:tcW w:w="2768" w:type="dxa"/>
            <w:vAlign w:val="center"/>
          </w:tcPr>
          <w:p w14:paraId="3A620C32">
            <w:pPr>
              <w:jc w:val="right"/>
            </w:pPr>
            <w:r>
              <w:rPr>
                <w:rFonts w:hint="eastAsia"/>
              </w:rPr>
              <w:t>3.17</w:t>
            </w:r>
          </w:p>
        </w:tc>
        <w:tc>
          <w:tcPr>
            <w:tcW w:w="2768" w:type="dxa"/>
            <w:vAlign w:val="center"/>
          </w:tcPr>
          <w:p w14:paraId="1D750ECF">
            <w:pPr>
              <w:jc w:val="right"/>
            </w:pPr>
            <w:r>
              <w:rPr>
                <w:rFonts w:hint="eastAsia"/>
              </w:rPr>
              <w:t>-</w:t>
            </w:r>
          </w:p>
        </w:tc>
      </w:tr>
      <w:tr w14:paraId="333B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57AAB">
            <w:r>
              <w:rPr>
                <w:rFonts w:hint="eastAsia"/>
              </w:rPr>
              <w:t xml:space="preserve">      应支付基金管理人的净管理费</w:t>
            </w:r>
          </w:p>
        </w:tc>
        <w:tc>
          <w:tcPr>
            <w:tcW w:w="2768" w:type="dxa"/>
            <w:vAlign w:val="center"/>
          </w:tcPr>
          <w:p w14:paraId="75A80DA7">
            <w:pPr>
              <w:jc w:val="right"/>
            </w:pPr>
            <w:r>
              <w:rPr>
                <w:rFonts w:hint="eastAsia"/>
              </w:rPr>
              <w:t>6,992,242.06</w:t>
            </w:r>
          </w:p>
        </w:tc>
        <w:tc>
          <w:tcPr>
            <w:tcW w:w="2768" w:type="dxa"/>
            <w:vAlign w:val="center"/>
          </w:tcPr>
          <w:p w14:paraId="4ED96F35">
            <w:pPr>
              <w:jc w:val="right"/>
            </w:pPr>
            <w:r>
              <w:rPr>
                <w:rFonts w:hint="eastAsia"/>
              </w:rPr>
              <w:t>9,418,007.49</w:t>
            </w:r>
          </w:p>
        </w:tc>
      </w:tr>
    </w:tbl>
    <w:p w14:paraId="77B28DF6">
      <w:pPr>
        <w:pStyle w:val="47"/>
        <w:rPr>
          <w:rFonts w:hint="eastAsia"/>
        </w:rPr>
      </w:pPr>
      <w:r>
        <w:rPr>
          <w:rFonts w:hint="eastAsia"/>
        </w:rPr>
        <w:t>注：支付基金管理人南方基金的管理人报酬按前一日基金资产净值0.30%的年费率计提，逐日累计至每月月底，按月支付。其计算公式为：</w:t>
      </w:r>
    </w:p>
    <w:p w14:paraId="5C147DEB">
      <w:pPr>
        <w:pStyle w:val="47"/>
        <w:rPr>
          <w:rFonts w:hint="eastAsia"/>
        </w:rPr>
      </w:pPr>
      <w:r>
        <w:tab/>
      </w:r>
      <w:r>
        <w:rPr>
          <w:rFonts w:hint="eastAsia"/>
        </w:rPr>
        <w:t>日管理人报酬＝前一日基金资产净值×0.30%÷当年天数。</w:t>
      </w:r>
    </w:p>
    <w:p w14:paraId="583C7BA3">
      <w:pPr>
        <w:pStyle w:val="36"/>
      </w:pPr>
      <w:bookmarkStart w:id="113" w:name="_Toc113"/>
      <w:r>
        <w:t>基金托管费</w:t>
      </w:r>
      <w:bookmarkEnd w:id="113"/>
    </w:p>
    <w:p w14:paraId="4F461F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65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17762F">
            <w:pPr>
              <w:jc w:val="center"/>
            </w:pPr>
            <w:r>
              <w:rPr>
                <w:rFonts w:hint="eastAsia"/>
                <w:b/>
              </w:rPr>
              <w:t>项目</w:t>
            </w:r>
          </w:p>
        </w:tc>
        <w:tc>
          <w:tcPr>
            <w:tcW w:w="2768" w:type="dxa"/>
            <w:shd w:val="clear" w:color="auto" w:fill="BFBFBF"/>
            <w:vAlign w:val="center"/>
          </w:tcPr>
          <w:p w14:paraId="65225471">
            <w:pPr>
              <w:jc w:val="center"/>
            </w:pPr>
            <w:r>
              <w:rPr>
                <w:rFonts w:hint="eastAsia"/>
                <w:b/>
              </w:rPr>
              <w:t>本期2025年1月1日至2025年12月31日</w:t>
            </w:r>
          </w:p>
        </w:tc>
        <w:tc>
          <w:tcPr>
            <w:tcW w:w="2768" w:type="dxa"/>
            <w:shd w:val="clear" w:color="auto" w:fill="BFBFBF"/>
            <w:vAlign w:val="center"/>
          </w:tcPr>
          <w:p w14:paraId="7741E4A2">
            <w:pPr>
              <w:jc w:val="center"/>
            </w:pPr>
            <w:r>
              <w:rPr>
                <w:rFonts w:hint="eastAsia"/>
                <w:b/>
              </w:rPr>
              <w:t>上年度可比期间2024年1月1日至2024年12月31日</w:t>
            </w:r>
          </w:p>
        </w:tc>
      </w:tr>
      <w:tr w14:paraId="1465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A4BC4">
            <w:r>
              <w:rPr>
                <w:rFonts w:hint="eastAsia"/>
              </w:rPr>
              <w:t>当期发生的基金应支付的托管费</w:t>
            </w:r>
          </w:p>
        </w:tc>
        <w:tc>
          <w:tcPr>
            <w:tcW w:w="2768" w:type="dxa"/>
            <w:vAlign w:val="center"/>
          </w:tcPr>
          <w:p w14:paraId="1D893A73">
            <w:pPr>
              <w:jc w:val="right"/>
            </w:pPr>
            <w:r>
              <w:rPr>
                <w:rFonts w:hint="eastAsia"/>
              </w:rPr>
              <w:t>2,330,748.44</w:t>
            </w:r>
          </w:p>
        </w:tc>
        <w:tc>
          <w:tcPr>
            <w:tcW w:w="2768" w:type="dxa"/>
            <w:vAlign w:val="center"/>
          </w:tcPr>
          <w:p w14:paraId="63E65353">
            <w:pPr>
              <w:jc w:val="right"/>
            </w:pPr>
            <w:r>
              <w:rPr>
                <w:rFonts w:hint="eastAsia"/>
              </w:rPr>
              <w:t>3,139,335.84</w:t>
            </w:r>
          </w:p>
        </w:tc>
      </w:tr>
    </w:tbl>
    <w:p w14:paraId="1875A352">
      <w:pPr>
        <w:pStyle w:val="47"/>
        <w:rPr>
          <w:rFonts w:hint="eastAsia"/>
        </w:rPr>
      </w:pPr>
      <w:r>
        <w:rPr>
          <w:rFonts w:hint="eastAsia"/>
        </w:rPr>
        <w:t>注：支付基金托管人的托管费按前一日基金资产净值0.10%的年费率计提，逐日累计至每月月底，按月支付。其计算公式为：</w:t>
      </w:r>
    </w:p>
    <w:p w14:paraId="52FD2D2B">
      <w:pPr>
        <w:pStyle w:val="47"/>
        <w:rPr>
          <w:rFonts w:hint="eastAsia"/>
        </w:rPr>
      </w:pPr>
      <w:r>
        <w:tab/>
      </w:r>
      <w:r>
        <w:rPr>
          <w:rFonts w:hint="eastAsia"/>
        </w:rPr>
        <w:t>日托管费＝前一日基金资产净值×0.10%÷当年天数。</w:t>
      </w:r>
    </w:p>
    <w:p w14:paraId="0A31B570">
      <w:pPr>
        <w:pStyle w:val="36"/>
      </w:pPr>
      <w:bookmarkStart w:id="114" w:name="_Toc114"/>
      <w:r>
        <w:t>销售服务费</w:t>
      </w:r>
      <w:bookmarkEnd w:id="114"/>
    </w:p>
    <w:p w14:paraId="7F71E2BC">
      <w:pPr>
        <w:pStyle w:val="18"/>
        <w:rPr>
          <w:rFonts w:hint="eastAsia"/>
        </w:rPr>
      </w:pPr>
      <w:r>
        <w:rPr>
          <w:rFonts w:hint="eastAsia"/>
        </w:rPr>
        <w:t>无。</w:t>
      </w:r>
    </w:p>
    <w:p w14:paraId="16AEA71F">
      <w:pPr>
        <w:pStyle w:val="35"/>
      </w:pPr>
      <w:bookmarkStart w:id="115" w:name="_Toc115"/>
      <w:r>
        <w:t>与关联方进行银行间同业市场的债券（含回购）交易</w:t>
      </w:r>
      <w:bookmarkEnd w:id="115"/>
    </w:p>
    <w:p w14:paraId="09331D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572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310A424">
            <w:pPr>
              <w:jc w:val="center"/>
            </w:pPr>
            <w:r>
              <w:rPr>
                <w:rFonts w:hint="eastAsia"/>
                <w:b/>
              </w:rPr>
              <w:t>本期2025年1月1日至2025年12月31日</w:t>
            </w:r>
          </w:p>
        </w:tc>
      </w:tr>
      <w:tr w14:paraId="5E90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351332D">
            <w:pPr>
              <w:jc w:val="center"/>
            </w:pPr>
            <w:r>
              <w:rPr>
                <w:rFonts w:hint="eastAsia"/>
                <w:b/>
              </w:rPr>
              <w:t>银行间市场交易的各关联方名称</w:t>
            </w:r>
          </w:p>
        </w:tc>
        <w:tc>
          <w:tcPr>
            <w:tcW w:w="1502" w:type="dxa"/>
            <w:gridSpan w:val="2"/>
            <w:shd w:val="clear" w:color="auto" w:fill="BFBFBF"/>
            <w:vAlign w:val="center"/>
          </w:tcPr>
          <w:p w14:paraId="1A4805D0">
            <w:pPr>
              <w:jc w:val="center"/>
            </w:pPr>
            <w:r>
              <w:rPr>
                <w:rFonts w:hint="eastAsia"/>
                <w:b/>
              </w:rPr>
              <w:t>债券交易金额</w:t>
            </w:r>
          </w:p>
        </w:tc>
        <w:tc>
          <w:tcPr>
            <w:tcW w:w="1502" w:type="dxa"/>
            <w:gridSpan w:val="2"/>
            <w:shd w:val="clear" w:color="auto" w:fill="BFBFBF"/>
            <w:vAlign w:val="center"/>
          </w:tcPr>
          <w:p w14:paraId="50C1015F">
            <w:pPr>
              <w:jc w:val="center"/>
            </w:pPr>
            <w:r>
              <w:rPr>
                <w:rFonts w:hint="eastAsia"/>
                <w:b/>
              </w:rPr>
              <w:t>基金逆回购</w:t>
            </w:r>
          </w:p>
        </w:tc>
        <w:tc>
          <w:tcPr>
            <w:tcW w:w="883" w:type="dxa"/>
            <w:gridSpan w:val="2"/>
            <w:shd w:val="clear" w:color="auto" w:fill="BFBFBF"/>
            <w:vAlign w:val="center"/>
          </w:tcPr>
          <w:p w14:paraId="40AAA273">
            <w:pPr>
              <w:jc w:val="center"/>
            </w:pPr>
            <w:r>
              <w:rPr>
                <w:rFonts w:hint="eastAsia"/>
                <w:b/>
              </w:rPr>
              <w:t>基金正回购</w:t>
            </w:r>
          </w:p>
        </w:tc>
      </w:tr>
      <w:tr w14:paraId="7148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F42DB5E"/>
        </w:tc>
        <w:tc>
          <w:tcPr>
            <w:tcW w:w="1502" w:type="dxa"/>
            <w:shd w:val="clear" w:color="auto" w:fill="BFBFBF"/>
            <w:vAlign w:val="center"/>
          </w:tcPr>
          <w:p w14:paraId="52A91A23">
            <w:pPr>
              <w:jc w:val="center"/>
            </w:pPr>
            <w:r>
              <w:rPr>
                <w:rFonts w:hint="eastAsia"/>
                <w:b/>
              </w:rPr>
              <w:t>基金买入</w:t>
            </w:r>
          </w:p>
        </w:tc>
        <w:tc>
          <w:tcPr>
            <w:tcW w:w="1502" w:type="dxa"/>
            <w:shd w:val="clear" w:color="auto" w:fill="BFBFBF"/>
            <w:vAlign w:val="center"/>
          </w:tcPr>
          <w:p w14:paraId="551220A5">
            <w:pPr>
              <w:jc w:val="center"/>
            </w:pPr>
            <w:r>
              <w:rPr>
                <w:rFonts w:hint="eastAsia"/>
                <w:b/>
              </w:rPr>
              <w:t>基金卖出</w:t>
            </w:r>
          </w:p>
        </w:tc>
        <w:tc>
          <w:tcPr>
            <w:tcW w:w="1502" w:type="dxa"/>
            <w:shd w:val="clear" w:color="auto" w:fill="BFBFBF"/>
            <w:vAlign w:val="center"/>
          </w:tcPr>
          <w:p w14:paraId="6D8A6C93">
            <w:pPr>
              <w:jc w:val="center"/>
            </w:pPr>
            <w:r>
              <w:rPr>
                <w:rFonts w:hint="eastAsia"/>
                <w:b/>
              </w:rPr>
              <w:t>交易金额</w:t>
            </w:r>
          </w:p>
        </w:tc>
        <w:tc>
          <w:tcPr>
            <w:tcW w:w="1502" w:type="dxa"/>
            <w:shd w:val="clear" w:color="auto" w:fill="BFBFBF"/>
            <w:vAlign w:val="center"/>
          </w:tcPr>
          <w:p w14:paraId="033026F5">
            <w:pPr>
              <w:jc w:val="center"/>
            </w:pPr>
            <w:r>
              <w:rPr>
                <w:rFonts w:hint="eastAsia"/>
                <w:b/>
              </w:rPr>
              <w:t>利息收入</w:t>
            </w:r>
          </w:p>
        </w:tc>
        <w:tc>
          <w:tcPr>
            <w:tcW w:w="883" w:type="dxa"/>
            <w:shd w:val="clear" w:color="auto" w:fill="BFBFBF"/>
            <w:vAlign w:val="center"/>
          </w:tcPr>
          <w:p w14:paraId="7D6B0B7C">
            <w:pPr>
              <w:jc w:val="center"/>
            </w:pPr>
            <w:r>
              <w:rPr>
                <w:rFonts w:hint="eastAsia"/>
                <w:b/>
              </w:rPr>
              <w:t>交易金额</w:t>
            </w:r>
          </w:p>
        </w:tc>
        <w:tc>
          <w:tcPr>
            <w:tcW w:w="883" w:type="dxa"/>
            <w:shd w:val="clear" w:color="auto" w:fill="BFBFBF"/>
            <w:vAlign w:val="center"/>
          </w:tcPr>
          <w:p w14:paraId="0E44FCD7">
            <w:pPr>
              <w:jc w:val="center"/>
            </w:pPr>
            <w:r>
              <w:rPr>
                <w:rFonts w:hint="eastAsia"/>
                <w:b/>
              </w:rPr>
              <w:t>利息支出</w:t>
            </w:r>
          </w:p>
        </w:tc>
      </w:tr>
      <w:tr w14:paraId="1123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D59445A">
            <w:r>
              <w:rPr>
                <w:rFonts w:hint="eastAsia"/>
              </w:rPr>
              <w:t>中国邮储银行</w:t>
            </w:r>
          </w:p>
        </w:tc>
        <w:tc>
          <w:tcPr>
            <w:tcW w:w="1502" w:type="dxa"/>
            <w:vAlign w:val="center"/>
          </w:tcPr>
          <w:p w14:paraId="00CF0C39">
            <w:pPr>
              <w:jc w:val="right"/>
            </w:pPr>
            <w:r>
              <w:rPr>
                <w:rFonts w:hint="eastAsia"/>
              </w:rPr>
              <w:t>-</w:t>
            </w:r>
          </w:p>
        </w:tc>
        <w:tc>
          <w:tcPr>
            <w:tcW w:w="1502" w:type="dxa"/>
            <w:vAlign w:val="center"/>
          </w:tcPr>
          <w:p w14:paraId="53FE2D9D">
            <w:pPr>
              <w:jc w:val="right"/>
            </w:pPr>
            <w:r>
              <w:rPr>
                <w:rFonts w:hint="eastAsia"/>
              </w:rPr>
              <w:t>-</w:t>
            </w:r>
          </w:p>
        </w:tc>
        <w:tc>
          <w:tcPr>
            <w:tcW w:w="1502" w:type="dxa"/>
            <w:vAlign w:val="center"/>
          </w:tcPr>
          <w:p w14:paraId="119D558D">
            <w:pPr>
              <w:jc w:val="right"/>
            </w:pPr>
            <w:r>
              <w:rPr>
                <w:rFonts w:hint="eastAsia"/>
              </w:rPr>
              <w:t>-</w:t>
            </w:r>
          </w:p>
        </w:tc>
        <w:tc>
          <w:tcPr>
            <w:tcW w:w="1502" w:type="dxa"/>
            <w:vAlign w:val="center"/>
          </w:tcPr>
          <w:p w14:paraId="614191F5">
            <w:pPr>
              <w:jc w:val="right"/>
            </w:pPr>
            <w:r>
              <w:rPr>
                <w:rFonts w:hint="eastAsia"/>
              </w:rPr>
              <w:t>-</w:t>
            </w:r>
          </w:p>
        </w:tc>
        <w:tc>
          <w:tcPr>
            <w:tcW w:w="883" w:type="dxa"/>
            <w:vAlign w:val="center"/>
          </w:tcPr>
          <w:p w14:paraId="005943B3">
            <w:pPr>
              <w:jc w:val="right"/>
            </w:pPr>
            <w:r>
              <w:rPr>
                <w:rFonts w:hint="eastAsia"/>
              </w:rPr>
              <w:t>426,000,000.00</w:t>
            </w:r>
          </w:p>
        </w:tc>
        <w:tc>
          <w:tcPr>
            <w:tcW w:w="883" w:type="dxa"/>
            <w:vAlign w:val="center"/>
          </w:tcPr>
          <w:p w14:paraId="4A4FB764">
            <w:pPr>
              <w:jc w:val="right"/>
            </w:pPr>
            <w:r>
              <w:rPr>
                <w:rFonts w:hint="eastAsia"/>
              </w:rPr>
              <w:t>35,177.38</w:t>
            </w:r>
          </w:p>
        </w:tc>
      </w:tr>
    </w:tbl>
    <w:p w14:paraId="7813882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F0D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D0B8739">
            <w:pPr>
              <w:jc w:val="center"/>
            </w:pPr>
            <w:r>
              <w:rPr>
                <w:rFonts w:hint="eastAsia"/>
                <w:b/>
              </w:rPr>
              <w:t>上年度可比期间2024年1月1日至2024年12月31日</w:t>
            </w:r>
          </w:p>
        </w:tc>
      </w:tr>
      <w:tr w14:paraId="502B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59F0E8D">
            <w:pPr>
              <w:jc w:val="center"/>
            </w:pPr>
            <w:r>
              <w:rPr>
                <w:rFonts w:hint="eastAsia"/>
                <w:b/>
              </w:rPr>
              <w:t>银行间市场交易的各关联方名称</w:t>
            </w:r>
          </w:p>
        </w:tc>
        <w:tc>
          <w:tcPr>
            <w:tcW w:w="1502" w:type="dxa"/>
            <w:gridSpan w:val="2"/>
            <w:shd w:val="clear" w:color="auto" w:fill="BFBFBF"/>
            <w:vAlign w:val="center"/>
          </w:tcPr>
          <w:p w14:paraId="1DCE27FC">
            <w:pPr>
              <w:jc w:val="center"/>
            </w:pPr>
            <w:r>
              <w:rPr>
                <w:rFonts w:hint="eastAsia"/>
                <w:b/>
              </w:rPr>
              <w:t>债券交易金额</w:t>
            </w:r>
          </w:p>
        </w:tc>
        <w:tc>
          <w:tcPr>
            <w:tcW w:w="1502" w:type="dxa"/>
            <w:gridSpan w:val="2"/>
            <w:shd w:val="clear" w:color="auto" w:fill="BFBFBF"/>
            <w:vAlign w:val="center"/>
          </w:tcPr>
          <w:p w14:paraId="7B156B74">
            <w:pPr>
              <w:jc w:val="center"/>
            </w:pPr>
            <w:r>
              <w:rPr>
                <w:rFonts w:hint="eastAsia"/>
                <w:b/>
              </w:rPr>
              <w:t>基金逆回购</w:t>
            </w:r>
          </w:p>
        </w:tc>
        <w:tc>
          <w:tcPr>
            <w:tcW w:w="883" w:type="dxa"/>
            <w:gridSpan w:val="2"/>
            <w:shd w:val="clear" w:color="auto" w:fill="BFBFBF"/>
            <w:vAlign w:val="center"/>
          </w:tcPr>
          <w:p w14:paraId="028BBA50">
            <w:pPr>
              <w:jc w:val="center"/>
            </w:pPr>
            <w:r>
              <w:rPr>
                <w:rFonts w:hint="eastAsia"/>
                <w:b/>
              </w:rPr>
              <w:t>基金正回购</w:t>
            </w:r>
          </w:p>
        </w:tc>
      </w:tr>
      <w:tr w14:paraId="5688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30A5BA3"/>
        </w:tc>
        <w:tc>
          <w:tcPr>
            <w:tcW w:w="1502" w:type="dxa"/>
            <w:shd w:val="clear" w:color="auto" w:fill="BFBFBF"/>
            <w:vAlign w:val="center"/>
          </w:tcPr>
          <w:p w14:paraId="7AEBF468">
            <w:pPr>
              <w:jc w:val="center"/>
            </w:pPr>
            <w:r>
              <w:rPr>
                <w:rFonts w:hint="eastAsia"/>
                <w:b/>
              </w:rPr>
              <w:t>基金买入</w:t>
            </w:r>
          </w:p>
        </w:tc>
        <w:tc>
          <w:tcPr>
            <w:tcW w:w="1502" w:type="dxa"/>
            <w:shd w:val="clear" w:color="auto" w:fill="BFBFBF"/>
            <w:vAlign w:val="center"/>
          </w:tcPr>
          <w:p w14:paraId="4CF3F377">
            <w:pPr>
              <w:jc w:val="center"/>
            </w:pPr>
            <w:r>
              <w:rPr>
                <w:rFonts w:hint="eastAsia"/>
                <w:b/>
              </w:rPr>
              <w:t>基金卖出</w:t>
            </w:r>
          </w:p>
        </w:tc>
        <w:tc>
          <w:tcPr>
            <w:tcW w:w="1502" w:type="dxa"/>
            <w:shd w:val="clear" w:color="auto" w:fill="BFBFBF"/>
            <w:vAlign w:val="center"/>
          </w:tcPr>
          <w:p w14:paraId="2B3DFB1C">
            <w:pPr>
              <w:jc w:val="center"/>
            </w:pPr>
            <w:r>
              <w:rPr>
                <w:rFonts w:hint="eastAsia"/>
                <w:b/>
              </w:rPr>
              <w:t>交易金额</w:t>
            </w:r>
          </w:p>
        </w:tc>
        <w:tc>
          <w:tcPr>
            <w:tcW w:w="1502" w:type="dxa"/>
            <w:shd w:val="clear" w:color="auto" w:fill="BFBFBF"/>
            <w:vAlign w:val="center"/>
          </w:tcPr>
          <w:p w14:paraId="12887EB9">
            <w:pPr>
              <w:jc w:val="center"/>
            </w:pPr>
            <w:r>
              <w:rPr>
                <w:rFonts w:hint="eastAsia"/>
                <w:b/>
              </w:rPr>
              <w:t>利息收入</w:t>
            </w:r>
          </w:p>
        </w:tc>
        <w:tc>
          <w:tcPr>
            <w:tcW w:w="883" w:type="dxa"/>
            <w:shd w:val="clear" w:color="auto" w:fill="BFBFBF"/>
            <w:vAlign w:val="center"/>
          </w:tcPr>
          <w:p w14:paraId="41CA013C">
            <w:pPr>
              <w:jc w:val="center"/>
            </w:pPr>
            <w:r>
              <w:rPr>
                <w:rFonts w:hint="eastAsia"/>
                <w:b/>
              </w:rPr>
              <w:t>交易金额</w:t>
            </w:r>
          </w:p>
        </w:tc>
        <w:tc>
          <w:tcPr>
            <w:tcW w:w="883" w:type="dxa"/>
            <w:shd w:val="clear" w:color="auto" w:fill="BFBFBF"/>
            <w:vAlign w:val="center"/>
          </w:tcPr>
          <w:p w14:paraId="2FA307B1">
            <w:pPr>
              <w:jc w:val="center"/>
            </w:pPr>
            <w:r>
              <w:rPr>
                <w:rFonts w:hint="eastAsia"/>
                <w:b/>
              </w:rPr>
              <w:t>利息支出</w:t>
            </w:r>
          </w:p>
        </w:tc>
      </w:tr>
      <w:tr w14:paraId="0C14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1B9B0A6">
            <w:r>
              <w:rPr>
                <w:rFonts w:hint="eastAsia"/>
              </w:rPr>
              <w:t>中国邮储银行</w:t>
            </w:r>
          </w:p>
        </w:tc>
        <w:tc>
          <w:tcPr>
            <w:tcW w:w="1502" w:type="dxa"/>
            <w:vAlign w:val="center"/>
          </w:tcPr>
          <w:p w14:paraId="01533296">
            <w:pPr>
              <w:jc w:val="right"/>
            </w:pPr>
            <w:r>
              <w:rPr>
                <w:rFonts w:hint="eastAsia"/>
              </w:rPr>
              <w:t>-</w:t>
            </w:r>
          </w:p>
        </w:tc>
        <w:tc>
          <w:tcPr>
            <w:tcW w:w="1502" w:type="dxa"/>
            <w:vAlign w:val="center"/>
          </w:tcPr>
          <w:p w14:paraId="71DEAB2C">
            <w:pPr>
              <w:jc w:val="right"/>
            </w:pPr>
            <w:r>
              <w:rPr>
                <w:rFonts w:hint="eastAsia"/>
              </w:rPr>
              <w:t>-</w:t>
            </w:r>
          </w:p>
        </w:tc>
        <w:tc>
          <w:tcPr>
            <w:tcW w:w="1502" w:type="dxa"/>
            <w:vAlign w:val="center"/>
          </w:tcPr>
          <w:p w14:paraId="59ACDD0D">
            <w:pPr>
              <w:jc w:val="right"/>
            </w:pPr>
            <w:r>
              <w:rPr>
                <w:rFonts w:hint="eastAsia"/>
              </w:rPr>
              <w:t>-</w:t>
            </w:r>
          </w:p>
        </w:tc>
        <w:tc>
          <w:tcPr>
            <w:tcW w:w="1502" w:type="dxa"/>
            <w:vAlign w:val="center"/>
          </w:tcPr>
          <w:p w14:paraId="606840C1">
            <w:pPr>
              <w:jc w:val="right"/>
            </w:pPr>
            <w:r>
              <w:rPr>
                <w:rFonts w:hint="eastAsia"/>
              </w:rPr>
              <w:t>-</w:t>
            </w:r>
          </w:p>
        </w:tc>
        <w:tc>
          <w:tcPr>
            <w:tcW w:w="883" w:type="dxa"/>
            <w:vAlign w:val="center"/>
          </w:tcPr>
          <w:p w14:paraId="50C35DD8">
            <w:pPr>
              <w:jc w:val="right"/>
            </w:pPr>
            <w:r>
              <w:rPr>
                <w:rFonts w:hint="eastAsia"/>
              </w:rPr>
              <w:t>503,000,000.00</w:t>
            </w:r>
          </w:p>
        </w:tc>
        <w:tc>
          <w:tcPr>
            <w:tcW w:w="883" w:type="dxa"/>
            <w:vAlign w:val="center"/>
          </w:tcPr>
          <w:p w14:paraId="7E9773E7">
            <w:pPr>
              <w:jc w:val="right"/>
            </w:pPr>
            <w:r>
              <w:rPr>
                <w:rFonts w:hint="eastAsia"/>
              </w:rPr>
              <w:t>22,927.12</w:t>
            </w:r>
          </w:p>
        </w:tc>
      </w:tr>
    </w:tbl>
    <w:p w14:paraId="2276C893">
      <w:pPr>
        <w:pStyle w:val="35"/>
      </w:pPr>
      <w:bookmarkStart w:id="116" w:name="_Toc116"/>
      <w:r>
        <w:t>报告期内转融通证券出借业务发生重大关联交易事项的说明</w:t>
      </w:r>
      <w:bookmarkEnd w:id="116"/>
    </w:p>
    <w:p w14:paraId="31FC4AAA">
      <w:pPr>
        <w:pStyle w:val="36"/>
      </w:pPr>
      <w:bookmarkStart w:id="117" w:name="_Toc117"/>
      <w:r>
        <w:t>与关联方通过约定申报方式进行的适用固定期限费率的证券出借业务的情况</w:t>
      </w:r>
      <w:bookmarkEnd w:id="117"/>
    </w:p>
    <w:p w14:paraId="2234EBB0">
      <w:pPr>
        <w:pStyle w:val="18"/>
        <w:rPr>
          <w:rFonts w:hint="eastAsia"/>
        </w:rPr>
      </w:pPr>
      <w:r>
        <w:rPr>
          <w:rFonts w:hint="eastAsia"/>
        </w:rPr>
        <w:t>无。</w:t>
      </w:r>
    </w:p>
    <w:p w14:paraId="748F5297">
      <w:pPr>
        <w:pStyle w:val="36"/>
      </w:pPr>
      <w:bookmarkStart w:id="118" w:name="_Toc118"/>
      <w:r>
        <w:t>与关联方通过约定申报方式进行的适用市场化期限费率的证券出借业务的情况</w:t>
      </w:r>
      <w:bookmarkEnd w:id="118"/>
    </w:p>
    <w:p w14:paraId="6BB0CCFE">
      <w:pPr>
        <w:pStyle w:val="18"/>
        <w:rPr>
          <w:rFonts w:hint="eastAsia"/>
        </w:rPr>
      </w:pPr>
      <w:r>
        <w:rPr>
          <w:rFonts w:hint="eastAsia"/>
        </w:rPr>
        <w:t>无。</w:t>
      </w:r>
    </w:p>
    <w:p w14:paraId="55FBFA4D">
      <w:pPr>
        <w:pStyle w:val="35"/>
      </w:pPr>
      <w:bookmarkStart w:id="119" w:name="_Toc119"/>
      <w:r>
        <w:t>各关联方投资本基金的情况</w:t>
      </w:r>
      <w:bookmarkEnd w:id="119"/>
    </w:p>
    <w:p w14:paraId="547F3040">
      <w:pPr>
        <w:pStyle w:val="36"/>
      </w:pPr>
      <w:bookmarkStart w:id="120" w:name="_Toc120"/>
      <w:r>
        <w:t>报告期内基金管理人运用固有资金投资本基金的情况</w:t>
      </w:r>
      <w:bookmarkEnd w:id="120"/>
    </w:p>
    <w:p w14:paraId="4B69247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58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32C1B4">
            <w:pPr>
              <w:jc w:val="center"/>
            </w:pPr>
            <w:r>
              <w:rPr>
                <w:rFonts w:hint="eastAsia"/>
                <w:b/>
              </w:rPr>
              <w:t>项目</w:t>
            </w:r>
          </w:p>
        </w:tc>
        <w:tc>
          <w:tcPr>
            <w:tcW w:w="2768" w:type="dxa"/>
            <w:shd w:val="clear" w:color="auto" w:fill="BFBFBF"/>
            <w:vAlign w:val="center"/>
          </w:tcPr>
          <w:p w14:paraId="1C853622">
            <w:pPr>
              <w:jc w:val="center"/>
            </w:pPr>
            <w:r>
              <w:rPr>
                <w:rFonts w:hint="eastAsia"/>
                <w:b/>
              </w:rPr>
              <w:t>本期2025年1月1日至2025年12月31日</w:t>
            </w:r>
          </w:p>
        </w:tc>
        <w:tc>
          <w:tcPr>
            <w:tcW w:w="2768" w:type="dxa"/>
            <w:shd w:val="clear" w:color="auto" w:fill="BFBFBF"/>
            <w:vAlign w:val="center"/>
          </w:tcPr>
          <w:p w14:paraId="7F79B2FC">
            <w:pPr>
              <w:jc w:val="center"/>
            </w:pPr>
            <w:r>
              <w:rPr>
                <w:rFonts w:hint="eastAsia"/>
                <w:b/>
              </w:rPr>
              <w:t>上年度可比期间2024年1月1日至2024年12月31日</w:t>
            </w:r>
          </w:p>
        </w:tc>
      </w:tr>
      <w:tr w14:paraId="23F4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E221A">
            <w:r>
              <w:rPr>
                <w:rFonts w:hint="eastAsia"/>
              </w:rPr>
              <w:t>报告期初持有的基金份额</w:t>
            </w:r>
          </w:p>
        </w:tc>
        <w:tc>
          <w:tcPr>
            <w:tcW w:w="2768" w:type="dxa"/>
            <w:vAlign w:val="center"/>
          </w:tcPr>
          <w:p w14:paraId="2A1152AE">
            <w:pPr>
              <w:jc w:val="right"/>
            </w:pPr>
            <w:r>
              <w:rPr>
                <w:rFonts w:hint="eastAsia"/>
              </w:rPr>
              <w:t>10,000,527.83</w:t>
            </w:r>
          </w:p>
        </w:tc>
        <w:tc>
          <w:tcPr>
            <w:tcW w:w="2768" w:type="dxa"/>
            <w:vAlign w:val="center"/>
          </w:tcPr>
          <w:p w14:paraId="4D23360C">
            <w:pPr>
              <w:jc w:val="right"/>
            </w:pPr>
            <w:r>
              <w:rPr>
                <w:rFonts w:hint="eastAsia"/>
              </w:rPr>
              <w:t>10,000,527.83</w:t>
            </w:r>
          </w:p>
        </w:tc>
      </w:tr>
      <w:tr w14:paraId="6EC9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94355">
            <w:r>
              <w:rPr>
                <w:rFonts w:hint="eastAsia"/>
              </w:rPr>
              <w:t>报告期间申购/买入总份额</w:t>
            </w:r>
          </w:p>
        </w:tc>
        <w:tc>
          <w:tcPr>
            <w:tcW w:w="2768" w:type="dxa"/>
            <w:vAlign w:val="center"/>
          </w:tcPr>
          <w:p w14:paraId="67A8B273">
            <w:pPr>
              <w:jc w:val="right"/>
            </w:pPr>
            <w:r>
              <w:rPr>
                <w:rFonts w:hint="eastAsia"/>
              </w:rPr>
              <w:t>-</w:t>
            </w:r>
          </w:p>
        </w:tc>
        <w:tc>
          <w:tcPr>
            <w:tcW w:w="2768" w:type="dxa"/>
            <w:vAlign w:val="center"/>
          </w:tcPr>
          <w:p w14:paraId="6B375A80">
            <w:pPr>
              <w:jc w:val="right"/>
            </w:pPr>
            <w:r>
              <w:rPr>
                <w:rFonts w:hint="eastAsia"/>
              </w:rPr>
              <w:t>-</w:t>
            </w:r>
          </w:p>
        </w:tc>
      </w:tr>
      <w:tr w14:paraId="18BA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90141">
            <w:r>
              <w:rPr>
                <w:rFonts w:hint="eastAsia"/>
              </w:rPr>
              <w:t>报告期间因拆分变动份额</w:t>
            </w:r>
          </w:p>
        </w:tc>
        <w:tc>
          <w:tcPr>
            <w:tcW w:w="2768" w:type="dxa"/>
            <w:vAlign w:val="center"/>
          </w:tcPr>
          <w:p w14:paraId="4A70C805">
            <w:pPr>
              <w:jc w:val="right"/>
            </w:pPr>
            <w:r>
              <w:rPr>
                <w:rFonts w:hint="eastAsia"/>
              </w:rPr>
              <w:t>-</w:t>
            </w:r>
          </w:p>
        </w:tc>
        <w:tc>
          <w:tcPr>
            <w:tcW w:w="2768" w:type="dxa"/>
            <w:vAlign w:val="center"/>
          </w:tcPr>
          <w:p w14:paraId="785BE3FF">
            <w:pPr>
              <w:jc w:val="right"/>
            </w:pPr>
            <w:r>
              <w:rPr>
                <w:rFonts w:hint="eastAsia"/>
              </w:rPr>
              <w:t>-</w:t>
            </w:r>
          </w:p>
        </w:tc>
      </w:tr>
      <w:tr w14:paraId="79A9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A6A94">
            <w:r>
              <w:rPr>
                <w:rFonts w:hint="eastAsia"/>
              </w:rPr>
              <w:t>减：报告期间赎回/卖出总份额</w:t>
            </w:r>
          </w:p>
        </w:tc>
        <w:tc>
          <w:tcPr>
            <w:tcW w:w="2768" w:type="dxa"/>
            <w:vAlign w:val="center"/>
          </w:tcPr>
          <w:p w14:paraId="3A78933C">
            <w:pPr>
              <w:jc w:val="right"/>
            </w:pPr>
            <w:r>
              <w:rPr>
                <w:rFonts w:hint="eastAsia"/>
              </w:rPr>
              <w:t>-</w:t>
            </w:r>
          </w:p>
        </w:tc>
        <w:tc>
          <w:tcPr>
            <w:tcW w:w="2768" w:type="dxa"/>
            <w:vAlign w:val="center"/>
          </w:tcPr>
          <w:p w14:paraId="5B69A668">
            <w:pPr>
              <w:jc w:val="right"/>
            </w:pPr>
            <w:r>
              <w:rPr>
                <w:rFonts w:hint="eastAsia"/>
              </w:rPr>
              <w:t>-</w:t>
            </w:r>
          </w:p>
        </w:tc>
      </w:tr>
      <w:tr w14:paraId="4554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5892A">
            <w:r>
              <w:rPr>
                <w:rFonts w:hint="eastAsia"/>
              </w:rPr>
              <w:t>报告期末持有的基金份额</w:t>
            </w:r>
          </w:p>
        </w:tc>
        <w:tc>
          <w:tcPr>
            <w:tcW w:w="2768" w:type="dxa"/>
            <w:vAlign w:val="center"/>
          </w:tcPr>
          <w:p w14:paraId="1F1EF519">
            <w:pPr>
              <w:jc w:val="right"/>
            </w:pPr>
            <w:r>
              <w:rPr>
                <w:rFonts w:hint="eastAsia"/>
              </w:rPr>
              <w:t>10,000,527.83</w:t>
            </w:r>
          </w:p>
        </w:tc>
        <w:tc>
          <w:tcPr>
            <w:tcW w:w="2768" w:type="dxa"/>
            <w:vAlign w:val="center"/>
          </w:tcPr>
          <w:p w14:paraId="14CD26A4">
            <w:pPr>
              <w:jc w:val="right"/>
            </w:pPr>
            <w:r>
              <w:rPr>
                <w:rFonts w:hint="eastAsia"/>
              </w:rPr>
              <w:t>10,000,527.83</w:t>
            </w:r>
          </w:p>
        </w:tc>
      </w:tr>
      <w:tr w14:paraId="6F79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60BB7">
            <w:r>
              <w:rPr>
                <w:rFonts w:hint="eastAsia"/>
              </w:rPr>
              <w:t>报告期末持有的基金份额占基金总份额比例</w:t>
            </w:r>
          </w:p>
        </w:tc>
        <w:tc>
          <w:tcPr>
            <w:tcW w:w="2768" w:type="dxa"/>
            <w:vAlign w:val="center"/>
          </w:tcPr>
          <w:p w14:paraId="7190BED3">
            <w:pPr>
              <w:jc w:val="right"/>
            </w:pPr>
            <w:r>
              <w:rPr>
                <w:rFonts w:hint="eastAsia"/>
              </w:rPr>
              <w:t>18.37%</w:t>
            </w:r>
          </w:p>
        </w:tc>
        <w:tc>
          <w:tcPr>
            <w:tcW w:w="2768" w:type="dxa"/>
            <w:vAlign w:val="center"/>
          </w:tcPr>
          <w:p w14:paraId="451D462C">
            <w:pPr>
              <w:jc w:val="right"/>
            </w:pPr>
            <w:r>
              <w:rPr>
                <w:rFonts w:hint="eastAsia"/>
              </w:rPr>
              <w:t>0.39%</w:t>
            </w:r>
          </w:p>
        </w:tc>
      </w:tr>
    </w:tbl>
    <w:p w14:paraId="2A52D7C4">
      <w:pPr>
        <w:pStyle w:val="47"/>
        <w:rPr>
          <w:rFonts w:hint="eastAsia"/>
        </w:rPr>
      </w:pPr>
      <w:r>
        <w:rPr>
          <w:rFonts w:hint="eastAsia"/>
        </w:rPr>
        <w:t>注：基金管理人南方基金投资本基金适用的认(申)购/赎回费率按照本基金招募说明书的规定执行。</w:t>
      </w:r>
    </w:p>
    <w:p w14:paraId="0CE56315">
      <w:pPr>
        <w:pStyle w:val="36"/>
      </w:pPr>
      <w:bookmarkStart w:id="121" w:name="_Toc121"/>
      <w:r>
        <w:t>报告期末除基金管理人之外的其他关联方投资本基金的情况</w:t>
      </w:r>
      <w:bookmarkEnd w:id="121"/>
    </w:p>
    <w:p w14:paraId="365A4290">
      <w:pPr>
        <w:pStyle w:val="18"/>
        <w:rPr>
          <w:rFonts w:hint="eastAsia"/>
        </w:rPr>
      </w:pPr>
      <w:r>
        <w:rPr>
          <w:rFonts w:hint="eastAsia"/>
        </w:rPr>
        <w:t>无。</w:t>
      </w:r>
    </w:p>
    <w:p w14:paraId="0AE08CB8">
      <w:pPr>
        <w:pStyle w:val="35"/>
      </w:pPr>
      <w:bookmarkStart w:id="122" w:name="_Toc122"/>
      <w:r>
        <w:t>由关联方保管的银行存款余额及当期产生的利息收入</w:t>
      </w:r>
      <w:bookmarkEnd w:id="122"/>
    </w:p>
    <w:p w14:paraId="61171A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74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4A8FD6C">
            <w:pPr>
              <w:jc w:val="center"/>
            </w:pPr>
            <w:r>
              <w:rPr>
                <w:rFonts w:hint="eastAsia"/>
                <w:b/>
              </w:rPr>
              <w:t>关联方名称</w:t>
            </w:r>
          </w:p>
        </w:tc>
        <w:tc>
          <w:tcPr>
            <w:tcW w:w="1661" w:type="dxa"/>
            <w:gridSpan w:val="2"/>
            <w:shd w:val="clear" w:color="auto" w:fill="BFBFBF"/>
            <w:vAlign w:val="center"/>
          </w:tcPr>
          <w:p w14:paraId="7A675FAA">
            <w:pPr>
              <w:jc w:val="center"/>
            </w:pPr>
            <w:r>
              <w:rPr>
                <w:rFonts w:hint="eastAsia"/>
                <w:b/>
              </w:rPr>
              <w:t>本期2025年1月1日至2025年12月31日</w:t>
            </w:r>
          </w:p>
        </w:tc>
        <w:tc>
          <w:tcPr>
            <w:tcW w:w="1661" w:type="dxa"/>
            <w:gridSpan w:val="2"/>
            <w:shd w:val="clear" w:color="auto" w:fill="BFBFBF"/>
            <w:vAlign w:val="center"/>
          </w:tcPr>
          <w:p w14:paraId="0DC3A70B">
            <w:pPr>
              <w:jc w:val="center"/>
            </w:pPr>
            <w:r>
              <w:rPr>
                <w:rFonts w:hint="eastAsia"/>
                <w:b/>
              </w:rPr>
              <w:t>上年度可比期间2024年1月1日至2024年12月31日</w:t>
            </w:r>
          </w:p>
        </w:tc>
      </w:tr>
      <w:tr w14:paraId="3295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FBA794"/>
        </w:tc>
        <w:tc>
          <w:tcPr>
            <w:tcW w:w="1661" w:type="dxa"/>
            <w:shd w:val="clear" w:color="auto" w:fill="BFBFBF"/>
            <w:vAlign w:val="center"/>
          </w:tcPr>
          <w:p w14:paraId="16D3B377">
            <w:pPr>
              <w:jc w:val="center"/>
            </w:pPr>
            <w:r>
              <w:rPr>
                <w:rFonts w:hint="eastAsia"/>
                <w:b/>
              </w:rPr>
              <w:t>期末余额</w:t>
            </w:r>
          </w:p>
        </w:tc>
        <w:tc>
          <w:tcPr>
            <w:tcW w:w="1661" w:type="dxa"/>
            <w:shd w:val="clear" w:color="auto" w:fill="BFBFBF"/>
            <w:vAlign w:val="center"/>
          </w:tcPr>
          <w:p w14:paraId="6B93BDCA">
            <w:pPr>
              <w:jc w:val="center"/>
            </w:pPr>
            <w:r>
              <w:rPr>
                <w:rFonts w:hint="eastAsia"/>
                <w:b/>
              </w:rPr>
              <w:t>当期利息收入</w:t>
            </w:r>
          </w:p>
        </w:tc>
        <w:tc>
          <w:tcPr>
            <w:tcW w:w="1661" w:type="dxa"/>
            <w:shd w:val="clear" w:color="auto" w:fill="BFBFBF"/>
            <w:vAlign w:val="center"/>
          </w:tcPr>
          <w:p w14:paraId="524BAD64">
            <w:pPr>
              <w:jc w:val="center"/>
            </w:pPr>
            <w:r>
              <w:rPr>
                <w:rFonts w:hint="eastAsia"/>
                <w:b/>
              </w:rPr>
              <w:t>期末余额</w:t>
            </w:r>
          </w:p>
        </w:tc>
        <w:tc>
          <w:tcPr>
            <w:tcW w:w="1661" w:type="dxa"/>
            <w:shd w:val="clear" w:color="auto" w:fill="BFBFBF"/>
            <w:vAlign w:val="center"/>
          </w:tcPr>
          <w:p w14:paraId="65528E6F">
            <w:pPr>
              <w:jc w:val="center"/>
            </w:pPr>
            <w:r>
              <w:rPr>
                <w:rFonts w:hint="eastAsia"/>
                <w:b/>
              </w:rPr>
              <w:t>当期利息收入</w:t>
            </w:r>
          </w:p>
        </w:tc>
      </w:tr>
      <w:tr w14:paraId="5F64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A24F07">
            <w:r>
              <w:rPr>
                <w:rFonts w:hint="eastAsia"/>
              </w:rPr>
              <w:t>中国邮储银行</w:t>
            </w:r>
          </w:p>
        </w:tc>
        <w:tc>
          <w:tcPr>
            <w:tcW w:w="1661" w:type="dxa"/>
            <w:vAlign w:val="center"/>
          </w:tcPr>
          <w:p w14:paraId="1B09B165">
            <w:pPr>
              <w:jc w:val="right"/>
            </w:pPr>
            <w:r>
              <w:rPr>
                <w:rFonts w:hint="eastAsia"/>
              </w:rPr>
              <w:t>209,206.49</w:t>
            </w:r>
          </w:p>
        </w:tc>
        <w:tc>
          <w:tcPr>
            <w:tcW w:w="1661" w:type="dxa"/>
            <w:vAlign w:val="center"/>
          </w:tcPr>
          <w:p w14:paraId="6C98C388">
            <w:pPr>
              <w:jc w:val="right"/>
            </w:pPr>
            <w:r>
              <w:rPr>
                <w:rFonts w:hint="eastAsia"/>
              </w:rPr>
              <w:t>72,957.26</w:t>
            </w:r>
          </w:p>
        </w:tc>
        <w:tc>
          <w:tcPr>
            <w:tcW w:w="1661" w:type="dxa"/>
            <w:vAlign w:val="center"/>
          </w:tcPr>
          <w:p w14:paraId="6F322726">
            <w:pPr>
              <w:jc w:val="right"/>
            </w:pPr>
            <w:r>
              <w:rPr>
                <w:rFonts w:hint="eastAsia"/>
              </w:rPr>
              <w:t>587,456.22</w:t>
            </w:r>
          </w:p>
        </w:tc>
        <w:tc>
          <w:tcPr>
            <w:tcW w:w="1661" w:type="dxa"/>
            <w:vAlign w:val="center"/>
          </w:tcPr>
          <w:p w14:paraId="5F951B6F">
            <w:pPr>
              <w:jc w:val="right"/>
            </w:pPr>
            <w:r>
              <w:rPr>
                <w:rFonts w:hint="eastAsia"/>
              </w:rPr>
              <w:t>8,914.69</w:t>
            </w:r>
          </w:p>
        </w:tc>
      </w:tr>
    </w:tbl>
    <w:p w14:paraId="6F1134AB">
      <w:pPr>
        <w:pStyle w:val="47"/>
        <w:rPr>
          <w:rFonts w:hint="eastAsia"/>
        </w:rPr>
      </w:pPr>
      <w:r>
        <w:rPr>
          <w:rFonts w:hint="eastAsia"/>
        </w:rPr>
        <w:t>注：本基金的银行存款由基金托管人保管，按银行约定利率计息。</w:t>
      </w:r>
    </w:p>
    <w:p w14:paraId="34C44FFE">
      <w:pPr>
        <w:pStyle w:val="35"/>
      </w:pPr>
      <w:bookmarkStart w:id="123" w:name="_Toc123"/>
      <w:r>
        <w:t>本基金在承销期内参与关联方承销证券的情况</w:t>
      </w:r>
      <w:bookmarkEnd w:id="123"/>
    </w:p>
    <w:p w14:paraId="6596D0D4">
      <w:pPr>
        <w:pStyle w:val="18"/>
        <w:rPr>
          <w:rFonts w:hint="eastAsia"/>
        </w:rPr>
      </w:pPr>
      <w:r>
        <w:rPr>
          <w:rFonts w:hint="eastAsia"/>
        </w:rPr>
        <w:t>无。</w:t>
      </w:r>
    </w:p>
    <w:p w14:paraId="646793EA">
      <w:pPr>
        <w:pStyle w:val="35"/>
      </w:pPr>
      <w:bookmarkStart w:id="124" w:name="_Toc124"/>
      <w:r>
        <w:t>其他关联交易事项的说明</w:t>
      </w:r>
      <w:bookmarkEnd w:id="124"/>
    </w:p>
    <w:p w14:paraId="3C007DF4">
      <w:pPr>
        <w:pStyle w:val="18"/>
        <w:rPr>
          <w:rFonts w:hint="eastAsia"/>
        </w:rPr>
      </w:pPr>
      <w:r>
        <w:rPr>
          <w:rFonts w:hint="eastAsia"/>
        </w:rPr>
        <w:t>无。</w:t>
      </w:r>
    </w:p>
    <w:p w14:paraId="216EF6F6">
      <w:pPr>
        <w:pStyle w:val="28"/>
      </w:pPr>
      <w:bookmarkStart w:id="125" w:name="_Toc125"/>
      <w:r>
        <w:t>利润分配情况——固定净值型货币市场基金之外的基金</w:t>
      </w:r>
      <w:bookmarkEnd w:id="125"/>
    </w:p>
    <w:p w14:paraId="67D9E2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128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F84B433">
            <w:pPr>
              <w:jc w:val="center"/>
            </w:pPr>
            <w:r>
              <w:rPr>
                <w:rFonts w:hint="eastAsia"/>
                <w:b/>
              </w:rPr>
              <w:t>序号</w:t>
            </w:r>
          </w:p>
        </w:tc>
        <w:tc>
          <w:tcPr>
            <w:tcW w:w="922" w:type="dxa"/>
            <w:shd w:val="clear" w:color="auto" w:fill="BFBFBF"/>
            <w:vAlign w:val="center"/>
          </w:tcPr>
          <w:p w14:paraId="6B1CF101">
            <w:pPr>
              <w:jc w:val="center"/>
            </w:pPr>
            <w:r>
              <w:rPr>
                <w:rFonts w:hint="eastAsia"/>
                <w:b/>
              </w:rPr>
              <w:t>权益登记日</w:t>
            </w:r>
          </w:p>
        </w:tc>
        <w:tc>
          <w:tcPr>
            <w:tcW w:w="922" w:type="dxa"/>
            <w:shd w:val="clear" w:color="auto" w:fill="BFBFBF"/>
            <w:vAlign w:val="center"/>
          </w:tcPr>
          <w:p w14:paraId="447029D4">
            <w:pPr>
              <w:jc w:val="center"/>
            </w:pPr>
            <w:r>
              <w:rPr>
                <w:rFonts w:hint="eastAsia"/>
                <w:b/>
              </w:rPr>
              <w:t>场内除息日</w:t>
            </w:r>
          </w:p>
        </w:tc>
        <w:tc>
          <w:tcPr>
            <w:tcW w:w="922" w:type="dxa"/>
            <w:shd w:val="clear" w:color="auto" w:fill="BFBFBF"/>
            <w:vAlign w:val="center"/>
          </w:tcPr>
          <w:p w14:paraId="3C0839A7">
            <w:pPr>
              <w:jc w:val="center"/>
            </w:pPr>
            <w:r>
              <w:rPr>
                <w:rFonts w:hint="eastAsia"/>
                <w:b/>
              </w:rPr>
              <w:t>场外除息日</w:t>
            </w:r>
          </w:p>
        </w:tc>
        <w:tc>
          <w:tcPr>
            <w:tcW w:w="922" w:type="dxa"/>
            <w:shd w:val="clear" w:color="auto" w:fill="BFBFBF"/>
            <w:vAlign w:val="center"/>
          </w:tcPr>
          <w:p w14:paraId="72A8792B">
            <w:pPr>
              <w:jc w:val="center"/>
            </w:pPr>
            <w:r>
              <w:rPr>
                <w:rFonts w:hint="eastAsia"/>
                <w:b/>
              </w:rPr>
              <w:t>每10份基金份额分红数</w:t>
            </w:r>
          </w:p>
        </w:tc>
        <w:tc>
          <w:tcPr>
            <w:tcW w:w="922" w:type="dxa"/>
            <w:shd w:val="clear" w:color="auto" w:fill="BFBFBF"/>
            <w:vAlign w:val="center"/>
          </w:tcPr>
          <w:p w14:paraId="110449CA">
            <w:pPr>
              <w:jc w:val="center"/>
            </w:pPr>
            <w:r>
              <w:rPr>
                <w:rFonts w:hint="eastAsia"/>
                <w:b/>
              </w:rPr>
              <w:t>现金形式发放总额</w:t>
            </w:r>
          </w:p>
        </w:tc>
        <w:tc>
          <w:tcPr>
            <w:tcW w:w="922" w:type="dxa"/>
            <w:shd w:val="clear" w:color="auto" w:fill="BFBFBF"/>
            <w:vAlign w:val="center"/>
          </w:tcPr>
          <w:p w14:paraId="384904EC">
            <w:pPr>
              <w:jc w:val="center"/>
            </w:pPr>
            <w:r>
              <w:rPr>
                <w:rFonts w:hint="eastAsia"/>
                <w:b/>
              </w:rPr>
              <w:t>再投资形式发放总额</w:t>
            </w:r>
          </w:p>
        </w:tc>
        <w:tc>
          <w:tcPr>
            <w:tcW w:w="922" w:type="dxa"/>
            <w:shd w:val="clear" w:color="auto" w:fill="BFBFBF"/>
            <w:vAlign w:val="center"/>
          </w:tcPr>
          <w:p w14:paraId="3F339410">
            <w:pPr>
              <w:jc w:val="center"/>
            </w:pPr>
            <w:r>
              <w:rPr>
                <w:rFonts w:hint="eastAsia"/>
                <w:b/>
              </w:rPr>
              <w:t>本期利润分配合计</w:t>
            </w:r>
          </w:p>
        </w:tc>
        <w:tc>
          <w:tcPr>
            <w:tcW w:w="922" w:type="dxa"/>
            <w:shd w:val="clear" w:color="auto" w:fill="BFBFBF"/>
            <w:vAlign w:val="center"/>
          </w:tcPr>
          <w:p w14:paraId="5641EF52">
            <w:pPr>
              <w:jc w:val="center"/>
            </w:pPr>
            <w:r>
              <w:rPr>
                <w:rFonts w:hint="eastAsia"/>
                <w:b/>
              </w:rPr>
              <w:t>备注</w:t>
            </w:r>
          </w:p>
        </w:tc>
      </w:tr>
      <w:tr w14:paraId="52E8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0E88DD">
            <w:pPr>
              <w:jc w:val="center"/>
            </w:pPr>
            <w:r>
              <w:rPr>
                <w:rFonts w:hint="eastAsia"/>
              </w:rPr>
              <w:t>1</w:t>
            </w:r>
          </w:p>
        </w:tc>
        <w:tc>
          <w:tcPr>
            <w:tcW w:w="922" w:type="dxa"/>
            <w:vAlign w:val="center"/>
          </w:tcPr>
          <w:p w14:paraId="697170AF">
            <w:r>
              <w:rPr>
                <w:rFonts w:hint="eastAsia"/>
              </w:rPr>
              <w:t>2025年6月24日</w:t>
            </w:r>
          </w:p>
        </w:tc>
        <w:tc>
          <w:tcPr>
            <w:tcW w:w="922" w:type="dxa"/>
            <w:vAlign w:val="center"/>
          </w:tcPr>
          <w:p w14:paraId="4BA5F5DE">
            <w:pPr>
              <w:jc w:val="right"/>
            </w:pPr>
            <w:r>
              <w:rPr>
                <w:rFonts w:hint="eastAsia"/>
              </w:rPr>
              <w:t>-</w:t>
            </w:r>
          </w:p>
        </w:tc>
        <w:tc>
          <w:tcPr>
            <w:tcW w:w="922" w:type="dxa"/>
            <w:vAlign w:val="center"/>
          </w:tcPr>
          <w:p w14:paraId="3380A79F">
            <w:r>
              <w:rPr>
                <w:rFonts w:hint="eastAsia"/>
              </w:rPr>
              <w:t>2025年6月24日</w:t>
            </w:r>
          </w:p>
        </w:tc>
        <w:tc>
          <w:tcPr>
            <w:tcW w:w="922" w:type="dxa"/>
            <w:vAlign w:val="center"/>
          </w:tcPr>
          <w:p w14:paraId="508C19D6">
            <w:pPr>
              <w:jc w:val="right"/>
            </w:pPr>
            <w:r>
              <w:rPr>
                <w:rFonts w:hint="eastAsia"/>
              </w:rPr>
              <w:t>0.2800</w:t>
            </w:r>
          </w:p>
        </w:tc>
        <w:tc>
          <w:tcPr>
            <w:tcW w:w="922" w:type="dxa"/>
            <w:vAlign w:val="center"/>
          </w:tcPr>
          <w:p w14:paraId="0B07ABFF">
            <w:pPr>
              <w:jc w:val="right"/>
            </w:pPr>
            <w:r>
              <w:rPr>
                <w:rFonts w:hint="eastAsia"/>
              </w:rPr>
              <w:t>72,534,957.52</w:t>
            </w:r>
          </w:p>
        </w:tc>
        <w:tc>
          <w:tcPr>
            <w:tcW w:w="922" w:type="dxa"/>
            <w:vAlign w:val="center"/>
          </w:tcPr>
          <w:p w14:paraId="330E58EA">
            <w:pPr>
              <w:jc w:val="right"/>
            </w:pPr>
            <w:r>
              <w:rPr>
                <w:rFonts w:hint="eastAsia"/>
              </w:rPr>
              <w:t>15.71</w:t>
            </w:r>
          </w:p>
        </w:tc>
        <w:tc>
          <w:tcPr>
            <w:tcW w:w="922" w:type="dxa"/>
            <w:vAlign w:val="center"/>
          </w:tcPr>
          <w:p w14:paraId="637BEFC1">
            <w:pPr>
              <w:jc w:val="right"/>
            </w:pPr>
            <w:r>
              <w:rPr>
                <w:rFonts w:hint="eastAsia"/>
              </w:rPr>
              <w:t>72,534,973.23</w:t>
            </w:r>
          </w:p>
        </w:tc>
        <w:tc>
          <w:tcPr>
            <w:tcW w:w="922" w:type="dxa"/>
            <w:vAlign w:val="center"/>
          </w:tcPr>
          <w:p w14:paraId="5881D852">
            <w:pPr>
              <w:jc w:val="right"/>
            </w:pPr>
            <w:r>
              <w:rPr>
                <w:rFonts w:hint="eastAsia"/>
              </w:rPr>
              <w:t>-</w:t>
            </w:r>
          </w:p>
        </w:tc>
      </w:tr>
      <w:tr w14:paraId="1995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9F7CB0">
            <w:pPr>
              <w:jc w:val="center"/>
            </w:pPr>
            <w:r>
              <w:rPr>
                <w:rFonts w:hint="eastAsia"/>
              </w:rPr>
              <w:t>合计</w:t>
            </w:r>
          </w:p>
        </w:tc>
        <w:tc>
          <w:tcPr>
            <w:tcW w:w="922" w:type="dxa"/>
            <w:vAlign w:val="center"/>
          </w:tcPr>
          <w:p w14:paraId="3374A5E3">
            <w:pPr>
              <w:jc w:val="right"/>
            </w:pPr>
            <w:r>
              <w:rPr>
                <w:rFonts w:hint="eastAsia"/>
              </w:rPr>
              <w:t>-</w:t>
            </w:r>
          </w:p>
        </w:tc>
        <w:tc>
          <w:tcPr>
            <w:tcW w:w="922" w:type="dxa"/>
            <w:vAlign w:val="center"/>
          </w:tcPr>
          <w:p w14:paraId="13F150BC">
            <w:pPr>
              <w:jc w:val="right"/>
            </w:pPr>
            <w:r>
              <w:rPr>
                <w:rFonts w:hint="eastAsia"/>
              </w:rPr>
              <w:t>-</w:t>
            </w:r>
          </w:p>
        </w:tc>
        <w:tc>
          <w:tcPr>
            <w:tcW w:w="922" w:type="dxa"/>
            <w:vAlign w:val="center"/>
          </w:tcPr>
          <w:p w14:paraId="578071A6">
            <w:pPr>
              <w:jc w:val="right"/>
            </w:pPr>
            <w:r>
              <w:rPr>
                <w:rFonts w:hint="eastAsia"/>
              </w:rPr>
              <w:t>-</w:t>
            </w:r>
          </w:p>
        </w:tc>
        <w:tc>
          <w:tcPr>
            <w:tcW w:w="922" w:type="dxa"/>
            <w:vAlign w:val="center"/>
          </w:tcPr>
          <w:p w14:paraId="48D3BB12">
            <w:pPr>
              <w:jc w:val="right"/>
            </w:pPr>
            <w:r>
              <w:rPr>
                <w:rFonts w:hint="eastAsia"/>
              </w:rPr>
              <w:t>0.2800</w:t>
            </w:r>
          </w:p>
        </w:tc>
        <w:tc>
          <w:tcPr>
            <w:tcW w:w="922" w:type="dxa"/>
            <w:vAlign w:val="center"/>
          </w:tcPr>
          <w:p w14:paraId="74724D8F">
            <w:pPr>
              <w:jc w:val="right"/>
            </w:pPr>
            <w:r>
              <w:rPr>
                <w:rFonts w:hint="eastAsia"/>
              </w:rPr>
              <w:t>72,534,957.52</w:t>
            </w:r>
          </w:p>
        </w:tc>
        <w:tc>
          <w:tcPr>
            <w:tcW w:w="922" w:type="dxa"/>
            <w:vAlign w:val="center"/>
          </w:tcPr>
          <w:p w14:paraId="7151EE9D">
            <w:pPr>
              <w:jc w:val="right"/>
            </w:pPr>
            <w:r>
              <w:rPr>
                <w:rFonts w:hint="eastAsia"/>
              </w:rPr>
              <w:t>15.71</w:t>
            </w:r>
          </w:p>
        </w:tc>
        <w:tc>
          <w:tcPr>
            <w:tcW w:w="922" w:type="dxa"/>
            <w:vAlign w:val="center"/>
          </w:tcPr>
          <w:p w14:paraId="74329E6B">
            <w:pPr>
              <w:jc w:val="right"/>
            </w:pPr>
            <w:r>
              <w:rPr>
                <w:rFonts w:hint="eastAsia"/>
              </w:rPr>
              <w:t>72,534,973.23</w:t>
            </w:r>
          </w:p>
        </w:tc>
        <w:tc>
          <w:tcPr>
            <w:tcW w:w="922" w:type="dxa"/>
            <w:vAlign w:val="center"/>
          </w:tcPr>
          <w:p w14:paraId="256B6E85">
            <w:pPr>
              <w:jc w:val="right"/>
            </w:pPr>
            <w:r>
              <w:rPr>
                <w:rFonts w:hint="eastAsia"/>
              </w:rPr>
              <w:t>-</w:t>
            </w:r>
          </w:p>
        </w:tc>
      </w:tr>
    </w:tbl>
    <w:p w14:paraId="5A1F0CE1">
      <w:pPr>
        <w:pStyle w:val="47"/>
        <w:rPr>
          <w:rFonts w:hint="eastAsia"/>
        </w:rPr>
      </w:pPr>
      <w:r>
        <w:rPr>
          <w:rFonts w:hint="eastAsia"/>
        </w:rPr>
        <w:t>注：本基金报告期后分红情况（如有）详见本报告“资产负债表日后事项”部分内容。</w:t>
      </w:r>
    </w:p>
    <w:p w14:paraId="74986B9B">
      <w:pPr>
        <w:pStyle w:val="28"/>
      </w:pPr>
      <w:bookmarkStart w:id="126" w:name="_Toc126"/>
      <w:r>
        <w:t>期末（2025年12月31日）本基金持有的流通受限证券</w:t>
      </w:r>
      <w:bookmarkEnd w:id="126"/>
    </w:p>
    <w:p w14:paraId="14241C3A">
      <w:pPr>
        <w:pStyle w:val="35"/>
      </w:pPr>
      <w:bookmarkStart w:id="127" w:name="_Toc127"/>
      <w:r>
        <w:t>因认购新发/增发证券而于期末持有的流通受限证券</w:t>
      </w:r>
      <w:bookmarkEnd w:id="127"/>
    </w:p>
    <w:p w14:paraId="69D7E481">
      <w:pPr>
        <w:pStyle w:val="18"/>
        <w:rPr>
          <w:rFonts w:hint="eastAsia"/>
        </w:rPr>
      </w:pPr>
      <w:r>
        <w:rPr>
          <w:rFonts w:hint="eastAsia"/>
        </w:rPr>
        <w:t>无。</w:t>
      </w:r>
    </w:p>
    <w:p w14:paraId="067F32EE">
      <w:pPr>
        <w:pStyle w:val="35"/>
      </w:pPr>
      <w:bookmarkStart w:id="128" w:name="_Toc128"/>
      <w:r>
        <w:t>期末持有的暂时停牌等流通受限股票</w:t>
      </w:r>
      <w:bookmarkEnd w:id="128"/>
    </w:p>
    <w:p w14:paraId="6848B96B">
      <w:pPr>
        <w:pStyle w:val="18"/>
        <w:rPr>
          <w:rFonts w:hint="eastAsia"/>
        </w:rPr>
      </w:pPr>
      <w:r>
        <w:rPr>
          <w:rFonts w:hint="eastAsia"/>
        </w:rPr>
        <w:t>无。</w:t>
      </w:r>
    </w:p>
    <w:p w14:paraId="72E05332">
      <w:pPr>
        <w:pStyle w:val="35"/>
      </w:pPr>
      <w:bookmarkStart w:id="129" w:name="_Toc129"/>
      <w:r>
        <w:t>期末债券正回购交易中作为抵押的债券</w:t>
      </w:r>
      <w:bookmarkEnd w:id="129"/>
    </w:p>
    <w:p w14:paraId="284D96C7">
      <w:pPr>
        <w:pStyle w:val="36"/>
      </w:pPr>
      <w:bookmarkStart w:id="130" w:name="_Toc130"/>
      <w:r>
        <w:t>银行间市场债券正回购</w:t>
      </w:r>
      <w:bookmarkEnd w:id="130"/>
    </w:p>
    <w:p w14:paraId="0E2FC561">
      <w:pPr>
        <w:pStyle w:val="18"/>
        <w:rPr>
          <w:rFonts w:hint="eastAsia"/>
        </w:rPr>
      </w:pPr>
      <w:r>
        <w:rPr>
          <w:rFonts w:hint="eastAsia"/>
        </w:rPr>
        <w:t>无。</w:t>
      </w:r>
    </w:p>
    <w:p w14:paraId="34A6450A">
      <w:pPr>
        <w:pStyle w:val="36"/>
      </w:pPr>
      <w:bookmarkStart w:id="131" w:name="_Toc131"/>
      <w:r>
        <w:t>交易所市场债券正回购</w:t>
      </w:r>
      <w:bookmarkEnd w:id="131"/>
    </w:p>
    <w:p w14:paraId="42F3E704">
      <w:pPr>
        <w:pStyle w:val="18"/>
        <w:rPr>
          <w:rFonts w:hint="eastAsia"/>
        </w:rPr>
      </w:pPr>
      <w:r>
        <w:rPr>
          <w:rFonts w:hint="eastAsia"/>
        </w:rPr>
        <w:t>无。</w:t>
      </w:r>
    </w:p>
    <w:p w14:paraId="52478B72">
      <w:pPr>
        <w:pStyle w:val="35"/>
      </w:pPr>
      <w:bookmarkStart w:id="132" w:name="_Toc132"/>
      <w:r>
        <w:t>期末参与转融通证券出借业务的证券</w:t>
      </w:r>
      <w:bookmarkEnd w:id="132"/>
    </w:p>
    <w:p w14:paraId="27721868">
      <w:pPr>
        <w:pStyle w:val="18"/>
        <w:rPr>
          <w:rFonts w:hint="eastAsia"/>
        </w:rPr>
      </w:pPr>
      <w:r>
        <w:rPr>
          <w:rFonts w:hint="eastAsia"/>
        </w:rPr>
        <w:t>无。</w:t>
      </w:r>
    </w:p>
    <w:p w14:paraId="162EC872">
      <w:pPr>
        <w:pStyle w:val="28"/>
      </w:pPr>
      <w:bookmarkStart w:id="133" w:name="_Toc133"/>
      <w:r>
        <w:t>金融工具风险及管理</w:t>
      </w:r>
      <w:bookmarkEnd w:id="133"/>
    </w:p>
    <w:p w14:paraId="19568E97">
      <w:pPr>
        <w:pStyle w:val="35"/>
      </w:pPr>
      <w:bookmarkStart w:id="134" w:name="_Toc134"/>
      <w:r>
        <w:t>风险管理政策和组织架构</w:t>
      </w:r>
      <w:bookmarkEnd w:id="134"/>
    </w:p>
    <w:p w14:paraId="7901D6BE">
      <w:pPr>
        <w:pStyle w:val="18"/>
        <w:rPr>
          <w:rFonts w:hint="eastAsia"/>
        </w:rPr>
      </w:pPr>
      <w:r>
        <w:rPr>
          <w:rFonts w:hint="eastAsia"/>
        </w:rPr>
        <w:t>本基金为债券型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4BE7696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27EE3E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83EE3E8">
      <w:pPr>
        <w:pStyle w:val="35"/>
      </w:pPr>
      <w:bookmarkStart w:id="135" w:name="_Toc135"/>
      <w:r>
        <w:t>信用风险</w:t>
      </w:r>
      <w:bookmarkEnd w:id="135"/>
    </w:p>
    <w:p w14:paraId="2DFD4C1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390068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D36BBC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14EE0FE">
      <w:pPr>
        <w:pStyle w:val="18"/>
        <w:rPr>
          <w:rFonts w:hint="eastAsia"/>
        </w:rPr>
      </w:pPr>
      <w:r>
        <w:rPr>
          <w:rFonts w:hint="eastAsia"/>
        </w:rPr>
        <w:t>于本期末，本基金未持有除国债、央行票据和政策性金融债以外的债券(上期末：本基金持有的除国债、央行票据和政策性金融债以外的债券占基金净资产的比例为65.83%)。</w:t>
      </w:r>
    </w:p>
    <w:p w14:paraId="6F39A65D">
      <w:pPr>
        <w:pStyle w:val="35"/>
      </w:pPr>
      <w:bookmarkStart w:id="136" w:name="_Toc136"/>
      <w:r>
        <w:t>流动性风险</w:t>
      </w:r>
      <w:bookmarkEnd w:id="136"/>
    </w:p>
    <w:p w14:paraId="4070FB7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657137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575F69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8D6A9E9">
      <w:pPr>
        <w:pStyle w:val="36"/>
      </w:pPr>
      <w:bookmarkStart w:id="137" w:name="_Toc137"/>
      <w:r>
        <w:t>报告期内本基金组合资产的流动性风险分析</w:t>
      </w:r>
      <w:bookmarkEnd w:id="137"/>
    </w:p>
    <w:p w14:paraId="321C4FD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3C1780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B427C2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36DE7F8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6286898">
      <w:pPr>
        <w:pStyle w:val="35"/>
      </w:pPr>
      <w:bookmarkStart w:id="138" w:name="_Toc138"/>
      <w:r>
        <w:t>市场风险</w:t>
      </w:r>
      <w:bookmarkEnd w:id="138"/>
    </w:p>
    <w:p w14:paraId="7B272FA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AD5FFED">
      <w:pPr>
        <w:pStyle w:val="36"/>
      </w:pPr>
      <w:bookmarkStart w:id="139" w:name="_Toc139"/>
      <w:r>
        <w:t>利率风险</w:t>
      </w:r>
      <w:bookmarkEnd w:id="139"/>
    </w:p>
    <w:p w14:paraId="1EF5274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28E1B2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F8B8412">
      <w:pPr>
        <w:pStyle w:val="37"/>
      </w:pPr>
      <w:bookmarkStart w:id="140" w:name="_Toc140"/>
      <w:r>
        <w:t>利率风险敞口</w:t>
      </w:r>
      <w:bookmarkEnd w:id="140"/>
    </w:p>
    <w:p w14:paraId="7C2915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EB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5961A">
            <w:r>
              <w:rPr>
                <w:rFonts w:hint="eastAsia"/>
              </w:rPr>
              <w:t>本期末2025年12月31日</w:t>
            </w:r>
          </w:p>
        </w:tc>
        <w:tc>
          <w:tcPr>
            <w:tcW w:w="1384" w:type="dxa"/>
            <w:vAlign w:val="center"/>
          </w:tcPr>
          <w:p w14:paraId="076F8AC9">
            <w:r>
              <w:rPr>
                <w:rFonts w:hint="eastAsia"/>
              </w:rPr>
              <w:t>1年以内</w:t>
            </w:r>
          </w:p>
        </w:tc>
        <w:tc>
          <w:tcPr>
            <w:tcW w:w="1384" w:type="dxa"/>
            <w:vAlign w:val="center"/>
          </w:tcPr>
          <w:p w14:paraId="29075310">
            <w:r>
              <w:rPr>
                <w:rFonts w:hint="eastAsia"/>
              </w:rPr>
              <w:t>1-5年</w:t>
            </w:r>
          </w:p>
        </w:tc>
        <w:tc>
          <w:tcPr>
            <w:tcW w:w="1384" w:type="dxa"/>
            <w:vAlign w:val="center"/>
          </w:tcPr>
          <w:p w14:paraId="72D7CABB">
            <w:r>
              <w:rPr>
                <w:rFonts w:hint="eastAsia"/>
              </w:rPr>
              <w:t>5年以上</w:t>
            </w:r>
          </w:p>
        </w:tc>
        <w:tc>
          <w:tcPr>
            <w:tcW w:w="1384" w:type="dxa"/>
            <w:vAlign w:val="center"/>
          </w:tcPr>
          <w:p w14:paraId="35DDBC48">
            <w:r>
              <w:rPr>
                <w:rFonts w:hint="eastAsia"/>
              </w:rPr>
              <w:t>不计息</w:t>
            </w:r>
          </w:p>
        </w:tc>
        <w:tc>
          <w:tcPr>
            <w:tcW w:w="1384" w:type="dxa"/>
            <w:vAlign w:val="center"/>
          </w:tcPr>
          <w:p w14:paraId="0A72CB6C">
            <w:r>
              <w:rPr>
                <w:rFonts w:hint="eastAsia"/>
              </w:rPr>
              <w:t>合计</w:t>
            </w:r>
          </w:p>
        </w:tc>
      </w:tr>
      <w:tr w14:paraId="4ABD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F601B">
            <w:r>
              <w:rPr>
                <w:rFonts w:hint="eastAsia"/>
              </w:rPr>
              <w:t>资产</w:t>
            </w:r>
          </w:p>
        </w:tc>
        <w:tc>
          <w:tcPr>
            <w:tcW w:w="1384" w:type="dxa"/>
            <w:vAlign w:val="center"/>
          </w:tcPr>
          <w:p w14:paraId="200AB3BF"/>
        </w:tc>
        <w:tc>
          <w:tcPr>
            <w:tcW w:w="1384" w:type="dxa"/>
            <w:vAlign w:val="center"/>
          </w:tcPr>
          <w:p w14:paraId="76131900"/>
        </w:tc>
        <w:tc>
          <w:tcPr>
            <w:tcW w:w="1384" w:type="dxa"/>
            <w:vAlign w:val="center"/>
          </w:tcPr>
          <w:p w14:paraId="70230B01"/>
        </w:tc>
        <w:tc>
          <w:tcPr>
            <w:tcW w:w="1384" w:type="dxa"/>
            <w:vAlign w:val="center"/>
          </w:tcPr>
          <w:p w14:paraId="6282BC34"/>
        </w:tc>
        <w:tc>
          <w:tcPr>
            <w:tcW w:w="1384" w:type="dxa"/>
            <w:vAlign w:val="center"/>
          </w:tcPr>
          <w:p w14:paraId="35690142"/>
        </w:tc>
      </w:tr>
      <w:tr w14:paraId="45D2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9AB6E">
            <w:r>
              <w:rPr>
                <w:rFonts w:hint="eastAsia"/>
              </w:rPr>
              <w:t>货币资金</w:t>
            </w:r>
          </w:p>
        </w:tc>
        <w:tc>
          <w:tcPr>
            <w:tcW w:w="1384" w:type="dxa"/>
            <w:vAlign w:val="center"/>
          </w:tcPr>
          <w:p w14:paraId="2C5B7DAB">
            <w:pPr>
              <w:jc w:val="right"/>
            </w:pPr>
            <w:r>
              <w:rPr>
                <w:rFonts w:hint="eastAsia"/>
              </w:rPr>
              <w:t>209,206.49</w:t>
            </w:r>
          </w:p>
        </w:tc>
        <w:tc>
          <w:tcPr>
            <w:tcW w:w="1384" w:type="dxa"/>
            <w:vAlign w:val="center"/>
          </w:tcPr>
          <w:p w14:paraId="6F47F23E">
            <w:pPr>
              <w:jc w:val="right"/>
            </w:pPr>
            <w:r>
              <w:rPr>
                <w:rFonts w:hint="eastAsia"/>
              </w:rPr>
              <w:t>-</w:t>
            </w:r>
          </w:p>
        </w:tc>
        <w:tc>
          <w:tcPr>
            <w:tcW w:w="1384" w:type="dxa"/>
            <w:vAlign w:val="center"/>
          </w:tcPr>
          <w:p w14:paraId="5490480F">
            <w:pPr>
              <w:jc w:val="right"/>
            </w:pPr>
            <w:r>
              <w:rPr>
                <w:rFonts w:hint="eastAsia"/>
              </w:rPr>
              <w:t>-</w:t>
            </w:r>
          </w:p>
        </w:tc>
        <w:tc>
          <w:tcPr>
            <w:tcW w:w="1384" w:type="dxa"/>
            <w:vAlign w:val="center"/>
          </w:tcPr>
          <w:p w14:paraId="5FE544F3">
            <w:pPr>
              <w:jc w:val="right"/>
            </w:pPr>
            <w:r>
              <w:rPr>
                <w:rFonts w:hint="eastAsia"/>
              </w:rPr>
              <w:t>-</w:t>
            </w:r>
          </w:p>
        </w:tc>
        <w:tc>
          <w:tcPr>
            <w:tcW w:w="1384" w:type="dxa"/>
            <w:vAlign w:val="center"/>
          </w:tcPr>
          <w:p w14:paraId="62C57E73">
            <w:pPr>
              <w:jc w:val="right"/>
            </w:pPr>
            <w:r>
              <w:rPr>
                <w:rFonts w:hint="eastAsia"/>
              </w:rPr>
              <w:t>209,206.49</w:t>
            </w:r>
          </w:p>
        </w:tc>
      </w:tr>
      <w:tr w14:paraId="5A0F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C18FF">
            <w:r>
              <w:rPr>
                <w:rFonts w:hint="eastAsia"/>
              </w:rPr>
              <w:t>结算备付金</w:t>
            </w:r>
          </w:p>
        </w:tc>
        <w:tc>
          <w:tcPr>
            <w:tcW w:w="1384" w:type="dxa"/>
            <w:vAlign w:val="center"/>
          </w:tcPr>
          <w:p w14:paraId="28C4AF6A">
            <w:pPr>
              <w:jc w:val="right"/>
            </w:pPr>
            <w:r>
              <w:rPr>
                <w:rFonts w:hint="eastAsia"/>
              </w:rPr>
              <w:t>116,487.62</w:t>
            </w:r>
          </w:p>
        </w:tc>
        <w:tc>
          <w:tcPr>
            <w:tcW w:w="1384" w:type="dxa"/>
            <w:vAlign w:val="center"/>
          </w:tcPr>
          <w:p w14:paraId="5552B7C5">
            <w:pPr>
              <w:jc w:val="right"/>
            </w:pPr>
            <w:r>
              <w:rPr>
                <w:rFonts w:hint="eastAsia"/>
              </w:rPr>
              <w:t>-</w:t>
            </w:r>
          </w:p>
        </w:tc>
        <w:tc>
          <w:tcPr>
            <w:tcW w:w="1384" w:type="dxa"/>
            <w:vAlign w:val="center"/>
          </w:tcPr>
          <w:p w14:paraId="7628381B">
            <w:pPr>
              <w:jc w:val="right"/>
            </w:pPr>
            <w:r>
              <w:rPr>
                <w:rFonts w:hint="eastAsia"/>
              </w:rPr>
              <w:t>-</w:t>
            </w:r>
          </w:p>
        </w:tc>
        <w:tc>
          <w:tcPr>
            <w:tcW w:w="1384" w:type="dxa"/>
            <w:vAlign w:val="center"/>
          </w:tcPr>
          <w:p w14:paraId="5E3A31AD">
            <w:pPr>
              <w:jc w:val="right"/>
            </w:pPr>
            <w:r>
              <w:rPr>
                <w:rFonts w:hint="eastAsia"/>
              </w:rPr>
              <w:t>-</w:t>
            </w:r>
          </w:p>
        </w:tc>
        <w:tc>
          <w:tcPr>
            <w:tcW w:w="1384" w:type="dxa"/>
            <w:vAlign w:val="center"/>
          </w:tcPr>
          <w:p w14:paraId="45059D8F">
            <w:pPr>
              <w:jc w:val="right"/>
            </w:pPr>
            <w:r>
              <w:rPr>
                <w:rFonts w:hint="eastAsia"/>
              </w:rPr>
              <w:t>116,487.62</w:t>
            </w:r>
          </w:p>
        </w:tc>
      </w:tr>
      <w:tr w14:paraId="0DDF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61587">
            <w:r>
              <w:rPr>
                <w:rFonts w:hint="eastAsia"/>
              </w:rPr>
              <w:t>存出保证金</w:t>
            </w:r>
          </w:p>
        </w:tc>
        <w:tc>
          <w:tcPr>
            <w:tcW w:w="1384" w:type="dxa"/>
            <w:vAlign w:val="center"/>
          </w:tcPr>
          <w:p w14:paraId="27598867">
            <w:pPr>
              <w:jc w:val="right"/>
            </w:pPr>
            <w:r>
              <w:rPr>
                <w:rFonts w:hint="eastAsia"/>
              </w:rPr>
              <w:t>18,324.40</w:t>
            </w:r>
          </w:p>
        </w:tc>
        <w:tc>
          <w:tcPr>
            <w:tcW w:w="1384" w:type="dxa"/>
            <w:vAlign w:val="center"/>
          </w:tcPr>
          <w:p w14:paraId="74A1558D">
            <w:pPr>
              <w:jc w:val="right"/>
            </w:pPr>
            <w:r>
              <w:rPr>
                <w:rFonts w:hint="eastAsia"/>
              </w:rPr>
              <w:t>-</w:t>
            </w:r>
          </w:p>
        </w:tc>
        <w:tc>
          <w:tcPr>
            <w:tcW w:w="1384" w:type="dxa"/>
            <w:vAlign w:val="center"/>
          </w:tcPr>
          <w:p w14:paraId="3B7E9D13">
            <w:pPr>
              <w:jc w:val="right"/>
            </w:pPr>
            <w:r>
              <w:rPr>
                <w:rFonts w:hint="eastAsia"/>
              </w:rPr>
              <w:t>-</w:t>
            </w:r>
          </w:p>
        </w:tc>
        <w:tc>
          <w:tcPr>
            <w:tcW w:w="1384" w:type="dxa"/>
            <w:vAlign w:val="center"/>
          </w:tcPr>
          <w:p w14:paraId="4ED75511">
            <w:pPr>
              <w:jc w:val="right"/>
            </w:pPr>
            <w:r>
              <w:rPr>
                <w:rFonts w:hint="eastAsia"/>
              </w:rPr>
              <w:t>-</w:t>
            </w:r>
          </w:p>
        </w:tc>
        <w:tc>
          <w:tcPr>
            <w:tcW w:w="1384" w:type="dxa"/>
            <w:vAlign w:val="center"/>
          </w:tcPr>
          <w:p w14:paraId="69F01742">
            <w:pPr>
              <w:jc w:val="right"/>
            </w:pPr>
            <w:r>
              <w:rPr>
                <w:rFonts w:hint="eastAsia"/>
              </w:rPr>
              <w:t>18,324.40</w:t>
            </w:r>
          </w:p>
        </w:tc>
      </w:tr>
      <w:tr w14:paraId="74D2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56270">
            <w:r>
              <w:rPr>
                <w:rFonts w:hint="eastAsia"/>
              </w:rPr>
              <w:t>交易性金融资产</w:t>
            </w:r>
          </w:p>
        </w:tc>
        <w:tc>
          <w:tcPr>
            <w:tcW w:w="1384" w:type="dxa"/>
            <w:vAlign w:val="center"/>
          </w:tcPr>
          <w:p w14:paraId="6BEB40AC">
            <w:pPr>
              <w:jc w:val="right"/>
            </w:pPr>
            <w:r>
              <w:rPr>
                <w:rFonts w:hint="eastAsia"/>
              </w:rPr>
              <w:t>-</w:t>
            </w:r>
          </w:p>
        </w:tc>
        <w:tc>
          <w:tcPr>
            <w:tcW w:w="1384" w:type="dxa"/>
            <w:vAlign w:val="center"/>
          </w:tcPr>
          <w:p w14:paraId="64DC6266">
            <w:pPr>
              <w:jc w:val="right"/>
            </w:pPr>
            <w:r>
              <w:rPr>
                <w:rFonts w:hint="eastAsia"/>
              </w:rPr>
              <w:t>51,307,328.76</w:t>
            </w:r>
          </w:p>
        </w:tc>
        <w:tc>
          <w:tcPr>
            <w:tcW w:w="1384" w:type="dxa"/>
            <w:vAlign w:val="center"/>
          </w:tcPr>
          <w:p w14:paraId="098F980E">
            <w:pPr>
              <w:jc w:val="right"/>
            </w:pPr>
            <w:r>
              <w:rPr>
                <w:rFonts w:hint="eastAsia"/>
              </w:rPr>
              <w:t>15,734,487.67</w:t>
            </w:r>
          </w:p>
        </w:tc>
        <w:tc>
          <w:tcPr>
            <w:tcW w:w="1384" w:type="dxa"/>
            <w:vAlign w:val="center"/>
          </w:tcPr>
          <w:p w14:paraId="70AD2D1F">
            <w:pPr>
              <w:jc w:val="right"/>
            </w:pPr>
            <w:r>
              <w:rPr>
                <w:rFonts w:hint="eastAsia"/>
              </w:rPr>
              <w:t>-</w:t>
            </w:r>
          </w:p>
        </w:tc>
        <w:tc>
          <w:tcPr>
            <w:tcW w:w="1384" w:type="dxa"/>
            <w:vAlign w:val="center"/>
          </w:tcPr>
          <w:p w14:paraId="133E8B12">
            <w:pPr>
              <w:jc w:val="right"/>
            </w:pPr>
            <w:r>
              <w:rPr>
                <w:rFonts w:hint="eastAsia"/>
              </w:rPr>
              <w:t>67,041,816.43</w:t>
            </w:r>
          </w:p>
        </w:tc>
      </w:tr>
      <w:tr w14:paraId="499D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5F9AC">
            <w:r>
              <w:rPr>
                <w:rFonts w:hint="eastAsia"/>
              </w:rPr>
              <w:t>衍生金融资产</w:t>
            </w:r>
          </w:p>
        </w:tc>
        <w:tc>
          <w:tcPr>
            <w:tcW w:w="1384" w:type="dxa"/>
            <w:vAlign w:val="center"/>
          </w:tcPr>
          <w:p w14:paraId="575F3613">
            <w:pPr>
              <w:jc w:val="right"/>
            </w:pPr>
            <w:r>
              <w:rPr>
                <w:rFonts w:hint="eastAsia"/>
              </w:rPr>
              <w:t>-</w:t>
            </w:r>
          </w:p>
        </w:tc>
        <w:tc>
          <w:tcPr>
            <w:tcW w:w="1384" w:type="dxa"/>
            <w:vAlign w:val="center"/>
          </w:tcPr>
          <w:p w14:paraId="783148FE">
            <w:pPr>
              <w:jc w:val="right"/>
            </w:pPr>
            <w:r>
              <w:rPr>
                <w:rFonts w:hint="eastAsia"/>
              </w:rPr>
              <w:t>-</w:t>
            </w:r>
          </w:p>
        </w:tc>
        <w:tc>
          <w:tcPr>
            <w:tcW w:w="1384" w:type="dxa"/>
            <w:vAlign w:val="center"/>
          </w:tcPr>
          <w:p w14:paraId="03E2C5A4">
            <w:pPr>
              <w:jc w:val="right"/>
            </w:pPr>
            <w:r>
              <w:rPr>
                <w:rFonts w:hint="eastAsia"/>
              </w:rPr>
              <w:t>-</w:t>
            </w:r>
          </w:p>
        </w:tc>
        <w:tc>
          <w:tcPr>
            <w:tcW w:w="1384" w:type="dxa"/>
            <w:vAlign w:val="center"/>
          </w:tcPr>
          <w:p w14:paraId="4A573F29">
            <w:pPr>
              <w:jc w:val="right"/>
            </w:pPr>
            <w:r>
              <w:rPr>
                <w:rFonts w:hint="eastAsia"/>
              </w:rPr>
              <w:t>-</w:t>
            </w:r>
          </w:p>
        </w:tc>
        <w:tc>
          <w:tcPr>
            <w:tcW w:w="1384" w:type="dxa"/>
            <w:vAlign w:val="center"/>
          </w:tcPr>
          <w:p w14:paraId="72003E77">
            <w:pPr>
              <w:jc w:val="right"/>
            </w:pPr>
            <w:r>
              <w:rPr>
                <w:rFonts w:hint="eastAsia"/>
              </w:rPr>
              <w:t>-</w:t>
            </w:r>
          </w:p>
        </w:tc>
      </w:tr>
      <w:tr w14:paraId="2252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BE81F">
            <w:r>
              <w:rPr>
                <w:rFonts w:hint="eastAsia"/>
              </w:rPr>
              <w:t>买入返售金融资产</w:t>
            </w:r>
          </w:p>
        </w:tc>
        <w:tc>
          <w:tcPr>
            <w:tcW w:w="1384" w:type="dxa"/>
            <w:vAlign w:val="center"/>
          </w:tcPr>
          <w:p w14:paraId="68DD9BB7">
            <w:pPr>
              <w:jc w:val="right"/>
            </w:pPr>
            <w:r>
              <w:rPr>
                <w:rFonts w:hint="eastAsia"/>
              </w:rPr>
              <w:t>-</w:t>
            </w:r>
          </w:p>
        </w:tc>
        <w:tc>
          <w:tcPr>
            <w:tcW w:w="1384" w:type="dxa"/>
            <w:vAlign w:val="center"/>
          </w:tcPr>
          <w:p w14:paraId="06BA3EDC">
            <w:pPr>
              <w:jc w:val="right"/>
            </w:pPr>
            <w:r>
              <w:rPr>
                <w:rFonts w:hint="eastAsia"/>
              </w:rPr>
              <w:t>-</w:t>
            </w:r>
          </w:p>
        </w:tc>
        <w:tc>
          <w:tcPr>
            <w:tcW w:w="1384" w:type="dxa"/>
            <w:vAlign w:val="center"/>
          </w:tcPr>
          <w:p w14:paraId="19779256">
            <w:pPr>
              <w:jc w:val="right"/>
            </w:pPr>
            <w:r>
              <w:rPr>
                <w:rFonts w:hint="eastAsia"/>
              </w:rPr>
              <w:t>-</w:t>
            </w:r>
          </w:p>
        </w:tc>
        <w:tc>
          <w:tcPr>
            <w:tcW w:w="1384" w:type="dxa"/>
            <w:vAlign w:val="center"/>
          </w:tcPr>
          <w:p w14:paraId="54E13530">
            <w:pPr>
              <w:jc w:val="right"/>
            </w:pPr>
            <w:r>
              <w:rPr>
                <w:rFonts w:hint="eastAsia"/>
              </w:rPr>
              <w:t>-</w:t>
            </w:r>
          </w:p>
        </w:tc>
        <w:tc>
          <w:tcPr>
            <w:tcW w:w="1384" w:type="dxa"/>
            <w:vAlign w:val="center"/>
          </w:tcPr>
          <w:p w14:paraId="0FC985DF">
            <w:pPr>
              <w:jc w:val="right"/>
            </w:pPr>
            <w:r>
              <w:rPr>
                <w:rFonts w:hint="eastAsia"/>
              </w:rPr>
              <w:t>-</w:t>
            </w:r>
          </w:p>
        </w:tc>
      </w:tr>
      <w:tr w14:paraId="23E0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54949">
            <w:r>
              <w:rPr>
                <w:rFonts w:hint="eastAsia"/>
              </w:rPr>
              <w:t>债权投资</w:t>
            </w:r>
          </w:p>
        </w:tc>
        <w:tc>
          <w:tcPr>
            <w:tcW w:w="1384" w:type="dxa"/>
            <w:vAlign w:val="center"/>
          </w:tcPr>
          <w:p w14:paraId="54E2478B">
            <w:pPr>
              <w:jc w:val="right"/>
            </w:pPr>
            <w:r>
              <w:rPr>
                <w:rFonts w:hint="eastAsia"/>
              </w:rPr>
              <w:t>-</w:t>
            </w:r>
          </w:p>
        </w:tc>
        <w:tc>
          <w:tcPr>
            <w:tcW w:w="1384" w:type="dxa"/>
            <w:vAlign w:val="center"/>
          </w:tcPr>
          <w:p w14:paraId="7E62D561">
            <w:pPr>
              <w:jc w:val="right"/>
            </w:pPr>
            <w:r>
              <w:rPr>
                <w:rFonts w:hint="eastAsia"/>
              </w:rPr>
              <w:t>-</w:t>
            </w:r>
          </w:p>
        </w:tc>
        <w:tc>
          <w:tcPr>
            <w:tcW w:w="1384" w:type="dxa"/>
            <w:vAlign w:val="center"/>
          </w:tcPr>
          <w:p w14:paraId="509AB4F5">
            <w:pPr>
              <w:jc w:val="right"/>
            </w:pPr>
            <w:r>
              <w:rPr>
                <w:rFonts w:hint="eastAsia"/>
              </w:rPr>
              <w:t>-</w:t>
            </w:r>
          </w:p>
        </w:tc>
        <w:tc>
          <w:tcPr>
            <w:tcW w:w="1384" w:type="dxa"/>
            <w:vAlign w:val="center"/>
          </w:tcPr>
          <w:p w14:paraId="686A7F57">
            <w:pPr>
              <w:jc w:val="right"/>
            </w:pPr>
            <w:r>
              <w:rPr>
                <w:rFonts w:hint="eastAsia"/>
              </w:rPr>
              <w:t>-</w:t>
            </w:r>
          </w:p>
        </w:tc>
        <w:tc>
          <w:tcPr>
            <w:tcW w:w="1384" w:type="dxa"/>
            <w:vAlign w:val="center"/>
          </w:tcPr>
          <w:p w14:paraId="14901C68">
            <w:pPr>
              <w:jc w:val="right"/>
            </w:pPr>
            <w:r>
              <w:rPr>
                <w:rFonts w:hint="eastAsia"/>
              </w:rPr>
              <w:t>-</w:t>
            </w:r>
          </w:p>
        </w:tc>
      </w:tr>
      <w:tr w14:paraId="3D8C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8DDBF">
            <w:r>
              <w:rPr>
                <w:rFonts w:hint="eastAsia"/>
              </w:rPr>
              <w:t>其他债权投资</w:t>
            </w:r>
          </w:p>
        </w:tc>
        <w:tc>
          <w:tcPr>
            <w:tcW w:w="1384" w:type="dxa"/>
            <w:vAlign w:val="center"/>
          </w:tcPr>
          <w:p w14:paraId="45BDFC38">
            <w:pPr>
              <w:jc w:val="right"/>
            </w:pPr>
            <w:r>
              <w:rPr>
                <w:rFonts w:hint="eastAsia"/>
              </w:rPr>
              <w:t>-</w:t>
            </w:r>
          </w:p>
        </w:tc>
        <w:tc>
          <w:tcPr>
            <w:tcW w:w="1384" w:type="dxa"/>
            <w:vAlign w:val="center"/>
          </w:tcPr>
          <w:p w14:paraId="60827F79">
            <w:pPr>
              <w:jc w:val="right"/>
            </w:pPr>
            <w:r>
              <w:rPr>
                <w:rFonts w:hint="eastAsia"/>
              </w:rPr>
              <w:t>-</w:t>
            </w:r>
          </w:p>
        </w:tc>
        <w:tc>
          <w:tcPr>
            <w:tcW w:w="1384" w:type="dxa"/>
            <w:vAlign w:val="center"/>
          </w:tcPr>
          <w:p w14:paraId="52043886">
            <w:pPr>
              <w:jc w:val="right"/>
            </w:pPr>
            <w:r>
              <w:rPr>
                <w:rFonts w:hint="eastAsia"/>
              </w:rPr>
              <w:t>-</w:t>
            </w:r>
          </w:p>
        </w:tc>
        <w:tc>
          <w:tcPr>
            <w:tcW w:w="1384" w:type="dxa"/>
            <w:vAlign w:val="center"/>
          </w:tcPr>
          <w:p w14:paraId="61C6FA71">
            <w:pPr>
              <w:jc w:val="right"/>
            </w:pPr>
            <w:r>
              <w:rPr>
                <w:rFonts w:hint="eastAsia"/>
              </w:rPr>
              <w:t>-</w:t>
            </w:r>
          </w:p>
        </w:tc>
        <w:tc>
          <w:tcPr>
            <w:tcW w:w="1384" w:type="dxa"/>
            <w:vAlign w:val="center"/>
          </w:tcPr>
          <w:p w14:paraId="34C2ACBF">
            <w:pPr>
              <w:jc w:val="right"/>
            </w:pPr>
            <w:r>
              <w:rPr>
                <w:rFonts w:hint="eastAsia"/>
              </w:rPr>
              <w:t>-</w:t>
            </w:r>
          </w:p>
        </w:tc>
      </w:tr>
      <w:tr w14:paraId="2018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C7189">
            <w:r>
              <w:rPr>
                <w:rFonts w:hint="eastAsia"/>
              </w:rPr>
              <w:t>其他权益工具投资</w:t>
            </w:r>
          </w:p>
        </w:tc>
        <w:tc>
          <w:tcPr>
            <w:tcW w:w="1384" w:type="dxa"/>
            <w:vAlign w:val="center"/>
          </w:tcPr>
          <w:p w14:paraId="3049CC32">
            <w:pPr>
              <w:jc w:val="right"/>
            </w:pPr>
            <w:r>
              <w:rPr>
                <w:rFonts w:hint="eastAsia"/>
              </w:rPr>
              <w:t>-</w:t>
            </w:r>
          </w:p>
        </w:tc>
        <w:tc>
          <w:tcPr>
            <w:tcW w:w="1384" w:type="dxa"/>
            <w:vAlign w:val="center"/>
          </w:tcPr>
          <w:p w14:paraId="0A6AA062">
            <w:pPr>
              <w:jc w:val="right"/>
            </w:pPr>
            <w:r>
              <w:rPr>
                <w:rFonts w:hint="eastAsia"/>
              </w:rPr>
              <w:t>-</w:t>
            </w:r>
          </w:p>
        </w:tc>
        <w:tc>
          <w:tcPr>
            <w:tcW w:w="1384" w:type="dxa"/>
            <w:vAlign w:val="center"/>
          </w:tcPr>
          <w:p w14:paraId="35992073">
            <w:pPr>
              <w:jc w:val="right"/>
            </w:pPr>
            <w:r>
              <w:rPr>
                <w:rFonts w:hint="eastAsia"/>
              </w:rPr>
              <w:t>-</w:t>
            </w:r>
          </w:p>
        </w:tc>
        <w:tc>
          <w:tcPr>
            <w:tcW w:w="1384" w:type="dxa"/>
            <w:vAlign w:val="center"/>
          </w:tcPr>
          <w:p w14:paraId="1775E49E">
            <w:pPr>
              <w:jc w:val="right"/>
            </w:pPr>
            <w:r>
              <w:rPr>
                <w:rFonts w:hint="eastAsia"/>
              </w:rPr>
              <w:t>-</w:t>
            </w:r>
          </w:p>
        </w:tc>
        <w:tc>
          <w:tcPr>
            <w:tcW w:w="1384" w:type="dxa"/>
            <w:vAlign w:val="center"/>
          </w:tcPr>
          <w:p w14:paraId="4E214B2F">
            <w:pPr>
              <w:jc w:val="right"/>
            </w:pPr>
            <w:r>
              <w:rPr>
                <w:rFonts w:hint="eastAsia"/>
              </w:rPr>
              <w:t>-</w:t>
            </w:r>
          </w:p>
        </w:tc>
      </w:tr>
      <w:tr w14:paraId="293B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0368C">
            <w:r>
              <w:rPr>
                <w:rFonts w:hint="eastAsia"/>
              </w:rPr>
              <w:t>应收清算款</w:t>
            </w:r>
          </w:p>
        </w:tc>
        <w:tc>
          <w:tcPr>
            <w:tcW w:w="1384" w:type="dxa"/>
            <w:vAlign w:val="center"/>
          </w:tcPr>
          <w:p w14:paraId="316971E5">
            <w:pPr>
              <w:jc w:val="right"/>
            </w:pPr>
            <w:r>
              <w:rPr>
                <w:rFonts w:hint="eastAsia"/>
              </w:rPr>
              <w:t>-</w:t>
            </w:r>
          </w:p>
        </w:tc>
        <w:tc>
          <w:tcPr>
            <w:tcW w:w="1384" w:type="dxa"/>
            <w:vAlign w:val="center"/>
          </w:tcPr>
          <w:p w14:paraId="4EAEDE6C">
            <w:pPr>
              <w:jc w:val="right"/>
            </w:pPr>
            <w:r>
              <w:rPr>
                <w:rFonts w:hint="eastAsia"/>
              </w:rPr>
              <w:t>-</w:t>
            </w:r>
          </w:p>
        </w:tc>
        <w:tc>
          <w:tcPr>
            <w:tcW w:w="1384" w:type="dxa"/>
            <w:vAlign w:val="center"/>
          </w:tcPr>
          <w:p w14:paraId="520D187C">
            <w:pPr>
              <w:jc w:val="right"/>
            </w:pPr>
            <w:r>
              <w:rPr>
                <w:rFonts w:hint="eastAsia"/>
              </w:rPr>
              <w:t>-</w:t>
            </w:r>
          </w:p>
        </w:tc>
        <w:tc>
          <w:tcPr>
            <w:tcW w:w="1384" w:type="dxa"/>
            <w:vAlign w:val="center"/>
          </w:tcPr>
          <w:p w14:paraId="609297E3">
            <w:pPr>
              <w:jc w:val="right"/>
            </w:pPr>
            <w:r>
              <w:rPr>
                <w:rFonts w:hint="eastAsia"/>
              </w:rPr>
              <w:t>-</w:t>
            </w:r>
          </w:p>
        </w:tc>
        <w:tc>
          <w:tcPr>
            <w:tcW w:w="1384" w:type="dxa"/>
            <w:vAlign w:val="center"/>
          </w:tcPr>
          <w:p w14:paraId="58166F0A">
            <w:pPr>
              <w:jc w:val="right"/>
            </w:pPr>
            <w:r>
              <w:rPr>
                <w:rFonts w:hint="eastAsia"/>
              </w:rPr>
              <w:t>-</w:t>
            </w:r>
          </w:p>
        </w:tc>
      </w:tr>
      <w:tr w14:paraId="2AE2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48297">
            <w:r>
              <w:rPr>
                <w:rFonts w:hint="eastAsia"/>
              </w:rPr>
              <w:t>应收股利</w:t>
            </w:r>
          </w:p>
        </w:tc>
        <w:tc>
          <w:tcPr>
            <w:tcW w:w="1384" w:type="dxa"/>
            <w:vAlign w:val="center"/>
          </w:tcPr>
          <w:p w14:paraId="1ACE0BA2">
            <w:pPr>
              <w:jc w:val="right"/>
            </w:pPr>
            <w:r>
              <w:rPr>
                <w:rFonts w:hint="eastAsia"/>
              </w:rPr>
              <w:t>-</w:t>
            </w:r>
          </w:p>
        </w:tc>
        <w:tc>
          <w:tcPr>
            <w:tcW w:w="1384" w:type="dxa"/>
            <w:vAlign w:val="center"/>
          </w:tcPr>
          <w:p w14:paraId="5995BF5C">
            <w:pPr>
              <w:jc w:val="right"/>
            </w:pPr>
            <w:r>
              <w:rPr>
                <w:rFonts w:hint="eastAsia"/>
              </w:rPr>
              <w:t>-</w:t>
            </w:r>
          </w:p>
        </w:tc>
        <w:tc>
          <w:tcPr>
            <w:tcW w:w="1384" w:type="dxa"/>
            <w:vAlign w:val="center"/>
          </w:tcPr>
          <w:p w14:paraId="09373262">
            <w:pPr>
              <w:jc w:val="right"/>
            </w:pPr>
            <w:r>
              <w:rPr>
                <w:rFonts w:hint="eastAsia"/>
              </w:rPr>
              <w:t>-</w:t>
            </w:r>
          </w:p>
        </w:tc>
        <w:tc>
          <w:tcPr>
            <w:tcW w:w="1384" w:type="dxa"/>
            <w:vAlign w:val="center"/>
          </w:tcPr>
          <w:p w14:paraId="777A5899">
            <w:pPr>
              <w:jc w:val="right"/>
            </w:pPr>
            <w:r>
              <w:rPr>
                <w:rFonts w:hint="eastAsia"/>
              </w:rPr>
              <w:t>-</w:t>
            </w:r>
          </w:p>
        </w:tc>
        <w:tc>
          <w:tcPr>
            <w:tcW w:w="1384" w:type="dxa"/>
            <w:vAlign w:val="center"/>
          </w:tcPr>
          <w:p w14:paraId="21965581">
            <w:pPr>
              <w:jc w:val="right"/>
            </w:pPr>
            <w:r>
              <w:rPr>
                <w:rFonts w:hint="eastAsia"/>
              </w:rPr>
              <w:t>-</w:t>
            </w:r>
          </w:p>
        </w:tc>
      </w:tr>
      <w:tr w14:paraId="74B7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4F572">
            <w:r>
              <w:rPr>
                <w:rFonts w:hint="eastAsia"/>
              </w:rPr>
              <w:t>应收申购款</w:t>
            </w:r>
          </w:p>
        </w:tc>
        <w:tc>
          <w:tcPr>
            <w:tcW w:w="1384" w:type="dxa"/>
            <w:vAlign w:val="center"/>
          </w:tcPr>
          <w:p w14:paraId="5302E1D1">
            <w:pPr>
              <w:jc w:val="right"/>
            </w:pPr>
            <w:r>
              <w:rPr>
                <w:rFonts w:hint="eastAsia"/>
              </w:rPr>
              <w:t>-</w:t>
            </w:r>
          </w:p>
        </w:tc>
        <w:tc>
          <w:tcPr>
            <w:tcW w:w="1384" w:type="dxa"/>
            <w:vAlign w:val="center"/>
          </w:tcPr>
          <w:p w14:paraId="0235A333">
            <w:pPr>
              <w:jc w:val="right"/>
            </w:pPr>
            <w:r>
              <w:rPr>
                <w:rFonts w:hint="eastAsia"/>
              </w:rPr>
              <w:t>-</w:t>
            </w:r>
          </w:p>
        </w:tc>
        <w:tc>
          <w:tcPr>
            <w:tcW w:w="1384" w:type="dxa"/>
            <w:vAlign w:val="center"/>
          </w:tcPr>
          <w:p w14:paraId="0A5A8E18">
            <w:pPr>
              <w:jc w:val="right"/>
            </w:pPr>
            <w:r>
              <w:rPr>
                <w:rFonts w:hint="eastAsia"/>
              </w:rPr>
              <w:t>-</w:t>
            </w:r>
          </w:p>
        </w:tc>
        <w:tc>
          <w:tcPr>
            <w:tcW w:w="1384" w:type="dxa"/>
            <w:vAlign w:val="center"/>
          </w:tcPr>
          <w:p w14:paraId="51295E5F">
            <w:pPr>
              <w:jc w:val="right"/>
            </w:pPr>
            <w:r>
              <w:rPr>
                <w:rFonts w:hint="eastAsia"/>
              </w:rPr>
              <w:t>-</w:t>
            </w:r>
          </w:p>
        </w:tc>
        <w:tc>
          <w:tcPr>
            <w:tcW w:w="1384" w:type="dxa"/>
            <w:vAlign w:val="center"/>
          </w:tcPr>
          <w:p w14:paraId="2569A246">
            <w:pPr>
              <w:jc w:val="right"/>
            </w:pPr>
            <w:r>
              <w:rPr>
                <w:rFonts w:hint="eastAsia"/>
              </w:rPr>
              <w:t>-</w:t>
            </w:r>
          </w:p>
        </w:tc>
      </w:tr>
      <w:tr w14:paraId="23E5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C7196">
            <w:r>
              <w:rPr>
                <w:rFonts w:hint="eastAsia"/>
              </w:rPr>
              <w:t>递延所得税资产</w:t>
            </w:r>
          </w:p>
        </w:tc>
        <w:tc>
          <w:tcPr>
            <w:tcW w:w="1384" w:type="dxa"/>
            <w:vAlign w:val="center"/>
          </w:tcPr>
          <w:p w14:paraId="3E766DE0">
            <w:pPr>
              <w:jc w:val="right"/>
            </w:pPr>
            <w:r>
              <w:rPr>
                <w:rFonts w:hint="eastAsia"/>
              </w:rPr>
              <w:t>-</w:t>
            </w:r>
          </w:p>
        </w:tc>
        <w:tc>
          <w:tcPr>
            <w:tcW w:w="1384" w:type="dxa"/>
            <w:vAlign w:val="center"/>
          </w:tcPr>
          <w:p w14:paraId="3E383318">
            <w:pPr>
              <w:jc w:val="right"/>
            </w:pPr>
            <w:r>
              <w:rPr>
                <w:rFonts w:hint="eastAsia"/>
              </w:rPr>
              <w:t>-</w:t>
            </w:r>
          </w:p>
        </w:tc>
        <w:tc>
          <w:tcPr>
            <w:tcW w:w="1384" w:type="dxa"/>
            <w:vAlign w:val="center"/>
          </w:tcPr>
          <w:p w14:paraId="5D084A7B">
            <w:pPr>
              <w:jc w:val="right"/>
            </w:pPr>
            <w:r>
              <w:rPr>
                <w:rFonts w:hint="eastAsia"/>
              </w:rPr>
              <w:t>-</w:t>
            </w:r>
          </w:p>
        </w:tc>
        <w:tc>
          <w:tcPr>
            <w:tcW w:w="1384" w:type="dxa"/>
            <w:vAlign w:val="center"/>
          </w:tcPr>
          <w:p w14:paraId="4D0E51FC">
            <w:pPr>
              <w:jc w:val="right"/>
            </w:pPr>
            <w:r>
              <w:rPr>
                <w:rFonts w:hint="eastAsia"/>
              </w:rPr>
              <w:t>-</w:t>
            </w:r>
          </w:p>
        </w:tc>
        <w:tc>
          <w:tcPr>
            <w:tcW w:w="1384" w:type="dxa"/>
            <w:vAlign w:val="center"/>
          </w:tcPr>
          <w:p w14:paraId="3A3F853B">
            <w:pPr>
              <w:jc w:val="right"/>
            </w:pPr>
            <w:r>
              <w:rPr>
                <w:rFonts w:hint="eastAsia"/>
              </w:rPr>
              <w:t>-</w:t>
            </w:r>
          </w:p>
        </w:tc>
      </w:tr>
      <w:tr w14:paraId="23CB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51634">
            <w:r>
              <w:rPr>
                <w:rFonts w:hint="eastAsia"/>
              </w:rPr>
              <w:t>其他资产</w:t>
            </w:r>
          </w:p>
        </w:tc>
        <w:tc>
          <w:tcPr>
            <w:tcW w:w="1384" w:type="dxa"/>
            <w:vAlign w:val="center"/>
          </w:tcPr>
          <w:p w14:paraId="186E2FCB">
            <w:pPr>
              <w:jc w:val="right"/>
            </w:pPr>
            <w:r>
              <w:rPr>
                <w:rFonts w:hint="eastAsia"/>
              </w:rPr>
              <w:t>-</w:t>
            </w:r>
          </w:p>
        </w:tc>
        <w:tc>
          <w:tcPr>
            <w:tcW w:w="1384" w:type="dxa"/>
            <w:vAlign w:val="center"/>
          </w:tcPr>
          <w:p w14:paraId="235E73BB">
            <w:pPr>
              <w:jc w:val="right"/>
            </w:pPr>
            <w:r>
              <w:rPr>
                <w:rFonts w:hint="eastAsia"/>
              </w:rPr>
              <w:t>-</w:t>
            </w:r>
          </w:p>
        </w:tc>
        <w:tc>
          <w:tcPr>
            <w:tcW w:w="1384" w:type="dxa"/>
            <w:vAlign w:val="center"/>
          </w:tcPr>
          <w:p w14:paraId="671D4F17">
            <w:pPr>
              <w:jc w:val="right"/>
            </w:pPr>
            <w:r>
              <w:rPr>
                <w:rFonts w:hint="eastAsia"/>
              </w:rPr>
              <w:t>-</w:t>
            </w:r>
          </w:p>
        </w:tc>
        <w:tc>
          <w:tcPr>
            <w:tcW w:w="1384" w:type="dxa"/>
            <w:vAlign w:val="center"/>
          </w:tcPr>
          <w:p w14:paraId="69A52D29">
            <w:pPr>
              <w:jc w:val="right"/>
            </w:pPr>
            <w:r>
              <w:rPr>
                <w:rFonts w:hint="eastAsia"/>
              </w:rPr>
              <w:t>-</w:t>
            </w:r>
          </w:p>
        </w:tc>
        <w:tc>
          <w:tcPr>
            <w:tcW w:w="1384" w:type="dxa"/>
            <w:vAlign w:val="center"/>
          </w:tcPr>
          <w:p w14:paraId="5EE66689">
            <w:pPr>
              <w:jc w:val="right"/>
            </w:pPr>
            <w:r>
              <w:rPr>
                <w:rFonts w:hint="eastAsia"/>
              </w:rPr>
              <w:t>-</w:t>
            </w:r>
          </w:p>
        </w:tc>
      </w:tr>
      <w:tr w14:paraId="30EF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213E7">
            <w:r>
              <w:rPr>
                <w:rFonts w:hint="eastAsia"/>
              </w:rPr>
              <w:t>资产总计</w:t>
            </w:r>
          </w:p>
        </w:tc>
        <w:tc>
          <w:tcPr>
            <w:tcW w:w="1384" w:type="dxa"/>
            <w:vAlign w:val="center"/>
          </w:tcPr>
          <w:p w14:paraId="567CACCE">
            <w:pPr>
              <w:jc w:val="right"/>
            </w:pPr>
            <w:r>
              <w:rPr>
                <w:rFonts w:hint="eastAsia"/>
              </w:rPr>
              <w:t>344,018.51</w:t>
            </w:r>
          </w:p>
        </w:tc>
        <w:tc>
          <w:tcPr>
            <w:tcW w:w="1384" w:type="dxa"/>
            <w:vAlign w:val="center"/>
          </w:tcPr>
          <w:p w14:paraId="3A712884">
            <w:pPr>
              <w:jc w:val="right"/>
            </w:pPr>
            <w:r>
              <w:rPr>
                <w:rFonts w:hint="eastAsia"/>
              </w:rPr>
              <w:t>51,307,328.76</w:t>
            </w:r>
          </w:p>
        </w:tc>
        <w:tc>
          <w:tcPr>
            <w:tcW w:w="1384" w:type="dxa"/>
            <w:vAlign w:val="center"/>
          </w:tcPr>
          <w:p w14:paraId="1E13A1F5">
            <w:pPr>
              <w:jc w:val="right"/>
            </w:pPr>
            <w:r>
              <w:rPr>
                <w:rFonts w:hint="eastAsia"/>
              </w:rPr>
              <w:t>15,734,487.67</w:t>
            </w:r>
          </w:p>
        </w:tc>
        <w:tc>
          <w:tcPr>
            <w:tcW w:w="1384" w:type="dxa"/>
            <w:vAlign w:val="center"/>
          </w:tcPr>
          <w:p w14:paraId="3A4682E2">
            <w:pPr>
              <w:jc w:val="right"/>
            </w:pPr>
            <w:r>
              <w:rPr>
                <w:rFonts w:hint="eastAsia"/>
              </w:rPr>
              <w:t>-</w:t>
            </w:r>
          </w:p>
        </w:tc>
        <w:tc>
          <w:tcPr>
            <w:tcW w:w="1384" w:type="dxa"/>
            <w:vAlign w:val="center"/>
          </w:tcPr>
          <w:p w14:paraId="4FC46958">
            <w:pPr>
              <w:jc w:val="right"/>
            </w:pPr>
            <w:r>
              <w:rPr>
                <w:rFonts w:hint="eastAsia"/>
              </w:rPr>
              <w:t>67,385,834.94</w:t>
            </w:r>
          </w:p>
        </w:tc>
      </w:tr>
      <w:tr w14:paraId="49BB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FD1F1">
            <w:r>
              <w:rPr>
                <w:rFonts w:hint="eastAsia"/>
              </w:rPr>
              <w:t>负债</w:t>
            </w:r>
          </w:p>
        </w:tc>
        <w:tc>
          <w:tcPr>
            <w:tcW w:w="1384" w:type="dxa"/>
            <w:vAlign w:val="center"/>
          </w:tcPr>
          <w:p w14:paraId="36EB078A"/>
        </w:tc>
        <w:tc>
          <w:tcPr>
            <w:tcW w:w="1384" w:type="dxa"/>
            <w:vAlign w:val="center"/>
          </w:tcPr>
          <w:p w14:paraId="54773125"/>
        </w:tc>
        <w:tc>
          <w:tcPr>
            <w:tcW w:w="1384" w:type="dxa"/>
            <w:vAlign w:val="center"/>
          </w:tcPr>
          <w:p w14:paraId="2CDCC308"/>
        </w:tc>
        <w:tc>
          <w:tcPr>
            <w:tcW w:w="1384" w:type="dxa"/>
            <w:vAlign w:val="center"/>
          </w:tcPr>
          <w:p w14:paraId="52581827"/>
        </w:tc>
        <w:tc>
          <w:tcPr>
            <w:tcW w:w="1384" w:type="dxa"/>
            <w:vAlign w:val="center"/>
          </w:tcPr>
          <w:p w14:paraId="38797AC4"/>
        </w:tc>
      </w:tr>
      <w:tr w14:paraId="3BDF4683">
        <w:tblPrEx>
          <w:tblCellMar>
            <w:top w:w="0" w:type="dxa"/>
            <w:left w:w="108" w:type="dxa"/>
            <w:bottom w:w="0" w:type="dxa"/>
            <w:right w:w="108" w:type="dxa"/>
          </w:tblCellMar>
        </w:tblPrEx>
        <w:trPr>
          <w:jc w:val="center"/>
        </w:trPr>
        <w:tc>
          <w:tcPr>
            <w:tcW w:w="1384" w:type="dxa"/>
            <w:vAlign w:val="center"/>
          </w:tcPr>
          <w:p w14:paraId="7F62B32F">
            <w:r>
              <w:rPr>
                <w:rFonts w:hint="eastAsia"/>
              </w:rPr>
              <w:t>短期借款</w:t>
            </w:r>
          </w:p>
        </w:tc>
        <w:tc>
          <w:tcPr>
            <w:tcW w:w="1384" w:type="dxa"/>
            <w:vAlign w:val="center"/>
          </w:tcPr>
          <w:p w14:paraId="0005526D">
            <w:pPr>
              <w:jc w:val="right"/>
            </w:pPr>
            <w:r>
              <w:rPr>
                <w:rFonts w:hint="eastAsia"/>
              </w:rPr>
              <w:t>-</w:t>
            </w:r>
          </w:p>
        </w:tc>
        <w:tc>
          <w:tcPr>
            <w:tcW w:w="1384" w:type="dxa"/>
            <w:vAlign w:val="center"/>
          </w:tcPr>
          <w:p w14:paraId="34C90E74">
            <w:pPr>
              <w:jc w:val="right"/>
            </w:pPr>
            <w:r>
              <w:rPr>
                <w:rFonts w:hint="eastAsia"/>
              </w:rPr>
              <w:t>-</w:t>
            </w:r>
          </w:p>
        </w:tc>
        <w:tc>
          <w:tcPr>
            <w:tcW w:w="1384" w:type="dxa"/>
            <w:vAlign w:val="center"/>
          </w:tcPr>
          <w:p w14:paraId="7791B7BD">
            <w:pPr>
              <w:jc w:val="right"/>
            </w:pPr>
            <w:r>
              <w:rPr>
                <w:rFonts w:hint="eastAsia"/>
              </w:rPr>
              <w:t>-</w:t>
            </w:r>
          </w:p>
        </w:tc>
        <w:tc>
          <w:tcPr>
            <w:tcW w:w="1384" w:type="dxa"/>
            <w:vAlign w:val="center"/>
          </w:tcPr>
          <w:p w14:paraId="6C6714F8">
            <w:pPr>
              <w:jc w:val="right"/>
            </w:pPr>
            <w:r>
              <w:rPr>
                <w:rFonts w:hint="eastAsia"/>
              </w:rPr>
              <w:t>-</w:t>
            </w:r>
          </w:p>
        </w:tc>
        <w:tc>
          <w:tcPr>
            <w:tcW w:w="1384" w:type="dxa"/>
            <w:vAlign w:val="center"/>
          </w:tcPr>
          <w:p w14:paraId="385B49FA">
            <w:pPr>
              <w:jc w:val="right"/>
            </w:pPr>
            <w:r>
              <w:rPr>
                <w:rFonts w:hint="eastAsia"/>
              </w:rPr>
              <w:t>-</w:t>
            </w:r>
          </w:p>
        </w:tc>
      </w:tr>
      <w:tr w14:paraId="4876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3AA96">
            <w:r>
              <w:rPr>
                <w:rFonts w:hint="eastAsia"/>
              </w:rPr>
              <w:t>交易性金融负债</w:t>
            </w:r>
          </w:p>
        </w:tc>
        <w:tc>
          <w:tcPr>
            <w:tcW w:w="1384" w:type="dxa"/>
            <w:vAlign w:val="center"/>
          </w:tcPr>
          <w:p w14:paraId="4AD39833">
            <w:pPr>
              <w:jc w:val="right"/>
            </w:pPr>
            <w:r>
              <w:rPr>
                <w:rFonts w:hint="eastAsia"/>
              </w:rPr>
              <w:t>-</w:t>
            </w:r>
          </w:p>
        </w:tc>
        <w:tc>
          <w:tcPr>
            <w:tcW w:w="1384" w:type="dxa"/>
            <w:vAlign w:val="center"/>
          </w:tcPr>
          <w:p w14:paraId="626FEBDB">
            <w:pPr>
              <w:jc w:val="right"/>
            </w:pPr>
            <w:r>
              <w:rPr>
                <w:rFonts w:hint="eastAsia"/>
              </w:rPr>
              <w:t>-</w:t>
            </w:r>
          </w:p>
        </w:tc>
        <w:tc>
          <w:tcPr>
            <w:tcW w:w="1384" w:type="dxa"/>
            <w:vAlign w:val="center"/>
          </w:tcPr>
          <w:p w14:paraId="37C6007B">
            <w:pPr>
              <w:jc w:val="right"/>
            </w:pPr>
            <w:r>
              <w:rPr>
                <w:rFonts w:hint="eastAsia"/>
              </w:rPr>
              <w:t>-</w:t>
            </w:r>
          </w:p>
        </w:tc>
        <w:tc>
          <w:tcPr>
            <w:tcW w:w="1384" w:type="dxa"/>
            <w:vAlign w:val="center"/>
          </w:tcPr>
          <w:p w14:paraId="52FB1C05">
            <w:pPr>
              <w:jc w:val="right"/>
            </w:pPr>
            <w:r>
              <w:rPr>
                <w:rFonts w:hint="eastAsia"/>
              </w:rPr>
              <w:t>-</w:t>
            </w:r>
          </w:p>
        </w:tc>
        <w:tc>
          <w:tcPr>
            <w:tcW w:w="1384" w:type="dxa"/>
            <w:vAlign w:val="center"/>
          </w:tcPr>
          <w:p w14:paraId="6B629FCC">
            <w:pPr>
              <w:jc w:val="right"/>
            </w:pPr>
            <w:r>
              <w:rPr>
                <w:rFonts w:hint="eastAsia"/>
              </w:rPr>
              <w:t>-</w:t>
            </w:r>
          </w:p>
        </w:tc>
      </w:tr>
      <w:tr w14:paraId="59FF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40129">
            <w:r>
              <w:rPr>
                <w:rFonts w:hint="eastAsia"/>
              </w:rPr>
              <w:t>衍生金融负债</w:t>
            </w:r>
          </w:p>
        </w:tc>
        <w:tc>
          <w:tcPr>
            <w:tcW w:w="1384" w:type="dxa"/>
            <w:vAlign w:val="center"/>
          </w:tcPr>
          <w:p w14:paraId="609D01FD">
            <w:pPr>
              <w:jc w:val="right"/>
            </w:pPr>
            <w:r>
              <w:rPr>
                <w:rFonts w:hint="eastAsia"/>
              </w:rPr>
              <w:t>-</w:t>
            </w:r>
          </w:p>
        </w:tc>
        <w:tc>
          <w:tcPr>
            <w:tcW w:w="1384" w:type="dxa"/>
            <w:vAlign w:val="center"/>
          </w:tcPr>
          <w:p w14:paraId="4709FA21">
            <w:pPr>
              <w:jc w:val="right"/>
            </w:pPr>
            <w:r>
              <w:rPr>
                <w:rFonts w:hint="eastAsia"/>
              </w:rPr>
              <w:t>-</w:t>
            </w:r>
          </w:p>
        </w:tc>
        <w:tc>
          <w:tcPr>
            <w:tcW w:w="1384" w:type="dxa"/>
            <w:vAlign w:val="center"/>
          </w:tcPr>
          <w:p w14:paraId="47E328D6">
            <w:pPr>
              <w:jc w:val="right"/>
            </w:pPr>
            <w:r>
              <w:rPr>
                <w:rFonts w:hint="eastAsia"/>
              </w:rPr>
              <w:t>-</w:t>
            </w:r>
          </w:p>
        </w:tc>
        <w:tc>
          <w:tcPr>
            <w:tcW w:w="1384" w:type="dxa"/>
            <w:vAlign w:val="center"/>
          </w:tcPr>
          <w:p w14:paraId="357EA32F">
            <w:pPr>
              <w:jc w:val="right"/>
            </w:pPr>
            <w:r>
              <w:rPr>
                <w:rFonts w:hint="eastAsia"/>
              </w:rPr>
              <w:t>-</w:t>
            </w:r>
          </w:p>
        </w:tc>
        <w:tc>
          <w:tcPr>
            <w:tcW w:w="1384" w:type="dxa"/>
            <w:vAlign w:val="center"/>
          </w:tcPr>
          <w:p w14:paraId="1D63784C">
            <w:pPr>
              <w:jc w:val="right"/>
            </w:pPr>
            <w:r>
              <w:rPr>
                <w:rFonts w:hint="eastAsia"/>
              </w:rPr>
              <w:t>-</w:t>
            </w:r>
          </w:p>
        </w:tc>
      </w:tr>
      <w:tr w14:paraId="2FC9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BB5BD">
            <w:r>
              <w:rPr>
                <w:rFonts w:hint="eastAsia"/>
              </w:rPr>
              <w:t>卖出回购金融资产款</w:t>
            </w:r>
          </w:p>
        </w:tc>
        <w:tc>
          <w:tcPr>
            <w:tcW w:w="1384" w:type="dxa"/>
            <w:vAlign w:val="center"/>
          </w:tcPr>
          <w:p w14:paraId="7E184474">
            <w:pPr>
              <w:jc w:val="right"/>
            </w:pPr>
            <w:r>
              <w:rPr>
                <w:rFonts w:hint="eastAsia"/>
              </w:rPr>
              <w:t>-</w:t>
            </w:r>
          </w:p>
        </w:tc>
        <w:tc>
          <w:tcPr>
            <w:tcW w:w="1384" w:type="dxa"/>
            <w:vAlign w:val="center"/>
          </w:tcPr>
          <w:p w14:paraId="58986AB7">
            <w:pPr>
              <w:jc w:val="right"/>
            </w:pPr>
            <w:r>
              <w:rPr>
                <w:rFonts w:hint="eastAsia"/>
              </w:rPr>
              <w:t>-</w:t>
            </w:r>
          </w:p>
        </w:tc>
        <w:tc>
          <w:tcPr>
            <w:tcW w:w="1384" w:type="dxa"/>
            <w:vAlign w:val="center"/>
          </w:tcPr>
          <w:p w14:paraId="0B49968A">
            <w:pPr>
              <w:jc w:val="right"/>
            </w:pPr>
            <w:r>
              <w:rPr>
                <w:rFonts w:hint="eastAsia"/>
              </w:rPr>
              <w:t>-</w:t>
            </w:r>
          </w:p>
        </w:tc>
        <w:tc>
          <w:tcPr>
            <w:tcW w:w="1384" w:type="dxa"/>
            <w:vAlign w:val="center"/>
          </w:tcPr>
          <w:p w14:paraId="5FAFFDCF">
            <w:pPr>
              <w:jc w:val="right"/>
            </w:pPr>
            <w:r>
              <w:rPr>
                <w:rFonts w:hint="eastAsia"/>
              </w:rPr>
              <w:t>-</w:t>
            </w:r>
          </w:p>
        </w:tc>
        <w:tc>
          <w:tcPr>
            <w:tcW w:w="1384" w:type="dxa"/>
            <w:vAlign w:val="center"/>
          </w:tcPr>
          <w:p w14:paraId="39AB009F">
            <w:pPr>
              <w:jc w:val="right"/>
            </w:pPr>
            <w:r>
              <w:rPr>
                <w:rFonts w:hint="eastAsia"/>
              </w:rPr>
              <w:t>-</w:t>
            </w:r>
          </w:p>
        </w:tc>
      </w:tr>
      <w:tr w14:paraId="30BF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29FBE">
            <w:r>
              <w:rPr>
                <w:rFonts w:hint="eastAsia"/>
              </w:rPr>
              <w:t>应付清算款</w:t>
            </w:r>
          </w:p>
        </w:tc>
        <w:tc>
          <w:tcPr>
            <w:tcW w:w="1384" w:type="dxa"/>
            <w:vAlign w:val="center"/>
          </w:tcPr>
          <w:p w14:paraId="4D652C1A">
            <w:pPr>
              <w:jc w:val="right"/>
            </w:pPr>
            <w:r>
              <w:rPr>
                <w:rFonts w:hint="eastAsia"/>
              </w:rPr>
              <w:t>-</w:t>
            </w:r>
          </w:p>
        </w:tc>
        <w:tc>
          <w:tcPr>
            <w:tcW w:w="1384" w:type="dxa"/>
            <w:vAlign w:val="center"/>
          </w:tcPr>
          <w:p w14:paraId="308D5B05">
            <w:pPr>
              <w:jc w:val="right"/>
            </w:pPr>
            <w:r>
              <w:rPr>
                <w:rFonts w:hint="eastAsia"/>
              </w:rPr>
              <w:t>-</w:t>
            </w:r>
          </w:p>
        </w:tc>
        <w:tc>
          <w:tcPr>
            <w:tcW w:w="1384" w:type="dxa"/>
            <w:vAlign w:val="center"/>
          </w:tcPr>
          <w:p w14:paraId="0795306C">
            <w:pPr>
              <w:jc w:val="right"/>
            </w:pPr>
            <w:r>
              <w:rPr>
                <w:rFonts w:hint="eastAsia"/>
              </w:rPr>
              <w:t>-</w:t>
            </w:r>
          </w:p>
        </w:tc>
        <w:tc>
          <w:tcPr>
            <w:tcW w:w="1384" w:type="dxa"/>
            <w:vAlign w:val="center"/>
          </w:tcPr>
          <w:p w14:paraId="2CE53342">
            <w:pPr>
              <w:jc w:val="right"/>
            </w:pPr>
            <w:r>
              <w:rPr>
                <w:rFonts w:hint="eastAsia"/>
              </w:rPr>
              <w:t>-</w:t>
            </w:r>
          </w:p>
        </w:tc>
        <w:tc>
          <w:tcPr>
            <w:tcW w:w="1384" w:type="dxa"/>
            <w:vAlign w:val="center"/>
          </w:tcPr>
          <w:p w14:paraId="4939ADA4">
            <w:pPr>
              <w:jc w:val="right"/>
            </w:pPr>
            <w:r>
              <w:rPr>
                <w:rFonts w:hint="eastAsia"/>
              </w:rPr>
              <w:t>-</w:t>
            </w:r>
          </w:p>
        </w:tc>
      </w:tr>
      <w:tr w14:paraId="1610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6309F">
            <w:r>
              <w:rPr>
                <w:rFonts w:hint="eastAsia"/>
              </w:rPr>
              <w:t>应付赎回款</w:t>
            </w:r>
          </w:p>
        </w:tc>
        <w:tc>
          <w:tcPr>
            <w:tcW w:w="1384" w:type="dxa"/>
            <w:vAlign w:val="center"/>
          </w:tcPr>
          <w:p w14:paraId="7CBDDB04">
            <w:pPr>
              <w:jc w:val="right"/>
            </w:pPr>
            <w:r>
              <w:rPr>
                <w:rFonts w:hint="eastAsia"/>
              </w:rPr>
              <w:t>-</w:t>
            </w:r>
          </w:p>
        </w:tc>
        <w:tc>
          <w:tcPr>
            <w:tcW w:w="1384" w:type="dxa"/>
            <w:vAlign w:val="center"/>
          </w:tcPr>
          <w:p w14:paraId="7060A815">
            <w:pPr>
              <w:jc w:val="right"/>
            </w:pPr>
            <w:r>
              <w:rPr>
                <w:rFonts w:hint="eastAsia"/>
              </w:rPr>
              <w:t>-</w:t>
            </w:r>
          </w:p>
        </w:tc>
        <w:tc>
          <w:tcPr>
            <w:tcW w:w="1384" w:type="dxa"/>
            <w:vAlign w:val="center"/>
          </w:tcPr>
          <w:p w14:paraId="65426170">
            <w:pPr>
              <w:jc w:val="right"/>
            </w:pPr>
            <w:r>
              <w:rPr>
                <w:rFonts w:hint="eastAsia"/>
              </w:rPr>
              <w:t>-</w:t>
            </w:r>
          </w:p>
        </w:tc>
        <w:tc>
          <w:tcPr>
            <w:tcW w:w="1384" w:type="dxa"/>
            <w:vAlign w:val="center"/>
          </w:tcPr>
          <w:p w14:paraId="1862567C">
            <w:pPr>
              <w:jc w:val="right"/>
            </w:pPr>
            <w:r>
              <w:rPr>
                <w:rFonts w:hint="eastAsia"/>
              </w:rPr>
              <w:t>-</w:t>
            </w:r>
          </w:p>
        </w:tc>
        <w:tc>
          <w:tcPr>
            <w:tcW w:w="1384" w:type="dxa"/>
            <w:vAlign w:val="center"/>
          </w:tcPr>
          <w:p w14:paraId="59A96A82">
            <w:pPr>
              <w:jc w:val="right"/>
            </w:pPr>
            <w:r>
              <w:rPr>
                <w:rFonts w:hint="eastAsia"/>
              </w:rPr>
              <w:t>-</w:t>
            </w:r>
          </w:p>
        </w:tc>
      </w:tr>
      <w:tr w14:paraId="5CB7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5AC6D">
            <w:r>
              <w:rPr>
                <w:rFonts w:hint="eastAsia"/>
              </w:rPr>
              <w:t>应付管理人报酬</w:t>
            </w:r>
          </w:p>
        </w:tc>
        <w:tc>
          <w:tcPr>
            <w:tcW w:w="1384" w:type="dxa"/>
            <w:vAlign w:val="center"/>
          </w:tcPr>
          <w:p w14:paraId="497E89B4">
            <w:pPr>
              <w:jc w:val="right"/>
            </w:pPr>
            <w:r>
              <w:rPr>
                <w:rFonts w:hint="eastAsia"/>
              </w:rPr>
              <w:t>-</w:t>
            </w:r>
          </w:p>
        </w:tc>
        <w:tc>
          <w:tcPr>
            <w:tcW w:w="1384" w:type="dxa"/>
            <w:vAlign w:val="center"/>
          </w:tcPr>
          <w:p w14:paraId="7CD4B0AF">
            <w:pPr>
              <w:jc w:val="right"/>
            </w:pPr>
            <w:r>
              <w:rPr>
                <w:rFonts w:hint="eastAsia"/>
              </w:rPr>
              <w:t>-</w:t>
            </w:r>
          </w:p>
        </w:tc>
        <w:tc>
          <w:tcPr>
            <w:tcW w:w="1384" w:type="dxa"/>
            <w:vAlign w:val="center"/>
          </w:tcPr>
          <w:p w14:paraId="461350AF">
            <w:pPr>
              <w:jc w:val="right"/>
            </w:pPr>
            <w:r>
              <w:rPr>
                <w:rFonts w:hint="eastAsia"/>
              </w:rPr>
              <w:t>-</w:t>
            </w:r>
          </w:p>
        </w:tc>
        <w:tc>
          <w:tcPr>
            <w:tcW w:w="1384" w:type="dxa"/>
            <w:vAlign w:val="center"/>
          </w:tcPr>
          <w:p w14:paraId="39DEFDB5">
            <w:pPr>
              <w:jc w:val="right"/>
            </w:pPr>
            <w:r>
              <w:rPr>
                <w:rFonts w:hint="eastAsia"/>
              </w:rPr>
              <w:t>17,095.09</w:t>
            </w:r>
          </w:p>
        </w:tc>
        <w:tc>
          <w:tcPr>
            <w:tcW w:w="1384" w:type="dxa"/>
            <w:vAlign w:val="center"/>
          </w:tcPr>
          <w:p w14:paraId="4C386AAE">
            <w:pPr>
              <w:jc w:val="right"/>
            </w:pPr>
            <w:r>
              <w:rPr>
                <w:rFonts w:hint="eastAsia"/>
              </w:rPr>
              <w:t>17,095.09</w:t>
            </w:r>
          </w:p>
        </w:tc>
      </w:tr>
      <w:tr w14:paraId="045E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7B73F">
            <w:r>
              <w:rPr>
                <w:rFonts w:hint="eastAsia"/>
              </w:rPr>
              <w:t>应付托管费</w:t>
            </w:r>
          </w:p>
        </w:tc>
        <w:tc>
          <w:tcPr>
            <w:tcW w:w="1384" w:type="dxa"/>
            <w:vAlign w:val="center"/>
          </w:tcPr>
          <w:p w14:paraId="31994F48">
            <w:pPr>
              <w:jc w:val="right"/>
            </w:pPr>
            <w:r>
              <w:rPr>
                <w:rFonts w:hint="eastAsia"/>
              </w:rPr>
              <w:t>-</w:t>
            </w:r>
          </w:p>
        </w:tc>
        <w:tc>
          <w:tcPr>
            <w:tcW w:w="1384" w:type="dxa"/>
            <w:vAlign w:val="center"/>
          </w:tcPr>
          <w:p w14:paraId="4C33C271">
            <w:pPr>
              <w:jc w:val="right"/>
            </w:pPr>
            <w:r>
              <w:rPr>
                <w:rFonts w:hint="eastAsia"/>
              </w:rPr>
              <w:t>-</w:t>
            </w:r>
          </w:p>
        </w:tc>
        <w:tc>
          <w:tcPr>
            <w:tcW w:w="1384" w:type="dxa"/>
            <w:vAlign w:val="center"/>
          </w:tcPr>
          <w:p w14:paraId="684E8E90">
            <w:pPr>
              <w:jc w:val="right"/>
            </w:pPr>
            <w:r>
              <w:rPr>
                <w:rFonts w:hint="eastAsia"/>
              </w:rPr>
              <w:t>-</w:t>
            </w:r>
          </w:p>
        </w:tc>
        <w:tc>
          <w:tcPr>
            <w:tcW w:w="1384" w:type="dxa"/>
            <w:vAlign w:val="center"/>
          </w:tcPr>
          <w:p w14:paraId="2D46FF17">
            <w:pPr>
              <w:jc w:val="right"/>
            </w:pPr>
            <w:r>
              <w:rPr>
                <w:rFonts w:hint="eastAsia"/>
              </w:rPr>
              <w:t>5,698.37</w:t>
            </w:r>
          </w:p>
        </w:tc>
        <w:tc>
          <w:tcPr>
            <w:tcW w:w="1384" w:type="dxa"/>
            <w:vAlign w:val="center"/>
          </w:tcPr>
          <w:p w14:paraId="42248184">
            <w:pPr>
              <w:jc w:val="right"/>
            </w:pPr>
            <w:r>
              <w:rPr>
                <w:rFonts w:hint="eastAsia"/>
              </w:rPr>
              <w:t>5,698.37</w:t>
            </w:r>
          </w:p>
        </w:tc>
      </w:tr>
      <w:tr w14:paraId="335E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0995D">
            <w:r>
              <w:rPr>
                <w:rFonts w:hint="eastAsia"/>
              </w:rPr>
              <w:t>应付销售服务费</w:t>
            </w:r>
          </w:p>
        </w:tc>
        <w:tc>
          <w:tcPr>
            <w:tcW w:w="1384" w:type="dxa"/>
            <w:vAlign w:val="center"/>
          </w:tcPr>
          <w:p w14:paraId="1E11B006">
            <w:pPr>
              <w:jc w:val="right"/>
            </w:pPr>
            <w:r>
              <w:rPr>
                <w:rFonts w:hint="eastAsia"/>
              </w:rPr>
              <w:t>-</w:t>
            </w:r>
          </w:p>
        </w:tc>
        <w:tc>
          <w:tcPr>
            <w:tcW w:w="1384" w:type="dxa"/>
            <w:vAlign w:val="center"/>
          </w:tcPr>
          <w:p w14:paraId="568A7312">
            <w:pPr>
              <w:jc w:val="right"/>
            </w:pPr>
            <w:r>
              <w:rPr>
                <w:rFonts w:hint="eastAsia"/>
              </w:rPr>
              <w:t>-</w:t>
            </w:r>
          </w:p>
        </w:tc>
        <w:tc>
          <w:tcPr>
            <w:tcW w:w="1384" w:type="dxa"/>
            <w:vAlign w:val="center"/>
          </w:tcPr>
          <w:p w14:paraId="53F2E5D8">
            <w:pPr>
              <w:jc w:val="right"/>
            </w:pPr>
            <w:r>
              <w:rPr>
                <w:rFonts w:hint="eastAsia"/>
              </w:rPr>
              <w:t>-</w:t>
            </w:r>
          </w:p>
        </w:tc>
        <w:tc>
          <w:tcPr>
            <w:tcW w:w="1384" w:type="dxa"/>
            <w:vAlign w:val="center"/>
          </w:tcPr>
          <w:p w14:paraId="151CF09A">
            <w:pPr>
              <w:jc w:val="right"/>
            </w:pPr>
            <w:r>
              <w:rPr>
                <w:rFonts w:hint="eastAsia"/>
              </w:rPr>
              <w:t>-</w:t>
            </w:r>
          </w:p>
        </w:tc>
        <w:tc>
          <w:tcPr>
            <w:tcW w:w="1384" w:type="dxa"/>
            <w:vAlign w:val="center"/>
          </w:tcPr>
          <w:p w14:paraId="44B0B43A">
            <w:pPr>
              <w:jc w:val="right"/>
            </w:pPr>
            <w:r>
              <w:rPr>
                <w:rFonts w:hint="eastAsia"/>
              </w:rPr>
              <w:t>-</w:t>
            </w:r>
          </w:p>
        </w:tc>
      </w:tr>
      <w:tr w14:paraId="7354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F3C3B">
            <w:r>
              <w:rPr>
                <w:rFonts w:hint="eastAsia"/>
              </w:rPr>
              <w:t>应付投资顾问费</w:t>
            </w:r>
          </w:p>
        </w:tc>
        <w:tc>
          <w:tcPr>
            <w:tcW w:w="1384" w:type="dxa"/>
            <w:vAlign w:val="center"/>
          </w:tcPr>
          <w:p w14:paraId="2A07ECA5">
            <w:pPr>
              <w:jc w:val="right"/>
            </w:pPr>
            <w:r>
              <w:rPr>
                <w:rFonts w:hint="eastAsia"/>
              </w:rPr>
              <w:t>-</w:t>
            </w:r>
          </w:p>
        </w:tc>
        <w:tc>
          <w:tcPr>
            <w:tcW w:w="1384" w:type="dxa"/>
            <w:vAlign w:val="center"/>
          </w:tcPr>
          <w:p w14:paraId="33413193">
            <w:pPr>
              <w:jc w:val="right"/>
            </w:pPr>
            <w:r>
              <w:rPr>
                <w:rFonts w:hint="eastAsia"/>
              </w:rPr>
              <w:t>-</w:t>
            </w:r>
          </w:p>
        </w:tc>
        <w:tc>
          <w:tcPr>
            <w:tcW w:w="1384" w:type="dxa"/>
            <w:vAlign w:val="center"/>
          </w:tcPr>
          <w:p w14:paraId="526C0047">
            <w:pPr>
              <w:jc w:val="right"/>
            </w:pPr>
            <w:r>
              <w:rPr>
                <w:rFonts w:hint="eastAsia"/>
              </w:rPr>
              <w:t>-</w:t>
            </w:r>
          </w:p>
        </w:tc>
        <w:tc>
          <w:tcPr>
            <w:tcW w:w="1384" w:type="dxa"/>
            <w:vAlign w:val="center"/>
          </w:tcPr>
          <w:p w14:paraId="1D08BA62">
            <w:pPr>
              <w:jc w:val="right"/>
            </w:pPr>
            <w:r>
              <w:rPr>
                <w:rFonts w:hint="eastAsia"/>
              </w:rPr>
              <w:t>-</w:t>
            </w:r>
          </w:p>
        </w:tc>
        <w:tc>
          <w:tcPr>
            <w:tcW w:w="1384" w:type="dxa"/>
            <w:vAlign w:val="center"/>
          </w:tcPr>
          <w:p w14:paraId="79A4FA7F">
            <w:pPr>
              <w:jc w:val="right"/>
            </w:pPr>
            <w:r>
              <w:rPr>
                <w:rFonts w:hint="eastAsia"/>
              </w:rPr>
              <w:t>-</w:t>
            </w:r>
          </w:p>
        </w:tc>
      </w:tr>
      <w:tr w14:paraId="7E2C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1F8D4">
            <w:r>
              <w:rPr>
                <w:rFonts w:hint="eastAsia"/>
              </w:rPr>
              <w:t>应交税费</w:t>
            </w:r>
          </w:p>
        </w:tc>
        <w:tc>
          <w:tcPr>
            <w:tcW w:w="1384" w:type="dxa"/>
            <w:vAlign w:val="center"/>
          </w:tcPr>
          <w:p w14:paraId="1B46460A">
            <w:pPr>
              <w:jc w:val="right"/>
            </w:pPr>
            <w:r>
              <w:rPr>
                <w:rFonts w:hint="eastAsia"/>
              </w:rPr>
              <w:t>-</w:t>
            </w:r>
          </w:p>
        </w:tc>
        <w:tc>
          <w:tcPr>
            <w:tcW w:w="1384" w:type="dxa"/>
            <w:vAlign w:val="center"/>
          </w:tcPr>
          <w:p w14:paraId="71A81868">
            <w:pPr>
              <w:jc w:val="right"/>
            </w:pPr>
            <w:r>
              <w:rPr>
                <w:rFonts w:hint="eastAsia"/>
              </w:rPr>
              <w:t>-</w:t>
            </w:r>
          </w:p>
        </w:tc>
        <w:tc>
          <w:tcPr>
            <w:tcW w:w="1384" w:type="dxa"/>
            <w:vAlign w:val="center"/>
          </w:tcPr>
          <w:p w14:paraId="13FC78AC">
            <w:pPr>
              <w:jc w:val="right"/>
            </w:pPr>
            <w:r>
              <w:rPr>
                <w:rFonts w:hint="eastAsia"/>
              </w:rPr>
              <w:t>-</w:t>
            </w:r>
          </w:p>
        </w:tc>
        <w:tc>
          <w:tcPr>
            <w:tcW w:w="1384" w:type="dxa"/>
            <w:vAlign w:val="center"/>
          </w:tcPr>
          <w:p w14:paraId="52E2C57F">
            <w:pPr>
              <w:jc w:val="right"/>
            </w:pPr>
            <w:r>
              <w:rPr>
                <w:rFonts w:hint="eastAsia"/>
              </w:rPr>
              <w:t>133.43</w:t>
            </w:r>
          </w:p>
        </w:tc>
        <w:tc>
          <w:tcPr>
            <w:tcW w:w="1384" w:type="dxa"/>
            <w:vAlign w:val="center"/>
          </w:tcPr>
          <w:p w14:paraId="7CCBD3D6">
            <w:pPr>
              <w:jc w:val="right"/>
            </w:pPr>
            <w:r>
              <w:rPr>
                <w:rFonts w:hint="eastAsia"/>
              </w:rPr>
              <w:t>133.43</w:t>
            </w:r>
          </w:p>
        </w:tc>
      </w:tr>
      <w:tr w14:paraId="4B29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A77FD">
            <w:r>
              <w:rPr>
                <w:rFonts w:hint="eastAsia"/>
              </w:rPr>
              <w:t>应付利润</w:t>
            </w:r>
          </w:p>
        </w:tc>
        <w:tc>
          <w:tcPr>
            <w:tcW w:w="1384" w:type="dxa"/>
            <w:vAlign w:val="center"/>
          </w:tcPr>
          <w:p w14:paraId="314AFA50">
            <w:pPr>
              <w:jc w:val="right"/>
            </w:pPr>
            <w:r>
              <w:rPr>
                <w:rFonts w:hint="eastAsia"/>
              </w:rPr>
              <w:t>-</w:t>
            </w:r>
          </w:p>
        </w:tc>
        <w:tc>
          <w:tcPr>
            <w:tcW w:w="1384" w:type="dxa"/>
            <w:vAlign w:val="center"/>
          </w:tcPr>
          <w:p w14:paraId="398039D7">
            <w:pPr>
              <w:jc w:val="right"/>
            </w:pPr>
            <w:r>
              <w:rPr>
                <w:rFonts w:hint="eastAsia"/>
              </w:rPr>
              <w:t>-</w:t>
            </w:r>
          </w:p>
        </w:tc>
        <w:tc>
          <w:tcPr>
            <w:tcW w:w="1384" w:type="dxa"/>
            <w:vAlign w:val="center"/>
          </w:tcPr>
          <w:p w14:paraId="2CD05831">
            <w:pPr>
              <w:jc w:val="right"/>
            </w:pPr>
            <w:r>
              <w:rPr>
                <w:rFonts w:hint="eastAsia"/>
              </w:rPr>
              <w:t>-</w:t>
            </w:r>
          </w:p>
        </w:tc>
        <w:tc>
          <w:tcPr>
            <w:tcW w:w="1384" w:type="dxa"/>
            <w:vAlign w:val="center"/>
          </w:tcPr>
          <w:p w14:paraId="72DD7C66">
            <w:pPr>
              <w:jc w:val="right"/>
            </w:pPr>
            <w:r>
              <w:rPr>
                <w:rFonts w:hint="eastAsia"/>
              </w:rPr>
              <w:t>-</w:t>
            </w:r>
          </w:p>
        </w:tc>
        <w:tc>
          <w:tcPr>
            <w:tcW w:w="1384" w:type="dxa"/>
            <w:vAlign w:val="center"/>
          </w:tcPr>
          <w:p w14:paraId="4900F2E0">
            <w:pPr>
              <w:jc w:val="right"/>
            </w:pPr>
            <w:r>
              <w:rPr>
                <w:rFonts w:hint="eastAsia"/>
              </w:rPr>
              <w:t>-</w:t>
            </w:r>
          </w:p>
        </w:tc>
      </w:tr>
      <w:tr w14:paraId="15C0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6EB0B">
            <w:r>
              <w:rPr>
                <w:rFonts w:hint="eastAsia"/>
              </w:rPr>
              <w:t>递延所得税负债</w:t>
            </w:r>
          </w:p>
        </w:tc>
        <w:tc>
          <w:tcPr>
            <w:tcW w:w="1384" w:type="dxa"/>
            <w:vAlign w:val="center"/>
          </w:tcPr>
          <w:p w14:paraId="6F075191">
            <w:pPr>
              <w:jc w:val="right"/>
            </w:pPr>
            <w:r>
              <w:rPr>
                <w:rFonts w:hint="eastAsia"/>
              </w:rPr>
              <w:t>-</w:t>
            </w:r>
          </w:p>
        </w:tc>
        <w:tc>
          <w:tcPr>
            <w:tcW w:w="1384" w:type="dxa"/>
            <w:vAlign w:val="center"/>
          </w:tcPr>
          <w:p w14:paraId="1A597301">
            <w:pPr>
              <w:jc w:val="right"/>
            </w:pPr>
            <w:r>
              <w:rPr>
                <w:rFonts w:hint="eastAsia"/>
              </w:rPr>
              <w:t>-</w:t>
            </w:r>
          </w:p>
        </w:tc>
        <w:tc>
          <w:tcPr>
            <w:tcW w:w="1384" w:type="dxa"/>
            <w:vAlign w:val="center"/>
          </w:tcPr>
          <w:p w14:paraId="00956053">
            <w:pPr>
              <w:jc w:val="right"/>
            </w:pPr>
            <w:r>
              <w:rPr>
                <w:rFonts w:hint="eastAsia"/>
              </w:rPr>
              <w:t>-</w:t>
            </w:r>
          </w:p>
        </w:tc>
        <w:tc>
          <w:tcPr>
            <w:tcW w:w="1384" w:type="dxa"/>
            <w:vAlign w:val="center"/>
          </w:tcPr>
          <w:p w14:paraId="0D4F7B08">
            <w:pPr>
              <w:jc w:val="right"/>
            </w:pPr>
            <w:r>
              <w:rPr>
                <w:rFonts w:hint="eastAsia"/>
              </w:rPr>
              <w:t>-</w:t>
            </w:r>
          </w:p>
        </w:tc>
        <w:tc>
          <w:tcPr>
            <w:tcW w:w="1384" w:type="dxa"/>
            <w:vAlign w:val="center"/>
          </w:tcPr>
          <w:p w14:paraId="0BCD7A7B">
            <w:pPr>
              <w:jc w:val="right"/>
            </w:pPr>
            <w:r>
              <w:rPr>
                <w:rFonts w:hint="eastAsia"/>
              </w:rPr>
              <w:t>-</w:t>
            </w:r>
          </w:p>
        </w:tc>
      </w:tr>
      <w:tr w14:paraId="700A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70893">
            <w:r>
              <w:rPr>
                <w:rFonts w:hint="eastAsia"/>
              </w:rPr>
              <w:t>其他负债</w:t>
            </w:r>
          </w:p>
        </w:tc>
        <w:tc>
          <w:tcPr>
            <w:tcW w:w="1384" w:type="dxa"/>
            <w:vAlign w:val="center"/>
          </w:tcPr>
          <w:p w14:paraId="0E0DDCC2">
            <w:pPr>
              <w:jc w:val="right"/>
            </w:pPr>
            <w:r>
              <w:rPr>
                <w:rFonts w:hint="eastAsia"/>
              </w:rPr>
              <w:t>-</w:t>
            </w:r>
          </w:p>
        </w:tc>
        <w:tc>
          <w:tcPr>
            <w:tcW w:w="1384" w:type="dxa"/>
            <w:vAlign w:val="center"/>
          </w:tcPr>
          <w:p w14:paraId="1E019A2B">
            <w:pPr>
              <w:jc w:val="right"/>
            </w:pPr>
            <w:r>
              <w:rPr>
                <w:rFonts w:hint="eastAsia"/>
              </w:rPr>
              <w:t>-</w:t>
            </w:r>
          </w:p>
        </w:tc>
        <w:tc>
          <w:tcPr>
            <w:tcW w:w="1384" w:type="dxa"/>
            <w:vAlign w:val="center"/>
          </w:tcPr>
          <w:p w14:paraId="0E46DC81">
            <w:pPr>
              <w:jc w:val="right"/>
            </w:pPr>
            <w:r>
              <w:rPr>
                <w:rFonts w:hint="eastAsia"/>
              </w:rPr>
              <w:t>-</w:t>
            </w:r>
          </w:p>
        </w:tc>
        <w:tc>
          <w:tcPr>
            <w:tcW w:w="1384" w:type="dxa"/>
            <w:vAlign w:val="center"/>
          </w:tcPr>
          <w:p w14:paraId="14FAEECC">
            <w:pPr>
              <w:jc w:val="right"/>
            </w:pPr>
            <w:r>
              <w:rPr>
                <w:rFonts w:hint="eastAsia"/>
              </w:rPr>
              <w:t>200,652.25</w:t>
            </w:r>
          </w:p>
        </w:tc>
        <w:tc>
          <w:tcPr>
            <w:tcW w:w="1384" w:type="dxa"/>
            <w:vAlign w:val="center"/>
          </w:tcPr>
          <w:p w14:paraId="122BAD16">
            <w:pPr>
              <w:jc w:val="right"/>
            </w:pPr>
            <w:r>
              <w:rPr>
                <w:rFonts w:hint="eastAsia"/>
              </w:rPr>
              <w:t>200,652.25</w:t>
            </w:r>
          </w:p>
        </w:tc>
      </w:tr>
      <w:tr w14:paraId="4BAFF658">
        <w:tblPrEx>
          <w:tblCellMar>
            <w:top w:w="0" w:type="dxa"/>
            <w:left w:w="108" w:type="dxa"/>
            <w:bottom w:w="0" w:type="dxa"/>
            <w:right w:w="108" w:type="dxa"/>
          </w:tblCellMar>
        </w:tblPrEx>
        <w:trPr>
          <w:jc w:val="center"/>
        </w:trPr>
        <w:tc>
          <w:tcPr>
            <w:tcW w:w="1384" w:type="dxa"/>
            <w:vAlign w:val="center"/>
          </w:tcPr>
          <w:p w14:paraId="691481A1">
            <w:r>
              <w:rPr>
                <w:rFonts w:hint="eastAsia"/>
              </w:rPr>
              <w:t>负债总计</w:t>
            </w:r>
          </w:p>
        </w:tc>
        <w:tc>
          <w:tcPr>
            <w:tcW w:w="1384" w:type="dxa"/>
            <w:vAlign w:val="center"/>
          </w:tcPr>
          <w:p w14:paraId="41AA83B8">
            <w:pPr>
              <w:jc w:val="right"/>
            </w:pPr>
            <w:r>
              <w:rPr>
                <w:rFonts w:hint="eastAsia"/>
              </w:rPr>
              <w:t>-</w:t>
            </w:r>
          </w:p>
        </w:tc>
        <w:tc>
          <w:tcPr>
            <w:tcW w:w="1384" w:type="dxa"/>
            <w:vAlign w:val="center"/>
          </w:tcPr>
          <w:p w14:paraId="426F2026">
            <w:pPr>
              <w:jc w:val="right"/>
            </w:pPr>
            <w:r>
              <w:rPr>
                <w:rFonts w:hint="eastAsia"/>
              </w:rPr>
              <w:t>-</w:t>
            </w:r>
          </w:p>
        </w:tc>
        <w:tc>
          <w:tcPr>
            <w:tcW w:w="1384" w:type="dxa"/>
            <w:vAlign w:val="center"/>
          </w:tcPr>
          <w:p w14:paraId="3783CF92">
            <w:pPr>
              <w:jc w:val="right"/>
            </w:pPr>
            <w:r>
              <w:rPr>
                <w:rFonts w:hint="eastAsia"/>
              </w:rPr>
              <w:t>-</w:t>
            </w:r>
          </w:p>
        </w:tc>
        <w:tc>
          <w:tcPr>
            <w:tcW w:w="1384" w:type="dxa"/>
            <w:vAlign w:val="center"/>
          </w:tcPr>
          <w:p w14:paraId="419C46C0">
            <w:pPr>
              <w:jc w:val="right"/>
            </w:pPr>
            <w:r>
              <w:rPr>
                <w:rFonts w:hint="eastAsia"/>
              </w:rPr>
              <w:t>223,579.14</w:t>
            </w:r>
          </w:p>
        </w:tc>
        <w:tc>
          <w:tcPr>
            <w:tcW w:w="1384" w:type="dxa"/>
            <w:vAlign w:val="center"/>
          </w:tcPr>
          <w:p w14:paraId="2942A0A2">
            <w:pPr>
              <w:jc w:val="right"/>
            </w:pPr>
            <w:r>
              <w:rPr>
                <w:rFonts w:hint="eastAsia"/>
              </w:rPr>
              <w:t>223,579.14</w:t>
            </w:r>
          </w:p>
        </w:tc>
      </w:tr>
      <w:tr w14:paraId="1C69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DF812">
            <w:r>
              <w:rPr>
                <w:rFonts w:hint="eastAsia"/>
              </w:rPr>
              <w:t>利率敏感度缺口</w:t>
            </w:r>
          </w:p>
        </w:tc>
        <w:tc>
          <w:tcPr>
            <w:tcW w:w="1384" w:type="dxa"/>
            <w:vAlign w:val="center"/>
          </w:tcPr>
          <w:p w14:paraId="5D8EA1DA">
            <w:pPr>
              <w:jc w:val="right"/>
            </w:pPr>
            <w:r>
              <w:rPr>
                <w:rFonts w:hint="eastAsia"/>
              </w:rPr>
              <w:t>344,018.51</w:t>
            </w:r>
          </w:p>
        </w:tc>
        <w:tc>
          <w:tcPr>
            <w:tcW w:w="1384" w:type="dxa"/>
            <w:vAlign w:val="center"/>
          </w:tcPr>
          <w:p w14:paraId="39CD40BF">
            <w:pPr>
              <w:jc w:val="right"/>
            </w:pPr>
            <w:r>
              <w:rPr>
                <w:rFonts w:hint="eastAsia"/>
              </w:rPr>
              <w:t>51,307,328.76</w:t>
            </w:r>
          </w:p>
        </w:tc>
        <w:tc>
          <w:tcPr>
            <w:tcW w:w="1384" w:type="dxa"/>
            <w:vAlign w:val="center"/>
          </w:tcPr>
          <w:p w14:paraId="6CDB18B6">
            <w:pPr>
              <w:jc w:val="right"/>
            </w:pPr>
            <w:r>
              <w:rPr>
                <w:rFonts w:hint="eastAsia"/>
              </w:rPr>
              <w:t>15,734,487.67</w:t>
            </w:r>
          </w:p>
        </w:tc>
        <w:tc>
          <w:tcPr>
            <w:tcW w:w="1384" w:type="dxa"/>
            <w:vAlign w:val="center"/>
          </w:tcPr>
          <w:p w14:paraId="6A4A0F97">
            <w:pPr>
              <w:jc w:val="right"/>
            </w:pPr>
            <w:r>
              <w:rPr>
                <w:rFonts w:hint="eastAsia"/>
              </w:rPr>
              <w:t>-223,579.14</w:t>
            </w:r>
          </w:p>
        </w:tc>
        <w:tc>
          <w:tcPr>
            <w:tcW w:w="1384" w:type="dxa"/>
            <w:vAlign w:val="center"/>
          </w:tcPr>
          <w:p w14:paraId="36D51AE2">
            <w:pPr>
              <w:jc w:val="right"/>
            </w:pPr>
            <w:r>
              <w:rPr>
                <w:rFonts w:hint="eastAsia"/>
              </w:rPr>
              <w:t>67,162,255.80</w:t>
            </w:r>
          </w:p>
        </w:tc>
      </w:tr>
      <w:tr w14:paraId="488D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1D007">
            <w:r>
              <w:rPr>
                <w:rFonts w:hint="eastAsia"/>
              </w:rPr>
              <w:t>上年度末2024年12月31日</w:t>
            </w:r>
          </w:p>
        </w:tc>
        <w:tc>
          <w:tcPr>
            <w:tcW w:w="1384" w:type="dxa"/>
            <w:vAlign w:val="center"/>
          </w:tcPr>
          <w:p w14:paraId="7296B3C9">
            <w:r>
              <w:rPr>
                <w:rFonts w:hint="eastAsia"/>
              </w:rPr>
              <w:t>1年以内</w:t>
            </w:r>
          </w:p>
        </w:tc>
        <w:tc>
          <w:tcPr>
            <w:tcW w:w="1384" w:type="dxa"/>
            <w:vAlign w:val="center"/>
          </w:tcPr>
          <w:p w14:paraId="772B7EB7">
            <w:r>
              <w:rPr>
                <w:rFonts w:hint="eastAsia"/>
              </w:rPr>
              <w:t>1-5年</w:t>
            </w:r>
          </w:p>
        </w:tc>
        <w:tc>
          <w:tcPr>
            <w:tcW w:w="1384" w:type="dxa"/>
            <w:vAlign w:val="center"/>
          </w:tcPr>
          <w:p w14:paraId="0ECD7D28">
            <w:r>
              <w:rPr>
                <w:rFonts w:hint="eastAsia"/>
              </w:rPr>
              <w:t>5年以上</w:t>
            </w:r>
          </w:p>
        </w:tc>
        <w:tc>
          <w:tcPr>
            <w:tcW w:w="1384" w:type="dxa"/>
            <w:vAlign w:val="center"/>
          </w:tcPr>
          <w:p w14:paraId="5223286C">
            <w:r>
              <w:rPr>
                <w:rFonts w:hint="eastAsia"/>
              </w:rPr>
              <w:t>不计息</w:t>
            </w:r>
          </w:p>
        </w:tc>
        <w:tc>
          <w:tcPr>
            <w:tcW w:w="1384" w:type="dxa"/>
            <w:vAlign w:val="center"/>
          </w:tcPr>
          <w:p w14:paraId="328F7880">
            <w:r>
              <w:rPr>
                <w:rFonts w:hint="eastAsia"/>
              </w:rPr>
              <w:t>合计</w:t>
            </w:r>
          </w:p>
        </w:tc>
      </w:tr>
      <w:tr w14:paraId="6800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5902F">
            <w:r>
              <w:rPr>
                <w:rFonts w:hint="eastAsia"/>
              </w:rPr>
              <w:t>资产</w:t>
            </w:r>
          </w:p>
        </w:tc>
        <w:tc>
          <w:tcPr>
            <w:tcW w:w="1384" w:type="dxa"/>
            <w:vAlign w:val="center"/>
          </w:tcPr>
          <w:p w14:paraId="489482C7"/>
        </w:tc>
        <w:tc>
          <w:tcPr>
            <w:tcW w:w="1384" w:type="dxa"/>
            <w:vAlign w:val="center"/>
          </w:tcPr>
          <w:p w14:paraId="51B7900E"/>
        </w:tc>
        <w:tc>
          <w:tcPr>
            <w:tcW w:w="1384" w:type="dxa"/>
            <w:vAlign w:val="center"/>
          </w:tcPr>
          <w:p w14:paraId="56A168D1"/>
        </w:tc>
        <w:tc>
          <w:tcPr>
            <w:tcW w:w="1384" w:type="dxa"/>
            <w:vAlign w:val="center"/>
          </w:tcPr>
          <w:p w14:paraId="072D7D3E"/>
        </w:tc>
        <w:tc>
          <w:tcPr>
            <w:tcW w:w="1384" w:type="dxa"/>
            <w:vAlign w:val="center"/>
          </w:tcPr>
          <w:p w14:paraId="3BEAA9E2"/>
        </w:tc>
      </w:tr>
      <w:tr w14:paraId="7885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AE553">
            <w:r>
              <w:rPr>
                <w:rFonts w:hint="eastAsia"/>
              </w:rPr>
              <w:t>货币资金</w:t>
            </w:r>
          </w:p>
        </w:tc>
        <w:tc>
          <w:tcPr>
            <w:tcW w:w="1384" w:type="dxa"/>
            <w:vAlign w:val="center"/>
          </w:tcPr>
          <w:p w14:paraId="388A6EB1">
            <w:pPr>
              <w:jc w:val="right"/>
            </w:pPr>
            <w:r>
              <w:rPr>
                <w:rFonts w:hint="eastAsia"/>
              </w:rPr>
              <w:t>587,456.22</w:t>
            </w:r>
          </w:p>
        </w:tc>
        <w:tc>
          <w:tcPr>
            <w:tcW w:w="1384" w:type="dxa"/>
            <w:vAlign w:val="center"/>
          </w:tcPr>
          <w:p w14:paraId="1B9D48A1">
            <w:pPr>
              <w:jc w:val="right"/>
            </w:pPr>
            <w:r>
              <w:rPr>
                <w:rFonts w:hint="eastAsia"/>
              </w:rPr>
              <w:t>-</w:t>
            </w:r>
          </w:p>
        </w:tc>
        <w:tc>
          <w:tcPr>
            <w:tcW w:w="1384" w:type="dxa"/>
            <w:vAlign w:val="center"/>
          </w:tcPr>
          <w:p w14:paraId="1400BD3D">
            <w:pPr>
              <w:jc w:val="right"/>
            </w:pPr>
            <w:r>
              <w:rPr>
                <w:rFonts w:hint="eastAsia"/>
              </w:rPr>
              <w:t>-</w:t>
            </w:r>
          </w:p>
        </w:tc>
        <w:tc>
          <w:tcPr>
            <w:tcW w:w="1384" w:type="dxa"/>
            <w:vAlign w:val="center"/>
          </w:tcPr>
          <w:p w14:paraId="4B1C22BC">
            <w:pPr>
              <w:jc w:val="right"/>
            </w:pPr>
            <w:r>
              <w:rPr>
                <w:rFonts w:hint="eastAsia"/>
              </w:rPr>
              <w:t>-</w:t>
            </w:r>
          </w:p>
        </w:tc>
        <w:tc>
          <w:tcPr>
            <w:tcW w:w="1384" w:type="dxa"/>
            <w:vAlign w:val="center"/>
          </w:tcPr>
          <w:p w14:paraId="477BAE2F">
            <w:pPr>
              <w:jc w:val="right"/>
            </w:pPr>
            <w:r>
              <w:rPr>
                <w:rFonts w:hint="eastAsia"/>
              </w:rPr>
              <w:t>587,456.22</w:t>
            </w:r>
          </w:p>
        </w:tc>
      </w:tr>
      <w:tr w14:paraId="6B3F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A3719">
            <w:r>
              <w:rPr>
                <w:rFonts w:hint="eastAsia"/>
              </w:rPr>
              <w:t>结算备付金</w:t>
            </w:r>
          </w:p>
        </w:tc>
        <w:tc>
          <w:tcPr>
            <w:tcW w:w="1384" w:type="dxa"/>
            <w:vAlign w:val="center"/>
          </w:tcPr>
          <w:p w14:paraId="04FE953A">
            <w:pPr>
              <w:jc w:val="right"/>
            </w:pPr>
            <w:r>
              <w:rPr>
                <w:rFonts w:hint="eastAsia"/>
              </w:rPr>
              <w:t>319.74</w:t>
            </w:r>
          </w:p>
        </w:tc>
        <w:tc>
          <w:tcPr>
            <w:tcW w:w="1384" w:type="dxa"/>
            <w:vAlign w:val="center"/>
          </w:tcPr>
          <w:p w14:paraId="308FCBCF">
            <w:pPr>
              <w:jc w:val="right"/>
            </w:pPr>
            <w:r>
              <w:rPr>
                <w:rFonts w:hint="eastAsia"/>
              </w:rPr>
              <w:t>-</w:t>
            </w:r>
          </w:p>
        </w:tc>
        <w:tc>
          <w:tcPr>
            <w:tcW w:w="1384" w:type="dxa"/>
            <w:vAlign w:val="center"/>
          </w:tcPr>
          <w:p w14:paraId="1042E081">
            <w:pPr>
              <w:jc w:val="right"/>
            </w:pPr>
            <w:r>
              <w:rPr>
                <w:rFonts w:hint="eastAsia"/>
              </w:rPr>
              <w:t>-</w:t>
            </w:r>
          </w:p>
        </w:tc>
        <w:tc>
          <w:tcPr>
            <w:tcW w:w="1384" w:type="dxa"/>
            <w:vAlign w:val="center"/>
          </w:tcPr>
          <w:p w14:paraId="43429A5D">
            <w:pPr>
              <w:jc w:val="right"/>
            </w:pPr>
            <w:r>
              <w:rPr>
                <w:rFonts w:hint="eastAsia"/>
              </w:rPr>
              <w:t>-</w:t>
            </w:r>
          </w:p>
        </w:tc>
        <w:tc>
          <w:tcPr>
            <w:tcW w:w="1384" w:type="dxa"/>
            <w:vAlign w:val="center"/>
          </w:tcPr>
          <w:p w14:paraId="23EA3651">
            <w:pPr>
              <w:jc w:val="right"/>
            </w:pPr>
            <w:r>
              <w:rPr>
                <w:rFonts w:hint="eastAsia"/>
              </w:rPr>
              <w:t>319.74</w:t>
            </w:r>
          </w:p>
        </w:tc>
      </w:tr>
      <w:tr w14:paraId="7C45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1DB39">
            <w:r>
              <w:rPr>
                <w:rFonts w:hint="eastAsia"/>
              </w:rPr>
              <w:t>存出保证金</w:t>
            </w:r>
          </w:p>
        </w:tc>
        <w:tc>
          <w:tcPr>
            <w:tcW w:w="1384" w:type="dxa"/>
            <w:vAlign w:val="center"/>
          </w:tcPr>
          <w:p w14:paraId="28EDFAF5">
            <w:pPr>
              <w:jc w:val="right"/>
            </w:pPr>
            <w:r>
              <w:rPr>
                <w:rFonts w:hint="eastAsia"/>
              </w:rPr>
              <w:t>-</w:t>
            </w:r>
          </w:p>
        </w:tc>
        <w:tc>
          <w:tcPr>
            <w:tcW w:w="1384" w:type="dxa"/>
            <w:vAlign w:val="center"/>
          </w:tcPr>
          <w:p w14:paraId="042AD42E">
            <w:pPr>
              <w:jc w:val="right"/>
            </w:pPr>
            <w:r>
              <w:rPr>
                <w:rFonts w:hint="eastAsia"/>
              </w:rPr>
              <w:t>-</w:t>
            </w:r>
          </w:p>
        </w:tc>
        <w:tc>
          <w:tcPr>
            <w:tcW w:w="1384" w:type="dxa"/>
            <w:vAlign w:val="center"/>
          </w:tcPr>
          <w:p w14:paraId="26C217A7">
            <w:pPr>
              <w:jc w:val="right"/>
            </w:pPr>
            <w:r>
              <w:rPr>
                <w:rFonts w:hint="eastAsia"/>
              </w:rPr>
              <w:t>-</w:t>
            </w:r>
          </w:p>
        </w:tc>
        <w:tc>
          <w:tcPr>
            <w:tcW w:w="1384" w:type="dxa"/>
            <w:vAlign w:val="center"/>
          </w:tcPr>
          <w:p w14:paraId="26F314DA">
            <w:pPr>
              <w:jc w:val="right"/>
            </w:pPr>
            <w:r>
              <w:rPr>
                <w:rFonts w:hint="eastAsia"/>
              </w:rPr>
              <w:t>-</w:t>
            </w:r>
          </w:p>
        </w:tc>
        <w:tc>
          <w:tcPr>
            <w:tcW w:w="1384" w:type="dxa"/>
            <w:vAlign w:val="center"/>
          </w:tcPr>
          <w:p w14:paraId="1FA7E782">
            <w:pPr>
              <w:jc w:val="right"/>
            </w:pPr>
            <w:r>
              <w:rPr>
                <w:rFonts w:hint="eastAsia"/>
              </w:rPr>
              <w:t>-</w:t>
            </w:r>
          </w:p>
        </w:tc>
      </w:tr>
      <w:tr w14:paraId="0DFF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22366">
            <w:r>
              <w:rPr>
                <w:rFonts w:hint="eastAsia"/>
              </w:rPr>
              <w:t>交易性金融资产</w:t>
            </w:r>
          </w:p>
        </w:tc>
        <w:tc>
          <w:tcPr>
            <w:tcW w:w="1384" w:type="dxa"/>
            <w:vAlign w:val="center"/>
          </w:tcPr>
          <w:p w14:paraId="2019EFC4">
            <w:pPr>
              <w:jc w:val="right"/>
            </w:pPr>
            <w:r>
              <w:rPr>
                <w:rFonts w:hint="eastAsia"/>
              </w:rPr>
              <w:t>2,104,890,174.41</w:t>
            </w:r>
          </w:p>
        </w:tc>
        <w:tc>
          <w:tcPr>
            <w:tcW w:w="1384" w:type="dxa"/>
            <w:vAlign w:val="center"/>
          </w:tcPr>
          <w:p w14:paraId="7C2E9499">
            <w:pPr>
              <w:jc w:val="right"/>
            </w:pPr>
            <w:r>
              <w:rPr>
                <w:rFonts w:hint="eastAsia"/>
              </w:rPr>
              <w:t>903,703,520.23</w:t>
            </w:r>
          </w:p>
        </w:tc>
        <w:tc>
          <w:tcPr>
            <w:tcW w:w="1384" w:type="dxa"/>
            <w:vAlign w:val="center"/>
          </w:tcPr>
          <w:p w14:paraId="6EE9A36A">
            <w:pPr>
              <w:jc w:val="right"/>
            </w:pPr>
            <w:r>
              <w:rPr>
                <w:rFonts w:hint="eastAsia"/>
              </w:rPr>
              <w:t>856,224,763.89</w:t>
            </w:r>
          </w:p>
        </w:tc>
        <w:tc>
          <w:tcPr>
            <w:tcW w:w="1384" w:type="dxa"/>
            <w:vAlign w:val="center"/>
          </w:tcPr>
          <w:p w14:paraId="437A096C">
            <w:pPr>
              <w:jc w:val="right"/>
            </w:pPr>
            <w:r>
              <w:rPr>
                <w:rFonts w:hint="eastAsia"/>
              </w:rPr>
              <w:t>-</w:t>
            </w:r>
          </w:p>
        </w:tc>
        <w:tc>
          <w:tcPr>
            <w:tcW w:w="1384" w:type="dxa"/>
            <w:vAlign w:val="center"/>
          </w:tcPr>
          <w:p w14:paraId="260B055B">
            <w:pPr>
              <w:jc w:val="right"/>
            </w:pPr>
            <w:r>
              <w:rPr>
                <w:rFonts w:hint="eastAsia"/>
              </w:rPr>
              <w:t>3,864,818,458.53</w:t>
            </w:r>
          </w:p>
        </w:tc>
      </w:tr>
      <w:tr w14:paraId="360D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BD1A9">
            <w:r>
              <w:rPr>
                <w:rFonts w:hint="eastAsia"/>
              </w:rPr>
              <w:t>衍生金融资产</w:t>
            </w:r>
          </w:p>
        </w:tc>
        <w:tc>
          <w:tcPr>
            <w:tcW w:w="1384" w:type="dxa"/>
            <w:vAlign w:val="center"/>
          </w:tcPr>
          <w:p w14:paraId="15D777E4">
            <w:pPr>
              <w:jc w:val="right"/>
            </w:pPr>
            <w:r>
              <w:rPr>
                <w:rFonts w:hint="eastAsia"/>
              </w:rPr>
              <w:t>-</w:t>
            </w:r>
          </w:p>
        </w:tc>
        <w:tc>
          <w:tcPr>
            <w:tcW w:w="1384" w:type="dxa"/>
            <w:vAlign w:val="center"/>
          </w:tcPr>
          <w:p w14:paraId="7A055566">
            <w:pPr>
              <w:jc w:val="right"/>
            </w:pPr>
            <w:r>
              <w:rPr>
                <w:rFonts w:hint="eastAsia"/>
              </w:rPr>
              <w:t>-</w:t>
            </w:r>
          </w:p>
        </w:tc>
        <w:tc>
          <w:tcPr>
            <w:tcW w:w="1384" w:type="dxa"/>
            <w:vAlign w:val="center"/>
          </w:tcPr>
          <w:p w14:paraId="2EFDF1D1">
            <w:pPr>
              <w:jc w:val="right"/>
            </w:pPr>
            <w:r>
              <w:rPr>
                <w:rFonts w:hint="eastAsia"/>
              </w:rPr>
              <w:t>-</w:t>
            </w:r>
          </w:p>
        </w:tc>
        <w:tc>
          <w:tcPr>
            <w:tcW w:w="1384" w:type="dxa"/>
            <w:vAlign w:val="center"/>
          </w:tcPr>
          <w:p w14:paraId="17CE7091">
            <w:pPr>
              <w:jc w:val="right"/>
            </w:pPr>
            <w:r>
              <w:rPr>
                <w:rFonts w:hint="eastAsia"/>
              </w:rPr>
              <w:t>-</w:t>
            </w:r>
          </w:p>
        </w:tc>
        <w:tc>
          <w:tcPr>
            <w:tcW w:w="1384" w:type="dxa"/>
            <w:vAlign w:val="center"/>
          </w:tcPr>
          <w:p w14:paraId="78D1C25C">
            <w:pPr>
              <w:jc w:val="right"/>
            </w:pPr>
            <w:r>
              <w:rPr>
                <w:rFonts w:hint="eastAsia"/>
              </w:rPr>
              <w:t>-</w:t>
            </w:r>
          </w:p>
        </w:tc>
      </w:tr>
      <w:tr w14:paraId="11EF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2A976">
            <w:r>
              <w:rPr>
                <w:rFonts w:hint="eastAsia"/>
              </w:rPr>
              <w:t>买入返售金融资产</w:t>
            </w:r>
          </w:p>
        </w:tc>
        <w:tc>
          <w:tcPr>
            <w:tcW w:w="1384" w:type="dxa"/>
            <w:vAlign w:val="center"/>
          </w:tcPr>
          <w:p w14:paraId="31DD3A9E">
            <w:pPr>
              <w:jc w:val="right"/>
            </w:pPr>
            <w:r>
              <w:rPr>
                <w:rFonts w:hint="eastAsia"/>
              </w:rPr>
              <w:t>-</w:t>
            </w:r>
          </w:p>
        </w:tc>
        <w:tc>
          <w:tcPr>
            <w:tcW w:w="1384" w:type="dxa"/>
            <w:vAlign w:val="center"/>
          </w:tcPr>
          <w:p w14:paraId="2F2BA2A3">
            <w:pPr>
              <w:jc w:val="right"/>
            </w:pPr>
            <w:r>
              <w:rPr>
                <w:rFonts w:hint="eastAsia"/>
              </w:rPr>
              <w:t>-</w:t>
            </w:r>
          </w:p>
        </w:tc>
        <w:tc>
          <w:tcPr>
            <w:tcW w:w="1384" w:type="dxa"/>
            <w:vAlign w:val="center"/>
          </w:tcPr>
          <w:p w14:paraId="0356D247">
            <w:pPr>
              <w:jc w:val="right"/>
            </w:pPr>
            <w:r>
              <w:rPr>
                <w:rFonts w:hint="eastAsia"/>
              </w:rPr>
              <w:t>-</w:t>
            </w:r>
          </w:p>
        </w:tc>
        <w:tc>
          <w:tcPr>
            <w:tcW w:w="1384" w:type="dxa"/>
            <w:vAlign w:val="center"/>
          </w:tcPr>
          <w:p w14:paraId="3B9D40F7">
            <w:pPr>
              <w:jc w:val="right"/>
            </w:pPr>
            <w:r>
              <w:rPr>
                <w:rFonts w:hint="eastAsia"/>
              </w:rPr>
              <w:t>-</w:t>
            </w:r>
          </w:p>
        </w:tc>
        <w:tc>
          <w:tcPr>
            <w:tcW w:w="1384" w:type="dxa"/>
            <w:vAlign w:val="center"/>
          </w:tcPr>
          <w:p w14:paraId="13837714">
            <w:pPr>
              <w:jc w:val="right"/>
            </w:pPr>
            <w:r>
              <w:rPr>
                <w:rFonts w:hint="eastAsia"/>
              </w:rPr>
              <w:t>-</w:t>
            </w:r>
          </w:p>
        </w:tc>
      </w:tr>
      <w:tr w14:paraId="60B1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D518E">
            <w:r>
              <w:rPr>
                <w:rFonts w:hint="eastAsia"/>
              </w:rPr>
              <w:t>债权投资</w:t>
            </w:r>
          </w:p>
        </w:tc>
        <w:tc>
          <w:tcPr>
            <w:tcW w:w="1384" w:type="dxa"/>
            <w:vAlign w:val="center"/>
          </w:tcPr>
          <w:p w14:paraId="1279533D">
            <w:pPr>
              <w:jc w:val="right"/>
            </w:pPr>
            <w:r>
              <w:rPr>
                <w:rFonts w:hint="eastAsia"/>
              </w:rPr>
              <w:t>-</w:t>
            </w:r>
          </w:p>
        </w:tc>
        <w:tc>
          <w:tcPr>
            <w:tcW w:w="1384" w:type="dxa"/>
            <w:vAlign w:val="center"/>
          </w:tcPr>
          <w:p w14:paraId="03653A7A">
            <w:pPr>
              <w:jc w:val="right"/>
            </w:pPr>
            <w:r>
              <w:rPr>
                <w:rFonts w:hint="eastAsia"/>
              </w:rPr>
              <w:t>-</w:t>
            </w:r>
          </w:p>
        </w:tc>
        <w:tc>
          <w:tcPr>
            <w:tcW w:w="1384" w:type="dxa"/>
            <w:vAlign w:val="center"/>
          </w:tcPr>
          <w:p w14:paraId="508139EF">
            <w:pPr>
              <w:jc w:val="right"/>
            </w:pPr>
            <w:r>
              <w:rPr>
                <w:rFonts w:hint="eastAsia"/>
              </w:rPr>
              <w:t>-</w:t>
            </w:r>
          </w:p>
        </w:tc>
        <w:tc>
          <w:tcPr>
            <w:tcW w:w="1384" w:type="dxa"/>
            <w:vAlign w:val="center"/>
          </w:tcPr>
          <w:p w14:paraId="6AC29620">
            <w:pPr>
              <w:jc w:val="right"/>
            </w:pPr>
            <w:r>
              <w:rPr>
                <w:rFonts w:hint="eastAsia"/>
              </w:rPr>
              <w:t>-</w:t>
            </w:r>
          </w:p>
        </w:tc>
        <w:tc>
          <w:tcPr>
            <w:tcW w:w="1384" w:type="dxa"/>
            <w:vAlign w:val="center"/>
          </w:tcPr>
          <w:p w14:paraId="1ABC2ABB">
            <w:pPr>
              <w:jc w:val="right"/>
            </w:pPr>
            <w:r>
              <w:rPr>
                <w:rFonts w:hint="eastAsia"/>
              </w:rPr>
              <w:t>-</w:t>
            </w:r>
          </w:p>
        </w:tc>
      </w:tr>
      <w:tr w14:paraId="7773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EB8DB">
            <w:r>
              <w:rPr>
                <w:rFonts w:hint="eastAsia"/>
              </w:rPr>
              <w:t>其他债权投资</w:t>
            </w:r>
          </w:p>
        </w:tc>
        <w:tc>
          <w:tcPr>
            <w:tcW w:w="1384" w:type="dxa"/>
            <w:vAlign w:val="center"/>
          </w:tcPr>
          <w:p w14:paraId="38BA7101">
            <w:pPr>
              <w:jc w:val="right"/>
            </w:pPr>
            <w:r>
              <w:rPr>
                <w:rFonts w:hint="eastAsia"/>
              </w:rPr>
              <w:t>-</w:t>
            </w:r>
          </w:p>
        </w:tc>
        <w:tc>
          <w:tcPr>
            <w:tcW w:w="1384" w:type="dxa"/>
            <w:vAlign w:val="center"/>
          </w:tcPr>
          <w:p w14:paraId="22FD05D9">
            <w:pPr>
              <w:jc w:val="right"/>
            </w:pPr>
            <w:r>
              <w:rPr>
                <w:rFonts w:hint="eastAsia"/>
              </w:rPr>
              <w:t>-</w:t>
            </w:r>
          </w:p>
        </w:tc>
        <w:tc>
          <w:tcPr>
            <w:tcW w:w="1384" w:type="dxa"/>
            <w:vAlign w:val="center"/>
          </w:tcPr>
          <w:p w14:paraId="69C26FCC">
            <w:pPr>
              <w:jc w:val="right"/>
            </w:pPr>
            <w:r>
              <w:rPr>
                <w:rFonts w:hint="eastAsia"/>
              </w:rPr>
              <w:t>-</w:t>
            </w:r>
          </w:p>
        </w:tc>
        <w:tc>
          <w:tcPr>
            <w:tcW w:w="1384" w:type="dxa"/>
            <w:vAlign w:val="center"/>
          </w:tcPr>
          <w:p w14:paraId="00FAF2EA">
            <w:pPr>
              <w:jc w:val="right"/>
            </w:pPr>
            <w:r>
              <w:rPr>
                <w:rFonts w:hint="eastAsia"/>
              </w:rPr>
              <w:t>-</w:t>
            </w:r>
          </w:p>
        </w:tc>
        <w:tc>
          <w:tcPr>
            <w:tcW w:w="1384" w:type="dxa"/>
            <w:vAlign w:val="center"/>
          </w:tcPr>
          <w:p w14:paraId="0A3F7914">
            <w:pPr>
              <w:jc w:val="right"/>
            </w:pPr>
            <w:r>
              <w:rPr>
                <w:rFonts w:hint="eastAsia"/>
              </w:rPr>
              <w:t>-</w:t>
            </w:r>
          </w:p>
        </w:tc>
      </w:tr>
      <w:tr w14:paraId="6543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9DF55">
            <w:r>
              <w:rPr>
                <w:rFonts w:hint="eastAsia"/>
              </w:rPr>
              <w:t>其他权益工具投资</w:t>
            </w:r>
          </w:p>
        </w:tc>
        <w:tc>
          <w:tcPr>
            <w:tcW w:w="1384" w:type="dxa"/>
            <w:vAlign w:val="center"/>
          </w:tcPr>
          <w:p w14:paraId="3EFE0120">
            <w:pPr>
              <w:jc w:val="right"/>
            </w:pPr>
            <w:r>
              <w:rPr>
                <w:rFonts w:hint="eastAsia"/>
              </w:rPr>
              <w:t>-</w:t>
            </w:r>
          </w:p>
        </w:tc>
        <w:tc>
          <w:tcPr>
            <w:tcW w:w="1384" w:type="dxa"/>
            <w:vAlign w:val="center"/>
          </w:tcPr>
          <w:p w14:paraId="3C8BCD3B">
            <w:pPr>
              <w:jc w:val="right"/>
            </w:pPr>
            <w:r>
              <w:rPr>
                <w:rFonts w:hint="eastAsia"/>
              </w:rPr>
              <w:t>-</w:t>
            </w:r>
          </w:p>
        </w:tc>
        <w:tc>
          <w:tcPr>
            <w:tcW w:w="1384" w:type="dxa"/>
            <w:vAlign w:val="center"/>
          </w:tcPr>
          <w:p w14:paraId="476EDD1F">
            <w:pPr>
              <w:jc w:val="right"/>
            </w:pPr>
            <w:r>
              <w:rPr>
                <w:rFonts w:hint="eastAsia"/>
              </w:rPr>
              <w:t>-</w:t>
            </w:r>
          </w:p>
        </w:tc>
        <w:tc>
          <w:tcPr>
            <w:tcW w:w="1384" w:type="dxa"/>
            <w:vAlign w:val="center"/>
          </w:tcPr>
          <w:p w14:paraId="1E811577">
            <w:pPr>
              <w:jc w:val="right"/>
            </w:pPr>
            <w:r>
              <w:rPr>
                <w:rFonts w:hint="eastAsia"/>
              </w:rPr>
              <w:t>-</w:t>
            </w:r>
          </w:p>
        </w:tc>
        <w:tc>
          <w:tcPr>
            <w:tcW w:w="1384" w:type="dxa"/>
            <w:vAlign w:val="center"/>
          </w:tcPr>
          <w:p w14:paraId="5E2B1B14">
            <w:pPr>
              <w:jc w:val="right"/>
            </w:pPr>
            <w:r>
              <w:rPr>
                <w:rFonts w:hint="eastAsia"/>
              </w:rPr>
              <w:t>-</w:t>
            </w:r>
          </w:p>
        </w:tc>
      </w:tr>
      <w:tr w14:paraId="6445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177D3">
            <w:r>
              <w:rPr>
                <w:rFonts w:hint="eastAsia"/>
              </w:rPr>
              <w:t>应收清算款</w:t>
            </w:r>
          </w:p>
        </w:tc>
        <w:tc>
          <w:tcPr>
            <w:tcW w:w="1384" w:type="dxa"/>
            <w:vAlign w:val="center"/>
          </w:tcPr>
          <w:p w14:paraId="5DDFE73D">
            <w:pPr>
              <w:jc w:val="right"/>
            </w:pPr>
            <w:r>
              <w:rPr>
                <w:rFonts w:hint="eastAsia"/>
              </w:rPr>
              <w:t>-</w:t>
            </w:r>
          </w:p>
        </w:tc>
        <w:tc>
          <w:tcPr>
            <w:tcW w:w="1384" w:type="dxa"/>
            <w:vAlign w:val="center"/>
          </w:tcPr>
          <w:p w14:paraId="018519C8">
            <w:pPr>
              <w:jc w:val="right"/>
            </w:pPr>
            <w:r>
              <w:rPr>
                <w:rFonts w:hint="eastAsia"/>
              </w:rPr>
              <w:t>-</w:t>
            </w:r>
          </w:p>
        </w:tc>
        <w:tc>
          <w:tcPr>
            <w:tcW w:w="1384" w:type="dxa"/>
            <w:vAlign w:val="center"/>
          </w:tcPr>
          <w:p w14:paraId="48A7A724">
            <w:pPr>
              <w:jc w:val="right"/>
            </w:pPr>
            <w:r>
              <w:rPr>
                <w:rFonts w:hint="eastAsia"/>
              </w:rPr>
              <w:t>-</w:t>
            </w:r>
          </w:p>
        </w:tc>
        <w:tc>
          <w:tcPr>
            <w:tcW w:w="1384" w:type="dxa"/>
            <w:vAlign w:val="center"/>
          </w:tcPr>
          <w:p w14:paraId="39EE5209">
            <w:pPr>
              <w:jc w:val="right"/>
            </w:pPr>
            <w:r>
              <w:rPr>
                <w:rFonts w:hint="eastAsia"/>
              </w:rPr>
              <w:t>-</w:t>
            </w:r>
          </w:p>
        </w:tc>
        <w:tc>
          <w:tcPr>
            <w:tcW w:w="1384" w:type="dxa"/>
            <w:vAlign w:val="center"/>
          </w:tcPr>
          <w:p w14:paraId="44F1A06C">
            <w:pPr>
              <w:jc w:val="right"/>
            </w:pPr>
            <w:r>
              <w:rPr>
                <w:rFonts w:hint="eastAsia"/>
              </w:rPr>
              <w:t>-</w:t>
            </w:r>
          </w:p>
        </w:tc>
      </w:tr>
      <w:tr w14:paraId="0F67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69459">
            <w:r>
              <w:rPr>
                <w:rFonts w:hint="eastAsia"/>
              </w:rPr>
              <w:t>应收股利</w:t>
            </w:r>
          </w:p>
        </w:tc>
        <w:tc>
          <w:tcPr>
            <w:tcW w:w="1384" w:type="dxa"/>
            <w:vAlign w:val="center"/>
          </w:tcPr>
          <w:p w14:paraId="647739D2">
            <w:pPr>
              <w:jc w:val="right"/>
            </w:pPr>
            <w:r>
              <w:rPr>
                <w:rFonts w:hint="eastAsia"/>
              </w:rPr>
              <w:t>-</w:t>
            </w:r>
          </w:p>
        </w:tc>
        <w:tc>
          <w:tcPr>
            <w:tcW w:w="1384" w:type="dxa"/>
            <w:vAlign w:val="center"/>
          </w:tcPr>
          <w:p w14:paraId="3B2D5D81">
            <w:pPr>
              <w:jc w:val="right"/>
            </w:pPr>
            <w:r>
              <w:rPr>
                <w:rFonts w:hint="eastAsia"/>
              </w:rPr>
              <w:t>-</w:t>
            </w:r>
          </w:p>
        </w:tc>
        <w:tc>
          <w:tcPr>
            <w:tcW w:w="1384" w:type="dxa"/>
            <w:vAlign w:val="center"/>
          </w:tcPr>
          <w:p w14:paraId="777B148E">
            <w:pPr>
              <w:jc w:val="right"/>
            </w:pPr>
            <w:r>
              <w:rPr>
                <w:rFonts w:hint="eastAsia"/>
              </w:rPr>
              <w:t>-</w:t>
            </w:r>
          </w:p>
        </w:tc>
        <w:tc>
          <w:tcPr>
            <w:tcW w:w="1384" w:type="dxa"/>
            <w:vAlign w:val="center"/>
          </w:tcPr>
          <w:p w14:paraId="481F2F5C">
            <w:pPr>
              <w:jc w:val="right"/>
            </w:pPr>
            <w:r>
              <w:rPr>
                <w:rFonts w:hint="eastAsia"/>
              </w:rPr>
              <w:t>-</w:t>
            </w:r>
          </w:p>
        </w:tc>
        <w:tc>
          <w:tcPr>
            <w:tcW w:w="1384" w:type="dxa"/>
            <w:vAlign w:val="center"/>
          </w:tcPr>
          <w:p w14:paraId="70671287">
            <w:pPr>
              <w:jc w:val="right"/>
            </w:pPr>
            <w:r>
              <w:rPr>
                <w:rFonts w:hint="eastAsia"/>
              </w:rPr>
              <w:t>-</w:t>
            </w:r>
          </w:p>
        </w:tc>
      </w:tr>
      <w:tr w14:paraId="0CFD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1BE72">
            <w:r>
              <w:rPr>
                <w:rFonts w:hint="eastAsia"/>
              </w:rPr>
              <w:t>应收申购款</w:t>
            </w:r>
          </w:p>
        </w:tc>
        <w:tc>
          <w:tcPr>
            <w:tcW w:w="1384" w:type="dxa"/>
            <w:vAlign w:val="center"/>
          </w:tcPr>
          <w:p w14:paraId="34F8564B">
            <w:pPr>
              <w:jc w:val="right"/>
            </w:pPr>
            <w:r>
              <w:rPr>
                <w:rFonts w:hint="eastAsia"/>
              </w:rPr>
              <w:t>-</w:t>
            </w:r>
          </w:p>
        </w:tc>
        <w:tc>
          <w:tcPr>
            <w:tcW w:w="1384" w:type="dxa"/>
            <w:vAlign w:val="center"/>
          </w:tcPr>
          <w:p w14:paraId="15E924C1">
            <w:pPr>
              <w:jc w:val="right"/>
            </w:pPr>
            <w:r>
              <w:rPr>
                <w:rFonts w:hint="eastAsia"/>
              </w:rPr>
              <w:t>-</w:t>
            </w:r>
          </w:p>
        </w:tc>
        <w:tc>
          <w:tcPr>
            <w:tcW w:w="1384" w:type="dxa"/>
            <w:vAlign w:val="center"/>
          </w:tcPr>
          <w:p w14:paraId="310AFFCA">
            <w:pPr>
              <w:jc w:val="right"/>
            </w:pPr>
            <w:r>
              <w:rPr>
                <w:rFonts w:hint="eastAsia"/>
              </w:rPr>
              <w:t>-</w:t>
            </w:r>
          </w:p>
        </w:tc>
        <w:tc>
          <w:tcPr>
            <w:tcW w:w="1384" w:type="dxa"/>
            <w:vAlign w:val="center"/>
          </w:tcPr>
          <w:p w14:paraId="1497EB0F">
            <w:pPr>
              <w:jc w:val="right"/>
            </w:pPr>
            <w:r>
              <w:rPr>
                <w:rFonts w:hint="eastAsia"/>
              </w:rPr>
              <w:t>-</w:t>
            </w:r>
          </w:p>
        </w:tc>
        <w:tc>
          <w:tcPr>
            <w:tcW w:w="1384" w:type="dxa"/>
            <w:vAlign w:val="center"/>
          </w:tcPr>
          <w:p w14:paraId="1B3AC0BC">
            <w:pPr>
              <w:jc w:val="right"/>
            </w:pPr>
            <w:r>
              <w:rPr>
                <w:rFonts w:hint="eastAsia"/>
              </w:rPr>
              <w:t>-</w:t>
            </w:r>
          </w:p>
        </w:tc>
      </w:tr>
      <w:tr w14:paraId="47F3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8D137">
            <w:r>
              <w:rPr>
                <w:rFonts w:hint="eastAsia"/>
              </w:rPr>
              <w:t>递延所得税资产</w:t>
            </w:r>
          </w:p>
        </w:tc>
        <w:tc>
          <w:tcPr>
            <w:tcW w:w="1384" w:type="dxa"/>
            <w:vAlign w:val="center"/>
          </w:tcPr>
          <w:p w14:paraId="1CE99C81">
            <w:pPr>
              <w:jc w:val="right"/>
            </w:pPr>
            <w:r>
              <w:rPr>
                <w:rFonts w:hint="eastAsia"/>
              </w:rPr>
              <w:t>-</w:t>
            </w:r>
          </w:p>
        </w:tc>
        <w:tc>
          <w:tcPr>
            <w:tcW w:w="1384" w:type="dxa"/>
            <w:vAlign w:val="center"/>
          </w:tcPr>
          <w:p w14:paraId="2204C310">
            <w:pPr>
              <w:jc w:val="right"/>
            </w:pPr>
            <w:r>
              <w:rPr>
                <w:rFonts w:hint="eastAsia"/>
              </w:rPr>
              <w:t>-</w:t>
            </w:r>
          </w:p>
        </w:tc>
        <w:tc>
          <w:tcPr>
            <w:tcW w:w="1384" w:type="dxa"/>
            <w:vAlign w:val="center"/>
          </w:tcPr>
          <w:p w14:paraId="661C779D">
            <w:pPr>
              <w:jc w:val="right"/>
            </w:pPr>
            <w:r>
              <w:rPr>
                <w:rFonts w:hint="eastAsia"/>
              </w:rPr>
              <w:t>-</w:t>
            </w:r>
          </w:p>
        </w:tc>
        <w:tc>
          <w:tcPr>
            <w:tcW w:w="1384" w:type="dxa"/>
            <w:vAlign w:val="center"/>
          </w:tcPr>
          <w:p w14:paraId="480186CB">
            <w:pPr>
              <w:jc w:val="right"/>
            </w:pPr>
            <w:r>
              <w:rPr>
                <w:rFonts w:hint="eastAsia"/>
              </w:rPr>
              <w:t>-</w:t>
            </w:r>
          </w:p>
        </w:tc>
        <w:tc>
          <w:tcPr>
            <w:tcW w:w="1384" w:type="dxa"/>
            <w:vAlign w:val="center"/>
          </w:tcPr>
          <w:p w14:paraId="685B66EF">
            <w:pPr>
              <w:jc w:val="right"/>
            </w:pPr>
            <w:r>
              <w:rPr>
                <w:rFonts w:hint="eastAsia"/>
              </w:rPr>
              <w:t>-</w:t>
            </w:r>
          </w:p>
        </w:tc>
      </w:tr>
      <w:tr w14:paraId="2E5A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2FA4B">
            <w:r>
              <w:rPr>
                <w:rFonts w:hint="eastAsia"/>
              </w:rPr>
              <w:t>其他资产</w:t>
            </w:r>
          </w:p>
        </w:tc>
        <w:tc>
          <w:tcPr>
            <w:tcW w:w="1384" w:type="dxa"/>
            <w:vAlign w:val="center"/>
          </w:tcPr>
          <w:p w14:paraId="41708F60">
            <w:pPr>
              <w:jc w:val="right"/>
            </w:pPr>
            <w:r>
              <w:rPr>
                <w:rFonts w:hint="eastAsia"/>
              </w:rPr>
              <w:t>-</w:t>
            </w:r>
          </w:p>
        </w:tc>
        <w:tc>
          <w:tcPr>
            <w:tcW w:w="1384" w:type="dxa"/>
            <w:vAlign w:val="center"/>
          </w:tcPr>
          <w:p w14:paraId="0AF65B4D">
            <w:pPr>
              <w:jc w:val="right"/>
            </w:pPr>
            <w:r>
              <w:rPr>
                <w:rFonts w:hint="eastAsia"/>
              </w:rPr>
              <w:t>-</w:t>
            </w:r>
          </w:p>
        </w:tc>
        <w:tc>
          <w:tcPr>
            <w:tcW w:w="1384" w:type="dxa"/>
            <w:vAlign w:val="center"/>
          </w:tcPr>
          <w:p w14:paraId="33F60058">
            <w:pPr>
              <w:jc w:val="right"/>
            </w:pPr>
            <w:r>
              <w:rPr>
                <w:rFonts w:hint="eastAsia"/>
              </w:rPr>
              <w:t>-</w:t>
            </w:r>
          </w:p>
        </w:tc>
        <w:tc>
          <w:tcPr>
            <w:tcW w:w="1384" w:type="dxa"/>
            <w:vAlign w:val="center"/>
          </w:tcPr>
          <w:p w14:paraId="1E8E39DC">
            <w:pPr>
              <w:jc w:val="right"/>
            </w:pPr>
            <w:r>
              <w:rPr>
                <w:rFonts w:hint="eastAsia"/>
              </w:rPr>
              <w:t>-</w:t>
            </w:r>
          </w:p>
        </w:tc>
        <w:tc>
          <w:tcPr>
            <w:tcW w:w="1384" w:type="dxa"/>
            <w:vAlign w:val="center"/>
          </w:tcPr>
          <w:p w14:paraId="0DF3AE28">
            <w:pPr>
              <w:jc w:val="right"/>
            </w:pPr>
            <w:r>
              <w:rPr>
                <w:rFonts w:hint="eastAsia"/>
              </w:rPr>
              <w:t>-</w:t>
            </w:r>
          </w:p>
        </w:tc>
      </w:tr>
      <w:tr w14:paraId="0D23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643F7">
            <w:r>
              <w:rPr>
                <w:rFonts w:hint="eastAsia"/>
              </w:rPr>
              <w:t>资产总计</w:t>
            </w:r>
          </w:p>
        </w:tc>
        <w:tc>
          <w:tcPr>
            <w:tcW w:w="1384" w:type="dxa"/>
            <w:vAlign w:val="center"/>
          </w:tcPr>
          <w:p w14:paraId="594CF798">
            <w:pPr>
              <w:jc w:val="right"/>
            </w:pPr>
            <w:r>
              <w:rPr>
                <w:rFonts w:hint="eastAsia"/>
              </w:rPr>
              <w:t>2,105,477,950.37</w:t>
            </w:r>
          </w:p>
        </w:tc>
        <w:tc>
          <w:tcPr>
            <w:tcW w:w="1384" w:type="dxa"/>
            <w:vAlign w:val="center"/>
          </w:tcPr>
          <w:p w14:paraId="71392E70">
            <w:pPr>
              <w:jc w:val="right"/>
            </w:pPr>
            <w:r>
              <w:rPr>
                <w:rFonts w:hint="eastAsia"/>
              </w:rPr>
              <w:t>903,703,520.23</w:t>
            </w:r>
          </w:p>
        </w:tc>
        <w:tc>
          <w:tcPr>
            <w:tcW w:w="1384" w:type="dxa"/>
            <w:vAlign w:val="center"/>
          </w:tcPr>
          <w:p w14:paraId="6B7A85CC">
            <w:pPr>
              <w:jc w:val="right"/>
            </w:pPr>
            <w:r>
              <w:rPr>
                <w:rFonts w:hint="eastAsia"/>
              </w:rPr>
              <w:t>856,224,763.89</w:t>
            </w:r>
          </w:p>
        </w:tc>
        <w:tc>
          <w:tcPr>
            <w:tcW w:w="1384" w:type="dxa"/>
            <w:vAlign w:val="center"/>
          </w:tcPr>
          <w:p w14:paraId="14726F8B">
            <w:pPr>
              <w:jc w:val="right"/>
            </w:pPr>
            <w:r>
              <w:rPr>
                <w:rFonts w:hint="eastAsia"/>
              </w:rPr>
              <w:t>-</w:t>
            </w:r>
          </w:p>
        </w:tc>
        <w:tc>
          <w:tcPr>
            <w:tcW w:w="1384" w:type="dxa"/>
            <w:vAlign w:val="center"/>
          </w:tcPr>
          <w:p w14:paraId="145970C1">
            <w:pPr>
              <w:jc w:val="right"/>
            </w:pPr>
            <w:r>
              <w:rPr>
                <w:rFonts w:hint="eastAsia"/>
              </w:rPr>
              <w:t>3,865,406,234.49</w:t>
            </w:r>
          </w:p>
        </w:tc>
      </w:tr>
      <w:tr w14:paraId="1B0A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EF545">
            <w:r>
              <w:rPr>
                <w:rFonts w:hint="eastAsia"/>
              </w:rPr>
              <w:t>负债</w:t>
            </w:r>
          </w:p>
        </w:tc>
        <w:tc>
          <w:tcPr>
            <w:tcW w:w="1384" w:type="dxa"/>
            <w:vAlign w:val="center"/>
          </w:tcPr>
          <w:p w14:paraId="193C255A"/>
        </w:tc>
        <w:tc>
          <w:tcPr>
            <w:tcW w:w="1384" w:type="dxa"/>
            <w:vAlign w:val="center"/>
          </w:tcPr>
          <w:p w14:paraId="3A6E0722"/>
        </w:tc>
        <w:tc>
          <w:tcPr>
            <w:tcW w:w="1384" w:type="dxa"/>
            <w:vAlign w:val="center"/>
          </w:tcPr>
          <w:p w14:paraId="0C906368"/>
        </w:tc>
        <w:tc>
          <w:tcPr>
            <w:tcW w:w="1384" w:type="dxa"/>
            <w:vAlign w:val="center"/>
          </w:tcPr>
          <w:p w14:paraId="2885AE3E"/>
        </w:tc>
        <w:tc>
          <w:tcPr>
            <w:tcW w:w="1384" w:type="dxa"/>
            <w:vAlign w:val="center"/>
          </w:tcPr>
          <w:p w14:paraId="520A34F0"/>
        </w:tc>
      </w:tr>
      <w:tr w14:paraId="268D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0ACE6">
            <w:r>
              <w:rPr>
                <w:rFonts w:hint="eastAsia"/>
              </w:rPr>
              <w:t>短期借款</w:t>
            </w:r>
          </w:p>
        </w:tc>
        <w:tc>
          <w:tcPr>
            <w:tcW w:w="1384" w:type="dxa"/>
            <w:vAlign w:val="center"/>
          </w:tcPr>
          <w:p w14:paraId="34961A38">
            <w:pPr>
              <w:jc w:val="right"/>
            </w:pPr>
            <w:r>
              <w:rPr>
                <w:rFonts w:hint="eastAsia"/>
              </w:rPr>
              <w:t>-</w:t>
            </w:r>
          </w:p>
        </w:tc>
        <w:tc>
          <w:tcPr>
            <w:tcW w:w="1384" w:type="dxa"/>
            <w:vAlign w:val="center"/>
          </w:tcPr>
          <w:p w14:paraId="1F592A36">
            <w:pPr>
              <w:jc w:val="right"/>
            </w:pPr>
            <w:r>
              <w:rPr>
                <w:rFonts w:hint="eastAsia"/>
              </w:rPr>
              <w:t>-</w:t>
            </w:r>
          </w:p>
        </w:tc>
        <w:tc>
          <w:tcPr>
            <w:tcW w:w="1384" w:type="dxa"/>
            <w:vAlign w:val="center"/>
          </w:tcPr>
          <w:p w14:paraId="34A804EB">
            <w:pPr>
              <w:jc w:val="right"/>
            </w:pPr>
            <w:r>
              <w:rPr>
                <w:rFonts w:hint="eastAsia"/>
              </w:rPr>
              <w:t>-</w:t>
            </w:r>
          </w:p>
        </w:tc>
        <w:tc>
          <w:tcPr>
            <w:tcW w:w="1384" w:type="dxa"/>
            <w:vAlign w:val="center"/>
          </w:tcPr>
          <w:p w14:paraId="2EF87CBF">
            <w:pPr>
              <w:jc w:val="right"/>
            </w:pPr>
            <w:r>
              <w:rPr>
                <w:rFonts w:hint="eastAsia"/>
              </w:rPr>
              <w:t>-</w:t>
            </w:r>
          </w:p>
        </w:tc>
        <w:tc>
          <w:tcPr>
            <w:tcW w:w="1384" w:type="dxa"/>
            <w:vAlign w:val="center"/>
          </w:tcPr>
          <w:p w14:paraId="4508906C">
            <w:pPr>
              <w:jc w:val="right"/>
            </w:pPr>
            <w:r>
              <w:rPr>
                <w:rFonts w:hint="eastAsia"/>
              </w:rPr>
              <w:t>-</w:t>
            </w:r>
          </w:p>
        </w:tc>
      </w:tr>
      <w:tr w14:paraId="3F10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BBF00">
            <w:r>
              <w:rPr>
                <w:rFonts w:hint="eastAsia"/>
              </w:rPr>
              <w:t>交易性金融负债</w:t>
            </w:r>
          </w:p>
        </w:tc>
        <w:tc>
          <w:tcPr>
            <w:tcW w:w="1384" w:type="dxa"/>
            <w:vAlign w:val="center"/>
          </w:tcPr>
          <w:p w14:paraId="2F6D3A51">
            <w:pPr>
              <w:jc w:val="right"/>
            </w:pPr>
            <w:r>
              <w:rPr>
                <w:rFonts w:hint="eastAsia"/>
              </w:rPr>
              <w:t>-</w:t>
            </w:r>
          </w:p>
        </w:tc>
        <w:tc>
          <w:tcPr>
            <w:tcW w:w="1384" w:type="dxa"/>
            <w:vAlign w:val="center"/>
          </w:tcPr>
          <w:p w14:paraId="7E325BFE">
            <w:pPr>
              <w:jc w:val="right"/>
            </w:pPr>
            <w:r>
              <w:rPr>
                <w:rFonts w:hint="eastAsia"/>
              </w:rPr>
              <w:t>-</w:t>
            </w:r>
          </w:p>
        </w:tc>
        <w:tc>
          <w:tcPr>
            <w:tcW w:w="1384" w:type="dxa"/>
            <w:vAlign w:val="center"/>
          </w:tcPr>
          <w:p w14:paraId="7F339F9E">
            <w:pPr>
              <w:jc w:val="right"/>
            </w:pPr>
            <w:r>
              <w:rPr>
                <w:rFonts w:hint="eastAsia"/>
              </w:rPr>
              <w:t>-</w:t>
            </w:r>
          </w:p>
        </w:tc>
        <w:tc>
          <w:tcPr>
            <w:tcW w:w="1384" w:type="dxa"/>
            <w:vAlign w:val="center"/>
          </w:tcPr>
          <w:p w14:paraId="26466A6C">
            <w:pPr>
              <w:jc w:val="right"/>
            </w:pPr>
            <w:r>
              <w:rPr>
                <w:rFonts w:hint="eastAsia"/>
              </w:rPr>
              <w:t>-</w:t>
            </w:r>
          </w:p>
        </w:tc>
        <w:tc>
          <w:tcPr>
            <w:tcW w:w="1384" w:type="dxa"/>
            <w:vAlign w:val="center"/>
          </w:tcPr>
          <w:p w14:paraId="2B2785A8">
            <w:pPr>
              <w:jc w:val="right"/>
            </w:pPr>
            <w:r>
              <w:rPr>
                <w:rFonts w:hint="eastAsia"/>
              </w:rPr>
              <w:t>-</w:t>
            </w:r>
          </w:p>
        </w:tc>
      </w:tr>
      <w:tr w14:paraId="575B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815E5">
            <w:r>
              <w:rPr>
                <w:rFonts w:hint="eastAsia"/>
              </w:rPr>
              <w:t>衍生金融负债</w:t>
            </w:r>
          </w:p>
        </w:tc>
        <w:tc>
          <w:tcPr>
            <w:tcW w:w="1384" w:type="dxa"/>
            <w:vAlign w:val="center"/>
          </w:tcPr>
          <w:p w14:paraId="24C4F3E7">
            <w:pPr>
              <w:jc w:val="right"/>
            </w:pPr>
            <w:r>
              <w:rPr>
                <w:rFonts w:hint="eastAsia"/>
              </w:rPr>
              <w:t>-</w:t>
            </w:r>
          </w:p>
        </w:tc>
        <w:tc>
          <w:tcPr>
            <w:tcW w:w="1384" w:type="dxa"/>
            <w:vAlign w:val="center"/>
          </w:tcPr>
          <w:p w14:paraId="763ACA73">
            <w:pPr>
              <w:jc w:val="right"/>
            </w:pPr>
            <w:r>
              <w:rPr>
                <w:rFonts w:hint="eastAsia"/>
              </w:rPr>
              <w:t>-</w:t>
            </w:r>
          </w:p>
        </w:tc>
        <w:tc>
          <w:tcPr>
            <w:tcW w:w="1384" w:type="dxa"/>
            <w:vAlign w:val="center"/>
          </w:tcPr>
          <w:p w14:paraId="74D8CD1F">
            <w:pPr>
              <w:jc w:val="right"/>
            </w:pPr>
            <w:r>
              <w:rPr>
                <w:rFonts w:hint="eastAsia"/>
              </w:rPr>
              <w:t>-</w:t>
            </w:r>
          </w:p>
        </w:tc>
        <w:tc>
          <w:tcPr>
            <w:tcW w:w="1384" w:type="dxa"/>
            <w:vAlign w:val="center"/>
          </w:tcPr>
          <w:p w14:paraId="55A1142D">
            <w:pPr>
              <w:jc w:val="right"/>
            </w:pPr>
            <w:r>
              <w:rPr>
                <w:rFonts w:hint="eastAsia"/>
              </w:rPr>
              <w:t>-</w:t>
            </w:r>
          </w:p>
        </w:tc>
        <w:tc>
          <w:tcPr>
            <w:tcW w:w="1384" w:type="dxa"/>
            <w:vAlign w:val="center"/>
          </w:tcPr>
          <w:p w14:paraId="13E78769">
            <w:pPr>
              <w:jc w:val="right"/>
            </w:pPr>
            <w:r>
              <w:rPr>
                <w:rFonts w:hint="eastAsia"/>
              </w:rPr>
              <w:t>-</w:t>
            </w:r>
          </w:p>
        </w:tc>
      </w:tr>
      <w:tr w14:paraId="6DD9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23724">
            <w:r>
              <w:rPr>
                <w:rFonts w:hint="eastAsia"/>
              </w:rPr>
              <w:t>卖出回购金融资产款</w:t>
            </w:r>
          </w:p>
        </w:tc>
        <w:tc>
          <w:tcPr>
            <w:tcW w:w="1384" w:type="dxa"/>
            <w:vAlign w:val="center"/>
          </w:tcPr>
          <w:p w14:paraId="06E85A84">
            <w:pPr>
              <w:jc w:val="right"/>
            </w:pPr>
            <w:r>
              <w:rPr>
                <w:rFonts w:hint="eastAsia"/>
              </w:rPr>
              <w:t>619,075,129.36</w:t>
            </w:r>
          </w:p>
        </w:tc>
        <w:tc>
          <w:tcPr>
            <w:tcW w:w="1384" w:type="dxa"/>
            <w:vAlign w:val="center"/>
          </w:tcPr>
          <w:p w14:paraId="41A59330">
            <w:pPr>
              <w:jc w:val="right"/>
            </w:pPr>
            <w:r>
              <w:rPr>
                <w:rFonts w:hint="eastAsia"/>
              </w:rPr>
              <w:t>-</w:t>
            </w:r>
          </w:p>
        </w:tc>
        <w:tc>
          <w:tcPr>
            <w:tcW w:w="1384" w:type="dxa"/>
            <w:vAlign w:val="center"/>
          </w:tcPr>
          <w:p w14:paraId="0D0D8C05">
            <w:pPr>
              <w:jc w:val="right"/>
            </w:pPr>
            <w:r>
              <w:rPr>
                <w:rFonts w:hint="eastAsia"/>
              </w:rPr>
              <w:t>-</w:t>
            </w:r>
          </w:p>
        </w:tc>
        <w:tc>
          <w:tcPr>
            <w:tcW w:w="1384" w:type="dxa"/>
            <w:vAlign w:val="center"/>
          </w:tcPr>
          <w:p w14:paraId="2BE2B337">
            <w:pPr>
              <w:jc w:val="right"/>
            </w:pPr>
            <w:r>
              <w:rPr>
                <w:rFonts w:hint="eastAsia"/>
              </w:rPr>
              <w:t>-</w:t>
            </w:r>
          </w:p>
        </w:tc>
        <w:tc>
          <w:tcPr>
            <w:tcW w:w="1384" w:type="dxa"/>
            <w:vAlign w:val="center"/>
          </w:tcPr>
          <w:p w14:paraId="5D206F05">
            <w:pPr>
              <w:jc w:val="right"/>
            </w:pPr>
            <w:r>
              <w:rPr>
                <w:rFonts w:hint="eastAsia"/>
              </w:rPr>
              <w:t>619,075,129.36</w:t>
            </w:r>
          </w:p>
        </w:tc>
      </w:tr>
      <w:tr w14:paraId="32C0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7168A">
            <w:r>
              <w:rPr>
                <w:rFonts w:hint="eastAsia"/>
              </w:rPr>
              <w:t>应付清算款</w:t>
            </w:r>
          </w:p>
        </w:tc>
        <w:tc>
          <w:tcPr>
            <w:tcW w:w="1384" w:type="dxa"/>
            <w:vAlign w:val="center"/>
          </w:tcPr>
          <w:p w14:paraId="73FF2EF4">
            <w:pPr>
              <w:jc w:val="right"/>
            </w:pPr>
            <w:r>
              <w:rPr>
                <w:rFonts w:hint="eastAsia"/>
              </w:rPr>
              <w:t>-</w:t>
            </w:r>
          </w:p>
        </w:tc>
        <w:tc>
          <w:tcPr>
            <w:tcW w:w="1384" w:type="dxa"/>
            <w:vAlign w:val="center"/>
          </w:tcPr>
          <w:p w14:paraId="13BF58ED">
            <w:pPr>
              <w:jc w:val="right"/>
            </w:pPr>
            <w:r>
              <w:rPr>
                <w:rFonts w:hint="eastAsia"/>
              </w:rPr>
              <w:t>-</w:t>
            </w:r>
          </w:p>
        </w:tc>
        <w:tc>
          <w:tcPr>
            <w:tcW w:w="1384" w:type="dxa"/>
            <w:vAlign w:val="center"/>
          </w:tcPr>
          <w:p w14:paraId="4409FC61">
            <w:pPr>
              <w:jc w:val="right"/>
            </w:pPr>
            <w:r>
              <w:rPr>
                <w:rFonts w:hint="eastAsia"/>
              </w:rPr>
              <w:t>-</w:t>
            </w:r>
          </w:p>
        </w:tc>
        <w:tc>
          <w:tcPr>
            <w:tcW w:w="1384" w:type="dxa"/>
            <w:vAlign w:val="center"/>
          </w:tcPr>
          <w:p w14:paraId="2C4DC537">
            <w:pPr>
              <w:jc w:val="right"/>
            </w:pPr>
            <w:r>
              <w:rPr>
                <w:rFonts w:hint="eastAsia"/>
              </w:rPr>
              <w:t>-</w:t>
            </w:r>
          </w:p>
        </w:tc>
        <w:tc>
          <w:tcPr>
            <w:tcW w:w="1384" w:type="dxa"/>
            <w:vAlign w:val="center"/>
          </w:tcPr>
          <w:p w14:paraId="7E46E32A">
            <w:pPr>
              <w:jc w:val="right"/>
            </w:pPr>
            <w:r>
              <w:rPr>
                <w:rFonts w:hint="eastAsia"/>
              </w:rPr>
              <w:t>-</w:t>
            </w:r>
          </w:p>
        </w:tc>
      </w:tr>
      <w:tr w14:paraId="2004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DAA82">
            <w:r>
              <w:rPr>
                <w:rFonts w:hint="eastAsia"/>
              </w:rPr>
              <w:t>应付赎回款</w:t>
            </w:r>
          </w:p>
        </w:tc>
        <w:tc>
          <w:tcPr>
            <w:tcW w:w="1384" w:type="dxa"/>
            <w:vAlign w:val="center"/>
          </w:tcPr>
          <w:p w14:paraId="018AA1B3">
            <w:pPr>
              <w:jc w:val="right"/>
            </w:pPr>
            <w:r>
              <w:rPr>
                <w:rFonts w:hint="eastAsia"/>
              </w:rPr>
              <w:t>-</w:t>
            </w:r>
          </w:p>
        </w:tc>
        <w:tc>
          <w:tcPr>
            <w:tcW w:w="1384" w:type="dxa"/>
            <w:vAlign w:val="center"/>
          </w:tcPr>
          <w:p w14:paraId="75D7B71D">
            <w:pPr>
              <w:jc w:val="right"/>
            </w:pPr>
            <w:r>
              <w:rPr>
                <w:rFonts w:hint="eastAsia"/>
              </w:rPr>
              <w:t>-</w:t>
            </w:r>
          </w:p>
        </w:tc>
        <w:tc>
          <w:tcPr>
            <w:tcW w:w="1384" w:type="dxa"/>
            <w:vAlign w:val="center"/>
          </w:tcPr>
          <w:p w14:paraId="55E2C229">
            <w:pPr>
              <w:jc w:val="right"/>
            </w:pPr>
            <w:r>
              <w:rPr>
                <w:rFonts w:hint="eastAsia"/>
              </w:rPr>
              <w:t>-</w:t>
            </w:r>
          </w:p>
        </w:tc>
        <w:tc>
          <w:tcPr>
            <w:tcW w:w="1384" w:type="dxa"/>
            <w:vAlign w:val="center"/>
          </w:tcPr>
          <w:p w14:paraId="67E73DD1">
            <w:pPr>
              <w:jc w:val="right"/>
            </w:pPr>
            <w:r>
              <w:rPr>
                <w:rFonts w:hint="eastAsia"/>
              </w:rPr>
              <w:t>-</w:t>
            </w:r>
          </w:p>
        </w:tc>
        <w:tc>
          <w:tcPr>
            <w:tcW w:w="1384" w:type="dxa"/>
            <w:vAlign w:val="center"/>
          </w:tcPr>
          <w:p w14:paraId="47C04907">
            <w:pPr>
              <w:jc w:val="right"/>
            </w:pPr>
            <w:r>
              <w:rPr>
                <w:rFonts w:hint="eastAsia"/>
              </w:rPr>
              <w:t>-</w:t>
            </w:r>
          </w:p>
        </w:tc>
      </w:tr>
      <w:tr w14:paraId="20B5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DD33A">
            <w:r>
              <w:rPr>
                <w:rFonts w:hint="eastAsia"/>
              </w:rPr>
              <w:t>应付管理人报酬</w:t>
            </w:r>
          </w:p>
        </w:tc>
        <w:tc>
          <w:tcPr>
            <w:tcW w:w="1384" w:type="dxa"/>
            <w:vAlign w:val="center"/>
          </w:tcPr>
          <w:p w14:paraId="40F940A6">
            <w:pPr>
              <w:jc w:val="right"/>
            </w:pPr>
            <w:r>
              <w:rPr>
                <w:rFonts w:hint="eastAsia"/>
              </w:rPr>
              <w:t>-</w:t>
            </w:r>
          </w:p>
        </w:tc>
        <w:tc>
          <w:tcPr>
            <w:tcW w:w="1384" w:type="dxa"/>
            <w:vAlign w:val="center"/>
          </w:tcPr>
          <w:p w14:paraId="0A0A448C">
            <w:pPr>
              <w:jc w:val="right"/>
            </w:pPr>
            <w:r>
              <w:rPr>
                <w:rFonts w:hint="eastAsia"/>
              </w:rPr>
              <w:t>-</w:t>
            </w:r>
          </w:p>
        </w:tc>
        <w:tc>
          <w:tcPr>
            <w:tcW w:w="1384" w:type="dxa"/>
            <w:vAlign w:val="center"/>
          </w:tcPr>
          <w:p w14:paraId="6988B7B3">
            <w:pPr>
              <w:jc w:val="right"/>
            </w:pPr>
            <w:r>
              <w:rPr>
                <w:rFonts w:hint="eastAsia"/>
              </w:rPr>
              <w:t>-</w:t>
            </w:r>
          </w:p>
        </w:tc>
        <w:tc>
          <w:tcPr>
            <w:tcW w:w="1384" w:type="dxa"/>
            <w:vAlign w:val="center"/>
          </w:tcPr>
          <w:p w14:paraId="52CA9665">
            <w:pPr>
              <w:jc w:val="right"/>
            </w:pPr>
            <w:r>
              <w:rPr>
                <w:rFonts w:hint="eastAsia"/>
              </w:rPr>
              <w:t>820,665.14</w:t>
            </w:r>
          </w:p>
        </w:tc>
        <w:tc>
          <w:tcPr>
            <w:tcW w:w="1384" w:type="dxa"/>
            <w:vAlign w:val="center"/>
          </w:tcPr>
          <w:p w14:paraId="180CE3A5">
            <w:pPr>
              <w:jc w:val="right"/>
            </w:pPr>
            <w:r>
              <w:rPr>
                <w:rFonts w:hint="eastAsia"/>
              </w:rPr>
              <w:t>820,665.14</w:t>
            </w:r>
          </w:p>
        </w:tc>
      </w:tr>
      <w:tr w14:paraId="5277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5BDE9">
            <w:r>
              <w:rPr>
                <w:rFonts w:hint="eastAsia"/>
              </w:rPr>
              <w:t>应付托管费</w:t>
            </w:r>
          </w:p>
        </w:tc>
        <w:tc>
          <w:tcPr>
            <w:tcW w:w="1384" w:type="dxa"/>
            <w:vAlign w:val="center"/>
          </w:tcPr>
          <w:p w14:paraId="6B0CDBEE">
            <w:pPr>
              <w:jc w:val="right"/>
            </w:pPr>
            <w:r>
              <w:rPr>
                <w:rFonts w:hint="eastAsia"/>
              </w:rPr>
              <w:t>-</w:t>
            </w:r>
          </w:p>
        </w:tc>
        <w:tc>
          <w:tcPr>
            <w:tcW w:w="1384" w:type="dxa"/>
            <w:vAlign w:val="center"/>
          </w:tcPr>
          <w:p w14:paraId="724261F1">
            <w:pPr>
              <w:jc w:val="right"/>
            </w:pPr>
            <w:r>
              <w:rPr>
                <w:rFonts w:hint="eastAsia"/>
              </w:rPr>
              <w:t>-</w:t>
            </w:r>
          </w:p>
        </w:tc>
        <w:tc>
          <w:tcPr>
            <w:tcW w:w="1384" w:type="dxa"/>
            <w:vAlign w:val="center"/>
          </w:tcPr>
          <w:p w14:paraId="142A46DF">
            <w:pPr>
              <w:jc w:val="right"/>
            </w:pPr>
            <w:r>
              <w:rPr>
                <w:rFonts w:hint="eastAsia"/>
              </w:rPr>
              <w:t>-</w:t>
            </w:r>
          </w:p>
        </w:tc>
        <w:tc>
          <w:tcPr>
            <w:tcW w:w="1384" w:type="dxa"/>
            <w:vAlign w:val="center"/>
          </w:tcPr>
          <w:p w14:paraId="5C9A4984">
            <w:pPr>
              <w:jc w:val="right"/>
            </w:pPr>
            <w:r>
              <w:rPr>
                <w:rFonts w:hint="eastAsia"/>
              </w:rPr>
              <w:t>273,555.06</w:t>
            </w:r>
          </w:p>
        </w:tc>
        <w:tc>
          <w:tcPr>
            <w:tcW w:w="1384" w:type="dxa"/>
            <w:vAlign w:val="center"/>
          </w:tcPr>
          <w:p w14:paraId="112901DD">
            <w:pPr>
              <w:jc w:val="right"/>
            </w:pPr>
            <w:r>
              <w:rPr>
                <w:rFonts w:hint="eastAsia"/>
              </w:rPr>
              <w:t>273,555.06</w:t>
            </w:r>
          </w:p>
        </w:tc>
      </w:tr>
      <w:tr w14:paraId="4F9C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FC990">
            <w:r>
              <w:rPr>
                <w:rFonts w:hint="eastAsia"/>
              </w:rPr>
              <w:t>应付销售服务费</w:t>
            </w:r>
          </w:p>
        </w:tc>
        <w:tc>
          <w:tcPr>
            <w:tcW w:w="1384" w:type="dxa"/>
            <w:vAlign w:val="center"/>
          </w:tcPr>
          <w:p w14:paraId="27C100B5">
            <w:pPr>
              <w:jc w:val="right"/>
            </w:pPr>
            <w:r>
              <w:rPr>
                <w:rFonts w:hint="eastAsia"/>
              </w:rPr>
              <w:t>-</w:t>
            </w:r>
          </w:p>
        </w:tc>
        <w:tc>
          <w:tcPr>
            <w:tcW w:w="1384" w:type="dxa"/>
            <w:vAlign w:val="center"/>
          </w:tcPr>
          <w:p w14:paraId="0A00063B">
            <w:pPr>
              <w:jc w:val="right"/>
            </w:pPr>
            <w:r>
              <w:rPr>
                <w:rFonts w:hint="eastAsia"/>
              </w:rPr>
              <w:t>-</w:t>
            </w:r>
          </w:p>
        </w:tc>
        <w:tc>
          <w:tcPr>
            <w:tcW w:w="1384" w:type="dxa"/>
            <w:vAlign w:val="center"/>
          </w:tcPr>
          <w:p w14:paraId="47D62F17">
            <w:pPr>
              <w:jc w:val="right"/>
            </w:pPr>
            <w:r>
              <w:rPr>
                <w:rFonts w:hint="eastAsia"/>
              </w:rPr>
              <w:t>-</w:t>
            </w:r>
          </w:p>
        </w:tc>
        <w:tc>
          <w:tcPr>
            <w:tcW w:w="1384" w:type="dxa"/>
            <w:vAlign w:val="center"/>
          </w:tcPr>
          <w:p w14:paraId="12698255">
            <w:pPr>
              <w:jc w:val="right"/>
            </w:pPr>
            <w:r>
              <w:rPr>
                <w:rFonts w:hint="eastAsia"/>
              </w:rPr>
              <w:t>-</w:t>
            </w:r>
          </w:p>
        </w:tc>
        <w:tc>
          <w:tcPr>
            <w:tcW w:w="1384" w:type="dxa"/>
            <w:vAlign w:val="center"/>
          </w:tcPr>
          <w:p w14:paraId="3C4156C3">
            <w:pPr>
              <w:jc w:val="right"/>
            </w:pPr>
            <w:r>
              <w:rPr>
                <w:rFonts w:hint="eastAsia"/>
              </w:rPr>
              <w:t>-</w:t>
            </w:r>
          </w:p>
        </w:tc>
      </w:tr>
      <w:tr w14:paraId="0485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5C9D4">
            <w:r>
              <w:rPr>
                <w:rFonts w:hint="eastAsia"/>
              </w:rPr>
              <w:t>应付投资顾问费</w:t>
            </w:r>
          </w:p>
        </w:tc>
        <w:tc>
          <w:tcPr>
            <w:tcW w:w="1384" w:type="dxa"/>
            <w:vAlign w:val="center"/>
          </w:tcPr>
          <w:p w14:paraId="38D658E6">
            <w:pPr>
              <w:jc w:val="right"/>
            </w:pPr>
            <w:r>
              <w:rPr>
                <w:rFonts w:hint="eastAsia"/>
              </w:rPr>
              <w:t>-</w:t>
            </w:r>
          </w:p>
        </w:tc>
        <w:tc>
          <w:tcPr>
            <w:tcW w:w="1384" w:type="dxa"/>
            <w:vAlign w:val="center"/>
          </w:tcPr>
          <w:p w14:paraId="1F2648F0">
            <w:pPr>
              <w:jc w:val="right"/>
            </w:pPr>
            <w:r>
              <w:rPr>
                <w:rFonts w:hint="eastAsia"/>
              </w:rPr>
              <w:t>-</w:t>
            </w:r>
          </w:p>
        </w:tc>
        <w:tc>
          <w:tcPr>
            <w:tcW w:w="1384" w:type="dxa"/>
            <w:vAlign w:val="center"/>
          </w:tcPr>
          <w:p w14:paraId="35AA89F9">
            <w:pPr>
              <w:jc w:val="right"/>
            </w:pPr>
            <w:r>
              <w:rPr>
                <w:rFonts w:hint="eastAsia"/>
              </w:rPr>
              <w:t>-</w:t>
            </w:r>
          </w:p>
        </w:tc>
        <w:tc>
          <w:tcPr>
            <w:tcW w:w="1384" w:type="dxa"/>
            <w:vAlign w:val="center"/>
          </w:tcPr>
          <w:p w14:paraId="64687554">
            <w:pPr>
              <w:jc w:val="right"/>
            </w:pPr>
            <w:r>
              <w:rPr>
                <w:rFonts w:hint="eastAsia"/>
              </w:rPr>
              <w:t>-</w:t>
            </w:r>
          </w:p>
        </w:tc>
        <w:tc>
          <w:tcPr>
            <w:tcW w:w="1384" w:type="dxa"/>
            <w:vAlign w:val="center"/>
          </w:tcPr>
          <w:p w14:paraId="3648FE25">
            <w:pPr>
              <w:jc w:val="right"/>
            </w:pPr>
            <w:r>
              <w:rPr>
                <w:rFonts w:hint="eastAsia"/>
              </w:rPr>
              <w:t>-</w:t>
            </w:r>
          </w:p>
        </w:tc>
      </w:tr>
      <w:tr w14:paraId="11E8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D9526">
            <w:r>
              <w:rPr>
                <w:rFonts w:hint="eastAsia"/>
              </w:rPr>
              <w:t>应交税费</w:t>
            </w:r>
          </w:p>
        </w:tc>
        <w:tc>
          <w:tcPr>
            <w:tcW w:w="1384" w:type="dxa"/>
            <w:vAlign w:val="center"/>
          </w:tcPr>
          <w:p w14:paraId="75E5E84A">
            <w:pPr>
              <w:jc w:val="right"/>
            </w:pPr>
            <w:r>
              <w:rPr>
                <w:rFonts w:hint="eastAsia"/>
              </w:rPr>
              <w:t>-</w:t>
            </w:r>
          </w:p>
        </w:tc>
        <w:tc>
          <w:tcPr>
            <w:tcW w:w="1384" w:type="dxa"/>
            <w:vAlign w:val="center"/>
          </w:tcPr>
          <w:p w14:paraId="0FFF1FD0">
            <w:pPr>
              <w:jc w:val="right"/>
            </w:pPr>
            <w:r>
              <w:rPr>
                <w:rFonts w:hint="eastAsia"/>
              </w:rPr>
              <w:t>-</w:t>
            </w:r>
          </w:p>
        </w:tc>
        <w:tc>
          <w:tcPr>
            <w:tcW w:w="1384" w:type="dxa"/>
            <w:vAlign w:val="center"/>
          </w:tcPr>
          <w:p w14:paraId="17485A56">
            <w:pPr>
              <w:jc w:val="right"/>
            </w:pPr>
            <w:r>
              <w:rPr>
                <w:rFonts w:hint="eastAsia"/>
              </w:rPr>
              <w:t>-</w:t>
            </w:r>
          </w:p>
        </w:tc>
        <w:tc>
          <w:tcPr>
            <w:tcW w:w="1384" w:type="dxa"/>
            <w:vAlign w:val="center"/>
          </w:tcPr>
          <w:p w14:paraId="6235C6EE">
            <w:pPr>
              <w:jc w:val="right"/>
            </w:pPr>
            <w:r>
              <w:rPr>
                <w:rFonts w:hint="eastAsia"/>
              </w:rPr>
              <w:t>-</w:t>
            </w:r>
          </w:p>
        </w:tc>
        <w:tc>
          <w:tcPr>
            <w:tcW w:w="1384" w:type="dxa"/>
            <w:vAlign w:val="center"/>
          </w:tcPr>
          <w:p w14:paraId="228B2227">
            <w:pPr>
              <w:jc w:val="right"/>
            </w:pPr>
            <w:r>
              <w:rPr>
                <w:rFonts w:hint="eastAsia"/>
              </w:rPr>
              <w:t>-</w:t>
            </w:r>
          </w:p>
        </w:tc>
      </w:tr>
      <w:tr w14:paraId="3275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FA9C4">
            <w:r>
              <w:rPr>
                <w:rFonts w:hint="eastAsia"/>
              </w:rPr>
              <w:t>应付利润</w:t>
            </w:r>
          </w:p>
        </w:tc>
        <w:tc>
          <w:tcPr>
            <w:tcW w:w="1384" w:type="dxa"/>
            <w:vAlign w:val="center"/>
          </w:tcPr>
          <w:p w14:paraId="67B2ACF5">
            <w:pPr>
              <w:jc w:val="right"/>
            </w:pPr>
            <w:r>
              <w:rPr>
                <w:rFonts w:hint="eastAsia"/>
              </w:rPr>
              <w:t>-</w:t>
            </w:r>
          </w:p>
        </w:tc>
        <w:tc>
          <w:tcPr>
            <w:tcW w:w="1384" w:type="dxa"/>
            <w:vAlign w:val="center"/>
          </w:tcPr>
          <w:p w14:paraId="40AB8976">
            <w:pPr>
              <w:jc w:val="right"/>
            </w:pPr>
            <w:r>
              <w:rPr>
                <w:rFonts w:hint="eastAsia"/>
              </w:rPr>
              <w:t>-</w:t>
            </w:r>
          </w:p>
        </w:tc>
        <w:tc>
          <w:tcPr>
            <w:tcW w:w="1384" w:type="dxa"/>
            <w:vAlign w:val="center"/>
          </w:tcPr>
          <w:p w14:paraId="12C95859">
            <w:pPr>
              <w:jc w:val="right"/>
            </w:pPr>
            <w:r>
              <w:rPr>
                <w:rFonts w:hint="eastAsia"/>
              </w:rPr>
              <w:t>-</w:t>
            </w:r>
          </w:p>
        </w:tc>
        <w:tc>
          <w:tcPr>
            <w:tcW w:w="1384" w:type="dxa"/>
            <w:vAlign w:val="center"/>
          </w:tcPr>
          <w:p w14:paraId="1FEC5075">
            <w:pPr>
              <w:jc w:val="right"/>
            </w:pPr>
            <w:r>
              <w:rPr>
                <w:rFonts w:hint="eastAsia"/>
              </w:rPr>
              <w:t>-</w:t>
            </w:r>
          </w:p>
        </w:tc>
        <w:tc>
          <w:tcPr>
            <w:tcW w:w="1384" w:type="dxa"/>
            <w:vAlign w:val="center"/>
          </w:tcPr>
          <w:p w14:paraId="7C30A831">
            <w:pPr>
              <w:jc w:val="right"/>
            </w:pPr>
            <w:r>
              <w:rPr>
                <w:rFonts w:hint="eastAsia"/>
              </w:rPr>
              <w:t>-</w:t>
            </w:r>
          </w:p>
        </w:tc>
      </w:tr>
      <w:tr w14:paraId="686E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78B49">
            <w:r>
              <w:rPr>
                <w:rFonts w:hint="eastAsia"/>
              </w:rPr>
              <w:t>递延所得税负债</w:t>
            </w:r>
          </w:p>
        </w:tc>
        <w:tc>
          <w:tcPr>
            <w:tcW w:w="1384" w:type="dxa"/>
            <w:vAlign w:val="center"/>
          </w:tcPr>
          <w:p w14:paraId="7A5896EF">
            <w:pPr>
              <w:jc w:val="right"/>
            </w:pPr>
            <w:r>
              <w:rPr>
                <w:rFonts w:hint="eastAsia"/>
              </w:rPr>
              <w:t>-</w:t>
            </w:r>
          </w:p>
        </w:tc>
        <w:tc>
          <w:tcPr>
            <w:tcW w:w="1384" w:type="dxa"/>
            <w:vAlign w:val="center"/>
          </w:tcPr>
          <w:p w14:paraId="04E8F36C">
            <w:pPr>
              <w:jc w:val="right"/>
            </w:pPr>
            <w:r>
              <w:rPr>
                <w:rFonts w:hint="eastAsia"/>
              </w:rPr>
              <w:t>-</w:t>
            </w:r>
          </w:p>
        </w:tc>
        <w:tc>
          <w:tcPr>
            <w:tcW w:w="1384" w:type="dxa"/>
            <w:vAlign w:val="center"/>
          </w:tcPr>
          <w:p w14:paraId="28E0371C">
            <w:pPr>
              <w:jc w:val="right"/>
            </w:pPr>
            <w:r>
              <w:rPr>
                <w:rFonts w:hint="eastAsia"/>
              </w:rPr>
              <w:t>-</w:t>
            </w:r>
          </w:p>
        </w:tc>
        <w:tc>
          <w:tcPr>
            <w:tcW w:w="1384" w:type="dxa"/>
            <w:vAlign w:val="center"/>
          </w:tcPr>
          <w:p w14:paraId="204C50D3">
            <w:pPr>
              <w:jc w:val="right"/>
            </w:pPr>
            <w:r>
              <w:rPr>
                <w:rFonts w:hint="eastAsia"/>
              </w:rPr>
              <w:t>-</w:t>
            </w:r>
          </w:p>
        </w:tc>
        <w:tc>
          <w:tcPr>
            <w:tcW w:w="1384" w:type="dxa"/>
            <w:vAlign w:val="center"/>
          </w:tcPr>
          <w:p w14:paraId="65E20829">
            <w:pPr>
              <w:jc w:val="right"/>
            </w:pPr>
            <w:r>
              <w:rPr>
                <w:rFonts w:hint="eastAsia"/>
              </w:rPr>
              <w:t>-</w:t>
            </w:r>
          </w:p>
        </w:tc>
      </w:tr>
      <w:tr w14:paraId="6F64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46ED1">
            <w:r>
              <w:rPr>
                <w:rFonts w:hint="eastAsia"/>
              </w:rPr>
              <w:t>其他负债</w:t>
            </w:r>
          </w:p>
        </w:tc>
        <w:tc>
          <w:tcPr>
            <w:tcW w:w="1384" w:type="dxa"/>
            <w:vAlign w:val="center"/>
          </w:tcPr>
          <w:p w14:paraId="2B4C0830">
            <w:pPr>
              <w:jc w:val="right"/>
            </w:pPr>
            <w:r>
              <w:rPr>
                <w:rFonts w:hint="eastAsia"/>
              </w:rPr>
              <w:t>-</w:t>
            </w:r>
          </w:p>
        </w:tc>
        <w:tc>
          <w:tcPr>
            <w:tcW w:w="1384" w:type="dxa"/>
            <w:vAlign w:val="center"/>
          </w:tcPr>
          <w:p w14:paraId="0B17D59A">
            <w:pPr>
              <w:jc w:val="right"/>
            </w:pPr>
            <w:r>
              <w:rPr>
                <w:rFonts w:hint="eastAsia"/>
              </w:rPr>
              <w:t>-</w:t>
            </w:r>
          </w:p>
        </w:tc>
        <w:tc>
          <w:tcPr>
            <w:tcW w:w="1384" w:type="dxa"/>
            <w:vAlign w:val="center"/>
          </w:tcPr>
          <w:p w14:paraId="7236EBEB">
            <w:pPr>
              <w:jc w:val="right"/>
            </w:pPr>
            <w:r>
              <w:rPr>
                <w:rFonts w:hint="eastAsia"/>
              </w:rPr>
              <w:t>-</w:t>
            </w:r>
          </w:p>
        </w:tc>
        <w:tc>
          <w:tcPr>
            <w:tcW w:w="1384" w:type="dxa"/>
            <w:vAlign w:val="center"/>
          </w:tcPr>
          <w:p w14:paraId="72D2C428">
            <w:pPr>
              <w:jc w:val="right"/>
            </w:pPr>
            <w:r>
              <w:rPr>
                <w:rFonts w:hint="eastAsia"/>
              </w:rPr>
              <w:t>251,541.00</w:t>
            </w:r>
          </w:p>
        </w:tc>
        <w:tc>
          <w:tcPr>
            <w:tcW w:w="1384" w:type="dxa"/>
            <w:vAlign w:val="center"/>
          </w:tcPr>
          <w:p w14:paraId="434AFB49">
            <w:pPr>
              <w:jc w:val="right"/>
            </w:pPr>
            <w:r>
              <w:rPr>
                <w:rFonts w:hint="eastAsia"/>
              </w:rPr>
              <w:t>251,541.00</w:t>
            </w:r>
          </w:p>
        </w:tc>
      </w:tr>
      <w:tr w14:paraId="69EE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C4C8D">
            <w:r>
              <w:rPr>
                <w:rFonts w:hint="eastAsia"/>
              </w:rPr>
              <w:t>负债总计</w:t>
            </w:r>
          </w:p>
        </w:tc>
        <w:tc>
          <w:tcPr>
            <w:tcW w:w="1384" w:type="dxa"/>
            <w:vAlign w:val="center"/>
          </w:tcPr>
          <w:p w14:paraId="32F647E8">
            <w:pPr>
              <w:jc w:val="right"/>
            </w:pPr>
            <w:r>
              <w:rPr>
                <w:rFonts w:hint="eastAsia"/>
              </w:rPr>
              <w:t>619,075,129.36</w:t>
            </w:r>
          </w:p>
        </w:tc>
        <w:tc>
          <w:tcPr>
            <w:tcW w:w="1384" w:type="dxa"/>
            <w:vAlign w:val="center"/>
          </w:tcPr>
          <w:p w14:paraId="74A4641A">
            <w:pPr>
              <w:jc w:val="right"/>
            </w:pPr>
            <w:r>
              <w:rPr>
                <w:rFonts w:hint="eastAsia"/>
              </w:rPr>
              <w:t>-</w:t>
            </w:r>
          </w:p>
        </w:tc>
        <w:tc>
          <w:tcPr>
            <w:tcW w:w="1384" w:type="dxa"/>
            <w:vAlign w:val="center"/>
          </w:tcPr>
          <w:p w14:paraId="4C007CF9">
            <w:pPr>
              <w:jc w:val="right"/>
            </w:pPr>
            <w:r>
              <w:rPr>
                <w:rFonts w:hint="eastAsia"/>
              </w:rPr>
              <w:t>-</w:t>
            </w:r>
          </w:p>
        </w:tc>
        <w:tc>
          <w:tcPr>
            <w:tcW w:w="1384" w:type="dxa"/>
            <w:vAlign w:val="center"/>
          </w:tcPr>
          <w:p w14:paraId="7B92D27E">
            <w:pPr>
              <w:jc w:val="right"/>
            </w:pPr>
            <w:r>
              <w:rPr>
                <w:rFonts w:hint="eastAsia"/>
              </w:rPr>
              <w:t>1,345,761.20</w:t>
            </w:r>
          </w:p>
        </w:tc>
        <w:tc>
          <w:tcPr>
            <w:tcW w:w="1384" w:type="dxa"/>
            <w:vAlign w:val="center"/>
          </w:tcPr>
          <w:p w14:paraId="7A082223">
            <w:pPr>
              <w:jc w:val="right"/>
            </w:pPr>
            <w:r>
              <w:rPr>
                <w:rFonts w:hint="eastAsia"/>
              </w:rPr>
              <w:t>620,420,890.56</w:t>
            </w:r>
          </w:p>
        </w:tc>
      </w:tr>
      <w:tr w14:paraId="12FC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57B4B">
            <w:r>
              <w:rPr>
                <w:rFonts w:hint="eastAsia"/>
              </w:rPr>
              <w:t>利率敏感度缺口</w:t>
            </w:r>
          </w:p>
        </w:tc>
        <w:tc>
          <w:tcPr>
            <w:tcW w:w="1384" w:type="dxa"/>
            <w:vAlign w:val="center"/>
          </w:tcPr>
          <w:p w14:paraId="2844B0AA">
            <w:pPr>
              <w:jc w:val="right"/>
            </w:pPr>
            <w:r>
              <w:rPr>
                <w:rFonts w:hint="eastAsia"/>
              </w:rPr>
              <w:t>1,486,402,821.01</w:t>
            </w:r>
          </w:p>
        </w:tc>
        <w:tc>
          <w:tcPr>
            <w:tcW w:w="1384" w:type="dxa"/>
            <w:vAlign w:val="center"/>
          </w:tcPr>
          <w:p w14:paraId="33F53481">
            <w:pPr>
              <w:jc w:val="right"/>
            </w:pPr>
            <w:r>
              <w:rPr>
                <w:rFonts w:hint="eastAsia"/>
              </w:rPr>
              <w:t>903,703,520.23</w:t>
            </w:r>
          </w:p>
        </w:tc>
        <w:tc>
          <w:tcPr>
            <w:tcW w:w="1384" w:type="dxa"/>
            <w:vAlign w:val="center"/>
          </w:tcPr>
          <w:p w14:paraId="72AAA3A3">
            <w:pPr>
              <w:jc w:val="right"/>
            </w:pPr>
            <w:r>
              <w:rPr>
                <w:rFonts w:hint="eastAsia"/>
              </w:rPr>
              <w:t>856,224,763.89</w:t>
            </w:r>
          </w:p>
        </w:tc>
        <w:tc>
          <w:tcPr>
            <w:tcW w:w="1384" w:type="dxa"/>
            <w:vAlign w:val="center"/>
          </w:tcPr>
          <w:p w14:paraId="52F7C55F">
            <w:pPr>
              <w:jc w:val="right"/>
            </w:pPr>
            <w:r>
              <w:rPr>
                <w:rFonts w:hint="eastAsia"/>
              </w:rPr>
              <w:t>-1,345,761.20</w:t>
            </w:r>
          </w:p>
        </w:tc>
        <w:tc>
          <w:tcPr>
            <w:tcW w:w="1384" w:type="dxa"/>
            <w:vAlign w:val="center"/>
          </w:tcPr>
          <w:p w14:paraId="0C9EB20E">
            <w:pPr>
              <w:jc w:val="right"/>
            </w:pPr>
            <w:r>
              <w:rPr>
                <w:rFonts w:hint="eastAsia"/>
              </w:rPr>
              <w:t>3,244,985,343.93</w:t>
            </w:r>
          </w:p>
        </w:tc>
      </w:tr>
    </w:tbl>
    <w:p w14:paraId="21837188">
      <w:pPr>
        <w:pStyle w:val="47"/>
        <w:rPr>
          <w:rFonts w:hint="eastAsia"/>
        </w:rPr>
      </w:pPr>
      <w:r>
        <w:rPr>
          <w:rFonts w:hint="eastAsia"/>
        </w:rPr>
        <w:t>注：表中所示为本基金资产及负债的账面价值，并按照合约规定的利率重新定价日或到期日孰早者予以分类。</w:t>
      </w:r>
    </w:p>
    <w:p w14:paraId="2C8EB8B1">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8C3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5153990">
            <w:r>
              <w:rPr>
                <w:rFonts w:hint="eastAsia"/>
              </w:rPr>
              <w:t>假设</w:t>
            </w:r>
          </w:p>
        </w:tc>
        <w:tc>
          <w:tcPr>
            <w:tcW w:w="3267" w:type="dxa"/>
            <w:gridSpan w:val="3"/>
            <w:vAlign w:val="center"/>
          </w:tcPr>
          <w:p w14:paraId="6FE9478D">
            <w:r>
              <w:rPr>
                <w:rFonts w:hint="eastAsia"/>
              </w:rPr>
              <w:t>除市场利率以外的其他市场变量保持不变</w:t>
            </w:r>
          </w:p>
        </w:tc>
      </w:tr>
      <w:tr w14:paraId="7B9E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A3C3837">
            <w:r>
              <w:rPr>
                <w:rFonts w:hint="eastAsia"/>
              </w:rPr>
              <w:t>分析</w:t>
            </w:r>
          </w:p>
        </w:tc>
        <w:tc>
          <w:tcPr>
            <w:tcW w:w="3267" w:type="dxa"/>
            <w:vMerge w:val="restart"/>
            <w:vAlign w:val="center"/>
          </w:tcPr>
          <w:p w14:paraId="26EA1656">
            <w:r>
              <w:rPr>
                <w:rFonts w:hint="eastAsia"/>
              </w:rPr>
              <w:t>相关风险变量的变动</w:t>
            </w:r>
          </w:p>
        </w:tc>
        <w:tc>
          <w:tcPr>
            <w:tcW w:w="2159" w:type="dxa"/>
            <w:gridSpan w:val="2"/>
            <w:vAlign w:val="center"/>
          </w:tcPr>
          <w:p w14:paraId="639635C2">
            <w:r>
              <w:rPr>
                <w:rFonts w:hint="eastAsia"/>
              </w:rPr>
              <w:t>对资产负债表日基金资产净值的影响金额（单位：人民币元）</w:t>
            </w:r>
          </w:p>
        </w:tc>
      </w:tr>
      <w:tr w14:paraId="0920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C7B24B1"/>
        </w:tc>
        <w:tc>
          <w:tcPr>
            <w:tcW w:w="3267" w:type="dxa"/>
            <w:vMerge w:val="continue"/>
            <w:vAlign w:val="center"/>
          </w:tcPr>
          <w:p w14:paraId="00DE321C"/>
        </w:tc>
        <w:tc>
          <w:tcPr>
            <w:tcW w:w="2159" w:type="dxa"/>
            <w:vAlign w:val="center"/>
          </w:tcPr>
          <w:p w14:paraId="68161BC9">
            <w:r>
              <w:rPr>
                <w:rFonts w:hint="eastAsia"/>
              </w:rPr>
              <w:t>本期末（ 2025年12月31日 ）</w:t>
            </w:r>
          </w:p>
        </w:tc>
        <w:tc>
          <w:tcPr>
            <w:tcW w:w="2159" w:type="dxa"/>
            <w:vAlign w:val="center"/>
          </w:tcPr>
          <w:p w14:paraId="620A324D">
            <w:r>
              <w:rPr>
                <w:rFonts w:hint="eastAsia"/>
              </w:rPr>
              <w:t>上年度末（ 2024年12月31日 ）</w:t>
            </w:r>
          </w:p>
        </w:tc>
      </w:tr>
      <w:tr w14:paraId="174B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15C369"/>
        </w:tc>
        <w:tc>
          <w:tcPr>
            <w:tcW w:w="3267" w:type="dxa"/>
            <w:vAlign w:val="center"/>
          </w:tcPr>
          <w:p w14:paraId="2A87B94F">
            <w:r>
              <w:rPr>
                <w:rFonts w:hint="eastAsia"/>
              </w:rPr>
              <w:t>1.市场利率平行上升25个基点</w:t>
            </w:r>
          </w:p>
        </w:tc>
        <w:tc>
          <w:tcPr>
            <w:tcW w:w="2159" w:type="dxa"/>
            <w:vAlign w:val="center"/>
          </w:tcPr>
          <w:p w14:paraId="336D6FBD">
            <w:pPr>
              <w:jc w:val="right"/>
            </w:pPr>
            <w:r>
              <w:rPr>
                <w:rFonts w:hint="eastAsia"/>
              </w:rPr>
              <w:t>-547,580.29</w:t>
            </w:r>
          </w:p>
        </w:tc>
        <w:tc>
          <w:tcPr>
            <w:tcW w:w="2159" w:type="dxa"/>
            <w:vAlign w:val="center"/>
          </w:tcPr>
          <w:p w14:paraId="4C44CFE7">
            <w:pPr>
              <w:jc w:val="right"/>
            </w:pPr>
            <w:r>
              <w:rPr>
                <w:rFonts w:hint="eastAsia"/>
              </w:rPr>
              <w:t>-25,069,340.96</w:t>
            </w:r>
          </w:p>
        </w:tc>
      </w:tr>
      <w:tr w14:paraId="3F84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AC29A5"/>
        </w:tc>
        <w:tc>
          <w:tcPr>
            <w:tcW w:w="3267" w:type="dxa"/>
            <w:vAlign w:val="center"/>
          </w:tcPr>
          <w:p w14:paraId="0DAFE557">
            <w:r>
              <w:rPr>
                <w:rFonts w:hint="eastAsia"/>
              </w:rPr>
              <w:t>2.市场利率平行下降25个基点</w:t>
            </w:r>
          </w:p>
        </w:tc>
        <w:tc>
          <w:tcPr>
            <w:tcW w:w="2159" w:type="dxa"/>
            <w:vAlign w:val="center"/>
          </w:tcPr>
          <w:p w14:paraId="325769FF">
            <w:pPr>
              <w:jc w:val="right"/>
            </w:pPr>
            <w:r>
              <w:rPr>
                <w:rFonts w:hint="eastAsia"/>
              </w:rPr>
              <w:t>557,531.63</w:t>
            </w:r>
          </w:p>
        </w:tc>
        <w:tc>
          <w:tcPr>
            <w:tcW w:w="2159" w:type="dxa"/>
            <w:vAlign w:val="center"/>
          </w:tcPr>
          <w:p w14:paraId="6022592F">
            <w:pPr>
              <w:jc w:val="right"/>
            </w:pPr>
            <w:r>
              <w:rPr>
                <w:rFonts w:hint="eastAsia"/>
              </w:rPr>
              <w:t>25,654,494.63</w:t>
            </w:r>
          </w:p>
        </w:tc>
      </w:tr>
    </w:tbl>
    <w:p w14:paraId="46E948C7">
      <w:pPr>
        <w:pStyle w:val="36"/>
      </w:pPr>
      <w:bookmarkStart w:id="142" w:name="_Toc142"/>
      <w:r>
        <w:t>外汇风险</w:t>
      </w:r>
      <w:bookmarkEnd w:id="142"/>
    </w:p>
    <w:p w14:paraId="3E42925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4CCE10E">
      <w:pPr>
        <w:pStyle w:val="36"/>
      </w:pPr>
      <w:bookmarkStart w:id="143" w:name="_Toc143"/>
      <w:r>
        <w:t>其他价格风险</w:t>
      </w:r>
      <w:bookmarkEnd w:id="143"/>
    </w:p>
    <w:p w14:paraId="2D6F69B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7DDCFBF">
      <w:pPr>
        <w:pStyle w:val="28"/>
      </w:pPr>
      <w:bookmarkStart w:id="144" w:name="_Toc144"/>
      <w:r>
        <w:t>公允价值</w:t>
      </w:r>
      <w:bookmarkEnd w:id="144"/>
    </w:p>
    <w:p w14:paraId="12D0CCF4">
      <w:pPr>
        <w:pStyle w:val="35"/>
      </w:pPr>
      <w:bookmarkStart w:id="145" w:name="_Toc145"/>
      <w:r>
        <w:t>金融工具公允价值计量的方法</w:t>
      </w:r>
      <w:bookmarkEnd w:id="145"/>
    </w:p>
    <w:p w14:paraId="384DABF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57E4678">
      <w:pPr>
        <w:pStyle w:val="35"/>
      </w:pPr>
      <w:bookmarkStart w:id="146" w:name="_Toc146"/>
      <w:r>
        <w:t>持续的以公允价值计量的金融工具</w:t>
      </w:r>
      <w:bookmarkEnd w:id="146"/>
    </w:p>
    <w:p w14:paraId="01CA3DA3">
      <w:pPr>
        <w:pStyle w:val="36"/>
      </w:pPr>
      <w:bookmarkStart w:id="147" w:name="_Toc147"/>
      <w:r>
        <w:t>各层次金融工具的公允价值</w:t>
      </w:r>
      <w:bookmarkEnd w:id="147"/>
    </w:p>
    <w:p w14:paraId="10A47C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0C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132497">
            <w:pPr>
              <w:jc w:val="center"/>
            </w:pPr>
            <w:r>
              <w:rPr>
                <w:rFonts w:hint="eastAsia"/>
                <w:b/>
              </w:rPr>
              <w:t>公允价值计量结果所属的层次</w:t>
            </w:r>
          </w:p>
        </w:tc>
        <w:tc>
          <w:tcPr>
            <w:tcW w:w="2768" w:type="dxa"/>
            <w:shd w:val="clear" w:color="auto" w:fill="BFBFBF"/>
            <w:vAlign w:val="center"/>
          </w:tcPr>
          <w:p w14:paraId="664419B9">
            <w:pPr>
              <w:jc w:val="center"/>
            </w:pPr>
            <w:r>
              <w:rPr>
                <w:rFonts w:hint="eastAsia"/>
                <w:b/>
              </w:rPr>
              <w:t>本期末2025年12月31日</w:t>
            </w:r>
          </w:p>
        </w:tc>
        <w:tc>
          <w:tcPr>
            <w:tcW w:w="2768" w:type="dxa"/>
            <w:shd w:val="clear" w:color="auto" w:fill="BFBFBF"/>
            <w:vAlign w:val="center"/>
          </w:tcPr>
          <w:p w14:paraId="260B4ECB">
            <w:pPr>
              <w:jc w:val="center"/>
            </w:pPr>
            <w:r>
              <w:rPr>
                <w:rFonts w:hint="eastAsia"/>
                <w:b/>
              </w:rPr>
              <w:t>上年度末2024年12月31日</w:t>
            </w:r>
          </w:p>
        </w:tc>
      </w:tr>
      <w:tr w14:paraId="6B49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5BA53C">
            <w:r>
              <w:rPr>
                <w:rFonts w:hint="eastAsia"/>
              </w:rPr>
              <w:t>第一层次</w:t>
            </w:r>
          </w:p>
        </w:tc>
        <w:tc>
          <w:tcPr>
            <w:tcW w:w="2768" w:type="dxa"/>
            <w:vAlign w:val="center"/>
          </w:tcPr>
          <w:p w14:paraId="1C221B17">
            <w:pPr>
              <w:jc w:val="right"/>
            </w:pPr>
            <w:r>
              <w:rPr>
                <w:rFonts w:hint="eastAsia"/>
              </w:rPr>
              <w:t>-</w:t>
            </w:r>
          </w:p>
        </w:tc>
        <w:tc>
          <w:tcPr>
            <w:tcW w:w="2768" w:type="dxa"/>
            <w:vAlign w:val="center"/>
          </w:tcPr>
          <w:p w14:paraId="16EE8DDE">
            <w:pPr>
              <w:jc w:val="right"/>
            </w:pPr>
            <w:r>
              <w:rPr>
                <w:rFonts w:hint="eastAsia"/>
              </w:rPr>
              <w:t>-</w:t>
            </w:r>
          </w:p>
        </w:tc>
      </w:tr>
      <w:tr w14:paraId="4B23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364A1">
            <w:r>
              <w:rPr>
                <w:rFonts w:hint="eastAsia"/>
              </w:rPr>
              <w:t>第二层次</w:t>
            </w:r>
          </w:p>
        </w:tc>
        <w:tc>
          <w:tcPr>
            <w:tcW w:w="2768" w:type="dxa"/>
            <w:vAlign w:val="center"/>
          </w:tcPr>
          <w:p w14:paraId="43855D77">
            <w:pPr>
              <w:jc w:val="right"/>
            </w:pPr>
            <w:r>
              <w:rPr>
                <w:rFonts w:hint="eastAsia"/>
              </w:rPr>
              <w:t>67,041,816.43</w:t>
            </w:r>
          </w:p>
        </w:tc>
        <w:tc>
          <w:tcPr>
            <w:tcW w:w="2768" w:type="dxa"/>
            <w:vAlign w:val="center"/>
          </w:tcPr>
          <w:p w14:paraId="2AB1370C">
            <w:pPr>
              <w:jc w:val="right"/>
            </w:pPr>
            <w:r>
              <w:rPr>
                <w:rFonts w:hint="eastAsia"/>
              </w:rPr>
              <w:t>3,864,818,458.53</w:t>
            </w:r>
          </w:p>
        </w:tc>
      </w:tr>
      <w:tr w14:paraId="7B4E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47418">
            <w:r>
              <w:rPr>
                <w:rFonts w:hint="eastAsia"/>
              </w:rPr>
              <w:t>第三层次</w:t>
            </w:r>
          </w:p>
        </w:tc>
        <w:tc>
          <w:tcPr>
            <w:tcW w:w="2768" w:type="dxa"/>
            <w:vAlign w:val="center"/>
          </w:tcPr>
          <w:p w14:paraId="73030BEE">
            <w:pPr>
              <w:jc w:val="right"/>
            </w:pPr>
            <w:r>
              <w:rPr>
                <w:rFonts w:hint="eastAsia"/>
              </w:rPr>
              <w:t>-</w:t>
            </w:r>
          </w:p>
        </w:tc>
        <w:tc>
          <w:tcPr>
            <w:tcW w:w="2768" w:type="dxa"/>
            <w:vAlign w:val="center"/>
          </w:tcPr>
          <w:p w14:paraId="48880FDF">
            <w:pPr>
              <w:jc w:val="right"/>
            </w:pPr>
            <w:r>
              <w:rPr>
                <w:rFonts w:hint="eastAsia"/>
              </w:rPr>
              <w:t>-</w:t>
            </w:r>
          </w:p>
        </w:tc>
      </w:tr>
      <w:tr w14:paraId="556C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D397A">
            <w:r>
              <w:rPr>
                <w:rFonts w:hint="eastAsia"/>
              </w:rPr>
              <w:t>合计</w:t>
            </w:r>
          </w:p>
        </w:tc>
        <w:tc>
          <w:tcPr>
            <w:tcW w:w="2768" w:type="dxa"/>
            <w:vAlign w:val="center"/>
          </w:tcPr>
          <w:p w14:paraId="36543E9A">
            <w:pPr>
              <w:jc w:val="right"/>
            </w:pPr>
            <w:r>
              <w:rPr>
                <w:rFonts w:hint="eastAsia"/>
              </w:rPr>
              <w:t>67,041,816.43</w:t>
            </w:r>
          </w:p>
        </w:tc>
        <w:tc>
          <w:tcPr>
            <w:tcW w:w="2768" w:type="dxa"/>
            <w:vAlign w:val="center"/>
          </w:tcPr>
          <w:p w14:paraId="5964E6BB">
            <w:pPr>
              <w:jc w:val="right"/>
            </w:pPr>
            <w:r>
              <w:rPr>
                <w:rFonts w:hint="eastAsia"/>
              </w:rPr>
              <w:t>3,864,818,458.53</w:t>
            </w:r>
          </w:p>
        </w:tc>
      </w:tr>
    </w:tbl>
    <w:p w14:paraId="77A9EEB7">
      <w:pPr>
        <w:pStyle w:val="36"/>
      </w:pPr>
      <w:bookmarkStart w:id="148" w:name="_Toc148"/>
      <w:r>
        <w:t>公允价值所属层次间的重大变动</w:t>
      </w:r>
      <w:bookmarkEnd w:id="148"/>
    </w:p>
    <w:p w14:paraId="2545335C">
      <w:pPr>
        <w:pStyle w:val="18"/>
        <w:rPr>
          <w:rFonts w:hint="eastAsia"/>
        </w:rPr>
      </w:pPr>
      <w:r>
        <w:rPr>
          <w:rFonts w:hint="eastAsia"/>
        </w:rPr>
        <w:t>本基金以导致各层次之间转换的事项发生日为确认各层次之间转换的时点。</w:t>
      </w:r>
    </w:p>
    <w:p w14:paraId="117C7EB2">
      <w:pPr>
        <w:pStyle w:val="18"/>
        <w:rPr>
          <w:rFonts w:hint="eastAsia"/>
        </w:rPr>
      </w:pPr>
      <w:r>
        <w:rPr>
          <w:rFonts w:hint="eastAsia"/>
        </w:rPr>
        <w:t>本基金本期及上年度可比期间持有的以公允价值计量的金融工具的公允价值所属层次未发生重大变动。</w:t>
      </w:r>
    </w:p>
    <w:p w14:paraId="25972885">
      <w:pPr>
        <w:pStyle w:val="35"/>
      </w:pPr>
      <w:bookmarkStart w:id="149" w:name="_Toc149"/>
      <w:r>
        <w:t>非持续的以公允价值计量的金融工具的说明</w:t>
      </w:r>
      <w:bookmarkEnd w:id="149"/>
    </w:p>
    <w:p w14:paraId="3CF37835">
      <w:pPr>
        <w:pStyle w:val="18"/>
        <w:rPr>
          <w:rFonts w:hint="eastAsia"/>
        </w:rPr>
      </w:pPr>
      <w:r>
        <w:rPr>
          <w:rFonts w:hint="eastAsia"/>
        </w:rPr>
        <w:t>于本报告期末，本基金未持有非持续的以公允价值计量的金融资产（上年度末：同）。</w:t>
      </w:r>
    </w:p>
    <w:p w14:paraId="4D7DCA3E">
      <w:pPr>
        <w:pStyle w:val="35"/>
      </w:pPr>
      <w:bookmarkStart w:id="150" w:name="_Toc150"/>
      <w:r>
        <w:t>不以公允价值计量的金融工具的相关说明</w:t>
      </w:r>
      <w:bookmarkEnd w:id="150"/>
    </w:p>
    <w:p w14:paraId="6A26653F">
      <w:pPr>
        <w:pStyle w:val="18"/>
        <w:rPr>
          <w:rFonts w:hint="eastAsia"/>
        </w:rPr>
      </w:pPr>
      <w:r>
        <w:rPr>
          <w:rFonts w:hint="eastAsia"/>
        </w:rPr>
        <w:t>不以公允价值计量的金融资产和负债主要包括应收款项和其他金融负债，其账面价值与公允价值相差很小。</w:t>
      </w:r>
    </w:p>
    <w:p w14:paraId="641CE3E0">
      <w:pPr>
        <w:pStyle w:val="28"/>
      </w:pPr>
      <w:bookmarkStart w:id="151" w:name="_Toc151"/>
      <w:r>
        <w:t>有助于理解和分析会计报表需要说明的其他事项</w:t>
      </w:r>
      <w:bookmarkEnd w:id="151"/>
    </w:p>
    <w:p w14:paraId="56482AC5">
      <w:pPr>
        <w:pStyle w:val="18"/>
        <w:rPr>
          <w:rFonts w:hint="eastAsia"/>
        </w:rPr>
      </w:pPr>
      <w:r>
        <w:rPr>
          <w:rFonts w:hint="eastAsia"/>
        </w:rPr>
        <w:t>截至资产负债表日本基金无需要说明的其他重要事项。</w:t>
      </w:r>
    </w:p>
    <w:p w14:paraId="0654C532">
      <w:pPr>
        <w:pStyle w:val="26"/>
      </w:pPr>
      <w:bookmarkStart w:id="152" w:name="_Toc5817"/>
      <w:r>
        <w:t>投资组合报告</w:t>
      </w:r>
      <w:bookmarkEnd w:id="152"/>
    </w:p>
    <w:p w14:paraId="4D0F6125">
      <w:pPr>
        <w:pStyle w:val="23"/>
      </w:pPr>
      <w:bookmarkStart w:id="153" w:name="_Toc1658"/>
      <w:r>
        <w:t>期末基金资产组合情况</w:t>
      </w:r>
      <w:bookmarkEnd w:id="153"/>
    </w:p>
    <w:p w14:paraId="692D85E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181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5A178D7">
            <w:pPr>
              <w:jc w:val="center"/>
            </w:pPr>
            <w:r>
              <w:rPr>
                <w:rFonts w:hint="eastAsia"/>
                <w:b/>
              </w:rPr>
              <w:t>序号</w:t>
            </w:r>
          </w:p>
        </w:tc>
        <w:tc>
          <w:tcPr>
            <w:tcW w:w="3211" w:type="dxa"/>
            <w:shd w:val="clear" w:color="auto" w:fill="BFBFBF"/>
            <w:vAlign w:val="center"/>
          </w:tcPr>
          <w:p w14:paraId="2DE00B1E">
            <w:pPr>
              <w:jc w:val="center"/>
            </w:pPr>
            <w:r>
              <w:rPr>
                <w:rFonts w:hint="eastAsia"/>
                <w:b/>
              </w:rPr>
              <w:t>项目</w:t>
            </w:r>
          </w:p>
        </w:tc>
        <w:tc>
          <w:tcPr>
            <w:tcW w:w="2214" w:type="dxa"/>
            <w:shd w:val="clear" w:color="auto" w:fill="BFBFBF"/>
            <w:vAlign w:val="center"/>
          </w:tcPr>
          <w:p w14:paraId="43C11B8B">
            <w:pPr>
              <w:jc w:val="center"/>
            </w:pPr>
            <w:r>
              <w:rPr>
                <w:rFonts w:hint="eastAsia"/>
                <w:b/>
              </w:rPr>
              <w:t>金额</w:t>
            </w:r>
          </w:p>
        </w:tc>
        <w:tc>
          <w:tcPr>
            <w:tcW w:w="2214" w:type="dxa"/>
            <w:shd w:val="clear" w:color="auto" w:fill="BFBFBF"/>
            <w:vAlign w:val="center"/>
          </w:tcPr>
          <w:p w14:paraId="4A57D065">
            <w:pPr>
              <w:jc w:val="center"/>
            </w:pPr>
            <w:r>
              <w:rPr>
                <w:rFonts w:hint="eastAsia"/>
                <w:b/>
              </w:rPr>
              <w:t>占基金总资产的比例（%）</w:t>
            </w:r>
          </w:p>
        </w:tc>
      </w:tr>
      <w:tr w14:paraId="686C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7DD89F">
            <w:pPr>
              <w:jc w:val="center"/>
            </w:pPr>
            <w:r>
              <w:rPr>
                <w:rFonts w:hint="eastAsia"/>
              </w:rPr>
              <w:t>1</w:t>
            </w:r>
          </w:p>
        </w:tc>
        <w:tc>
          <w:tcPr>
            <w:tcW w:w="3211" w:type="dxa"/>
            <w:vAlign w:val="center"/>
          </w:tcPr>
          <w:p w14:paraId="3FD9B8F3">
            <w:r>
              <w:rPr>
                <w:rFonts w:hint="eastAsia"/>
              </w:rPr>
              <w:t>权益投资</w:t>
            </w:r>
          </w:p>
        </w:tc>
        <w:tc>
          <w:tcPr>
            <w:tcW w:w="2214" w:type="dxa"/>
            <w:vAlign w:val="center"/>
          </w:tcPr>
          <w:p w14:paraId="2C01E7F7">
            <w:pPr>
              <w:jc w:val="right"/>
            </w:pPr>
            <w:r>
              <w:rPr>
                <w:rFonts w:hint="eastAsia"/>
              </w:rPr>
              <w:t>-</w:t>
            </w:r>
          </w:p>
        </w:tc>
        <w:tc>
          <w:tcPr>
            <w:tcW w:w="2214" w:type="dxa"/>
            <w:vAlign w:val="center"/>
          </w:tcPr>
          <w:p w14:paraId="00084675">
            <w:pPr>
              <w:jc w:val="right"/>
            </w:pPr>
            <w:r>
              <w:rPr>
                <w:rFonts w:hint="eastAsia"/>
              </w:rPr>
              <w:t>-</w:t>
            </w:r>
          </w:p>
        </w:tc>
      </w:tr>
      <w:tr w14:paraId="7BE2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BDD6B3">
            <w:pPr>
              <w:jc w:val="center"/>
            </w:pPr>
          </w:p>
        </w:tc>
        <w:tc>
          <w:tcPr>
            <w:tcW w:w="3211" w:type="dxa"/>
            <w:vAlign w:val="center"/>
          </w:tcPr>
          <w:p w14:paraId="5016322B">
            <w:r>
              <w:rPr>
                <w:rFonts w:hint="eastAsia"/>
              </w:rPr>
              <w:t>其中：股票</w:t>
            </w:r>
          </w:p>
        </w:tc>
        <w:tc>
          <w:tcPr>
            <w:tcW w:w="2214" w:type="dxa"/>
            <w:vAlign w:val="center"/>
          </w:tcPr>
          <w:p w14:paraId="060FE314">
            <w:pPr>
              <w:jc w:val="right"/>
            </w:pPr>
            <w:r>
              <w:rPr>
                <w:rFonts w:hint="eastAsia"/>
              </w:rPr>
              <w:t>-</w:t>
            </w:r>
          </w:p>
        </w:tc>
        <w:tc>
          <w:tcPr>
            <w:tcW w:w="2214" w:type="dxa"/>
            <w:vAlign w:val="center"/>
          </w:tcPr>
          <w:p w14:paraId="76CD2FA4">
            <w:pPr>
              <w:jc w:val="right"/>
            </w:pPr>
            <w:r>
              <w:rPr>
                <w:rFonts w:hint="eastAsia"/>
              </w:rPr>
              <w:t>-</w:t>
            </w:r>
          </w:p>
        </w:tc>
      </w:tr>
      <w:tr w14:paraId="6A04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154ECC">
            <w:pPr>
              <w:jc w:val="center"/>
            </w:pPr>
            <w:r>
              <w:rPr>
                <w:rFonts w:hint="eastAsia"/>
              </w:rPr>
              <w:t>2</w:t>
            </w:r>
          </w:p>
        </w:tc>
        <w:tc>
          <w:tcPr>
            <w:tcW w:w="3211" w:type="dxa"/>
            <w:vAlign w:val="center"/>
          </w:tcPr>
          <w:p w14:paraId="01BB6976">
            <w:r>
              <w:rPr>
                <w:rFonts w:hint="eastAsia"/>
              </w:rPr>
              <w:t>基金投资</w:t>
            </w:r>
          </w:p>
        </w:tc>
        <w:tc>
          <w:tcPr>
            <w:tcW w:w="2214" w:type="dxa"/>
            <w:vAlign w:val="center"/>
          </w:tcPr>
          <w:p w14:paraId="60A5EF82">
            <w:pPr>
              <w:jc w:val="right"/>
            </w:pPr>
            <w:r>
              <w:rPr>
                <w:rFonts w:hint="eastAsia"/>
              </w:rPr>
              <w:t>-</w:t>
            </w:r>
          </w:p>
        </w:tc>
        <w:tc>
          <w:tcPr>
            <w:tcW w:w="2214" w:type="dxa"/>
            <w:vAlign w:val="center"/>
          </w:tcPr>
          <w:p w14:paraId="33802AFD">
            <w:pPr>
              <w:jc w:val="right"/>
            </w:pPr>
            <w:r>
              <w:rPr>
                <w:rFonts w:hint="eastAsia"/>
              </w:rPr>
              <w:t>-</w:t>
            </w:r>
          </w:p>
        </w:tc>
      </w:tr>
      <w:tr w14:paraId="1295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7B8C6F">
            <w:pPr>
              <w:jc w:val="center"/>
            </w:pPr>
            <w:r>
              <w:rPr>
                <w:rFonts w:hint="eastAsia"/>
              </w:rPr>
              <w:t>3</w:t>
            </w:r>
          </w:p>
        </w:tc>
        <w:tc>
          <w:tcPr>
            <w:tcW w:w="3211" w:type="dxa"/>
            <w:vAlign w:val="center"/>
          </w:tcPr>
          <w:p w14:paraId="36A7C067">
            <w:r>
              <w:rPr>
                <w:rFonts w:hint="eastAsia"/>
              </w:rPr>
              <w:t>固定收益投资</w:t>
            </w:r>
          </w:p>
        </w:tc>
        <w:tc>
          <w:tcPr>
            <w:tcW w:w="2214" w:type="dxa"/>
            <w:vAlign w:val="center"/>
          </w:tcPr>
          <w:p w14:paraId="596A4970">
            <w:pPr>
              <w:jc w:val="right"/>
            </w:pPr>
            <w:r>
              <w:rPr>
                <w:rFonts w:hint="eastAsia"/>
              </w:rPr>
              <w:t>67,041,816.43</w:t>
            </w:r>
          </w:p>
        </w:tc>
        <w:tc>
          <w:tcPr>
            <w:tcW w:w="2214" w:type="dxa"/>
            <w:vAlign w:val="center"/>
          </w:tcPr>
          <w:p w14:paraId="16D84FEC">
            <w:pPr>
              <w:jc w:val="right"/>
            </w:pPr>
            <w:r>
              <w:rPr>
                <w:rFonts w:hint="eastAsia"/>
              </w:rPr>
              <w:t>99.49</w:t>
            </w:r>
          </w:p>
        </w:tc>
      </w:tr>
      <w:tr w14:paraId="2980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C1F198">
            <w:pPr>
              <w:jc w:val="center"/>
            </w:pPr>
          </w:p>
        </w:tc>
        <w:tc>
          <w:tcPr>
            <w:tcW w:w="3211" w:type="dxa"/>
            <w:vAlign w:val="center"/>
          </w:tcPr>
          <w:p w14:paraId="5491A68F">
            <w:r>
              <w:rPr>
                <w:rFonts w:hint="eastAsia"/>
              </w:rPr>
              <w:t>其中：债券</w:t>
            </w:r>
          </w:p>
        </w:tc>
        <w:tc>
          <w:tcPr>
            <w:tcW w:w="2214" w:type="dxa"/>
            <w:vAlign w:val="center"/>
          </w:tcPr>
          <w:p w14:paraId="1F05D62A">
            <w:pPr>
              <w:jc w:val="right"/>
            </w:pPr>
            <w:r>
              <w:rPr>
                <w:rFonts w:hint="eastAsia"/>
              </w:rPr>
              <w:t>67,041,816.43</w:t>
            </w:r>
          </w:p>
        </w:tc>
        <w:tc>
          <w:tcPr>
            <w:tcW w:w="2214" w:type="dxa"/>
            <w:vAlign w:val="center"/>
          </w:tcPr>
          <w:p w14:paraId="216592F7">
            <w:pPr>
              <w:jc w:val="right"/>
            </w:pPr>
            <w:r>
              <w:rPr>
                <w:rFonts w:hint="eastAsia"/>
              </w:rPr>
              <w:t>99.49</w:t>
            </w:r>
          </w:p>
        </w:tc>
      </w:tr>
      <w:tr w14:paraId="4A73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C8BE5C">
            <w:pPr>
              <w:jc w:val="center"/>
            </w:pPr>
          </w:p>
        </w:tc>
        <w:tc>
          <w:tcPr>
            <w:tcW w:w="3211" w:type="dxa"/>
            <w:vAlign w:val="center"/>
          </w:tcPr>
          <w:p w14:paraId="3295FB25">
            <w:r>
              <w:rPr>
                <w:rFonts w:hint="eastAsia"/>
              </w:rPr>
              <w:t xml:space="preserve">      资产支持证券</w:t>
            </w:r>
          </w:p>
        </w:tc>
        <w:tc>
          <w:tcPr>
            <w:tcW w:w="2214" w:type="dxa"/>
            <w:vAlign w:val="center"/>
          </w:tcPr>
          <w:p w14:paraId="08CC4610">
            <w:pPr>
              <w:jc w:val="right"/>
            </w:pPr>
            <w:r>
              <w:rPr>
                <w:rFonts w:hint="eastAsia"/>
              </w:rPr>
              <w:t>-</w:t>
            </w:r>
          </w:p>
        </w:tc>
        <w:tc>
          <w:tcPr>
            <w:tcW w:w="2214" w:type="dxa"/>
            <w:vAlign w:val="center"/>
          </w:tcPr>
          <w:p w14:paraId="10C6EE91">
            <w:pPr>
              <w:jc w:val="right"/>
            </w:pPr>
            <w:r>
              <w:rPr>
                <w:rFonts w:hint="eastAsia"/>
              </w:rPr>
              <w:t>-</w:t>
            </w:r>
          </w:p>
        </w:tc>
      </w:tr>
      <w:tr w14:paraId="470A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B95BA9">
            <w:pPr>
              <w:jc w:val="center"/>
            </w:pPr>
            <w:r>
              <w:rPr>
                <w:rFonts w:hint="eastAsia"/>
              </w:rPr>
              <w:t>4</w:t>
            </w:r>
          </w:p>
        </w:tc>
        <w:tc>
          <w:tcPr>
            <w:tcW w:w="3211" w:type="dxa"/>
            <w:vAlign w:val="center"/>
          </w:tcPr>
          <w:p w14:paraId="00498FFD">
            <w:r>
              <w:rPr>
                <w:rFonts w:hint="eastAsia"/>
              </w:rPr>
              <w:t>贵金属投资</w:t>
            </w:r>
          </w:p>
        </w:tc>
        <w:tc>
          <w:tcPr>
            <w:tcW w:w="2214" w:type="dxa"/>
            <w:vAlign w:val="center"/>
          </w:tcPr>
          <w:p w14:paraId="0E8D9FB1">
            <w:pPr>
              <w:jc w:val="right"/>
            </w:pPr>
            <w:r>
              <w:rPr>
                <w:rFonts w:hint="eastAsia"/>
              </w:rPr>
              <w:t>-</w:t>
            </w:r>
          </w:p>
        </w:tc>
        <w:tc>
          <w:tcPr>
            <w:tcW w:w="2214" w:type="dxa"/>
            <w:vAlign w:val="center"/>
          </w:tcPr>
          <w:p w14:paraId="2F3401DE">
            <w:pPr>
              <w:jc w:val="right"/>
            </w:pPr>
            <w:r>
              <w:rPr>
                <w:rFonts w:hint="eastAsia"/>
              </w:rPr>
              <w:t>-</w:t>
            </w:r>
          </w:p>
        </w:tc>
      </w:tr>
      <w:tr w14:paraId="3839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D2D66F">
            <w:pPr>
              <w:jc w:val="center"/>
            </w:pPr>
            <w:r>
              <w:rPr>
                <w:rFonts w:hint="eastAsia"/>
              </w:rPr>
              <w:t>5</w:t>
            </w:r>
          </w:p>
        </w:tc>
        <w:tc>
          <w:tcPr>
            <w:tcW w:w="3211" w:type="dxa"/>
            <w:vAlign w:val="center"/>
          </w:tcPr>
          <w:p w14:paraId="460F2A08">
            <w:r>
              <w:rPr>
                <w:rFonts w:hint="eastAsia"/>
              </w:rPr>
              <w:t>金融衍生品投资</w:t>
            </w:r>
          </w:p>
        </w:tc>
        <w:tc>
          <w:tcPr>
            <w:tcW w:w="2214" w:type="dxa"/>
            <w:vAlign w:val="center"/>
          </w:tcPr>
          <w:p w14:paraId="266C139E">
            <w:pPr>
              <w:jc w:val="right"/>
            </w:pPr>
            <w:r>
              <w:rPr>
                <w:rFonts w:hint="eastAsia"/>
              </w:rPr>
              <w:t>-</w:t>
            </w:r>
          </w:p>
        </w:tc>
        <w:tc>
          <w:tcPr>
            <w:tcW w:w="2214" w:type="dxa"/>
            <w:vAlign w:val="center"/>
          </w:tcPr>
          <w:p w14:paraId="0F7BB3F0">
            <w:pPr>
              <w:jc w:val="right"/>
            </w:pPr>
            <w:r>
              <w:rPr>
                <w:rFonts w:hint="eastAsia"/>
              </w:rPr>
              <w:t>-</w:t>
            </w:r>
          </w:p>
        </w:tc>
      </w:tr>
      <w:tr w14:paraId="49A6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0BBAA6">
            <w:pPr>
              <w:jc w:val="center"/>
            </w:pPr>
            <w:r>
              <w:rPr>
                <w:rFonts w:hint="eastAsia"/>
              </w:rPr>
              <w:t>6</w:t>
            </w:r>
          </w:p>
        </w:tc>
        <w:tc>
          <w:tcPr>
            <w:tcW w:w="3211" w:type="dxa"/>
            <w:vAlign w:val="center"/>
          </w:tcPr>
          <w:p w14:paraId="536E4F33">
            <w:r>
              <w:rPr>
                <w:rFonts w:hint="eastAsia"/>
              </w:rPr>
              <w:t>买入返售金融资产</w:t>
            </w:r>
          </w:p>
        </w:tc>
        <w:tc>
          <w:tcPr>
            <w:tcW w:w="2214" w:type="dxa"/>
            <w:vAlign w:val="center"/>
          </w:tcPr>
          <w:p w14:paraId="1819E750">
            <w:pPr>
              <w:jc w:val="right"/>
            </w:pPr>
            <w:r>
              <w:rPr>
                <w:rFonts w:hint="eastAsia"/>
              </w:rPr>
              <w:t>-</w:t>
            </w:r>
          </w:p>
        </w:tc>
        <w:tc>
          <w:tcPr>
            <w:tcW w:w="2214" w:type="dxa"/>
            <w:vAlign w:val="center"/>
          </w:tcPr>
          <w:p w14:paraId="7DCBAA36">
            <w:pPr>
              <w:jc w:val="right"/>
            </w:pPr>
            <w:r>
              <w:rPr>
                <w:rFonts w:hint="eastAsia"/>
              </w:rPr>
              <w:t>-</w:t>
            </w:r>
          </w:p>
        </w:tc>
      </w:tr>
      <w:tr w14:paraId="4729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73F4EF">
            <w:pPr>
              <w:jc w:val="center"/>
            </w:pPr>
          </w:p>
        </w:tc>
        <w:tc>
          <w:tcPr>
            <w:tcW w:w="3211" w:type="dxa"/>
            <w:vAlign w:val="center"/>
          </w:tcPr>
          <w:p w14:paraId="7A5CACF2">
            <w:r>
              <w:rPr>
                <w:rFonts w:hint="eastAsia"/>
              </w:rPr>
              <w:t>其中：买断式回购的买入返售金融资产</w:t>
            </w:r>
          </w:p>
        </w:tc>
        <w:tc>
          <w:tcPr>
            <w:tcW w:w="2214" w:type="dxa"/>
            <w:vAlign w:val="center"/>
          </w:tcPr>
          <w:p w14:paraId="3FA7F265">
            <w:pPr>
              <w:jc w:val="right"/>
            </w:pPr>
            <w:r>
              <w:rPr>
                <w:rFonts w:hint="eastAsia"/>
              </w:rPr>
              <w:t>-</w:t>
            </w:r>
          </w:p>
        </w:tc>
        <w:tc>
          <w:tcPr>
            <w:tcW w:w="2214" w:type="dxa"/>
            <w:vAlign w:val="center"/>
          </w:tcPr>
          <w:p w14:paraId="60CEE4E4">
            <w:pPr>
              <w:jc w:val="right"/>
            </w:pPr>
            <w:r>
              <w:rPr>
                <w:rFonts w:hint="eastAsia"/>
              </w:rPr>
              <w:t>-</w:t>
            </w:r>
          </w:p>
        </w:tc>
      </w:tr>
      <w:tr w14:paraId="3773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7C51E1">
            <w:pPr>
              <w:jc w:val="center"/>
            </w:pPr>
            <w:r>
              <w:rPr>
                <w:rFonts w:hint="eastAsia"/>
              </w:rPr>
              <w:t>7</w:t>
            </w:r>
          </w:p>
        </w:tc>
        <w:tc>
          <w:tcPr>
            <w:tcW w:w="3211" w:type="dxa"/>
            <w:vAlign w:val="center"/>
          </w:tcPr>
          <w:p w14:paraId="3DF15913">
            <w:r>
              <w:rPr>
                <w:rFonts w:hint="eastAsia"/>
              </w:rPr>
              <w:t>银行存款和结算备付金合计</w:t>
            </w:r>
          </w:p>
        </w:tc>
        <w:tc>
          <w:tcPr>
            <w:tcW w:w="2214" w:type="dxa"/>
            <w:vAlign w:val="center"/>
          </w:tcPr>
          <w:p w14:paraId="2D2B1013">
            <w:pPr>
              <w:jc w:val="right"/>
            </w:pPr>
            <w:r>
              <w:rPr>
                <w:rFonts w:hint="eastAsia"/>
              </w:rPr>
              <w:t>325,694.11</w:t>
            </w:r>
          </w:p>
        </w:tc>
        <w:tc>
          <w:tcPr>
            <w:tcW w:w="2214" w:type="dxa"/>
            <w:vAlign w:val="center"/>
          </w:tcPr>
          <w:p w14:paraId="74729AA6">
            <w:pPr>
              <w:jc w:val="right"/>
            </w:pPr>
            <w:r>
              <w:rPr>
                <w:rFonts w:hint="eastAsia"/>
              </w:rPr>
              <w:t>0.48</w:t>
            </w:r>
          </w:p>
        </w:tc>
      </w:tr>
      <w:tr w14:paraId="6CF4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C72A51">
            <w:pPr>
              <w:jc w:val="center"/>
            </w:pPr>
            <w:r>
              <w:rPr>
                <w:rFonts w:hint="eastAsia"/>
              </w:rPr>
              <w:t>8</w:t>
            </w:r>
          </w:p>
        </w:tc>
        <w:tc>
          <w:tcPr>
            <w:tcW w:w="3211" w:type="dxa"/>
            <w:vAlign w:val="center"/>
          </w:tcPr>
          <w:p w14:paraId="4FDAEDCF">
            <w:r>
              <w:rPr>
                <w:rFonts w:hint="eastAsia"/>
              </w:rPr>
              <w:t>其他各项资产</w:t>
            </w:r>
          </w:p>
        </w:tc>
        <w:tc>
          <w:tcPr>
            <w:tcW w:w="2214" w:type="dxa"/>
            <w:vAlign w:val="center"/>
          </w:tcPr>
          <w:p w14:paraId="5D331336">
            <w:pPr>
              <w:jc w:val="right"/>
            </w:pPr>
            <w:r>
              <w:rPr>
                <w:rFonts w:hint="eastAsia"/>
              </w:rPr>
              <w:t>18,324.40</w:t>
            </w:r>
          </w:p>
        </w:tc>
        <w:tc>
          <w:tcPr>
            <w:tcW w:w="2214" w:type="dxa"/>
            <w:vAlign w:val="center"/>
          </w:tcPr>
          <w:p w14:paraId="36397246">
            <w:pPr>
              <w:jc w:val="right"/>
            </w:pPr>
            <w:r>
              <w:rPr>
                <w:rFonts w:hint="eastAsia"/>
              </w:rPr>
              <w:t>0.03</w:t>
            </w:r>
          </w:p>
        </w:tc>
      </w:tr>
      <w:tr w14:paraId="222A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9FB386">
            <w:pPr>
              <w:jc w:val="center"/>
            </w:pPr>
            <w:r>
              <w:rPr>
                <w:rFonts w:hint="eastAsia"/>
              </w:rPr>
              <w:t>9</w:t>
            </w:r>
          </w:p>
        </w:tc>
        <w:tc>
          <w:tcPr>
            <w:tcW w:w="3211" w:type="dxa"/>
            <w:vAlign w:val="center"/>
          </w:tcPr>
          <w:p w14:paraId="696A4535">
            <w:r>
              <w:rPr>
                <w:rFonts w:hint="eastAsia"/>
              </w:rPr>
              <w:t>合计</w:t>
            </w:r>
          </w:p>
        </w:tc>
        <w:tc>
          <w:tcPr>
            <w:tcW w:w="2214" w:type="dxa"/>
            <w:vAlign w:val="center"/>
          </w:tcPr>
          <w:p w14:paraId="2944E55B">
            <w:pPr>
              <w:jc w:val="right"/>
            </w:pPr>
            <w:r>
              <w:rPr>
                <w:rFonts w:hint="eastAsia"/>
              </w:rPr>
              <w:t>67,385,834.94</w:t>
            </w:r>
          </w:p>
        </w:tc>
        <w:tc>
          <w:tcPr>
            <w:tcW w:w="2214" w:type="dxa"/>
            <w:vAlign w:val="center"/>
          </w:tcPr>
          <w:p w14:paraId="420BCA8A">
            <w:pPr>
              <w:jc w:val="right"/>
            </w:pPr>
            <w:r>
              <w:rPr>
                <w:rFonts w:hint="eastAsia"/>
              </w:rPr>
              <w:t>100.00</w:t>
            </w:r>
          </w:p>
        </w:tc>
      </w:tr>
    </w:tbl>
    <w:p w14:paraId="210F8B63">
      <w:pPr>
        <w:pStyle w:val="23"/>
      </w:pPr>
      <w:bookmarkStart w:id="154" w:name="_Toc19237"/>
      <w:r>
        <w:t>报告期末按行业分类的股票投资组合</w:t>
      </w:r>
      <w:bookmarkEnd w:id="154"/>
    </w:p>
    <w:p w14:paraId="2C6FD536">
      <w:pPr>
        <w:pStyle w:val="28"/>
      </w:pPr>
      <w:bookmarkStart w:id="155" w:name="_Toc155"/>
      <w:r>
        <w:t>报告期末按行业分类的境内股票投资组合</w:t>
      </w:r>
      <w:bookmarkEnd w:id="155"/>
    </w:p>
    <w:p w14:paraId="5D6FBD72">
      <w:pPr>
        <w:pStyle w:val="18"/>
        <w:rPr>
          <w:rFonts w:hint="eastAsia"/>
        </w:rPr>
      </w:pPr>
      <w:r>
        <w:rPr>
          <w:rFonts w:hint="eastAsia"/>
        </w:rPr>
        <w:t>无。</w:t>
      </w:r>
    </w:p>
    <w:p w14:paraId="35BDAFB1">
      <w:pPr>
        <w:pStyle w:val="28"/>
      </w:pPr>
      <w:bookmarkStart w:id="156" w:name="_Toc156"/>
      <w:r>
        <w:t>报告期末按行业分类的港股通投资股票投资组合</w:t>
      </w:r>
      <w:bookmarkEnd w:id="156"/>
    </w:p>
    <w:p w14:paraId="2E5E0B24">
      <w:pPr>
        <w:pStyle w:val="18"/>
        <w:rPr>
          <w:rFonts w:hint="eastAsia"/>
        </w:rPr>
      </w:pPr>
      <w:r>
        <w:rPr>
          <w:rFonts w:hint="eastAsia"/>
        </w:rPr>
        <w:t>无。</w:t>
      </w:r>
    </w:p>
    <w:p w14:paraId="7D094A23">
      <w:pPr>
        <w:pStyle w:val="23"/>
      </w:pPr>
      <w:bookmarkStart w:id="157" w:name="_Toc11659"/>
      <w:r>
        <w:t>期末按公允价值占基金资产净值比例大小排序的所有股票投资明细</w:t>
      </w:r>
      <w:bookmarkEnd w:id="157"/>
    </w:p>
    <w:p w14:paraId="7E90DE4B">
      <w:pPr>
        <w:pStyle w:val="18"/>
        <w:rPr>
          <w:rFonts w:hint="eastAsia"/>
        </w:rPr>
      </w:pPr>
      <w:r>
        <w:rPr>
          <w:rFonts w:hint="eastAsia"/>
        </w:rPr>
        <w:t>无。</w:t>
      </w:r>
    </w:p>
    <w:p w14:paraId="00DBA86B">
      <w:pPr>
        <w:pStyle w:val="23"/>
      </w:pPr>
      <w:bookmarkStart w:id="158" w:name="_Toc28817"/>
      <w:r>
        <w:t>报告期内股票投资组合的重大变动</w:t>
      </w:r>
      <w:bookmarkEnd w:id="158"/>
    </w:p>
    <w:p w14:paraId="6F96DA46">
      <w:pPr>
        <w:pStyle w:val="28"/>
      </w:pPr>
      <w:bookmarkStart w:id="159" w:name="_Toc159"/>
      <w:r>
        <w:t>累计买入金额超出期初基金资产净值2%或前20名的股票明细</w:t>
      </w:r>
      <w:bookmarkEnd w:id="159"/>
    </w:p>
    <w:p w14:paraId="4BCFCC0A">
      <w:pPr>
        <w:pStyle w:val="18"/>
        <w:rPr>
          <w:rFonts w:hint="eastAsia"/>
        </w:rPr>
      </w:pPr>
      <w:r>
        <w:rPr>
          <w:rFonts w:hint="eastAsia"/>
        </w:rPr>
        <w:t>无。</w:t>
      </w:r>
    </w:p>
    <w:p w14:paraId="1972AD96">
      <w:pPr>
        <w:pStyle w:val="28"/>
      </w:pPr>
      <w:bookmarkStart w:id="160" w:name="_Toc160"/>
      <w:r>
        <w:t>累计卖出金额超出期初基金资产净值2%或前20名的股票明细</w:t>
      </w:r>
      <w:bookmarkEnd w:id="160"/>
    </w:p>
    <w:p w14:paraId="19F8003F">
      <w:pPr>
        <w:pStyle w:val="18"/>
        <w:rPr>
          <w:rFonts w:hint="eastAsia"/>
        </w:rPr>
      </w:pPr>
      <w:r>
        <w:rPr>
          <w:rFonts w:hint="eastAsia"/>
        </w:rPr>
        <w:t>无。</w:t>
      </w:r>
    </w:p>
    <w:p w14:paraId="6D9B693D">
      <w:pPr>
        <w:pStyle w:val="28"/>
      </w:pPr>
      <w:bookmarkStart w:id="161" w:name="_Toc161"/>
      <w:r>
        <w:t>买入股票的成本总额及卖出股票的收入总额</w:t>
      </w:r>
      <w:bookmarkEnd w:id="161"/>
    </w:p>
    <w:p w14:paraId="3EE053F4">
      <w:pPr>
        <w:pStyle w:val="18"/>
        <w:rPr>
          <w:rFonts w:hint="eastAsia"/>
        </w:rPr>
      </w:pPr>
      <w:r>
        <w:rPr>
          <w:rFonts w:hint="eastAsia"/>
        </w:rPr>
        <w:t>无。</w:t>
      </w:r>
    </w:p>
    <w:p w14:paraId="73631076">
      <w:pPr>
        <w:pStyle w:val="23"/>
      </w:pPr>
      <w:bookmarkStart w:id="162" w:name="_Toc13961"/>
      <w:r>
        <w:t>期末按债券品种分类的债券投资组合</w:t>
      </w:r>
      <w:bookmarkEnd w:id="162"/>
    </w:p>
    <w:p w14:paraId="39C01D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5B2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4076830B">
            <w:pPr>
              <w:jc w:val="center"/>
            </w:pPr>
            <w:r>
              <w:rPr>
                <w:rFonts w:hint="eastAsia"/>
                <w:b/>
              </w:rPr>
              <w:t>序号</w:t>
            </w:r>
          </w:p>
        </w:tc>
        <w:tc>
          <w:tcPr>
            <w:tcW w:w="2768" w:type="dxa"/>
            <w:shd w:val="clear" w:color="auto" w:fill="BFBFBF"/>
            <w:vAlign w:val="center"/>
          </w:tcPr>
          <w:p w14:paraId="14A619AB">
            <w:pPr>
              <w:jc w:val="center"/>
            </w:pPr>
            <w:r>
              <w:rPr>
                <w:rFonts w:hint="eastAsia"/>
                <w:b/>
              </w:rPr>
              <w:t>债券品种</w:t>
            </w:r>
          </w:p>
        </w:tc>
        <w:tc>
          <w:tcPr>
            <w:tcW w:w="2408" w:type="dxa"/>
            <w:shd w:val="clear" w:color="auto" w:fill="BFBFBF"/>
            <w:vAlign w:val="center"/>
          </w:tcPr>
          <w:p w14:paraId="1102C907">
            <w:pPr>
              <w:jc w:val="center"/>
            </w:pPr>
            <w:r>
              <w:rPr>
                <w:rFonts w:hint="eastAsia"/>
                <w:b/>
              </w:rPr>
              <w:t>公允价值（元）</w:t>
            </w:r>
          </w:p>
        </w:tc>
        <w:tc>
          <w:tcPr>
            <w:tcW w:w="2497" w:type="dxa"/>
            <w:shd w:val="clear" w:color="auto" w:fill="BFBFBF"/>
            <w:vAlign w:val="center"/>
          </w:tcPr>
          <w:p w14:paraId="2ACAB125">
            <w:pPr>
              <w:jc w:val="center"/>
            </w:pPr>
            <w:r>
              <w:rPr>
                <w:rFonts w:hint="eastAsia"/>
                <w:b/>
              </w:rPr>
              <w:t>占基金资产净值比例（％）</w:t>
            </w:r>
          </w:p>
        </w:tc>
      </w:tr>
      <w:tr w14:paraId="08D2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14F126">
            <w:pPr>
              <w:jc w:val="center"/>
            </w:pPr>
            <w:r>
              <w:rPr>
                <w:rFonts w:hint="eastAsia"/>
              </w:rPr>
              <w:t>1</w:t>
            </w:r>
          </w:p>
        </w:tc>
        <w:tc>
          <w:tcPr>
            <w:tcW w:w="2768" w:type="dxa"/>
            <w:vAlign w:val="center"/>
          </w:tcPr>
          <w:p w14:paraId="6E03A7F3">
            <w:r>
              <w:rPr>
                <w:rFonts w:hint="eastAsia"/>
              </w:rPr>
              <w:t>国家债券</w:t>
            </w:r>
          </w:p>
        </w:tc>
        <w:tc>
          <w:tcPr>
            <w:tcW w:w="2408" w:type="dxa"/>
            <w:vAlign w:val="center"/>
          </w:tcPr>
          <w:p w14:paraId="05FEEED7">
            <w:pPr>
              <w:jc w:val="right"/>
            </w:pPr>
            <w:r>
              <w:rPr>
                <w:rFonts w:hint="eastAsia"/>
              </w:rPr>
              <w:t>-</w:t>
            </w:r>
          </w:p>
        </w:tc>
        <w:tc>
          <w:tcPr>
            <w:tcW w:w="2497" w:type="dxa"/>
            <w:vAlign w:val="center"/>
          </w:tcPr>
          <w:p w14:paraId="7B6292F2">
            <w:pPr>
              <w:jc w:val="right"/>
            </w:pPr>
            <w:r>
              <w:rPr>
                <w:rFonts w:hint="eastAsia"/>
              </w:rPr>
              <w:t>-</w:t>
            </w:r>
          </w:p>
        </w:tc>
      </w:tr>
      <w:tr w14:paraId="47F8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97CF84">
            <w:pPr>
              <w:jc w:val="center"/>
            </w:pPr>
            <w:r>
              <w:rPr>
                <w:rFonts w:hint="eastAsia"/>
              </w:rPr>
              <w:t>2</w:t>
            </w:r>
          </w:p>
        </w:tc>
        <w:tc>
          <w:tcPr>
            <w:tcW w:w="2768" w:type="dxa"/>
            <w:vAlign w:val="center"/>
          </w:tcPr>
          <w:p w14:paraId="6575E8F5">
            <w:r>
              <w:rPr>
                <w:rFonts w:hint="eastAsia"/>
              </w:rPr>
              <w:t>央行票据</w:t>
            </w:r>
          </w:p>
        </w:tc>
        <w:tc>
          <w:tcPr>
            <w:tcW w:w="2408" w:type="dxa"/>
            <w:vAlign w:val="center"/>
          </w:tcPr>
          <w:p w14:paraId="7DCD49E6">
            <w:pPr>
              <w:jc w:val="right"/>
            </w:pPr>
            <w:r>
              <w:rPr>
                <w:rFonts w:hint="eastAsia"/>
              </w:rPr>
              <w:t>-</w:t>
            </w:r>
          </w:p>
        </w:tc>
        <w:tc>
          <w:tcPr>
            <w:tcW w:w="2497" w:type="dxa"/>
            <w:vAlign w:val="center"/>
          </w:tcPr>
          <w:p w14:paraId="47C55265">
            <w:pPr>
              <w:jc w:val="right"/>
            </w:pPr>
            <w:r>
              <w:rPr>
                <w:rFonts w:hint="eastAsia"/>
              </w:rPr>
              <w:t>-</w:t>
            </w:r>
          </w:p>
        </w:tc>
      </w:tr>
      <w:tr w14:paraId="2056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02C87A">
            <w:pPr>
              <w:jc w:val="center"/>
            </w:pPr>
            <w:r>
              <w:rPr>
                <w:rFonts w:hint="eastAsia"/>
              </w:rPr>
              <w:t>3</w:t>
            </w:r>
          </w:p>
        </w:tc>
        <w:tc>
          <w:tcPr>
            <w:tcW w:w="2768" w:type="dxa"/>
            <w:vAlign w:val="center"/>
          </w:tcPr>
          <w:p w14:paraId="5FA696A7">
            <w:r>
              <w:rPr>
                <w:rFonts w:hint="eastAsia"/>
              </w:rPr>
              <w:t>金融债券</w:t>
            </w:r>
          </w:p>
        </w:tc>
        <w:tc>
          <w:tcPr>
            <w:tcW w:w="2408" w:type="dxa"/>
            <w:vAlign w:val="center"/>
          </w:tcPr>
          <w:p w14:paraId="06FA7107">
            <w:pPr>
              <w:jc w:val="right"/>
            </w:pPr>
            <w:r>
              <w:rPr>
                <w:rFonts w:hint="eastAsia"/>
              </w:rPr>
              <w:t>67,041,816.43</w:t>
            </w:r>
          </w:p>
        </w:tc>
        <w:tc>
          <w:tcPr>
            <w:tcW w:w="2497" w:type="dxa"/>
            <w:vAlign w:val="center"/>
          </w:tcPr>
          <w:p w14:paraId="63A03A9D">
            <w:pPr>
              <w:jc w:val="right"/>
            </w:pPr>
            <w:r>
              <w:rPr>
                <w:rFonts w:hint="eastAsia"/>
              </w:rPr>
              <w:t>99.82</w:t>
            </w:r>
          </w:p>
        </w:tc>
      </w:tr>
      <w:tr w14:paraId="4F94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100D22">
            <w:pPr>
              <w:jc w:val="center"/>
            </w:pPr>
          </w:p>
        </w:tc>
        <w:tc>
          <w:tcPr>
            <w:tcW w:w="2768" w:type="dxa"/>
            <w:vAlign w:val="center"/>
          </w:tcPr>
          <w:p w14:paraId="078D1254">
            <w:r>
              <w:rPr>
                <w:rFonts w:hint="eastAsia"/>
              </w:rPr>
              <w:t>其中：政策性金融债</w:t>
            </w:r>
          </w:p>
        </w:tc>
        <w:tc>
          <w:tcPr>
            <w:tcW w:w="2408" w:type="dxa"/>
            <w:vAlign w:val="center"/>
          </w:tcPr>
          <w:p w14:paraId="521CC8D2">
            <w:pPr>
              <w:jc w:val="right"/>
            </w:pPr>
            <w:r>
              <w:rPr>
                <w:rFonts w:hint="eastAsia"/>
              </w:rPr>
              <w:t>67,041,816.43</w:t>
            </w:r>
          </w:p>
        </w:tc>
        <w:tc>
          <w:tcPr>
            <w:tcW w:w="2497" w:type="dxa"/>
            <w:vAlign w:val="center"/>
          </w:tcPr>
          <w:p w14:paraId="2E3C3B50">
            <w:pPr>
              <w:jc w:val="right"/>
            </w:pPr>
            <w:r>
              <w:rPr>
                <w:rFonts w:hint="eastAsia"/>
              </w:rPr>
              <w:t>99.82</w:t>
            </w:r>
          </w:p>
        </w:tc>
      </w:tr>
      <w:tr w14:paraId="7A52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BD7DB1">
            <w:pPr>
              <w:jc w:val="center"/>
            </w:pPr>
            <w:r>
              <w:rPr>
                <w:rFonts w:hint="eastAsia"/>
              </w:rPr>
              <w:t>4</w:t>
            </w:r>
          </w:p>
        </w:tc>
        <w:tc>
          <w:tcPr>
            <w:tcW w:w="2768" w:type="dxa"/>
            <w:vAlign w:val="center"/>
          </w:tcPr>
          <w:p w14:paraId="7A678C60">
            <w:r>
              <w:rPr>
                <w:rFonts w:hint="eastAsia"/>
              </w:rPr>
              <w:t>企业债券</w:t>
            </w:r>
          </w:p>
        </w:tc>
        <w:tc>
          <w:tcPr>
            <w:tcW w:w="2408" w:type="dxa"/>
            <w:vAlign w:val="center"/>
          </w:tcPr>
          <w:p w14:paraId="280ADF0C">
            <w:pPr>
              <w:jc w:val="right"/>
            </w:pPr>
            <w:r>
              <w:rPr>
                <w:rFonts w:hint="eastAsia"/>
              </w:rPr>
              <w:t>-</w:t>
            </w:r>
          </w:p>
        </w:tc>
        <w:tc>
          <w:tcPr>
            <w:tcW w:w="2497" w:type="dxa"/>
            <w:vAlign w:val="center"/>
          </w:tcPr>
          <w:p w14:paraId="12B9CA8F">
            <w:pPr>
              <w:jc w:val="right"/>
            </w:pPr>
            <w:r>
              <w:rPr>
                <w:rFonts w:hint="eastAsia"/>
              </w:rPr>
              <w:t>-</w:t>
            </w:r>
          </w:p>
        </w:tc>
      </w:tr>
      <w:tr w14:paraId="4AF6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255476">
            <w:pPr>
              <w:jc w:val="center"/>
            </w:pPr>
            <w:r>
              <w:rPr>
                <w:rFonts w:hint="eastAsia"/>
              </w:rPr>
              <w:t>5</w:t>
            </w:r>
          </w:p>
        </w:tc>
        <w:tc>
          <w:tcPr>
            <w:tcW w:w="2768" w:type="dxa"/>
            <w:vAlign w:val="center"/>
          </w:tcPr>
          <w:p w14:paraId="126034EB">
            <w:r>
              <w:rPr>
                <w:rFonts w:hint="eastAsia"/>
              </w:rPr>
              <w:t>企业短期融资券</w:t>
            </w:r>
          </w:p>
        </w:tc>
        <w:tc>
          <w:tcPr>
            <w:tcW w:w="2408" w:type="dxa"/>
            <w:vAlign w:val="center"/>
          </w:tcPr>
          <w:p w14:paraId="0F47D41E">
            <w:pPr>
              <w:jc w:val="right"/>
            </w:pPr>
            <w:r>
              <w:rPr>
                <w:rFonts w:hint="eastAsia"/>
              </w:rPr>
              <w:t>-</w:t>
            </w:r>
          </w:p>
        </w:tc>
        <w:tc>
          <w:tcPr>
            <w:tcW w:w="2497" w:type="dxa"/>
            <w:vAlign w:val="center"/>
          </w:tcPr>
          <w:p w14:paraId="4F2268C4">
            <w:pPr>
              <w:jc w:val="right"/>
            </w:pPr>
            <w:r>
              <w:rPr>
                <w:rFonts w:hint="eastAsia"/>
              </w:rPr>
              <w:t>-</w:t>
            </w:r>
          </w:p>
        </w:tc>
      </w:tr>
      <w:tr w14:paraId="6D8E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3F460F">
            <w:pPr>
              <w:jc w:val="center"/>
            </w:pPr>
            <w:r>
              <w:rPr>
                <w:rFonts w:hint="eastAsia"/>
              </w:rPr>
              <w:t>6</w:t>
            </w:r>
          </w:p>
        </w:tc>
        <w:tc>
          <w:tcPr>
            <w:tcW w:w="2768" w:type="dxa"/>
            <w:vAlign w:val="center"/>
          </w:tcPr>
          <w:p w14:paraId="35C71D77">
            <w:r>
              <w:rPr>
                <w:rFonts w:hint="eastAsia"/>
              </w:rPr>
              <w:t>中期票据</w:t>
            </w:r>
          </w:p>
        </w:tc>
        <w:tc>
          <w:tcPr>
            <w:tcW w:w="2408" w:type="dxa"/>
            <w:vAlign w:val="center"/>
          </w:tcPr>
          <w:p w14:paraId="2EF5C996">
            <w:pPr>
              <w:jc w:val="right"/>
            </w:pPr>
            <w:r>
              <w:rPr>
                <w:rFonts w:hint="eastAsia"/>
              </w:rPr>
              <w:t>-</w:t>
            </w:r>
          </w:p>
        </w:tc>
        <w:tc>
          <w:tcPr>
            <w:tcW w:w="2497" w:type="dxa"/>
            <w:vAlign w:val="center"/>
          </w:tcPr>
          <w:p w14:paraId="5F9BF833">
            <w:pPr>
              <w:jc w:val="right"/>
            </w:pPr>
            <w:r>
              <w:rPr>
                <w:rFonts w:hint="eastAsia"/>
              </w:rPr>
              <w:t>-</w:t>
            </w:r>
          </w:p>
        </w:tc>
      </w:tr>
      <w:tr w14:paraId="465D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D565E1">
            <w:pPr>
              <w:jc w:val="center"/>
            </w:pPr>
            <w:r>
              <w:rPr>
                <w:rFonts w:hint="eastAsia"/>
              </w:rPr>
              <w:t>7</w:t>
            </w:r>
          </w:p>
        </w:tc>
        <w:tc>
          <w:tcPr>
            <w:tcW w:w="2768" w:type="dxa"/>
            <w:vAlign w:val="center"/>
          </w:tcPr>
          <w:p w14:paraId="4E3F2E41">
            <w:r>
              <w:rPr>
                <w:rFonts w:hint="eastAsia"/>
              </w:rPr>
              <w:t>可转债（可交换债）</w:t>
            </w:r>
          </w:p>
        </w:tc>
        <w:tc>
          <w:tcPr>
            <w:tcW w:w="2408" w:type="dxa"/>
            <w:vAlign w:val="center"/>
          </w:tcPr>
          <w:p w14:paraId="5C71A5A3">
            <w:pPr>
              <w:jc w:val="right"/>
            </w:pPr>
            <w:r>
              <w:rPr>
                <w:rFonts w:hint="eastAsia"/>
              </w:rPr>
              <w:t>-</w:t>
            </w:r>
          </w:p>
        </w:tc>
        <w:tc>
          <w:tcPr>
            <w:tcW w:w="2497" w:type="dxa"/>
            <w:vAlign w:val="center"/>
          </w:tcPr>
          <w:p w14:paraId="1AD946F9">
            <w:pPr>
              <w:jc w:val="right"/>
            </w:pPr>
            <w:r>
              <w:rPr>
                <w:rFonts w:hint="eastAsia"/>
              </w:rPr>
              <w:t>-</w:t>
            </w:r>
          </w:p>
        </w:tc>
      </w:tr>
      <w:tr w14:paraId="7C00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F6AD88">
            <w:pPr>
              <w:jc w:val="center"/>
            </w:pPr>
            <w:r>
              <w:rPr>
                <w:rFonts w:hint="eastAsia"/>
              </w:rPr>
              <w:t>8</w:t>
            </w:r>
          </w:p>
        </w:tc>
        <w:tc>
          <w:tcPr>
            <w:tcW w:w="2768" w:type="dxa"/>
            <w:vAlign w:val="center"/>
          </w:tcPr>
          <w:p w14:paraId="70BBC009">
            <w:r>
              <w:rPr>
                <w:rFonts w:hint="eastAsia"/>
              </w:rPr>
              <w:t>同业存单</w:t>
            </w:r>
          </w:p>
        </w:tc>
        <w:tc>
          <w:tcPr>
            <w:tcW w:w="2408" w:type="dxa"/>
            <w:vAlign w:val="center"/>
          </w:tcPr>
          <w:p w14:paraId="0D0179B0">
            <w:pPr>
              <w:jc w:val="right"/>
            </w:pPr>
            <w:r>
              <w:rPr>
                <w:rFonts w:hint="eastAsia"/>
              </w:rPr>
              <w:t>-</w:t>
            </w:r>
          </w:p>
        </w:tc>
        <w:tc>
          <w:tcPr>
            <w:tcW w:w="2497" w:type="dxa"/>
            <w:vAlign w:val="center"/>
          </w:tcPr>
          <w:p w14:paraId="2766DE9C">
            <w:pPr>
              <w:jc w:val="right"/>
            </w:pPr>
            <w:r>
              <w:rPr>
                <w:rFonts w:hint="eastAsia"/>
              </w:rPr>
              <w:t>-</w:t>
            </w:r>
          </w:p>
        </w:tc>
      </w:tr>
      <w:tr w14:paraId="4EDC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768E26">
            <w:pPr>
              <w:jc w:val="center"/>
            </w:pPr>
            <w:r>
              <w:rPr>
                <w:rFonts w:hint="eastAsia"/>
              </w:rPr>
              <w:t>9</w:t>
            </w:r>
          </w:p>
        </w:tc>
        <w:tc>
          <w:tcPr>
            <w:tcW w:w="2768" w:type="dxa"/>
            <w:vAlign w:val="center"/>
          </w:tcPr>
          <w:p w14:paraId="31F0291E">
            <w:r>
              <w:rPr>
                <w:rFonts w:hint="eastAsia"/>
              </w:rPr>
              <w:t>其他</w:t>
            </w:r>
          </w:p>
        </w:tc>
        <w:tc>
          <w:tcPr>
            <w:tcW w:w="2408" w:type="dxa"/>
            <w:vAlign w:val="center"/>
          </w:tcPr>
          <w:p w14:paraId="63A04360">
            <w:pPr>
              <w:jc w:val="right"/>
            </w:pPr>
            <w:r>
              <w:rPr>
                <w:rFonts w:hint="eastAsia"/>
              </w:rPr>
              <w:t>-</w:t>
            </w:r>
          </w:p>
        </w:tc>
        <w:tc>
          <w:tcPr>
            <w:tcW w:w="2497" w:type="dxa"/>
            <w:vAlign w:val="center"/>
          </w:tcPr>
          <w:p w14:paraId="1404341C">
            <w:pPr>
              <w:jc w:val="right"/>
            </w:pPr>
            <w:r>
              <w:rPr>
                <w:rFonts w:hint="eastAsia"/>
              </w:rPr>
              <w:t>-</w:t>
            </w:r>
          </w:p>
        </w:tc>
      </w:tr>
      <w:tr w14:paraId="071D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1B7D6D">
            <w:pPr>
              <w:jc w:val="center"/>
            </w:pPr>
            <w:r>
              <w:rPr>
                <w:rFonts w:hint="eastAsia"/>
              </w:rPr>
              <w:t>10</w:t>
            </w:r>
          </w:p>
        </w:tc>
        <w:tc>
          <w:tcPr>
            <w:tcW w:w="2768" w:type="dxa"/>
            <w:vAlign w:val="center"/>
          </w:tcPr>
          <w:p w14:paraId="32D0B6B4">
            <w:r>
              <w:rPr>
                <w:rFonts w:hint="eastAsia"/>
              </w:rPr>
              <w:t>合计</w:t>
            </w:r>
          </w:p>
        </w:tc>
        <w:tc>
          <w:tcPr>
            <w:tcW w:w="2408" w:type="dxa"/>
            <w:vAlign w:val="center"/>
          </w:tcPr>
          <w:p w14:paraId="63AE3B41">
            <w:pPr>
              <w:jc w:val="right"/>
            </w:pPr>
            <w:r>
              <w:rPr>
                <w:rFonts w:hint="eastAsia"/>
              </w:rPr>
              <w:t>67,041,816.43</w:t>
            </w:r>
          </w:p>
        </w:tc>
        <w:tc>
          <w:tcPr>
            <w:tcW w:w="2497" w:type="dxa"/>
            <w:vAlign w:val="center"/>
          </w:tcPr>
          <w:p w14:paraId="31020558">
            <w:pPr>
              <w:jc w:val="right"/>
            </w:pPr>
            <w:r>
              <w:rPr>
                <w:rFonts w:hint="eastAsia"/>
              </w:rPr>
              <w:t>99.82</w:t>
            </w:r>
          </w:p>
        </w:tc>
      </w:tr>
    </w:tbl>
    <w:p w14:paraId="058458D9">
      <w:pPr>
        <w:pStyle w:val="23"/>
      </w:pPr>
      <w:bookmarkStart w:id="163" w:name="_Toc3703"/>
      <w:r>
        <w:t>期末按公允价值占基金资产净值比例大小排序的前五名债券投资明细</w:t>
      </w:r>
      <w:bookmarkEnd w:id="163"/>
    </w:p>
    <w:p w14:paraId="06C973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19C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814F3E9">
            <w:pPr>
              <w:jc w:val="center"/>
            </w:pPr>
            <w:r>
              <w:rPr>
                <w:rFonts w:hint="eastAsia"/>
                <w:b/>
              </w:rPr>
              <w:t>序号</w:t>
            </w:r>
          </w:p>
        </w:tc>
        <w:tc>
          <w:tcPr>
            <w:tcW w:w="1135" w:type="dxa"/>
            <w:shd w:val="clear" w:color="auto" w:fill="BFBFBF"/>
            <w:vAlign w:val="center"/>
          </w:tcPr>
          <w:p w14:paraId="18390D51">
            <w:pPr>
              <w:jc w:val="center"/>
            </w:pPr>
            <w:r>
              <w:rPr>
                <w:rFonts w:hint="eastAsia"/>
                <w:b/>
              </w:rPr>
              <w:t>债券代码</w:t>
            </w:r>
          </w:p>
        </w:tc>
        <w:tc>
          <w:tcPr>
            <w:tcW w:w="1882" w:type="dxa"/>
            <w:shd w:val="clear" w:color="auto" w:fill="BFBFBF"/>
            <w:vAlign w:val="center"/>
          </w:tcPr>
          <w:p w14:paraId="60E629C5">
            <w:pPr>
              <w:jc w:val="center"/>
            </w:pPr>
            <w:r>
              <w:rPr>
                <w:rFonts w:hint="eastAsia"/>
                <w:b/>
              </w:rPr>
              <w:t>债券名称</w:t>
            </w:r>
          </w:p>
        </w:tc>
        <w:tc>
          <w:tcPr>
            <w:tcW w:w="1113" w:type="dxa"/>
            <w:shd w:val="clear" w:color="auto" w:fill="BFBFBF"/>
            <w:vAlign w:val="center"/>
          </w:tcPr>
          <w:p w14:paraId="6544D4E2">
            <w:pPr>
              <w:jc w:val="center"/>
            </w:pPr>
            <w:r>
              <w:rPr>
                <w:rFonts w:hint="eastAsia"/>
                <w:b/>
              </w:rPr>
              <w:t>数量（张）</w:t>
            </w:r>
          </w:p>
        </w:tc>
        <w:tc>
          <w:tcPr>
            <w:tcW w:w="1771" w:type="dxa"/>
            <w:shd w:val="clear" w:color="auto" w:fill="BFBFBF"/>
            <w:vAlign w:val="center"/>
          </w:tcPr>
          <w:p w14:paraId="5A7D23F9">
            <w:pPr>
              <w:jc w:val="center"/>
            </w:pPr>
            <w:r>
              <w:rPr>
                <w:rFonts w:hint="eastAsia"/>
                <w:b/>
              </w:rPr>
              <w:t>公允价值（元）</w:t>
            </w:r>
          </w:p>
        </w:tc>
        <w:tc>
          <w:tcPr>
            <w:tcW w:w="1771" w:type="dxa"/>
            <w:shd w:val="clear" w:color="auto" w:fill="BFBFBF"/>
            <w:vAlign w:val="center"/>
          </w:tcPr>
          <w:p w14:paraId="1922F470">
            <w:pPr>
              <w:jc w:val="center"/>
            </w:pPr>
            <w:r>
              <w:rPr>
                <w:rFonts w:hint="eastAsia"/>
                <w:b/>
              </w:rPr>
              <w:t>占基金资产净值比例（％）</w:t>
            </w:r>
          </w:p>
        </w:tc>
      </w:tr>
      <w:tr w14:paraId="7606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0777C3">
            <w:pPr>
              <w:jc w:val="center"/>
            </w:pPr>
            <w:r>
              <w:rPr>
                <w:rFonts w:hint="eastAsia"/>
              </w:rPr>
              <w:t>1</w:t>
            </w:r>
          </w:p>
        </w:tc>
        <w:tc>
          <w:tcPr>
            <w:tcW w:w="1135" w:type="dxa"/>
            <w:vAlign w:val="center"/>
          </w:tcPr>
          <w:p w14:paraId="647BF7E7">
            <w:r>
              <w:rPr>
                <w:rFonts w:hint="eastAsia"/>
              </w:rPr>
              <w:t>250202</w:t>
            </w:r>
          </w:p>
        </w:tc>
        <w:tc>
          <w:tcPr>
            <w:tcW w:w="1882" w:type="dxa"/>
            <w:vAlign w:val="center"/>
          </w:tcPr>
          <w:p w14:paraId="11D1CD39">
            <w:r>
              <w:rPr>
                <w:rFonts w:hint="eastAsia"/>
              </w:rPr>
              <w:t>25国开02</w:t>
            </w:r>
          </w:p>
        </w:tc>
        <w:tc>
          <w:tcPr>
            <w:tcW w:w="1113" w:type="dxa"/>
            <w:vAlign w:val="center"/>
          </w:tcPr>
          <w:p w14:paraId="2AC490BC">
            <w:pPr>
              <w:jc w:val="right"/>
            </w:pPr>
            <w:r>
              <w:rPr>
                <w:rFonts w:hint="eastAsia"/>
              </w:rPr>
              <w:t>200,000</w:t>
            </w:r>
          </w:p>
        </w:tc>
        <w:tc>
          <w:tcPr>
            <w:tcW w:w="1771" w:type="dxa"/>
            <w:vAlign w:val="center"/>
          </w:tcPr>
          <w:p w14:paraId="68EE21F8">
            <w:pPr>
              <w:jc w:val="right"/>
            </w:pPr>
            <w:r>
              <w:rPr>
                <w:rFonts w:hint="eastAsia"/>
              </w:rPr>
              <w:t>20,163,567.12</w:t>
            </w:r>
          </w:p>
        </w:tc>
        <w:tc>
          <w:tcPr>
            <w:tcW w:w="1771" w:type="dxa"/>
            <w:vAlign w:val="center"/>
          </w:tcPr>
          <w:p w14:paraId="7B6E73FC">
            <w:pPr>
              <w:jc w:val="right"/>
            </w:pPr>
            <w:r>
              <w:rPr>
                <w:rFonts w:hint="eastAsia"/>
              </w:rPr>
              <w:t>30.02</w:t>
            </w:r>
          </w:p>
        </w:tc>
      </w:tr>
      <w:tr w14:paraId="380E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47C7C1">
            <w:pPr>
              <w:jc w:val="center"/>
            </w:pPr>
            <w:r>
              <w:rPr>
                <w:rFonts w:hint="eastAsia"/>
              </w:rPr>
              <w:t>2</w:t>
            </w:r>
          </w:p>
        </w:tc>
        <w:tc>
          <w:tcPr>
            <w:tcW w:w="1135" w:type="dxa"/>
            <w:vAlign w:val="center"/>
          </w:tcPr>
          <w:p w14:paraId="21129A03">
            <w:r>
              <w:rPr>
                <w:rFonts w:hint="eastAsia"/>
              </w:rPr>
              <w:t>250215</w:t>
            </w:r>
          </w:p>
        </w:tc>
        <w:tc>
          <w:tcPr>
            <w:tcW w:w="1882" w:type="dxa"/>
            <w:vAlign w:val="center"/>
          </w:tcPr>
          <w:p w14:paraId="74BB0B7E">
            <w:r>
              <w:rPr>
                <w:rFonts w:hint="eastAsia"/>
              </w:rPr>
              <w:t>25国开15</w:t>
            </w:r>
          </w:p>
        </w:tc>
        <w:tc>
          <w:tcPr>
            <w:tcW w:w="1113" w:type="dxa"/>
            <w:vAlign w:val="center"/>
          </w:tcPr>
          <w:p w14:paraId="7267DA7A">
            <w:pPr>
              <w:jc w:val="right"/>
            </w:pPr>
            <w:r>
              <w:rPr>
                <w:rFonts w:hint="eastAsia"/>
              </w:rPr>
              <w:t>160,000</w:t>
            </w:r>
          </w:p>
        </w:tc>
        <w:tc>
          <w:tcPr>
            <w:tcW w:w="1771" w:type="dxa"/>
            <w:vAlign w:val="center"/>
          </w:tcPr>
          <w:p w14:paraId="57A91393">
            <w:pPr>
              <w:jc w:val="right"/>
            </w:pPr>
            <w:r>
              <w:rPr>
                <w:rFonts w:hint="eastAsia"/>
              </w:rPr>
              <w:t>15,734,487.67</w:t>
            </w:r>
          </w:p>
        </w:tc>
        <w:tc>
          <w:tcPr>
            <w:tcW w:w="1771" w:type="dxa"/>
            <w:vAlign w:val="center"/>
          </w:tcPr>
          <w:p w14:paraId="30E3D055">
            <w:pPr>
              <w:jc w:val="right"/>
            </w:pPr>
            <w:r>
              <w:rPr>
                <w:rFonts w:hint="eastAsia"/>
              </w:rPr>
              <w:t>23.43</w:t>
            </w:r>
          </w:p>
        </w:tc>
      </w:tr>
      <w:tr w14:paraId="3FD3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C83684">
            <w:pPr>
              <w:jc w:val="center"/>
            </w:pPr>
            <w:r>
              <w:rPr>
                <w:rFonts w:hint="eastAsia"/>
              </w:rPr>
              <w:t>3</w:t>
            </w:r>
          </w:p>
        </w:tc>
        <w:tc>
          <w:tcPr>
            <w:tcW w:w="1135" w:type="dxa"/>
            <w:vAlign w:val="center"/>
          </w:tcPr>
          <w:p w14:paraId="7C226941">
            <w:r>
              <w:rPr>
                <w:rFonts w:hint="eastAsia"/>
              </w:rPr>
              <w:t>230203</w:t>
            </w:r>
          </w:p>
        </w:tc>
        <w:tc>
          <w:tcPr>
            <w:tcW w:w="1882" w:type="dxa"/>
            <w:vAlign w:val="center"/>
          </w:tcPr>
          <w:p w14:paraId="2E8E5DA1">
            <w:r>
              <w:rPr>
                <w:rFonts w:hint="eastAsia"/>
              </w:rPr>
              <w:t>23国开03</w:t>
            </w:r>
          </w:p>
        </w:tc>
        <w:tc>
          <w:tcPr>
            <w:tcW w:w="1113" w:type="dxa"/>
            <w:vAlign w:val="center"/>
          </w:tcPr>
          <w:p w14:paraId="324137A6">
            <w:pPr>
              <w:jc w:val="right"/>
            </w:pPr>
            <w:r>
              <w:rPr>
                <w:rFonts w:hint="eastAsia"/>
              </w:rPr>
              <w:t>100,000</w:t>
            </w:r>
          </w:p>
        </w:tc>
        <w:tc>
          <w:tcPr>
            <w:tcW w:w="1771" w:type="dxa"/>
            <w:vAlign w:val="center"/>
          </w:tcPr>
          <w:p w14:paraId="28795FE1">
            <w:pPr>
              <w:jc w:val="right"/>
            </w:pPr>
            <w:r>
              <w:rPr>
                <w:rFonts w:hint="eastAsia"/>
              </w:rPr>
              <w:t>10,484,520.55</w:t>
            </w:r>
          </w:p>
        </w:tc>
        <w:tc>
          <w:tcPr>
            <w:tcW w:w="1771" w:type="dxa"/>
            <w:vAlign w:val="center"/>
          </w:tcPr>
          <w:p w14:paraId="79B19BDF">
            <w:pPr>
              <w:jc w:val="right"/>
            </w:pPr>
            <w:r>
              <w:rPr>
                <w:rFonts w:hint="eastAsia"/>
              </w:rPr>
              <w:t>15.61</w:t>
            </w:r>
          </w:p>
        </w:tc>
      </w:tr>
      <w:tr w14:paraId="52D5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26923F">
            <w:pPr>
              <w:jc w:val="center"/>
            </w:pPr>
            <w:r>
              <w:rPr>
                <w:rFonts w:hint="eastAsia"/>
              </w:rPr>
              <w:t>4</w:t>
            </w:r>
          </w:p>
        </w:tc>
        <w:tc>
          <w:tcPr>
            <w:tcW w:w="1135" w:type="dxa"/>
            <w:vAlign w:val="center"/>
          </w:tcPr>
          <w:p w14:paraId="75E44B47">
            <w:r>
              <w:rPr>
                <w:rFonts w:hint="eastAsia"/>
              </w:rPr>
              <w:t>230208</w:t>
            </w:r>
          </w:p>
        </w:tc>
        <w:tc>
          <w:tcPr>
            <w:tcW w:w="1882" w:type="dxa"/>
            <w:vAlign w:val="center"/>
          </w:tcPr>
          <w:p w14:paraId="0A400B21">
            <w:r>
              <w:rPr>
                <w:rFonts w:hint="eastAsia"/>
              </w:rPr>
              <w:t>23国开08</w:t>
            </w:r>
          </w:p>
        </w:tc>
        <w:tc>
          <w:tcPr>
            <w:tcW w:w="1113" w:type="dxa"/>
            <w:vAlign w:val="center"/>
          </w:tcPr>
          <w:p w14:paraId="6BC51F8D">
            <w:pPr>
              <w:jc w:val="right"/>
            </w:pPr>
            <w:r>
              <w:rPr>
                <w:rFonts w:hint="eastAsia"/>
              </w:rPr>
              <w:t>100,000</w:t>
            </w:r>
          </w:p>
        </w:tc>
        <w:tc>
          <w:tcPr>
            <w:tcW w:w="1771" w:type="dxa"/>
            <w:vAlign w:val="center"/>
          </w:tcPr>
          <w:p w14:paraId="40DD5B71">
            <w:pPr>
              <w:jc w:val="right"/>
            </w:pPr>
            <w:r>
              <w:rPr>
                <w:rFonts w:hint="eastAsia"/>
              </w:rPr>
              <w:t>10,357,580.82</w:t>
            </w:r>
          </w:p>
        </w:tc>
        <w:tc>
          <w:tcPr>
            <w:tcW w:w="1771" w:type="dxa"/>
            <w:vAlign w:val="center"/>
          </w:tcPr>
          <w:p w14:paraId="36E9C482">
            <w:pPr>
              <w:jc w:val="right"/>
            </w:pPr>
            <w:r>
              <w:rPr>
                <w:rFonts w:hint="eastAsia"/>
              </w:rPr>
              <w:t>15.42</w:t>
            </w:r>
          </w:p>
        </w:tc>
      </w:tr>
      <w:tr w14:paraId="47B3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8C0D4E">
            <w:pPr>
              <w:jc w:val="center"/>
            </w:pPr>
            <w:r>
              <w:rPr>
                <w:rFonts w:hint="eastAsia"/>
              </w:rPr>
              <w:t>5</w:t>
            </w:r>
          </w:p>
        </w:tc>
        <w:tc>
          <w:tcPr>
            <w:tcW w:w="1135" w:type="dxa"/>
            <w:vAlign w:val="center"/>
          </w:tcPr>
          <w:p w14:paraId="7AFF543C">
            <w:r>
              <w:rPr>
                <w:rFonts w:hint="eastAsia"/>
              </w:rPr>
              <w:t>220208</w:t>
            </w:r>
          </w:p>
        </w:tc>
        <w:tc>
          <w:tcPr>
            <w:tcW w:w="1882" w:type="dxa"/>
            <w:vAlign w:val="center"/>
          </w:tcPr>
          <w:p w14:paraId="07371869">
            <w:r>
              <w:rPr>
                <w:rFonts w:hint="eastAsia"/>
              </w:rPr>
              <w:t>22国开08</w:t>
            </w:r>
          </w:p>
        </w:tc>
        <w:tc>
          <w:tcPr>
            <w:tcW w:w="1113" w:type="dxa"/>
            <w:vAlign w:val="center"/>
          </w:tcPr>
          <w:p w14:paraId="28C21552">
            <w:pPr>
              <w:jc w:val="right"/>
            </w:pPr>
            <w:r>
              <w:rPr>
                <w:rFonts w:hint="eastAsia"/>
              </w:rPr>
              <w:t>100,000</w:t>
            </w:r>
          </w:p>
        </w:tc>
        <w:tc>
          <w:tcPr>
            <w:tcW w:w="1771" w:type="dxa"/>
            <w:vAlign w:val="center"/>
          </w:tcPr>
          <w:p w14:paraId="3630669D">
            <w:pPr>
              <w:jc w:val="right"/>
            </w:pPr>
            <w:r>
              <w:rPr>
                <w:rFonts w:hint="eastAsia"/>
              </w:rPr>
              <w:t>10,301,660.27</w:t>
            </w:r>
          </w:p>
        </w:tc>
        <w:tc>
          <w:tcPr>
            <w:tcW w:w="1771" w:type="dxa"/>
            <w:vAlign w:val="center"/>
          </w:tcPr>
          <w:p w14:paraId="5DCCD851">
            <w:pPr>
              <w:jc w:val="right"/>
            </w:pPr>
            <w:r>
              <w:rPr>
                <w:rFonts w:hint="eastAsia"/>
              </w:rPr>
              <w:t>15.34</w:t>
            </w:r>
          </w:p>
        </w:tc>
      </w:tr>
    </w:tbl>
    <w:p w14:paraId="14F3FE57">
      <w:pPr>
        <w:pStyle w:val="23"/>
      </w:pPr>
      <w:bookmarkStart w:id="164" w:name="_Toc17500"/>
      <w:r>
        <w:t>期末按公允价值占基金资产净值比例大小排序的所有资产支持证券投资明细</w:t>
      </w:r>
      <w:bookmarkEnd w:id="164"/>
    </w:p>
    <w:p w14:paraId="454F033C">
      <w:pPr>
        <w:pStyle w:val="18"/>
        <w:rPr>
          <w:rFonts w:hint="eastAsia"/>
        </w:rPr>
      </w:pPr>
      <w:r>
        <w:rPr>
          <w:rFonts w:hint="eastAsia"/>
        </w:rPr>
        <w:t>无。</w:t>
      </w:r>
    </w:p>
    <w:p w14:paraId="2C8FE421">
      <w:pPr>
        <w:pStyle w:val="23"/>
      </w:pPr>
      <w:bookmarkStart w:id="165" w:name="_Toc30731"/>
      <w:r>
        <w:t>报告期末按公允价值占基金资产净值比例大小排序的前五名贵金属投资明细</w:t>
      </w:r>
      <w:bookmarkEnd w:id="165"/>
    </w:p>
    <w:p w14:paraId="4259549B">
      <w:pPr>
        <w:pStyle w:val="18"/>
        <w:rPr>
          <w:rFonts w:hint="eastAsia"/>
        </w:rPr>
      </w:pPr>
      <w:r>
        <w:rPr>
          <w:rFonts w:hint="eastAsia"/>
        </w:rPr>
        <w:t>无。</w:t>
      </w:r>
    </w:p>
    <w:p w14:paraId="15B5546B">
      <w:pPr>
        <w:pStyle w:val="23"/>
      </w:pPr>
      <w:bookmarkStart w:id="166" w:name="_Toc29079"/>
      <w:r>
        <w:t>期末按公允价值占基金资产净值比例大小排序的前五名权证投资明细</w:t>
      </w:r>
      <w:bookmarkEnd w:id="166"/>
    </w:p>
    <w:p w14:paraId="7BC69D80">
      <w:pPr>
        <w:pStyle w:val="18"/>
        <w:rPr>
          <w:rFonts w:hint="eastAsia"/>
        </w:rPr>
      </w:pPr>
      <w:r>
        <w:rPr>
          <w:rFonts w:hint="eastAsia"/>
        </w:rPr>
        <w:t>无。</w:t>
      </w:r>
    </w:p>
    <w:p w14:paraId="660D62E0">
      <w:pPr>
        <w:pStyle w:val="23"/>
      </w:pPr>
      <w:bookmarkStart w:id="167" w:name="_Toc18715"/>
      <w:r>
        <w:t>本基金投资股指期货的投资政策</w:t>
      </w:r>
      <w:bookmarkEnd w:id="167"/>
    </w:p>
    <w:p w14:paraId="45B256E7">
      <w:pPr>
        <w:pStyle w:val="18"/>
        <w:rPr>
          <w:rFonts w:hint="eastAsia"/>
        </w:rPr>
      </w:pPr>
      <w:r>
        <w:rPr>
          <w:rFonts w:hint="eastAsia"/>
        </w:rPr>
        <w:t>无。</w:t>
      </w:r>
    </w:p>
    <w:p w14:paraId="6252A340">
      <w:pPr>
        <w:pStyle w:val="23"/>
      </w:pPr>
      <w:bookmarkStart w:id="168" w:name="_Toc12358"/>
      <w:r>
        <w:t>报告期末本基金投资的国债期货交易情况说明</w:t>
      </w:r>
      <w:bookmarkEnd w:id="168"/>
    </w:p>
    <w:p w14:paraId="24B10BBB">
      <w:pPr>
        <w:pStyle w:val="28"/>
      </w:pPr>
      <w:bookmarkStart w:id="169" w:name="_Toc169"/>
      <w:r>
        <w:t>本期国债期货投资政策</w:t>
      </w:r>
      <w:bookmarkEnd w:id="169"/>
    </w:p>
    <w:p w14:paraId="455DC533">
      <w:pPr>
        <w:pStyle w:val="18"/>
        <w:rPr>
          <w:rFonts w:hint="eastAsia"/>
        </w:rPr>
      </w:pPr>
      <w:r>
        <w:rPr>
          <w:rFonts w:hint="eastAsia"/>
        </w:rPr>
        <w:t>无。</w:t>
      </w:r>
    </w:p>
    <w:p w14:paraId="6E8EF220">
      <w:pPr>
        <w:pStyle w:val="28"/>
      </w:pPr>
      <w:bookmarkStart w:id="170" w:name="_Toc170"/>
      <w:r>
        <w:t>本期国债期货投资评价</w:t>
      </w:r>
      <w:bookmarkEnd w:id="170"/>
    </w:p>
    <w:p w14:paraId="205FD42C">
      <w:pPr>
        <w:pStyle w:val="18"/>
        <w:rPr>
          <w:rFonts w:hint="eastAsia"/>
        </w:rPr>
      </w:pPr>
      <w:r>
        <w:rPr>
          <w:rFonts w:hint="eastAsia"/>
        </w:rPr>
        <w:t>无。</w:t>
      </w:r>
    </w:p>
    <w:p w14:paraId="4BD709FD">
      <w:pPr>
        <w:pStyle w:val="23"/>
      </w:pPr>
      <w:bookmarkStart w:id="171" w:name="_Toc17171"/>
      <w:r>
        <w:t>投资组合报告附注</w:t>
      </w:r>
      <w:bookmarkEnd w:id="171"/>
    </w:p>
    <w:p w14:paraId="40E46885">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031D5405">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5C951815">
      <w:pPr>
        <w:pStyle w:val="18"/>
        <w:rPr>
          <w:rFonts w:hint="eastAsia"/>
        </w:rPr>
      </w:pPr>
      <w:r>
        <w:rPr>
          <w:rFonts w:hint="eastAsia"/>
        </w:rPr>
        <w:t>对上述证券的投资决策程序的说明：本基金投资上述证券的投资决策程序符合相关法律法规和公司制度的要求。</w:t>
      </w:r>
    </w:p>
    <w:p w14:paraId="1BDF2CC6">
      <w:pPr>
        <w:pStyle w:val="28"/>
      </w:pPr>
      <w:bookmarkStart w:id="173" w:name="_Toc173"/>
      <w:r>
        <w:t xml:space="preserve">声明基金投资的前十名股票是否超出基金合同规定的备选股票库。如是，还应对相关股票的投资决策程序做出说明 </w:t>
      </w:r>
      <w:bookmarkEnd w:id="173"/>
    </w:p>
    <w:p w14:paraId="7A917EE8">
      <w:pPr>
        <w:pStyle w:val="18"/>
        <w:rPr>
          <w:rFonts w:hint="eastAsia"/>
        </w:rPr>
      </w:pPr>
      <w:r>
        <w:rPr>
          <w:rFonts w:hint="eastAsia"/>
        </w:rPr>
        <w:t>本基金投资的前十名股票（如有）没有超出基金合同规定的备选股票库，本基金管理人从制度和流程上要求股票必须先入库再买入。</w:t>
      </w:r>
    </w:p>
    <w:p w14:paraId="57BD9D74">
      <w:pPr>
        <w:pStyle w:val="28"/>
      </w:pPr>
      <w:bookmarkStart w:id="174" w:name="_Toc174"/>
      <w:r>
        <w:t>期末其他各项资产构成</w:t>
      </w:r>
      <w:bookmarkEnd w:id="174"/>
    </w:p>
    <w:p w14:paraId="75C876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032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3100A73">
            <w:pPr>
              <w:jc w:val="center"/>
            </w:pPr>
            <w:r>
              <w:rPr>
                <w:rFonts w:hint="eastAsia"/>
                <w:b/>
              </w:rPr>
              <w:t>序号</w:t>
            </w:r>
          </w:p>
        </w:tc>
        <w:tc>
          <w:tcPr>
            <w:tcW w:w="2907" w:type="dxa"/>
            <w:shd w:val="clear" w:color="auto" w:fill="BFBFBF"/>
            <w:vAlign w:val="center"/>
          </w:tcPr>
          <w:p w14:paraId="5496FC1A">
            <w:pPr>
              <w:jc w:val="center"/>
            </w:pPr>
            <w:r>
              <w:rPr>
                <w:rFonts w:hint="eastAsia"/>
                <w:b/>
              </w:rPr>
              <w:t>名称</w:t>
            </w:r>
          </w:p>
        </w:tc>
        <w:tc>
          <w:tcPr>
            <w:tcW w:w="4673" w:type="dxa"/>
            <w:shd w:val="clear" w:color="auto" w:fill="BFBFBF"/>
            <w:vAlign w:val="center"/>
          </w:tcPr>
          <w:p w14:paraId="6581EA75">
            <w:pPr>
              <w:jc w:val="center"/>
            </w:pPr>
            <w:r>
              <w:rPr>
                <w:rFonts w:hint="eastAsia"/>
                <w:b/>
              </w:rPr>
              <w:t>金额（元）</w:t>
            </w:r>
          </w:p>
        </w:tc>
      </w:tr>
      <w:tr w14:paraId="7498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DECE95">
            <w:pPr>
              <w:jc w:val="center"/>
            </w:pPr>
            <w:r>
              <w:rPr>
                <w:rFonts w:hint="eastAsia"/>
              </w:rPr>
              <w:t>1</w:t>
            </w:r>
          </w:p>
        </w:tc>
        <w:tc>
          <w:tcPr>
            <w:tcW w:w="2907" w:type="dxa"/>
            <w:vAlign w:val="center"/>
          </w:tcPr>
          <w:p w14:paraId="4CE15F7D">
            <w:r>
              <w:rPr>
                <w:rFonts w:hint="eastAsia"/>
              </w:rPr>
              <w:t>存出保证金</w:t>
            </w:r>
          </w:p>
        </w:tc>
        <w:tc>
          <w:tcPr>
            <w:tcW w:w="4673" w:type="dxa"/>
            <w:vAlign w:val="center"/>
          </w:tcPr>
          <w:p w14:paraId="1CA95F7C">
            <w:pPr>
              <w:jc w:val="right"/>
            </w:pPr>
            <w:r>
              <w:rPr>
                <w:rFonts w:hint="eastAsia"/>
              </w:rPr>
              <w:t>18,324.40</w:t>
            </w:r>
          </w:p>
        </w:tc>
      </w:tr>
      <w:tr w14:paraId="27A4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2FC951">
            <w:pPr>
              <w:jc w:val="center"/>
            </w:pPr>
            <w:r>
              <w:rPr>
                <w:rFonts w:hint="eastAsia"/>
              </w:rPr>
              <w:t>2</w:t>
            </w:r>
          </w:p>
        </w:tc>
        <w:tc>
          <w:tcPr>
            <w:tcW w:w="2907" w:type="dxa"/>
            <w:vAlign w:val="center"/>
          </w:tcPr>
          <w:p w14:paraId="58968040">
            <w:r>
              <w:rPr>
                <w:rFonts w:hint="eastAsia"/>
              </w:rPr>
              <w:t>应收清算款</w:t>
            </w:r>
          </w:p>
        </w:tc>
        <w:tc>
          <w:tcPr>
            <w:tcW w:w="4673" w:type="dxa"/>
            <w:vAlign w:val="center"/>
          </w:tcPr>
          <w:p w14:paraId="42F98892">
            <w:pPr>
              <w:jc w:val="right"/>
            </w:pPr>
            <w:r>
              <w:rPr>
                <w:rFonts w:hint="eastAsia"/>
              </w:rPr>
              <w:t>-</w:t>
            </w:r>
          </w:p>
        </w:tc>
      </w:tr>
      <w:tr w14:paraId="7A05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981C08">
            <w:pPr>
              <w:jc w:val="center"/>
            </w:pPr>
            <w:r>
              <w:rPr>
                <w:rFonts w:hint="eastAsia"/>
              </w:rPr>
              <w:t>3</w:t>
            </w:r>
          </w:p>
        </w:tc>
        <w:tc>
          <w:tcPr>
            <w:tcW w:w="2907" w:type="dxa"/>
            <w:vAlign w:val="center"/>
          </w:tcPr>
          <w:p w14:paraId="2F9162D7">
            <w:r>
              <w:rPr>
                <w:rFonts w:hint="eastAsia"/>
              </w:rPr>
              <w:t>应收股利</w:t>
            </w:r>
          </w:p>
        </w:tc>
        <w:tc>
          <w:tcPr>
            <w:tcW w:w="4673" w:type="dxa"/>
            <w:vAlign w:val="center"/>
          </w:tcPr>
          <w:p w14:paraId="5EC3C635">
            <w:pPr>
              <w:jc w:val="right"/>
            </w:pPr>
            <w:r>
              <w:rPr>
                <w:rFonts w:hint="eastAsia"/>
              </w:rPr>
              <w:t>-</w:t>
            </w:r>
          </w:p>
        </w:tc>
      </w:tr>
      <w:tr w14:paraId="2C3D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8767DE">
            <w:pPr>
              <w:jc w:val="center"/>
            </w:pPr>
            <w:r>
              <w:rPr>
                <w:rFonts w:hint="eastAsia"/>
              </w:rPr>
              <w:t>4</w:t>
            </w:r>
          </w:p>
        </w:tc>
        <w:tc>
          <w:tcPr>
            <w:tcW w:w="2907" w:type="dxa"/>
            <w:vAlign w:val="center"/>
          </w:tcPr>
          <w:p w14:paraId="535BAE00">
            <w:r>
              <w:rPr>
                <w:rFonts w:hint="eastAsia"/>
              </w:rPr>
              <w:t>应收利息</w:t>
            </w:r>
          </w:p>
        </w:tc>
        <w:tc>
          <w:tcPr>
            <w:tcW w:w="4673" w:type="dxa"/>
            <w:vAlign w:val="center"/>
          </w:tcPr>
          <w:p w14:paraId="41B8B37D">
            <w:pPr>
              <w:jc w:val="right"/>
            </w:pPr>
            <w:r>
              <w:rPr>
                <w:rFonts w:hint="eastAsia"/>
              </w:rPr>
              <w:t>-</w:t>
            </w:r>
          </w:p>
        </w:tc>
      </w:tr>
      <w:tr w14:paraId="5679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8CFB5B">
            <w:pPr>
              <w:jc w:val="center"/>
            </w:pPr>
            <w:r>
              <w:rPr>
                <w:rFonts w:hint="eastAsia"/>
              </w:rPr>
              <w:t>5</w:t>
            </w:r>
          </w:p>
        </w:tc>
        <w:tc>
          <w:tcPr>
            <w:tcW w:w="2907" w:type="dxa"/>
            <w:vAlign w:val="center"/>
          </w:tcPr>
          <w:p w14:paraId="49024AAA">
            <w:r>
              <w:rPr>
                <w:rFonts w:hint="eastAsia"/>
              </w:rPr>
              <w:t>应收申购款</w:t>
            </w:r>
          </w:p>
        </w:tc>
        <w:tc>
          <w:tcPr>
            <w:tcW w:w="4673" w:type="dxa"/>
            <w:vAlign w:val="center"/>
          </w:tcPr>
          <w:p w14:paraId="3EE63E53">
            <w:pPr>
              <w:jc w:val="right"/>
            </w:pPr>
            <w:r>
              <w:rPr>
                <w:rFonts w:hint="eastAsia"/>
              </w:rPr>
              <w:t>-</w:t>
            </w:r>
          </w:p>
        </w:tc>
      </w:tr>
      <w:tr w14:paraId="1E3F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B35E78">
            <w:pPr>
              <w:jc w:val="center"/>
            </w:pPr>
            <w:r>
              <w:rPr>
                <w:rFonts w:hint="eastAsia"/>
              </w:rPr>
              <w:t>6</w:t>
            </w:r>
          </w:p>
        </w:tc>
        <w:tc>
          <w:tcPr>
            <w:tcW w:w="2907" w:type="dxa"/>
            <w:vAlign w:val="center"/>
          </w:tcPr>
          <w:p w14:paraId="5A7FD511">
            <w:r>
              <w:rPr>
                <w:rFonts w:hint="eastAsia"/>
              </w:rPr>
              <w:t>其他应收款</w:t>
            </w:r>
          </w:p>
        </w:tc>
        <w:tc>
          <w:tcPr>
            <w:tcW w:w="4673" w:type="dxa"/>
            <w:vAlign w:val="center"/>
          </w:tcPr>
          <w:p w14:paraId="6E95F4E4">
            <w:pPr>
              <w:jc w:val="right"/>
            </w:pPr>
            <w:r>
              <w:rPr>
                <w:rFonts w:hint="eastAsia"/>
              </w:rPr>
              <w:t>-</w:t>
            </w:r>
          </w:p>
        </w:tc>
      </w:tr>
      <w:tr w14:paraId="2C26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DA3812">
            <w:pPr>
              <w:jc w:val="center"/>
            </w:pPr>
            <w:r>
              <w:rPr>
                <w:rFonts w:hint="eastAsia"/>
              </w:rPr>
              <w:t>7</w:t>
            </w:r>
          </w:p>
        </w:tc>
        <w:tc>
          <w:tcPr>
            <w:tcW w:w="2907" w:type="dxa"/>
            <w:vAlign w:val="center"/>
          </w:tcPr>
          <w:p w14:paraId="708C8EB1">
            <w:r>
              <w:rPr>
                <w:rFonts w:hint="eastAsia"/>
              </w:rPr>
              <w:t>待摊费用</w:t>
            </w:r>
          </w:p>
        </w:tc>
        <w:tc>
          <w:tcPr>
            <w:tcW w:w="4673" w:type="dxa"/>
            <w:vAlign w:val="center"/>
          </w:tcPr>
          <w:p w14:paraId="3CE117A3">
            <w:pPr>
              <w:jc w:val="right"/>
            </w:pPr>
            <w:r>
              <w:rPr>
                <w:rFonts w:hint="eastAsia"/>
              </w:rPr>
              <w:t>-</w:t>
            </w:r>
          </w:p>
        </w:tc>
      </w:tr>
      <w:tr w14:paraId="5C8B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69E3B7">
            <w:pPr>
              <w:jc w:val="center"/>
            </w:pPr>
            <w:r>
              <w:rPr>
                <w:rFonts w:hint="eastAsia"/>
              </w:rPr>
              <w:t>8</w:t>
            </w:r>
          </w:p>
        </w:tc>
        <w:tc>
          <w:tcPr>
            <w:tcW w:w="2907" w:type="dxa"/>
            <w:vAlign w:val="center"/>
          </w:tcPr>
          <w:p w14:paraId="50B2888B">
            <w:r>
              <w:rPr>
                <w:rFonts w:hint="eastAsia"/>
              </w:rPr>
              <w:t>其他</w:t>
            </w:r>
          </w:p>
        </w:tc>
        <w:tc>
          <w:tcPr>
            <w:tcW w:w="4673" w:type="dxa"/>
            <w:vAlign w:val="center"/>
          </w:tcPr>
          <w:p w14:paraId="32A224CF">
            <w:pPr>
              <w:jc w:val="right"/>
            </w:pPr>
            <w:r>
              <w:rPr>
                <w:rFonts w:hint="eastAsia"/>
              </w:rPr>
              <w:t>-</w:t>
            </w:r>
          </w:p>
        </w:tc>
      </w:tr>
      <w:tr w14:paraId="032E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481040">
            <w:pPr>
              <w:jc w:val="center"/>
            </w:pPr>
            <w:r>
              <w:rPr>
                <w:rFonts w:hint="eastAsia"/>
              </w:rPr>
              <w:t>9</w:t>
            </w:r>
          </w:p>
        </w:tc>
        <w:tc>
          <w:tcPr>
            <w:tcW w:w="2907" w:type="dxa"/>
            <w:vAlign w:val="center"/>
          </w:tcPr>
          <w:p w14:paraId="5C9D2FC6">
            <w:r>
              <w:rPr>
                <w:rFonts w:hint="eastAsia"/>
              </w:rPr>
              <w:t>合计</w:t>
            </w:r>
          </w:p>
        </w:tc>
        <w:tc>
          <w:tcPr>
            <w:tcW w:w="4673" w:type="dxa"/>
            <w:vAlign w:val="center"/>
          </w:tcPr>
          <w:p w14:paraId="7FD95165">
            <w:pPr>
              <w:jc w:val="right"/>
            </w:pPr>
            <w:r>
              <w:rPr>
                <w:rFonts w:hint="eastAsia"/>
              </w:rPr>
              <w:t>18,324.40</w:t>
            </w:r>
          </w:p>
        </w:tc>
      </w:tr>
    </w:tbl>
    <w:p w14:paraId="31B2FEE8">
      <w:pPr>
        <w:pStyle w:val="28"/>
      </w:pPr>
      <w:bookmarkStart w:id="175" w:name="_Toc175"/>
      <w:r>
        <w:t>期末持有的处于转股期的可转换债券明细</w:t>
      </w:r>
      <w:bookmarkEnd w:id="175"/>
    </w:p>
    <w:p w14:paraId="5D87F296">
      <w:pPr>
        <w:pStyle w:val="18"/>
        <w:rPr>
          <w:rFonts w:hint="eastAsia"/>
        </w:rPr>
      </w:pPr>
      <w:r>
        <w:rPr>
          <w:rFonts w:hint="eastAsia"/>
        </w:rPr>
        <w:t>本基金本报告期末未持有处于转股期的可转换债券。</w:t>
      </w:r>
    </w:p>
    <w:p w14:paraId="0095EE2A">
      <w:pPr>
        <w:pStyle w:val="28"/>
      </w:pPr>
      <w:bookmarkStart w:id="176" w:name="_Toc176"/>
      <w:r>
        <w:t>报告期末前十名股票中存在流通受限情况的说明</w:t>
      </w:r>
      <w:bookmarkEnd w:id="176"/>
    </w:p>
    <w:p w14:paraId="6D2CD906">
      <w:pPr>
        <w:pStyle w:val="18"/>
        <w:rPr>
          <w:rFonts w:hint="eastAsia"/>
        </w:rPr>
      </w:pPr>
      <w:r>
        <w:rPr>
          <w:rFonts w:hint="eastAsia"/>
        </w:rPr>
        <w:t>无。</w:t>
      </w:r>
    </w:p>
    <w:p w14:paraId="599B37D5">
      <w:pPr>
        <w:pStyle w:val="26"/>
      </w:pPr>
      <w:bookmarkStart w:id="177" w:name="_Toc15728"/>
      <w:r>
        <w:t>基金份额持有人信息</w:t>
      </w:r>
      <w:bookmarkEnd w:id="177"/>
    </w:p>
    <w:p w14:paraId="557CB472">
      <w:pPr>
        <w:pStyle w:val="23"/>
      </w:pPr>
      <w:bookmarkStart w:id="178" w:name="_Toc21249"/>
      <w:r>
        <w:t>期末基金份额持有人户数及持有人结构</w:t>
      </w:r>
      <w:bookmarkEnd w:id="178"/>
    </w:p>
    <w:p w14:paraId="5B8049E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3276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4426350E">
            <w:pPr>
              <w:jc w:val="center"/>
            </w:pPr>
            <w:r>
              <w:rPr>
                <w:rFonts w:hint="eastAsia"/>
                <w:b/>
              </w:rPr>
              <w:t>持有人户数（户）</w:t>
            </w:r>
          </w:p>
        </w:tc>
        <w:tc>
          <w:tcPr>
            <w:tcW w:w="1960" w:type="dxa"/>
            <w:vMerge w:val="restart"/>
            <w:shd w:val="clear" w:color="auto" w:fill="BFBFBF"/>
            <w:vAlign w:val="center"/>
          </w:tcPr>
          <w:p w14:paraId="6191F842">
            <w:pPr>
              <w:jc w:val="center"/>
            </w:pPr>
            <w:r>
              <w:rPr>
                <w:rFonts w:hint="eastAsia"/>
                <w:b/>
              </w:rPr>
              <w:t>户均持有的基金份额</w:t>
            </w:r>
          </w:p>
        </w:tc>
        <w:tc>
          <w:tcPr>
            <w:tcW w:w="2063" w:type="dxa"/>
            <w:gridSpan w:val="4"/>
            <w:shd w:val="clear" w:color="auto" w:fill="BFBFBF"/>
            <w:vAlign w:val="center"/>
          </w:tcPr>
          <w:p w14:paraId="6E6F13FC">
            <w:pPr>
              <w:jc w:val="center"/>
            </w:pPr>
            <w:r>
              <w:rPr>
                <w:rFonts w:hint="eastAsia"/>
                <w:b/>
              </w:rPr>
              <w:t>持有人结构</w:t>
            </w:r>
          </w:p>
        </w:tc>
      </w:tr>
      <w:tr w14:paraId="0627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B5FA45E"/>
        </w:tc>
        <w:tc>
          <w:tcPr>
            <w:tcW w:w="1960" w:type="dxa"/>
            <w:vMerge w:val="continue"/>
            <w:vAlign w:val="center"/>
          </w:tcPr>
          <w:p w14:paraId="6706AEDF"/>
        </w:tc>
        <w:tc>
          <w:tcPr>
            <w:tcW w:w="2063" w:type="dxa"/>
            <w:gridSpan w:val="2"/>
            <w:shd w:val="clear" w:color="auto" w:fill="BFBFBF"/>
            <w:vAlign w:val="center"/>
          </w:tcPr>
          <w:p w14:paraId="0BCBA033">
            <w:pPr>
              <w:jc w:val="center"/>
            </w:pPr>
            <w:r>
              <w:rPr>
                <w:rFonts w:hint="eastAsia"/>
                <w:b/>
              </w:rPr>
              <w:t>机构投资者</w:t>
            </w:r>
          </w:p>
        </w:tc>
        <w:tc>
          <w:tcPr>
            <w:tcW w:w="2063" w:type="dxa"/>
            <w:gridSpan w:val="2"/>
            <w:shd w:val="clear" w:color="auto" w:fill="BFBFBF"/>
            <w:vAlign w:val="center"/>
          </w:tcPr>
          <w:p w14:paraId="3C071C3F">
            <w:pPr>
              <w:jc w:val="center"/>
            </w:pPr>
            <w:r>
              <w:rPr>
                <w:rFonts w:hint="eastAsia"/>
                <w:b/>
              </w:rPr>
              <w:t>个人投资者</w:t>
            </w:r>
          </w:p>
        </w:tc>
      </w:tr>
      <w:tr w14:paraId="6B8E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CA8B739"/>
        </w:tc>
        <w:tc>
          <w:tcPr>
            <w:tcW w:w="1960" w:type="dxa"/>
            <w:vMerge w:val="continue"/>
            <w:vAlign w:val="center"/>
          </w:tcPr>
          <w:p w14:paraId="324D5780"/>
        </w:tc>
        <w:tc>
          <w:tcPr>
            <w:tcW w:w="2063" w:type="dxa"/>
            <w:shd w:val="clear" w:color="auto" w:fill="BFBFBF"/>
            <w:vAlign w:val="center"/>
          </w:tcPr>
          <w:p w14:paraId="326F2ED6">
            <w:pPr>
              <w:jc w:val="center"/>
            </w:pPr>
            <w:r>
              <w:rPr>
                <w:rFonts w:hint="eastAsia"/>
                <w:b/>
              </w:rPr>
              <w:t>持有份额</w:t>
            </w:r>
          </w:p>
        </w:tc>
        <w:tc>
          <w:tcPr>
            <w:tcW w:w="773" w:type="dxa"/>
            <w:shd w:val="clear" w:color="auto" w:fill="BFBFBF"/>
            <w:vAlign w:val="center"/>
          </w:tcPr>
          <w:p w14:paraId="76261AAC">
            <w:pPr>
              <w:jc w:val="center"/>
            </w:pPr>
            <w:r>
              <w:rPr>
                <w:rFonts w:hint="eastAsia"/>
                <w:b/>
              </w:rPr>
              <w:t>占总份额比例</w:t>
            </w:r>
          </w:p>
        </w:tc>
        <w:tc>
          <w:tcPr>
            <w:tcW w:w="2063" w:type="dxa"/>
            <w:shd w:val="clear" w:color="auto" w:fill="BFBFBF"/>
            <w:vAlign w:val="center"/>
          </w:tcPr>
          <w:p w14:paraId="1CD30DBD">
            <w:pPr>
              <w:jc w:val="center"/>
            </w:pPr>
            <w:r>
              <w:rPr>
                <w:rFonts w:hint="eastAsia"/>
                <w:b/>
              </w:rPr>
              <w:t>持有份额</w:t>
            </w:r>
          </w:p>
        </w:tc>
        <w:tc>
          <w:tcPr>
            <w:tcW w:w="773" w:type="dxa"/>
            <w:shd w:val="clear" w:color="auto" w:fill="BFBFBF"/>
            <w:vAlign w:val="center"/>
          </w:tcPr>
          <w:p w14:paraId="515CB391">
            <w:pPr>
              <w:jc w:val="center"/>
            </w:pPr>
            <w:r>
              <w:rPr>
                <w:rFonts w:hint="eastAsia"/>
                <w:b/>
              </w:rPr>
              <w:t>占总份额比例</w:t>
            </w:r>
          </w:p>
        </w:tc>
      </w:tr>
      <w:tr w14:paraId="5BEC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D164FB4">
            <w:pPr>
              <w:jc w:val="right"/>
            </w:pPr>
            <w:r>
              <w:rPr>
                <w:rFonts w:hint="eastAsia"/>
              </w:rPr>
              <w:t>659</w:t>
            </w:r>
          </w:p>
        </w:tc>
        <w:tc>
          <w:tcPr>
            <w:tcW w:w="1960" w:type="dxa"/>
            <w:vAlign w:val="center"/>
          </w:tcPr>
          <w:p w14:paraId="625C99C5">
            <w:pPr>
              <w:jc w:val="right"/>
            </w:pPr>
            <w:r>
              <w:rPr>
                <w:rFonts w:hint="eastAsia"/>
              </w:rPr>
              <w:t>82,603.00</w:t>
            </w:r>
          </w:p>
        </w:tc>
        <w:tc>
          <w:tcPr>
            <w:tcW w:w="2063" w:type="dxa"/>
            <w:vAlign w:val="center"/>
          </w:tcPr>
          <w:p w14:paraId="0E7669D7">
            <w:pPr>
              <w:jc w:val="right"/>
            </w:pPr>
            <w:r>
              <w:rPr>
                <w:rFonts w:hint="eastAsia"/>
              </w:rPr>
              <w:t>54,435,375.95</w:t>
            </w:r>
          </w:p>
        </w:tc>
        <w:tc>
          <w:tcPr>
            <w:tcW w:w="773" w:type="dxa"/>
            <w:vAlign w:val="center"/>
          </w:tcPr>
          <w:p w14:paraId="718CF332">
            <w:pPr>
              <w:jc w:val="right"/>
            </w:pPr>
            <w:r>
              <w:rPr>
                <w:rFonts w:hint="eastAsia"/>
              </w:rPr>
              <w:t>100.00%</w:t>
            </w:r>
          </w:p>
        </w:tc>
        <w:tc>
          <w:tcPr>
            <w:tcW w:w="2063" w:type="dxa"/>
            <w:vAlign w:val="center"/>
          </w:tcPr>
          <w:p w14:paraId="35E22663">
            <w:pPr>
              <w:jc w:val="right"/>
            </w:pPr>
            <w:r>
              <w:rPr>
                <w:rFonts w:hint="eastAsia"/>
              </w:rPr>
              <w:t>-</w:t>
            </w:r>
          </w:p>
        </w:tc>
        <w:tc>
          <w:tcPr>
            <w:tcW w:w="773" w:type="dxa"/>
            <w:vAlign w:val="center"/>
          </w:tcPr>
          <w:p w14:paraId="3C41BD58">
            <w:pPr>
              <w:jc w:val="right"/>
            </w:pPr>
            <w:r>
              <w:rPr>
                <w:rFonts w:hint="eastAsia"/>
              </w:rPr>
              <w:t>-</w:t>
            </w:r>
          </w:p>
        </w:tc>
      </w:tr>
    </w:tbl>
    <w:p w14:paraId="03344BF9">
      <w:pPr>
        <w:pStyle w:val="23"/>
      </w:pPr>
      <w:bookmarkStart w:id="179" w:name="_Toc28036"/>
      <w:r>
        <w:t>期末基金管理人的从业人员持有本基金的情况</w:t>
      </w:r>
      <w:bookmarkEnd w:id="179"/>
    </w:p>
    <w:p w14:paraId="6FCFF4FE">
      <w:pPr>
        <w:pStyle w:val="18"/>
        <w:rPr>
          <w:rFonts w:hint="eastAsia"/>
        </w:rPr>
      </w:pPr>
      <w:r>
        <w:rPr>
          <w:rFonts w:hint="eastAsia"/>
        </w:rPr>
        <w:t>本公司的所有从业人员(包含高级管理人员、基金投资和研究部门负责人和本基金基金经理)均未持有本基金份额。</w:t>
      </w:r>
    </w:p>
    <w:p w14:paraId="5CA5C828">
      <w:pPr>
        <w:pStyle w:val="23"/>
      </w:pPr>
      <w:bookmarkStart w:id="180" w:name="_Toc4297"/>
      <w:r>
        <w:t>期末基金管理人的从业人员持有本开放式基金份额总量区间情况</w:t>
      </w:r>
      <w:bookmarkEnd w:id="180"/>
    </w:p>
    <w:p w14:paraId="6F321D11">
      <w:pPr>
        <w:pStyle w:val="18"/>
        <w:rPr>
          <w:rFonts w:hint="eastAsia"/>
        </w:rPr>
      </w:pPr>
      <w:r>
        <w:rPr>
          <w:rFonts w:hint="eastAsia"/>
        </w:rPr>
        <w:t>本公司的高级管理人员、基金投资和研究部门负责人和本基金基金经理均未持有本基金份额。</w:t>
      </w:r>
    </w:p>
    <w:p w14:paraId="2BA80376">
      <w:pPr>
        <w:pStyle w:val="23"/>
      </w:pPr>
      <w:bookmarkStart w:id="181" w:name="_Toc323"/>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A46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01DF9B0">
            <w:pPr>
              <w:jc w:val="center"/>
            </w:pPr>
            <w:r>
              <w:rPr>
                <w:rFonts w:hint="eastAsia"/>
                <w:b/>
              </w:rPr>
              <w:t>项目</w:t>
            </w:r>
          </w:p>
        </w:tc>
        <w:tc>
          <w:tcPr>
            <w:tcW w:w="1550" w:type="dxa"/>
            <w:shd w:val="clear" w:color="auto" w:fill="BFBFBF"/>
            <w:vAlign w:val="center"/>
          </w:tcPr>
          <w:p w14:paraId="70245199">
            <w:pPr>
              <w:jc w:val="center"/>
            </w:pPr>
            <w:r>
              <w:rPr>
                <w:rFonts w:hint="eastAsia"/>
                <w:b/>
              </w:rPr>
              <w:t>持有份额总数</w:t>
            </w:r>
          </w:p>
        </w:tc>
        <w:tc>
          <w:tcPr>
            <w:tcW w:w="1328" w:type="dxa"/>
            <w:shd w:val="clear" w:color="auto" w:fill="BFBFBF"/>
            <w:vAlign w:val="center"/>
          </w:tcPr>
          <w:p w14:paraId="74CD751B">
            <w:pPr>
              <w:jc w:val="center"/>
            </w:pPr>
            <w:r>
              <w:rPr>
                <w:rFonts w:hint="eastAsia"/>
                <w:b/>
              </w:rPr>
              <w:t>持有份额占基金总份额比例（%）</w:t>
            </w:r>
          </w:p>
        </w:tc>
        <w:tc>
          <w:tcPr>
            <w:tcW w:w="1550" w:type="dxa"/>
            <w:shd w:val="clear" w:color="auto" w:fill="BFBFBF"/>
            <w:vAlign w:val="center"/>
          </w:tcPr>
          <w:p w14:paraId="12A6161E">
            <w:pPr>
              <w:jc w:val="center"/>
            </w:pPr>
            <w:r>
              <w:rPr>
                <w:rFonts w:hint="eastAsia"/>
                <w:b/>
              </w:rPr>
              <w:t>发起份额总数</w:t>
            </w:r>
          </w:p>
        </w:tc>
        <w:tc>
          <w:tcPr>
            <w:tcW w:w="1273" w:type="dxa"/>
            <w:shd w:val="clear" w:color="auto" w:fill="BFBFBF"/>
            <w:vAlign w:val="center"/>
          </w:tcPr>
          <w:p w14:paraId="393D3C84">
            <w:pPr>
              <w:jc w:val="center"/>
            </w:pPr>
            <w:r>
              <w:rPr>
                <w:rFonts w:hint="eastAsia"/>
                <w:b/>
              </w:rPr>
              <w:t>发起份额占基金总份额比例（%）</w:t>
            </w:r>
          </w:p>
        </w:tc>
        <w:tc>
          <w:tcPr>
            <w:tcW w:w="1273" w:type="dxa"/>
            <w:shd w:val="clear" w:color="auto" w:fill="BFBFBF"/>
            <w:vAlign w:val="center"/>
          </w:tcPr>
          <w:p w14:paraId="460E7822">
            <w:pPr>
              <w:jc w:val="center"/>
            </w:pPr>
            <w:r>
              <w:rPr>
                <w:rFonts w:hint="eastAsia"/>
                <w:b/>
              </w:rPr>
              <w:t>发起份额承诺持有期限</w:t>
            </w:r>
          </w:p>
        </w:tc>
      </w:tr>
      <w:tr w14:paraId="75CB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B240AC9">
            <w:r>
              <w:rPr>
                <w:rFonts w:hint="eastAsia"/>
              </w:rPr>
              <w:t>基金管理人固有资金</w:t>
            </w:r>
          </w:p>
        </w:tc>
        <w:tc>
          <w:tcPr>
            <w:tcW w:w="1550" w:type="dxa"/>
            <w:vAlign w:val="center"/>
          </w:tcPr>
          <w:p w14:paraId="2D1CC82D">
            <w:pPr>
              <w:jc w:val="right"/>
            </w:pPr>
            <w:r>
              <w:rPr>
                <w:rFonts w:hint="eastAsia"/>
              </w:rPr>
              <w:t>10,000,527.83</w:t>
            </w:r>
          </w:p>
        </w:tc>
        <w:tc>
          <w:tcPr>
            <w:tcW w:w="1328" w:type="dxa"/>
            <w:vAlign w:val="center"/>
          </w:tcPr>
          <w:p w14:paraId="0A9B3995">
            <w:pPr>
              <w:jc w:val="right"/>
            </w:pPr>
            <w:r>
              <w:rPr>
                <w:rFonts w:hint="eastAsia"/>
              </w:rPr>
              <w:t>18.37</w:t>
            </w:r>
          </w:p>
        </w:tc>
        <w:tc>
          <w:tcPr>
            <w:tcW w:w="1550" w:type="dxa"/>
            <w:vAlign w:val="center"/>
          </w:tcPr>
          <w:p w14:paraId="562BD4D0">
            <w:pPr>
              <w:jc w:val="right"/>
            </w:pPr>
            <w:r>
              <w:rPr>
                <w:rFonts w:hint="eastAsia"/>
              </w:rPr>
              <w:t>10,000,527.83</w:t>
            </w:r>
          </w:p>
        </w:tc>
        <w:tc>
          <w:tcPr>
            <w:tcW w:w="1273" w:type="dxa"/>
            <w:vAlign w:val="center"/>
          </w:tcPr>
          <w:p w14:paraId="050BCCF9">
            <w:pPr>
              <w:jc w:val="right"/>
            </w:pPr>
            <w:r>
              <w:rPr>
                <w:rFonts w:hint="eastAsia"/>
              </w:rPr>
              <w:t>18.37</w:t>
            </w:r>
          </w:p>
        </w:tc>
        <w:tc>
          <w:tcPr>
            <w:tcW w:w="1273" w:type="dxa"/>
            <w:vAlign w:val="center"/>
          </w:tcPr>
          <w:p w14:paraId="00F1497A">
            <w:r>
              <w:rPr>
                <w:rFonts w:hint="eastAsia"/>
              </w:rPr>
              <w:t>自合同生效之日起不少于3年</w:t>
            </w:r>
          </w:p>
        </w:tc>
      </w:tr>
      <w:tr w14:paraId="25E1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C3D50C8">
            <w:r>
              <w:rPr>
                <w:rFonts w:hint="eastAsia"/>
              </w:rPr>
              <w:t>基金管理人高级管理人员</w:t>
            </w:r>
          </w:p>
        </w:tc>
        <w:tc>
          <w:tcPr>
            <w:tcW w:w="1550" w:type="dxa"/>
            <w:vAlign w:val="center"/>
          </w:tcPr>
          <w:p w14:paraId="11B533A5">
            <w:pPr>
              <w:jc w:val="right"/>
            </w:pPr>
            <w:r>
              <w:rPr>
                <w:rFonts w:hint="eastAsia"/>
              </w:rPr>
              <w:t>-</w:t>
            </w:r>
          </w:p>
        </w:tc>
        <w:tc>
          <w:tcPr>
            <w:tcW w:w="1328" w:type="dxa"/>
            <w:vAlign w:val="center"/>
          </w:tcPr>
          <w:p w14:paraId="1AB57B71">
            <w:pPr>
              <w:jc w:val="right"/>
            </w:pPr>
            <w:r>
              <w:rPr>
                <w:rFonts w:hint="eastAsia"/>
              </w:rPr>
              <w:t>-</w:t>
            </w:r>
          </w:p>
        </w:tc>
        <w:tc>
          <w:tcPr>
            <w:tcW w:w="1550" w:type="dxa"/>
            <w:vAlign w:val="center"/>
          </w:tcPr>
          <w:p w14:paraId="63FBC7DD">
            <w:pPr>
              <w:jc w:val="right"/>
            </w:pPr>
            <w:r>
              <w:rPr>
                <w:rFonts w:hint="eastAsia"/>
              </w:rPr>
              <w:t>-</w:t>
            </w:r>
          </w:p>
        </w:tc>
        <w:tc>
          <w:tcPr>
            <w:tcW w:w="1273" w:type="dxa"/>
            <w:vAlign w:val="center"/>
          </w:tcPr>
          <w:p w14:paraId="53E1E83F">
            <w:pPr>
              <w:jc w:val="right"/>
            </w:pPr>
            <w:r>
              <w:rPr>
                <w:rFonts w:hint="eastAsia"/>
              </w:rPr>
              <w:t>-</w:t>
            </w:r>
          </w:p>
        </w:tc>
        <w:tc>
          <w:tcPr>
            <w:tcW w:w="1273" w:type="dxa"/>
            <w:vAlign w:val="center"/>
          </w:tcPr>
          <w:p w14:paraId="7FA5B27E">
            <w:pPr>
              <w:jc w:val="right"/>
            </w:pPr>
            <w:r>
              <w:rPr>
                <w:rFonts w:hint="eastAsia"/>
              </w:rPr>
              <w:t>-</w:t>
            </w:r>
          </w:p>
        </w:tc>
      </w:tr>
      <w:tr w14:paraId="08C5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DC10188">
            <w:r>
              <w:rPr>
                <w:rFonts w:hint="eastAsia"/>
              </w:rPr>
              <w:t>基金经理等人员</w:t>
            </w:r>
          </w:p>
        </w:tc>
        <w:tc>
          <w:tcPr>
            <w:tcW w:w="1550" w:type="dxa"/>
            <w:vAlign w:val="center"/>
          </w:tcPr>
          <w:p w14:paraId="6E333395">
            <w:pPr>
              <w:jc w:val="right"/>
            </w:pPr>
            <w:r>
              <w:rPr>
                <w:rFonts w:hint="eastAsia"/>
              </w:rPr>
              <w:t>-</w:t>
            </w:r>
          </w:p>
        </w:tc>
        <w:tc>
          <w:tcPr>
            <w:tcW w:w="1328" w:type="dxa"/>
            <w:vAlign w:val="center"/>
          </w:tcPr>
          <w:p w14:paraId="39F9E228">
            <w:pPr>
              <w:jc w:val="right"/>
            </w:pPr>
            <w:r>
              <w:rPr>
                <w:rFonts w:hint="eastAsia"/>
              </w:rPr>
              <w:t>-</w:t>
            </w:r>
          </w:p>
        </w:tc>
        <w:tc>
          <w:tcPr>
            <w:tcW w:w="1550" w:type="dxa"/>
            <w:vAlign w:val="center"/>
          </w:tcPr>
          <w:p w14:paraId="47AE6140">
            <w:pPr>
              <w:jc w:val="right"/>
            </w:pPr>
            <w:r>
              <w:rPr>
                <w:rFonts w:hint="eastAsia"/>
              </w:rPr>
              <w:t>-</w:t>
            </w:r>
          </w:p>
        </w:tc>
        <w:tc>
          <w:tcPr>
            <w:tcW w:w="1273" w:type="dxa"/>
            <w:vAlign w:val="center"/>
          </w:tcPr>
          <w:p w14:paraId="042881A3">
            <w:pPr>
              <w:jc w:val="right"/>
            </w:pPr>
            <w:r>
              <w:rPr>
                <w:rFonts w:hint="eastAsia"/>
              </w:rPr>
              <w:t>-</w:t>
            </w:r>
          </w:p>
        </w:tc>
        <w:tc>
          <w:tcPr>
            <w:tcW w:w="1273" w:type="dxa"/>
            <w:vAlign w:val="center"/>
          </w:tcPr>
          <w:p w14:paraId="6323A482">
            <w:pPr>
              <w:jc w:val="right"/>
            </w:pPr>
            <w:r>
              <w:rPr>
                <w:rFonts w:hint="eastAsia"/>
              </w:rPr>
              <w:t>-</w:t>
            </w:r>
          </w:p>
        </w:tc>
      </w:tr>
      <w:tr w14:paraId="2426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0FBB470">
            <w:r>
              <w:rPr>
                <w:rFonts w:hint="eastAsia"/>
              </w:rPr>
              <w:t>基金管理人股东</w:t>
            </w:r>
          </w:p>
        </w:tc>
        <w:tc>
          <w:tcPr>
            <w:tcW w:w="1550" w:type="dxa"/>
            <w:vAlign w:val="center"/>
          </w:tcPr>
          <w:p w14:paraId="00FF081D">
            <w:pPr>
              <w:jc w:val="right"/>
            </w:pPr>
            <w:r>
              <w:rPr>
                <w:rFonts w:hint="eastAsia"/>
              </w:rPr>
              <w:t>-</w:t>
            </w:r>
          </w:p>
        </w:tc>
        <w:tc>
          <w:tcPr>
            <w:tcW w:w="1328" w:type="dxa"/>
            <w:vAlign w:val="center"/>
          </w:tcPr>
          <w:p w14:paraId="4B0592F4">
            <w:pPr>
              <w:jc w:val="right"/>
            </w:pPr>
            <w:r>
              <w:rPr>
                <w:rFonts w:hint="eastAsia"/>
              </w:rPr>
              <w:t>-</w:t>
            </w:r>
          </w:p>
        </w:tc>
        <w:tc>
          <w:tcPr>
            <w:tcW w:w="1550" w:type="dxa"/>
            <w:vAlign w:val="center"/>
          </w:tcPr>
          <w:p w14:paraId="2A9F64A8">
            <w:pPr>
              <w:jc w:val="right"/>
            </w:pPr>
            <w:r>
              <w:rPr>
                <w:rFonts w:hint="eastAsia"/>
              </w:rPr>
              <w:t>-</w:t>
            </w:r>
          </w:p>
        </w:tc>
        <w:tc>
          <w:tcPr>
            <w:tcW w:w="1273" w:type="dxa"/>
            <w:vAlign w:val="center"/>
          </w:tcPr>
          <w:p w14:paraId="44A94110">
            <w:pPr>
              <w:jc w:val="right"/>
            </w:pPr>
            <w:r>
              <w:rPr>
                <w:rFonts w:hint="eastAsia"/>
              </w:rPr>
              <w:t>-</w:t>
            </w:r>
          </w:p>
        </w:tc>
        <w:tc>
          <w:tcPr>
            <w:tcW w:w="1273" w:type="dxa"/>
            <w:vAlign w:val="center"/>
          </w:tcPr>
          <w:p w14:paraId="713B8D2B">
            <w:pPr>
              <w:jc w:val="right"/>
            </w:pPr>
            <w:r>
              <w:rPr>
                <w:rFonts w:hint="eastAsia"/>
              </w:rPr>
              <w:t>-</w:t>
            </w:r>
          </w:p>
        </w:tc>
      </w:tr>
      <w:tr w14:paraId="2F6C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CB00A73">
            <w:r>
              <w:rPr>
                <w:rFonts w:hint="eastAsia"/>
              </w:rPr>
              <w:t>其他</w:t>
            </w:r>
          </w:p>
        </w:tc>
        <w:tc>
          <w:tcPr>
            <w:tcW w:w="1550" w:type="dxa"/>
            <w:vAlign w:val="center"/>
          </w:tcPr>
          <w:p w14:paraId="63C9A933">
            <w:pPr>
              <w:jc w:val="right"/>
            </w:pPr>
            <w:r>
              <w:rPr>
                <w:rFonts w:hint="eastAsia"/>
              </w:rPr>
              <w:t>-</w:t>
            </w:r>
          </w:p>
        </w:tc>
        <w:tc>
          <w:tcPr>
            <w:tcW w:w="1328" w:type="dxa"/>
            <w:vAlign w:val="center"/>
          </w:tcPr>
          <w:p w14:paraId="10C8B36C">
            <w:pPr>
              <w:jc w:val="right"/>
            </w:pPr>
            <w:r>
              <w:rPr>
                <w:rFonts w:hint="eastAsia"/>
              </w:rPr>
              <w:t>-</w:t>
            </w:r>
          </w:p>
        </w:tc>
        <w:tc>
          <w:tcPr>
            <w:tcW w:w="1550" w:type="dxa"/>
            <w:vAlign w:val="center"/>
          </w:tcPr>
          <w:p w14:paraId="0AA82855">
            <w:pPr>
              <w:jc w:val="right"/>
            </w:pPr>
            <w:r>
              <w:rPr>
                <w:rFonts w:hint="eastAsia"/>
              </w:rPr>
              <w:t>-</w:t>
            </w:r>
          </w:p>
        </w:tc>
        <w:tc>
          <w:tcPr>
            <w:tcW w:w="1273" w:type="dxa"/>
            <w:vAlign w:val="center"/>
          </w:tcPr>
          <w:p w14:paraId="7CBB3D4F">
            <w:pPr>
              <w:jc w:val="right"/>
            </w:pPr>
            <w:r>
              <w:rPr>
                <w:rFonts w:hint="eastAsia"/>
              </w:rPr>
              <w:t>-</w:t>
            </w:r>
          </w:p>
        </w:tc>
        <w:tc>
          <w:tcPr>
            <w:tcW w:w="1273" w:type="dxa"/>
            <w:vAlign w:val="center"/>
          </w:tcPr>
          <w:p w14:paraId="785B8583">
            <w:pPr>
              <w:jc w:val="right"/>
            </w:pPr>
            <w:r>
              <w:rPr>
                <w:rFonts w:hint="eastAsia"/>
              </w:rPr>
              <w:t>-</w:t>
            </w:r>
          </w:p>
        </w:tc>
      </w:tr>
      <w:tr w14:paraId="299A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56745B3">
            <w:r>
              <w:rPr>
                <w:rFonts w:hint="eastAsia"/>
              </w:rPr>
              <w:t>合计</w:t>
            </w:r>
          </w:p>
        </w:tc>
        <w:tc>
          <w:tcPr>
            <w:tcW w:w="1550" w:type="dxa"/>
            <w:vAlign w:val="center"/>
          </w:tcPr>
          <w:p w14:paraId="27CCBB60">
            <w:pPr>
              <w:jc w:val="right"/>
            </w:pPr>
            <w:r>
              <w:rPr>
                <w:rFonts w:hint="eastAsia"/>
              </w:rPr>
              <w:t>10,000,527.83</w:t>
            </w:r>
          </w:p>
        </w:tc>
        <w:tc>
          <w:tcPr>
            <w:tcW w:w="1328" w:type="dxa"/>
            <w:vAlign w:val="center"/>
          </w:tcPr>
          <w:p w14:paraId="34C1AA2B">
            <w:pPr>
              <w:jc w:val="right"/>
            </w:pPr>
            <w:r>
              <w:rPr>
                <w:rFonts w:hint="eastAsia"/>
              </w:rPr>
              <w:t>18.37</w:t>
            </w:r>
          </w:p>
        </w:tc>
        <w:tc>
          <w:tcPr>
            <w:tcW w:w="1550" w:type="dxa"/>
            <w:vAlign w:val="center"/>
          </w:tcPr>
          <w:p w14:paraId="627C4FB8">
            <w:pPr>
              <w:jc w:val="right"/>
            </w:pPr>
            <w:r>
              <w:rPr>
                <w:rFonts w:hint="eastAsia"/>
              </w:rPr>
              <w:t>10,000,527.83</w:t>
            </w:r>
          </w:p>
        </w:tc>
        <w:tc>
          <w:tcPr>
            <w:tcW w:w="1273" w:type="dxa"/>
            <w:vAlign w:val="center"/>
          </w:tcPr>
          <w:p w14:paraId="7D3AB64C">
            <w:pPr>
              <w:jc w:val="right"/>
            </w:pPr>
            <w:r>
              <w:rPr>
                <w:rFonts w:hint="eastAsia"/>
              </w:rPr>
              <w:t>18.37</w:t>
            </w:r>
          </w:p>
        </w:tc>
        <w:tc>
          <w:tcPr>
            <w:tcW w:w="1273" w:type="dxa"/>
            <w:vAlign w:val="center"/>
          </w:tcPr>
          <w:p w14:paraId="1C0778F5">
            <w:pPr>
              <w:jc w:val="right"/>
            </w:pPr>
            <w:r>
              <w:rPr>
                <w:rFonts w:hint="eastAsia"/>
              </w:rPr>
              <w:t>-</w:t>
            </w:r>
          </w:p>
        </w:tc>
      </w:tr>
    </w:tbl>
    <w:p w14:paraId="1C08F625">
      <w:pPr>
        <w:pStyle w:val="47"/>
        <w:rPr>
          <w:rFonts w:hint="eastAsia"/>
        </w:rPr>
      </w:pPr>
      <w:r>
        <w:rPr>
          <w:rFonts w:hint="eastAsia"/>
        </w:rPr>
        <w:t>注：上述份额总数均包含利息结转份额。</w:t>
      </w:r>
    </w:p>
    <w:p w14:paraId="641F8BEC">
      <w:pPr>
        <w:pStyle w:val="26"/>
      </w:pPr>
      <w:bookmarkStart w:id="182" w:name="_Toc18666"/>
      <w:r>
        <w:t>开放式基金份额变动</w:t>
      </w:r>
      <w:bookmarkEnd w:id="182"/>
    </w:p>
    <w:p w14:paraId="07F3E901">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13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09540D">
            <w:r>
              <w:rPr>
                <w:rFonts w:hint="eastAsia"/>
              </w:rPr>
              <w:t>基金合同生效日(2017年1月18日)基金份额总额</w:t>
            </w:r>
          </w:p>
        </w:tc>
        <w:tc>
          <w:tcPr>
            <w:tcW w:w="4153" w:type="dxa"/>
            <w:vAlign w:val="center"/>
          </w:tcPr>
          <w:p w14:paraId="499481B6">
            <w:pPr>
              <w:jc w:val="right"/>
            </w:pPr>
            <w:r>
              <w:rPr>
                <w:rFonts w:hint="eastAsia"/>
              </w:rPr>
              <w:t>210,115,785.12</w:t>
            </w:r>
          </w:p>
        </w:tc>
      </w:tr>
      <w:tr w14:paraId="67B0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4B879F">
            <w:r>
              <w:rPr>
                <w:rFonts w:hint="eastAsia"/>
              </w:rPr>
              <w:t>本报告期期初基金份额总额</w:t>
            </w:r>
          </w:p>
        </w:tc>
        <w:tc>
          <w:tcPr>
            <w:tcW w:w="4153" w:type="dxa"/>
            <w:vAlign w:val="center"/>
          </w:tcPr>
          <w:p w14:paraId="41F67871">
            <w:pPr>
              <w:jc w:val="right"/>
            </w:pPr>
            <w:r>
              <w:rPr>
                <w:rFonts w:hint="eastAsia"/>
              </w:rPr>
              <w:t>2,590,534,731.15</w:t>
            </w:r>
          </w:p>
        </w:tc>
      </w:tr>
      <w:tr w14:paraId="7DC7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9521E1">
            <w:r>
              <w:rPr>
                <w:rFonts w:hint="eastAsia"/>
              </w:rPr>
              <w:t>本报告期基金总申购份额</w:t>
            </w:r>
          </w:p>
        </w:tc>
        <w:tc>
          <w:tcPr>
            <w:tcW w:w="4153" w:type="dxa"/>
            <w:vAlign w:val="center"/>
          </w:tcPr>
          <w:p w14:paraId="747F1E83">
            <w:pPr>
              <w:jc w:val="right"/>
            </w:pPr>
            <w:r>
              <w:rPr>
                <w:rFonts w:hint="eastAsia"/>
              </w:rPr>
              <w:t>55,747.04</w:t>
            </w:r>
          </w:p>
        </w:tc>
      </w:tr>
      <w:tr w14:paraId="13E8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901D85">
            <w:r>
              <w:rPr>
                <w:rFonts w:hint="eastAsia"/>
              </w:rPr>
              <w:t>减：本报告期基金总赎回份额</w:t>
            </w:r>
          </w:p>
        </w:tc>
        <w:tc>
          <w:tcPr>
            <w:tcW w:w="4153" w:type="dxa"/>
            <w:vAlign w:val="center"/>
          </w:tcPr>
          <w:p w14:paraId="4DF3DAEA">
            <w:pPr>
              <w:jc w:val="right"/>
            </w:pPr>
            <w:r>
              <w:rPr>
                <w:rFonts w:hint="eastAsia"/>
              </w:rPr>
              <w:t>2,536,155,102.24</w:t>
            </w:r>
          </w:p>
        </w:tc>
      </w:tr>
      <w:tr w14:paraId="3F0A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6D5D81">
            <w:r>
              <w:rPr>
                <w:rFonts w:hint="eastAsia"/>
              </w:rPr>
              <w:t>本报告期基金拆分变动份额</w:t>
            </w:r>
          </w:p>
        </w:tc>
        <w:tc>
          <w:tcPr>
            <w:tcW w:w="4153" w:type="dxa"/>
            <w:vAlign w:val="center"/>
          </w:tcPr>
          <w:p w14:paraId="264399FE">
            <w:pPr>
              <w:jc w:val="right"/>
            </w:pPr>
            <w:r>
              <w:rPr>
                <w:rFonts w:hint="eastAsia"/>
              </w:rPr>
              <w:t>-</w:t>
            </w:r>
          </w:p>
        </w:tc>
      </w:tr>
      <w:tr w14:paraId="063A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8AE007">
            <w:r>
              <w:rPr>
                <w:rFonts w:hint="eastAsia"/>
              </w:rPr>
              <w:t>本报告期期末基金份额总额</w:t>
            </w:r>
          </w:p>
        </w:tc>
        <w:tc>
          <w:tcPr>
            <w:tcW w:w="4153" w:type="dxa"/>
            <w:vAlign w:val="center"/>
          </w:tcPr>
          <w:p w14:paraId="24188DFA">
            <w:pPr>
              <w:jc w:val="right"/>
            </w:pPr>
            <w:r>
              <w:rPr>
                <w:rFonts w:hint="eastAsia"/>
              </w:rPr>
              <w:t>54,435,375.95</w:t>
            </w:r>
          </w:p>
        </w:tc>
      </w:tr>
    </w:tbl>
    <w:p w14:paraId="448713C6">
      <w:pPr>
        <w:pStyle w:val="26"/>
      </w:pPr>
      <w:bookmarkStart w:id="183" w:name="_Toc28392"/>
      <w:r>
        <w:t>重大事件揭示</w:t>
      </w:r>
      <w:bookmarkEnd w:id="183"/>
    </w:p>
    <w:p w14:paraId="2C8148E7">
      <w:pPr>
        <w:pStyle w:val="23"/>
      </w:pPr>
      <w:bookmarkStart w:id="184" w:name="_Toc10650"/>
      <w:r>
        <w:t>基金份额持有人大会决议</w:t>
      </w:r>
      <w:bookmarkEnd w:id="184"/>
    </w:p>
    <w:p w14:paraId="630670EC">
      <w:pPr>
        <w:pStyle w:val="18"/>
        <w:rPr>
          <w:rFonts w:hint="eastAsia"/>
        </w:rPr>
      </w:pPr>
      <w:r>
        <w:rPr>
          <w:rFonts w:hint="eastAsia"/>
        </w:rPr>
        <w:t>本报告期本基金无基金份额持有人大会决议。</w:t>
      </w:r>
    </w:p>
    <w:p w14:paraId="6B373A0E">
      <w:pPr>
        <w:pStyle w:val="23"/>
      </w:pPr>
      <w:r>
        <w:t xml:space="preserve"> </w:t>
      </w:r>
      <w:bookmarkStart w:id="185" w:name="_Toc28804"/>
      <w:r>
        <w:t>基金管理人、基金托管人的专门基金托管部门的重大人事变动</w:t>
      </w:r>
      <w:bookmarkEnd w:id="185"/>
    </w:p>
    <w:p w14:paraId="7FCA1B76">
      <w:pPr>
        <w:pStyle w:val="18"/>
        <w:rPr>
          <w:rFonts w:hint="eastAsia"/>
        </w:rPr>
      </w:pPr>
      <w:r>
        <w:rPr>
          <w:rFonts w:hint="eastAsia"/>
        </w:rPr>
        <w:t>本报告期内，本基金的基金管理人未发生重大人事变动。</w:t>
      </w:r>
    </w:p>
    <w:p w14:paraId="73783B4F">
      <w:pPr>
        <w:pStyle w:val="18"/>
        <w:rPr>
          <w:rFonts w:hint="eastAsia"/>
        </w:rPr>
      </w:pPr>
      <w:r>
        <w:rPr>
          <w:rFonts w:hint="eastAsia"/>
        </w:rPr>
        <w:t>本报告期内，基金托管人的专门基金托管部门无重大人事变动。</w:t>
      </w:r>
    </w:p>
    <w:p w14:paraId="001CB6BB">
      <w:pPr>
        <w:pStyle w:val="23"/>
      </w:pPr>
      <w:r>
        <w:t xml:space="preserve"> </w:t>
      </w:r>
      <w:bookmarkStart w:id="186" w:name="_Toc369"/>
      <w:r>
        <w:t>涉及基金管理人、基金财产、基金托管业务的诉讼</w:t>
      </w:r>
      <w:bookmarkEnd w:id="186"/>
    </w:p>
    <w:p w14:paraId="73C234FE">
      <w:pPr>
        <w:pStyle w:val="18"/>
        <w:rPr>
          <w:rFonts w:hint="eastAsia"/>
        </w:rPr>
      </w:pPr>
      <w:r>
        <w:rPr>
          <w:rFonts w:hint="eastAsia"/>
        </w:rPr>
        <w:t>本报告期内，无涉及基金管理人主营业务的诉讼。</w:t>
      </w:r>
    </w:p>
    <w:p w14:paraId="00799027">
      <w:pPr>
        <w:pStyle w:val="18"/>
        <w:rPr>
          <w:rFonts w:hint="eastAsia"/>
        </w:rPr>
      </w:pPr>
      <w:r>
        <w:rPr>
          <w:rFonts w:hint="eastAsia"/>
        </w:rPr>
        <w:t>本报告期内无涉及基金财产的诉讼事项。</w:t>
      </w:r>
    </w:p>
    <w:p w14:paraId="15441D1F">
      <w:pPr>
        <w:pStyle w:val="18"/>
        <w:rPr>
          <w:rFonts w:hint="eastAsia"/>
        </w:rPr>
      </w:pPr>
      <w:r>
        <w:rPr>
          <w:rFonts w:hint="eastAsia"/>
        </w:rPr>
        <w:t>本报告期内，无涉及本基金托管业务的诉讼。</w:t>
      </w:r>
    </w:p>
    <w:p w14:paraId="75DE0C91">
      <w:pPr>
        <w:pStyle w:val="23"/>
      </w:pPr>
      <w:bookmarkStart w:id="187" w:name="_Toc22551"/>
      <w:r>
        <w:t>基金投资策略的改变</w:t>
      </w:r>
      <w:bookmarkEnd w:id="187"/>
    </w:p>
    <w:p w14:paraId="28B6779E">
      <w:pPr>
        <w:pStyle w:val="18"/>
        <w:rPr>
          <w:rFonts w:hint="eastAsia"/>
        </w:rPr>
      </w:pPr>
      <w:r>
        <w:rPr>
          <w:rFonts w:hint="eastAsia"/>
        </w:rPr>
        <w:t>本报告期内本基金的投资策略未有重大变化。</w:t>
      </w:r>
    </w:p>
    <w:p w14:paraId="6D802F5E">
      <w:pPr>
        <w:pStyle w:val="23"/>
      </w:pPr>
      <w:bookmarkStart w:id="188" w:name="_Toc18575"/>
      <w:r>
        <w:t>为基金进行审计的会计师事务所情况</w:t>
      </w:r>
      <w:bookmarkEnd w:id="188"/>
    </w:p>
    <w:p w14:paraId="76E58619">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本报告期本基金的审计事务所无变化；目前容诚会计师事务所（特殊普通合伙）已为本基金提供审计服务2年，本报告期应支付给容诚会计师事务所（特殊普通合伙）的报酬为人民币40,000.00元。</w:t>
      </w:r>
    </w:p>
    <w:p w14:paraId="1ED2FDB6">
      <w:pPr>
        <w:pStyle w:val="23"/>
      </w:pPr>
      <w:bookmarkStart w:id="189" w:name="_Toc10199"/>
      <w:r>
        <w:t>管理人、托管人及相关从业人员受调查或处罚等情况</w:t>
      </w:r>
      <w:bookmarkEnd w:id="189"/>
    </w:p>
    <w:p w14:paraId="2329FBDC">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551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0B20E5E7">
            <w:pPr>
              <w:jc w:val="center"/>
            </w:pPr>
            <w:r>
              <w:rPr>
                <w:rFonts w:hint="eastAsia"/>
                <w:b/>
              </w:rPr>
              <w:t>管理人受调查或处罚等情况</w:t>
            </w:r>
          </w:p>
        </w:tc>
        <w:tc>
          <w:tcPr>
            <w:tcW w:w="4153" w:type="dxa"/>
            <w:shd w:val="clear" w:color="auto" w:fill="BFBFBF"/>
            <w:vAlign w:val="center"/>
          </w:tcPr>
          <w:p w14:paraId="7E53B12D">
            <w:pPr>
              <w:jc w:val="center"/>
            </w:pPr>
            <w:r>
              <w:rPr>
                <w:rFonts w:hint="eastAsia"/>
                <w:b/>
              </w:rPr>
              <w:t>内容</w:t>
            </w:r>
          </w:p>
        </w:tc>
      </w:tr>
      <w:tr w14:paraId="15BE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4D09C7">
            <w:r>
              <w:rPr>
                <w:rFonts w:hint="eastAsia"/>
              </w:rPr>
              <w:t>受到调查或处罚等措施的主体</w:t>
            </w:r>
          </w:p>
        </w:tc>
        <w:tc>
          <w:tcPr>
            <w:tcW w:w="4153" w:type="dxa"/>
            <w:vAlign w:val="center"/>
          </w:tcPr>
          <w:p w14:paraId="1E14866E">
            <w:r>
              <w:rPr>
                <w:rFonts w:hint="eastAsia"/>
              </w:rPr>
              <w:t>管理人</w:t>
            </w:r>
          </w:p>
        </w:tc>
      </w:tr>
      <w:tr w14:paraId="7C69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C1F9D6">
            <w:r>
              <w:rPr>
                <w:rFonts w:hint="eastAsia"/>
              </w:rPr>
              <w:t>受到调查或处罚等措施的时间</w:t>
            </w:r>
          </w:p>
        </w:tc>
        <w:tc>
          <w:tcPr>
            <w:tcW w:w="4153" w:type="dxa"/>
            <w:vAlign w:val="center"/>
          </w:tcPr>
          <w:p w14:paraId="06F03A15">
            <w:pPr>
              <w:rPr>
                <w:rFonts w:hint="eastAsia"/>
              </w:rPr>
            </w:pPr>
            <w:r>
              <w:rPr>
                <w:rFonts w:hint="eastAsia"/>
              </w:rPr>
              <w:t>2025-10-17；
</w:t>
            </w:r>
            <w:r>
              <w:rPr>
                <w:rFonts w:hint="eastAsia"/>
              </w:rPr>
              <w:br w:type="textWrapping"/>
            </w:r>
            <w:r>
              <w:rPr>
                <w:rFonts w:hint="eastAsia"/>
              </w:rPr>
              <w:t>2025-11-18</w:t>
            </w:r>
          </w:p>
        </w:tc>
      </w:tr>
      <w:tr w14:paraId="66B1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6C5A6C">
            <w:r>
              <w:rPr>
                <w:rFonts w:hint="eastAsia"/>
              </w:rPr>
              <w:t>采取调查或处罚等措施的机构</w:t>
            </w:r>
          </w:p>
        </w:tc>
        <w:tc>
          <w:tcPr>
            <w:tcW w:w="4153" w:type="dxa"/>
            <w:vAlign w:val="center"/>
          </w:tcPr>
          <w:p w14:paraId="4D5BF9D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183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B59206">
            <w:r>
              <w:rPr>
                <w:rFonts w:hint="eastAsia"/>
              </w:rPr>
              <w:t>受到调查或处罚等措施类型</w:t>
            </w:r>
          </w:p>
        </w:tc>
        <w:tc>
          <w:tcPr>
            <w:tcW w:w="4153" w:type="dxa"/>
            <w:vAlign w:val="center"/>
          </w:tcPr>
          <w:p w14:paraId="775E9069">
            <w:pPr>
              <w:rPr>
                <w:rFonts w:hint="eastAsia"/>
              </w:rPr>
            </w:pPr>
            <w:r>
              <w:rPr>
                <w:rFonts w:hint="eastAsia"/>
              </w:rPr>
              <w:t>行政监管措施；
</w:t>
            </w:r>
            <w:r>
              <w:rPr>
                <w:rFonts w:hint="eastAsia"/>
              </w:rPr>
              <w:br w:type="textWrapping"/>
            </w:r>
            <w:r>
              <w:rPr>
                <w:rFonts w:hint="eastAsia"/>
              </w:rPr>
              <w:t>行政处罚</w:t>
            </w:r>
          </w:p>
        </w:tc>
      </w:tr>
      <w:tr w14:paraId="4C37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E14FC1">
            <w:r>
              <w:rPr>
                <w:rFonts w:hint="eastAsia"/>
              </w:rPr>
              <w:t>受到的具体措施类型</w:t>
            </w:r>
          </w:p>
        </w:tc>
        <w:tc>
          <w:tcPr>
            <w:tcW w:w="4153" w:type="dxa"/>
            <w:vAlign w:val="center"/>
          </w:tcPr>
          <w:p w14:paraId="63F87299">
            <w:pPr>
              <w:rPr>
                <w:rFonts w:hint="eastAsia"/>
              </w:rPr>
            </w:pPr>
            <w:r>
              <w:rPr>
                <w:rFonts w:hint="eastAsia"/>
              </w:rPr>
              <w:t>责令改正；
</w:t>
            </w:r>
            <w:r>
              <w:rPr>
                <w:rFonts w:hint="eastAsia"/>
              </w:rPr>
              <w:br w:type="textWrapping"/>
            </w:r>
            <w:r>
              <w:rPr>
                <w:rFonts w:hint="eastAsia"/>
              </w:rPr>
              <w:t>警告、罚款</w:t>
            </w:r>
          </w:p>
        </w:tc>
      </w:tr>
      <w:tr w14:paraId="2E7E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C91D8C">
            <w:r>
              <w:rPr>
                <w:rFonts w:hint="eastAsia"/>
              </w:rPr>
              <w:t>受到调查或处罚等措施的原因</w:t>
            </w:r>
          </w:p>
        </w:tc>
        <w:tc>
          <w:tcPr>
            <w:tcW w:w="4153" w:type="dxa"/>
            <w:vAlign w:val="center"/>
          </w:tcPr>
          <w:p w14:paraId="61B32E6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43C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BEFA64">
            <w:r>
              <w:rPr>
                <w:rFonts w:hint="eastAsia"/>
              </w:rPr>
              <w:t>受到处罚的依据</w:t>
            </w:r>
          </w:p>
        </w:tc>
        <w:tc>
          <w:tcPr>
            <w:tcW w:w="4153" w:type="dxa"/>
            <w:vAlign w:val="center"/>
          </w:tcPr>
          <w:p w14:paraId="341D0E8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DFB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288FDF">
            <w:r>
              <w:rPr>
                <w:rFonts w:hint="eastAsia"/>
              </w:rPr>
              <w:t>管理人采取整改措施的情况</w:t>
            </w:r>
          </w:p>
        </w:tc>
        <w:tc>
          <w:tcPr>
            <w:tcW w:w="4153" w:type="dxa"/>
            <w:vAlign w:val="center"/>
          </w:tcPr>
          <w:p w14:paraId="059D4BF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D8A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326DB9">
            <w:r>
              <w:rPr>
                <w:rFonts w:hint="eastAsia"/>
              </w:rPr>
              <w:t>其他</w:t>
            </w:r>
          </w:p>
        </w:tc>
        <w:tc>
          <w:tcPr>
            <w:tcW w:w="4153" w:type="dxa"/>
            <w:vAlign w:val="center"/>
          </w:tcPr>
          <w:p w14:paraId="1CDD498E">
            <w:r>
              <w:rPr>
                <w:rFonts w:hint="eastAsia"/>
              </w:rPr>
              <w:t>-</w:t>
            </w:r>
          </w:p>
        </w:tc>
      </w:tr>
    </w:tbl>
    <w:p w14:paraId="148C5064">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4D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14C50C96">
            <w:pPr>
              <w:jc w:val="center"/>
            </w:pPr>
            <w:r>
              <w:rPr>
                <w:rFonts w:hint="eastAsia"/>
                <w:b/>
              </w:rPr>
              <w:t>管理人相关从业人员受调查或处罚等情况</w:t>
            </w:r>
          </w:p>
        </w:tc>
        <w:tc>
          <w:tcPr>
            <w:tcW w:w="4153" w:type="dxa"/>
            <w:shd w:val="clear" w:color="auto" w:fill="BFBFBF"/>
            <w:vAlign w:val="center"/>
          </w:tcPr>
          <w:p w14:paraId="23617AC4">
            <w:pPr>
              <w:jc w:val="center"/>
            </w:pPr>
            <w:r>
              <w:rPr>
                <w:rFonts w:hint="eastAsia"/>
                <w:b/>
              </w:rPr>
              <w:t>内容</w:t>
            </w:r>
          </w:p>
        </w:tc>
      </w:tr>
      <w:tr w14:paraId="4070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CFA7BC">
            <w:r>
              <w:rPr>
                <w:rFonts w:hint="eastAsia"/>
              </w:rPr>
              <w:t>受到调查或处罚等措施的主体</w:t>
            </w:r>
          </w:p>
        </w:tc>
        <w:tc>
          <w:tcPr>
            <w:tcW w:w="4153" w:type="dxa"/>
            <w:vAlign w:val="center"/>
          </w:tcPr>
          <w:p w14:paraId="7C9E721E">
            <w:r>
              <w:rPr>
                <w:rFonts w:hint="eastAsia"/>
              </w:rPr>
              <w:t>高级管理人员</w:t>
            </w:r>
          </w:p>
        </w:tc>
      </w:tr>
      <w:tr w14:paraId="1C01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A9E860">
            <w:r>
              <w:rPr>
                <w:rFonts w:hint="eastAsia"/>
              </w:rPr>
              <w:t>受到调查或处罚等措施的时间</w:t>
            </w:r>
          </w:p>
        </w:tc>
        <w:tc>
          <w:tcPr>
            <w:tcW w:w="4153" w:type="dxa"/>
            <w:vAlign w:val="center"/>
          </w:tcPr>
          <w:p w14:paraId="53261E9A">
            <w:r>
              <w:rPr>
                <w:rFonts w:hint="eastAsia"/>
              </w:rPr>
              <w:t>2025-10-17</w:t>
            </w:r>
          </w:p>
        </w:tc>
      </w:tr>
      <w:tr w14:paraId="79A2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FF190C">
            <w:r>
              <w:rPr>
                <w:rFonts w:hint="eastAsia"/>
              </w:rPr>
              <w:t>采取调查或处罚等措施的机构</w:t>
            </w:r>
          </w:p>
        </w:tc>
        <w:tc>
          <w:tcPr>
            <w:tcW w:w="4153" w:type="dxa"/>
            <w:vAlign w:val="center"/>
          </w:tcPr>
          <w:p w14:paraId="2BFCA27D">
            <w:r>
              <w:rPr>
                <w:rFonts w:hint="eastAsia"/>
              </w:rPr>
              <w:t>中国证监会深圳监管局</w:t>
            </w:r>
          </w:p>
        </w:tc>
      </w:tr>
      <w:tr w14:paraId="5C57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0BF898">
            <w:r>
              <w:rPr>
                <w:rFonts w:hint="eastAsia"/>
              </w:rPr>
              <w:t>受到调查或处罚等措施类型</w:t>
            </w:r>
          </w:p>
        </w:tc>
        <w:tc>
          <w:tcPr>
            <w:tcW w:w="4153" w:type="dxa"/>
            <w:vAlign w:val="center"/>
          </w:tcPr>
          <w:p w14:paraId="39D8F0DE">
            <w:r>
              <w:rPr>
                <w:rFonts w:hint="eastAsia"/>
              </w:rPr>
              <w:t>行政监管措施</w:t>
            </w:r>
          </w:p>
        </w:tc>
      </w:tr>
      <w:tr w14:paraId="27B0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1A46D8">
            <w:r>
              <w:rPr>
                <w:rFonts w:hint="eastAsia"/>
              </w:rPr>
              <w:t>受到的具体措施类型</w:t>
            </w:r>
          </w:p>
        </w:tc>
        <w:tc>
          <w:tcPr>
            <w:tcW w:w="4153" w:type="dxa"/>
            <w:vAlign w:val="center"/>
          </w:tcPr>
          <w:p w14:paraId="2526F14E">
            <w:r>
              <w:rPr>
                <w:rFonts w:hint="eastAsia"/>
              </w:rPr>
              <w:t>出具警示函</w:t>
            </w:r>
          </w:p>
        </w:tc>
      </w:tr>
      <w:tr w14:paraId="690C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084EDC">
            <w:r>
              <w:rPr>
                <w:rFonts w:hint="eastAsia"/>
              </w:rPr>
              <w:t>受到调查或处罚等措施的原因</w:t>
            </w:r>
          </w:p>
        </w:tc>
        <w:tc>
          <w:tcPr>
            <w:tcW w:w="4153" w:type="dxa"/>
            <w:vAlign w:val="center"/>
          </w:tcPr>
          <w:p w14:paraId="6002145E">
            <w:r>
              <w:rPr>
                <w:rFonts w:hint="eastAsia"/>
              </w:rPr>
              <w:t>人员管理、其他问题(销售管理)</w:t>
            </w:r>
          </w:p>
        </w:tc>
      </w:tr>
      <w:tr w14:paraId="3C52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D26597">
            <w:r>
              <w:rPr>
                <w:rFonts w:hint="eastAsia"/>
              </w:rPr>
              <w:t>受到处罚的依据</w:t>
            </w:r>
          </w:p>
        </w:tc>
        <w:tc>
          <w:tcPr>
            <w:tcW w:w="4153" w:type="dxa"/>
            <w:vAlign w:val="center"/>
          </w:tcPr>
          <w:p w14:paraId="4F4F05C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21D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5EEC91">
            <w:r>
              <w:rPr>
                <w:rFonts w:hint="eastAsia"/>
              </w:rPr>
              <w:t>管理人采取整改措施的情况（如提出整改意见）</w:t>
            </w:r>
          </w:p>
        </w:tc>
        <w:tc>
          <w:tcPr>
            <w:tcW w:w="4153" w:type="dxa"/>
            <w:vAlign w:val="center"/>
          </w:tcPr>
          <w:p w14:paraId="1EFD7753">
            <w:r>
              <w:rPr>
                <w:rFonts w:hint="eastAsia"/>
              </w:rPr>
              <w:t>截至报告期末公司已通过完善制度、优化流程等整改措施完成整改，整改成果已经中国证监会深圳监管局验收通过</w:t>
            </w:r>
          </w:p>
        </w:tc>
      </w:tr>
      <w:tr w14:paraId="59BE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A11F67">
            <w:r>
              <w:rPr>
                <w:rFonts w:hint="eastAsia"/>
              </w:rPr>
              <w:t>其他</w:t>
            </w:r>
          </w:p>
        </w:tc>
        <w:tc>
          <w:tcPr>
            <w:tcW w:w="4153" w:type="dxa"/>
            <w:vAlign w:val="center"/>
          </w:tcPr>
          <w:p w14:paraId="0008D7B0">
            <w:pPr>
              <w:jc w:val="right"/>
            </w:pPr>
            <w:r>
              <w:rPr>
                <w:rFonts w:hint="eastAsia"/>
              </w:rPr>
              <w:t>-</w:t>
            </w:r>
          </w:p>
        </w:tc>
      </w:tr>
    </w:tbl>
    <w:p w14:paraId="653637C6">
      <w:pPr>
        <w:pStyle w:val="28"/>
      </w:pPr>
      <w:bookmarkStart w:id="192" w:name="_Toc192"/>
      <w:r>
        <w:t>托管人受调查或处罚等情况</w:t>
      </w:r>
      <w:bookmarkEnd w:id="192"/>
    </w:p>
    <w:p w14:paraId="26EC3F1C">
      <w:pPr>
        <w:pStyle w:val="18"/>
        <w:rPr>
          <w:rFonts w:hint="eastAsia"/>
        </w:rPr>
      </w:pPr>
      <w:r>
        <w:rPr>
          <w:rFonts w:hint="eastAsia"/>
        </w:rPr>
        <w:t>本报告期内，托管人未因托管业务受调查或处罚。</w:t>
      </w:r>
    </w:p>
    <w:p w14:paraId="1452EE23">
      <w:pPr>
        <w:pStyle w:val="28"/>
      </w:pPr>
      <w:bookmarkStart w:id="193" w:name="_Toc193"/>
      <w:r>
        <w:t>托管人相关从业人员受调查或处罚等情况</w:t>
      </w:r>
      <w:bookmarkEnd w:id="193"/>
    </w:p>
    <w:p w14:paraId="06CD6EE1">
      <w:pPr>
        <w:pStyle w:val="18"/>
        <w:rPr>
          <w:rFonts w:hint="eastAsia"/>
        </w:rPr>
      </w:pPr>
      <w:r>
        <w:rPr>
          <w:rFonts w:hint="eastAsia"/>
        </w:rPr>
        <w:t>本报告期内，托管人相关从业人员未受调查或处罚。</w:t>
      </w:r>
    </w:p>
    <w:p w14:paraId="50175DA1">
      <w:pPr>
        <w:pStyle w:val="23"/>
      </w:pPr>
      <w:bookmarkStart w:id="194" w:name="_Toc3616"/>
      <w:r>
        <w:t>基金租用证券公司交易单元的有关情况</w:t>
      </w:r>
      <w:bookmarkEnd w:id="194"/>
    </w:p>
    <w:p w14:paraId="74818817">
      <w:pPr>
        <w:pStyle w:val="28"/>
      </w:pPr>
      <w:bookmarkStart w:id="195" w:name="_Toc195"/>
      <w:r>
        <w:t>基金租用证券公司交易单元进行股票投资及佣金支付情况</w:t>
      </w:r>
      <w:bookmarkEnd w:id="195"/>
    </w:p>
    <w:p w14:paraId="2E38C7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B36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DBD1572">
            <w:pPr>
              <w:jc w:val="center"/>
            </w:pPr>
            <w:r>
              <w:rPr>
                <w:rFonts w:hint="eastAsia"/>
                <w:b/>
              </w:rPr>
              <w:t>券商名称</w:t>
            </w:r>
          </w:p>
        </w:tc>
        <w:tc>
          <w:tcPr>
            <w:tcW w:w="775" w:type="dxa"/>
            <w:vMerge w:val="restart"/>
            <w:shd w:val="clear" w:color="auto" w:fill="BFBFBF"/>
            <w:vAlign w:val="center"/>
          </w:tcPr>
          <w:p w14:paraId="05D6B10D">
            <w:pPr>
              <w:jc w:val="center"/>
            </w:pPr>
            <w:r>
              <w:rPr>
                <w:rFonts w:hint="eastAsia"/>
                <w:b/>
              </w:rPr>
              <w:t>交易单元数量</w:t>
            </w:r>
          </w:p>
        </w:tc>
        <w:tc>
          <w:tcPr>
            <w:tcW w:w="1699" w:type="dxa"/>
            <w:gridSpan w:val="2"/>
            <w:shd w:val="clear" w:color="auto" w:fill="BFBFBF"/>
            <w:vAlign w:val="center"/>
          </w:tcPr>
          <w:p w14:paraId="6B89A464">
            <w:pPr>
              <w:jc w:val="center"/>
            </w:pPr>
            <w:r>
              <w:rPr>
                <w:rFonts w:hint="eastAsia"/>
                <w:b/>
              </w:rPr>
              <w:t>股票交易</w:t>
            </w:r>
          </w:p>
        </w:tc>
        <w:tc>
          <w:tcPr>
            <w:tcW w:w="1312" w:type="dxa"/>
            <w:gridSpan w:val="2"/>
            <w:shd w:val="clear" w:color="auto" w:fill="BFBFBF"/>
            <w:vAlign w:val="center"/>
          </w:tcPr>
          <w:p w14:paraId="05D1681F">
            <w:pPr>
              <w:jc w:val="center"/>
            </w:pPr>
            <w:r>
              <w:rPr>
                <w:rFonts w:hint="eastAsia"/>
                <w:b/>
              </w:rPr>
              <w:t>应支付该券商的佣金</w:t>
            </w:r>
          </w:p>
        </w:tc>
        <w:tc>
          <w:tcPr>
            <w:tcW w:w="946" w:type="dxa"/>
            <w:vMerge w:val="restart"/>
            <w:shd w:val="clear" w:color="auto" w:fill="BFBFBF"/>
            <w:vAlign w:val="center"/>
          </w:tcPr>
          <w:p w14:paraId="5A87E1D9">
            <w:pPr>
              <w:jc w:val="center"/>
            </w:pPr>
            <w:r>
              <w:rPr>
                <w:rFonts w:hint="eastAsia"/>
                <w:b/>
              </w:rPr>
              <w:t>备注</w:t>
            </w:r>
          </w:p>
        </w:tc>
      </w:tr>
      <w:tr w14:paraId="61ED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74B4354"/>
        </w:tc>
        <w:tc>
          <w:tcPr>
            <w:tcW w:w="775" w:type="dxa"/>
            <w:vMerge w:val="continue"/>
            <w:vAlign w:val="center"/>
          </w:tcPr>
          <w:p w14:paraId="1E5A33A8"/>
        </w:tc>
        <w:tc>
          <w:tcPr>
            <w:tcW w:w="1699" w:type="dxa"/>
            <w:shd w:val="clear" w:color="auto" w:fill="BFBFBF"/>
            <w:vAlign w:val="center"/>
          </w:tcPr>
          <w:p w14:paraId="1343DF78">
            <w:pPr>
              <w:jc w:val="center"/>
            </w:pPr>
            <w:r>
              <w:rPr>
                <w:rFonts w:hint="eastAsia"/>
                <w:b/>
              </w:rPr>
              <w:t>成交金额</w:t>
            </w:r>
          </w:p>
        </w:tc>
        <w:tc>
          <w:tcPr>
            <w:tcW w:w="1201" w:type="dxa"/>
            <w:shd w:val="clear" w:color="auto" w:fill="BFBFBF"/>
            <w:vAlign w:val="center"/>
          </w:tcPr>
          <w:p w14:paraId="045F759B">
            <w:pPr>
              <w:jc w:val="center"/>
            </w:pPr>
            <w:r>
              <w:rPr>
                <w:rFonts w:hint="eastAsia"/>
                <w:b/>
              </w:rPr>
              <w:t>占当期股票成交总额的比例</w:t>
            </w:r>
          </w:p>
        </w:tc>
        <w:tc>
          <w:tcPr>
            <w:tcW w:w="1312" w:type="dxa"/>
            <w:shd w:val="clear" w:color="auto" w:fill="BFBFBF"/>
            <w:vAlign w:val="center"/>
          </w:tcPr>
          <w:p w14:paraId="54189713">
            <w:pPr>
              <w:jc w:val="center"/>
            </w:pPr>
            <w:r>
              <w:rPr>
                <w:rFonts w:hint="eastAsia"/>
                <w:b/>
              </w:rPr>
              <w:t>佣金</w:t>
            </w:r>
          </w:p>
        </w:tc>
        <w:tc>
          <w:tcPr>
            <w:tcW w:w="1256" w:type="dxa"/>
            <w:shd w:val="clear" w:color="auto" w:fill="BFBFBF"/>
            <w:vAlign w:val="center"/>
          </w:tcPr>
          <w:p w14:paraId="15F35D23">
            <w:pPr>
              <w:jc w:val="center"/>
            </w:pPr>
            <w:r>
              <w:rPr>
                <w:rFonts w:hint="eastAsia"/>
                <w:b/>
              </w:rPr>
              <w:t>占当期佣金总量的比例</w:t>
            </w:r>
          </w:p>
        </w:tc>
        <w:tc>
          <w:tcPr>
            <w:tcW w:w="946" w:type="dxa"/>
            <w:vMerge w:val="continue"/>
            <w:vAlign w:val="center"/>
          </w:tcPr>
          <w:p w14:paraId="22E2E189"/>
        </w:tc>
      </w:tr>
      <w:tr w14:paraId="4CA5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A68BB8">
            <w:r>
              <w:rPr>
                <w:rFonts w:hint="eastAsia"/>
              </w:rPr>
              <w:t>中信建投</w:t>
            </w:r>
          </w:p>
        </w:tc>
        <w:tc>
          <w:tcPr>
            <w:tcW w:w="775" w:type="dxa"/>
            <w:vAlign w:val="center"/>
          </w:tcPr>
          <w:p w14:paraId="28EF00AB">
            <w:pPr>
              <w:jc w:val="right"/>
            </w:pPr>
            <w:r>
              <w:rPr>
                <w:rFonts w:hint="eastAsia"/>
              </w:rPr>
              <w:t>2</w:t>
            </w:r>
          </w:p>
        </w:tc>
        <w:tc>
          <w:tcPr>
            <w:tcW w:w="1699" w:type="dxa"/>
            <w:vAlign w:val="center"/>
          </w:tcPr>
          <w:p w14:paraId="367DE2F5">
            <w:pPr>
              <w:jc w:val="right"/>
            </w:pPr>
            <w:r>
              <w:rPr>
                <w:rFonts w:hint="eastAsia"/>
              </w:rPr>
              <w:t>-</w:t>
            </w:r>
          </w:p>
        </w:tc>
        <w:tc>
          <w:tcPr>
            <w:tcW w:w="1201" w:type="dxa"/>
            <w:vAlign w:val="center"/>
          </w:tcPr>
          <w:p w14:paraId="77D1F1E8">
            <w:pPr>
              <w:jc w:val="right"/>
            </w:pPr>
            <w:r>
              <w:rPr>
                <w:rFonts w:hint="eastAsia"/>
              </w:rPr>
              <w:t>-</w:t>
            </w:r>
          </w:p>
        </w:tc>
        <w:tc>
          <w:tcPr>
            <w:tcW w:w="1312" w:type="dxa"/>
            <w:vAlign w:val="center"/>
          </w:tcPr>
          <w:p w14:paraId="07D14C8D">
            <w:pPr>
              <w:jc w:val="right"/>
            </w:pPr>
            <w:r>
              <w:rPr>
                <w:rFonts w:hint="eastAsia"/>
              </w:rPr>
              <w:t>-</w:t>
            </w:r>
          </w:p>
        </w:tc>
        <w:tc>
          <w:tcPr>
            <w:tcW w:w="1256" w:type="dxa"/>
            <w:vAlign w:val="center"/>
          </w:tcPr>
          <w:p w14:paraId="38A2A363">
            <w:pPr>
              <w:jc w:val="right"/>
            </w:pPr>
            <w:r>
              <w:rPr>
                <w:rFonts w:hint="eastAsia"/>
              </w:rPr>
              <w:t>-</w:t>
            </w:r>
          </w:p>
        </w:tc>
        <w:tc>
          <w:tcPr>
            <w:tcW w:w="946" w:type="dxa"/>
            <w:vAlign w:val="center"/>
          </w:tcPr>
          <w:p w14:paraId="739F2280">
            <w:pPr>
              <w:jc w:val="right"/>
            </w:pPr>
            <w:r>
              <w:rPr>
                <w:rFonts w:hint="eastAsia"/>
              </w:rPr>
              <w:t>-</w:t>
            </w:r>
          </w:p>
        </w:tc>
      </w:tr>
      <w:tr w14:paraId="7CD1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711661">
            <w:r>
              <w:rPr>
                <w:rFonts w:hint="eastAsia"/>
              </w:rPr>
              <w:t>中信证券</w:t>
            </w:r>
          </w:p>
        </w:tc>
        <w:tc>
          <w:tcPr>
            <w:tcW w:w="775" w:type="dxa"/>
            <w:vAlign w:val="center"/>
          </w:tcPr>
          <w:p w14:paraId="5B3130D7">
            <w:pPr>
              <w:jc w:val="right"/>
            </w:pPr>
            <w:r>
              <w:rPr>
                <w:rFonts w:hint="eastAsia"/>
              </w:rPr>
              <w:t>2</w:t>
            </w:r>
          </w:p>
        </w:tc>
        <w:tc>
          <w:tcPr>
            <w:tcW w:w="1699" w:type="dxa"/>
            <w:vAlign w:val="center"/>
          </w:tcPr>
          <w:p w14:paraId="551D2780">
            <w:pPr>
              <w:jc w:val="right"/>
            </w:pPr>
            <w:r>
              <w:rPr>
                <w:rFonts w:hint="eastAsia"/>
              </w:rPr>
              <w:t>-</w:t>
            </w:r>
          </w:p>
        </w:tc>
        <w:tc>
          <w:tcPr>
            <w:tcW w:w="1201" w:type="dxa"/>
            <w:vAlign w:val="center"/>
          </w:tcPr>
          <w:p w14:paraId="42CC0597">
            <w:pPr>
              <w:jc w:val="right"/>
            </w:pPr>
            <w:r>
              <w:rPr>
                <w:rFonts w:hint="eastAsia"/>
              </w:rPr>
              <w:t>-</w:t>
            </w:r>
          </w:p>
        </w:tc>
        <w:tc>
          <w:tcPr>
            <w:tcW w:w="1312" w:type="dxa"/>
            <w:vAlign w:val="center"/>
          </w:tcPr>
          <w:p w14:paraId="406F7D11">
            <w:pPr>
              <w:jc w:val="right"/>
            </w:pPr>
            <w:r>
              <w:rPr>
                <w:rFonts w:hint="eastAsia"/>
              </w:rPr>
              <w:t>-</w:t>
            </w:r>
          </w:p>
        </w:tc>
        <w:tc>
          <w:tcPr>
            <w:tcW w:w="1256" w:type="dxa"/>
            <w:vAlign w:val="center"/>
          </w:tcPr>
          <w:p w14:paraId="6866FB92">
            <w:pPr>
              <w:jc w:val="right"/>
            </w:pPr>
            <w:r>
              <w:rPr>
                <w:rFonts w:hint="eastAsia"/>
              </w:rPr>
              <w:t>-</w:t>
            </w:r>
          </w:p>
        </w:tc>
        <w:tc>
          <w:tcPr>
            <w:tcW w:w="946" w:type="dxa"/>
            <w:vAlign w:val="center"/>
          </w:tcPr>
          <w:p w14:paraId="66E56C37">
            <w:pPr>
              <w:jc w:val="right"/>
            </w:pPr>
            <w:r>
              <w:rPr>
                <w:rFonts w:hint="eastAsia"/>
              </w:rPr>
              <w:t>-</w:t>
            </w:r>
          </w:p>
        </w:tc>
      </w:tr>
      <w:tr w14:paraId="1F33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1C6F3A">
            <w:r>
              <w:rPr>
                <w:rFonts w:hint="eastAsia"/>
              </w:rPr>
              <w:t>国盛证券</w:t>
            </w:r>
          </w:p>
        </w:tc>
        <w:tc>
          <w:tcPr>
            <w:tcW w:w="775" w:type="dxa"/>
            <w:vAlign w:val="center"/>
          </w:tcPr>
          <w:p w14:paraId="15B527FD">
            <w:pPr>
              <w:jc w:val="right"/>
            </w:pPr>
            <w:r>
              <w:rPr>
                <w:rFonts w:hint="eastAsia"/>
              </w:rPr>
              <w:t>1</w:t>
            </w:r>
          </w:p>
        </w:tc>
        <w:tc>
          <w:tcPr>
            <w:tcW w:w="1699" w:type="dxa"/>
            <w:vAlign w:val="center"/>
          </w:tcPr>
          <w:p w14:paraId="7111C095">
            <w:pPr>
              <w:jc w:val="right"/>
            </w:pPr>
            <w:r>
              <w:rPr>
                <w:rFonts w:hint="eastAsia"/>
              </w:rPr>
              <w:t>-</w:t>
            </w:r>
          </w:p>
        </w:tc>
        <w:tc>
          <w:tcPr>
            <w:tcW w:w="1201" w:type="dxa"/>
            <w:vAlign w:val="center"/>
          </w:tcPr>
          <w:p w14:paraId="023F7F5F">
            <w:pPr>
              <w:jc w:val="right"/>
            </w:pPr>
            <w:r>
              <w:rPr>
                <w:rFonts w:hint="eastAsia"/>
              </w:rPr>
              <w:t>-</w:t>
            </w:r>
          </w:p>
        </w:tc>
        <w:tc>
          <w:tcPr>
            <w:tcW w:w="1312" w:type="dxa"/>
            <w:vAlign w:val="center"/>
          </w:tcPr>
          <w:p w14:paraId="23B5F6C7">
            <w:pPr>
              <w:jc w:val="right"/>
            </w:pPr>
            <w:r>
              <w:rPr>
                <w:rFonts w:hint="eastAsia"/>
              </w:rPr>
              <w:t>-</w:t>
            </w:r>
          </w:p>
        </w:tc>
        <w:tc>
          <w:tcPr>
            <w:tcW w:w="1256" w:type="dxa"/>
            <w:vAlign w:val="center"/>
          </w:tcPr>
          <w:p w14:paraId="589C2629">
            <w:pPr>
              <w:jc w:val="right"/>
            </w:pPr>
            <w:r>
              <w:rPr>
                <w:rFonts w:hint="eastAsia"/>
              </w:rPr>
              <w:t>-</w:t>
            </w:r>
          </w:p>
        </w:tc>
        <w:tc>
          <w:tcPr>
            <w:tcW w:w="946" w:type="dxa"/>
            <w:vAlign w:val="center"/>
          </w:tcPr>
          <w:p w14:paraId="77824706">
            <w:pPr>
              <w:jc w:val="right"/>
            </w:pPr>
            <w:r>
              <w:rPr>
                <w:rFonts w:hint="eastAsia"/>
              </w:rPr>
              <w:t>-</w:t>
            </w:r>
          </w:p>
        </w:tc>
      </w:tr>
      <w:tr w14:paraId="660A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6E9904">
            <w:r>
              <w:rPr>
                <w:rFonts w:hint="eastAsia"/>
              </w:rPr>
              <w:t>西部证券</w:t>
            </w:r>
          </w:p>
        </w:tc>
        <w:tc>
          <w:tcPr>
            <w:tcW w:w="775" w:type="dxa"/>
            <w:vAlign w:val="center"/>
          </w:tcPr>
          <w:p w14:paraId="540164DB">
            <w:pPr>
              <w:jc w:val="right"/>
            </w:pPr>
            <w:r>
              <w:rPr>
                <w:rFonts w:hint="eastAsia"/>
              </w:rPr>
              <w:t>1</w:t>
            </w:r>
          </w:p>
        </w:tc>
        <w:tc>
          <w:tcPr>
            <w:tcW w:w="1699" w:type="dxa"/>
            <w:vAlign w:val="center"/>
          </w:tcPr>
          <w:p w14:paraId="6D336C2E">
            <w:pPr>
              <w:jc w:val="right"/>
            </w:pPr>
            <w:r>
              <w:rPr>
                <w:rFonts w:hint="eastAsia"/>
              </w:rPr>
              <w:t>-</w:t>
            </w:r>
          </w:p>
        </w:tc>
        <w:tc>
          <w:tcPr>
            <w:tcW w:w="1201" w:type="dxa"/>
            <w:vAlign w:val="center"/>
          </w:tcPr>
          <w:p w14:paraId="33A3B22A">
            <w:pPr>
              <w:jc w:val="right"/>
            </w:pPr>
            <w:r>
              <w:rPr>
                <w:rFonts w:hint="eastAsia"/>
              </w:rPr>
              <w:t>-</w:t>
            </w:r>
          </w:p>
        </w:tc>
        <w:tc>
          <w:tcPr>
            <w:tcW w:w="1312" w:type="dxa"/>
            <w:vAlign w:val="center"/>
          </w:tcPr>
          <w:p w14:paraId="3777CB7E">
            <w:pPr>
              <w:jc w:val="right"/>
            </w:pPr>
            <w:r>
              <w:rPr>
                <w:rFonts w:hint="eastAsia"/>
              </w:rPr>
              <w:t>-</w:t>
            </w:r>
          </w:p>
        </w:tc>
        <w:tc>
          <w:tcPr>
            <w:tcW w:w="1256" w:type="dxa"/>
            <w:vAlign w:val="center"/>
          </w:tcPr>
          <w:p w14:paraId="70425E87">
            <w:pPr>
              <w:jc w:val="right"/>
            </w:pPr>
            <w:r>
              <w:rPr>
                <w:rFonts w:hint="eastAsia"/>
              </w:rPr>
              <w:t>-</w:t>
            </w:r>
          </w:p>
        </w:tc>
        <w:tc>
          <w:tcPr>
            <w:tcW w:w="946" w:type="dxa"/>
            <w:vAlign w:val="center"/>
          </w:tcPr>
          <w:p w14:paraId="430377FA">
            <w:pPr>
              <w:jc w:val="right"/>
            </w:pPr>
            <w:r>
              <w:rPr>
                <w:rFonts w:hint="eastAsia"/>
              </w:rPr>
              <w:t>-</w:t>
            </w:r>
          </w:p>
        </w:tc>
      </w:tr>
    </w:tbl>
    <w:p w14:paraId="4010AE8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2DD3E8B">
      <w:pPr>
        <w:pStyle w:val="47"/>
        <w:rPr>
          <w:rFonts w:hint="eastAsia"/>
        </w:rPr>
      </w:pPr>
      <w:r>
        <w:tab/>
      </w:r>
      <w:r>
        <w:rPr>
          <w:rFonts w:hint="eastAsia"/>
        </w:rPr>
        <w:t>1、选择标准</w:t>
      </w:r>
    </w:p>
    <w:p w14:paraId="1E4860C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A3AA879">
      <w:pPr>
        <w:pStyle w:val="47"/>
        <w:rPr>
          <w:rFonts w:hint="eastAsia"/>
        </w:rPr>
      </w:pPr>
      <w:r>
        <w:tab/>
      </w:r>
      <w:r>
        <w:rPr>
          <w:rFonts w:hint="eastAsia"/>
        </w:rPr>
        <w:t>2、选择程序</w:t>
      </w:r>
    </w:p>
    <w:p w14:paraId="70131B4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32B631F">
      <w:pPr>
        <w:pStyle w:val="47"/>
        <w:rPr>
          <w:rFonts w:hint="eastAsia"/>
        </w:rPr>
      </w:pPr>
      <w:r>
        <w:tab/>
      </w:r>
      <w:r>
        <w:rPr>
          <w:rFonts w:hint="eastAsia"/>
        </w:rPr>
        <w:t>（2）基金管理人根据其建立的服务评价及交易量分配机制，定期对证券公司开展评价后，根据评价结果进行交易量的分配。</w:t>
      </w:r>
    </w:p>
    <w:p w14:paraId="09E0C3D5">
      <w:pPr>
        <w:pStyle w:val="47"/>
        <w:rPr>
          <w:rFonts w:hint="eastAsia"/>
        </w:rPr>
      </w:pPr>
      <w:r>
        <w:tab/>
      </w:r>
      <w:r>
        <w:rPr>
          <w:rFonts w:hint="eastAsia"/>
        </w:rPr>
        <w:t>3、报告期内基金租用券商交易单元的变更情况：新增交易单元：无；减少交易单元：无。</w:t>
      </w:r>
    </w:p>
    <w:p w14:paraId="5751096C">
      <w:pPr>
        <w:pStyle w:val="28"/>
      </w:pPr>
      <w:bookmarkStart w:id="196" w:name="_Toc196"/>
      <w:r>
        <w:t>基金租用证券公司交易单元进行其他证券投资的情况</w:t>
      </w:r>
      <w:bookmarkEnd w:id="196"/>
    </w:p>
    <w:p w14:paraId="544BA1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B10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16C2431">
            <w:pPr>
              <w:jc w:val="center"/>
            </w:pPr>
            <w:r>
              <w:rPr>
                <w:rFonts w:hint="eastAsia"/>
                <w:b/>
              </w:rPr>
              <w:t>券商名称</w:t>
            </w:r>
          </w:p>
        </w:tc>
        <w:tc>
          <w:tcPr>
            <w:tcW w:w="1508" w:type="dxa"/>
            <w:gridSpan w:val="2"/>
            <w:shd w:val="clear" w:color="auto" w:fill="BFBFBF"/>
            <w:vAlign w:val="center"/>
          </w:tcPr>
          <w:p w14:paraId="0C0893A6">
            <w:pPr>
              <w:jc w:val="center"/>
            </w:pPr>
            <w:r>
              <w:rPr>
                <w:rFonts w:hint="eastAsia"/>
                <w:b/>
              </w:rPr>
              <w:t>债券交易</w:t>
            </w:r>
          </w:p>
        </w:tc>
        <w:tc>
          <w:tcPr>
            <w:tcW w:w="1697" w:type="dxa"/>
            <w:gridSpan w:val="2"/>
            <w:shd w:val="clear" w:color="auto" w:fill="BFBFBF"/>
            <w:vAlign w:val="center"/>
          </w:tcPr>
          <w:p w14:paraId="443FABE8">
            <w:pPr>
              <w:jc w:val="center"/>
            </w:pPr>
            <w:r>
              <w:rPr>
                <w:rFonts w:hint="eastAsia"/>
                <w:b/>
              </w:rPr>
              <w:t>债券回购交易</w:t>
            </w:r>
          </w:p>
        </w:tc>
        <w:tc>
          <w:tcPr>
            <w:tcW w:w="1508" w:type="dxa"/>
            <w:gridSpan w:val="2"/>
            <w:shd w:val="clear" w:color="auto" w:fill="BFBFBF"/>
            <w:vAlign w:val="center"/>
          </w:tcPr>
          <w:p w14:paraId="1724CE84">
            <w:pPr>
              <w:jc w:val="center"/>
            </w:pPr>
            <w:r>
              <w:rPr>
                <w:rFonts w:hint="eastAsia"/>
                <w:b/>
              </w:rPr>
              <w:t>权证交易</w:t>
            </w:r>
          </w:p>
        </w:tc>
      </w:tr>
      <w:tr w14:paraId="6923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1D61E11"/>
        </w:tc>
        <w:tc>
          <w:tcPr>
            <w:tcW w:w="1508" w:type="dxa"/>
            <w:shd w:val="clear" w:color="auto" w:fill="BFBFBF"/>
            <w:vAlign w:val="center"/>
          </w:tcPr>
          <w:p w14:paraId="3224E2C2">
            <w:pPr>
              <w:jc w:val="center"/>
            </w:pPr>
            <w:r>
              <w:rPr>
                <w:rFonts w:hint="eastAsia"/>
                <w:b/>
              </w:rPr>
              <w:t>成交金额</w:t>
            </w:r>
          </w:p>
        </w:tc>
        <w:tc>
          <w:tcPr>
            <w:tcW w:w="895" w:type="dxa"/>
            <w:shd w:val="clear" w:color="auto" w:fill="BFBFBF"/>
            <w:vAlign w:val="center"/>
          </w:tcPr>
          <w:p w14:paraId="6E78F20D">
            <w:pPr>
              <w:jc w:val="center"/>
            </w:pPr>
            <w:r>
              <w:rPr>
                <w:rFonts w:hint="eastAsia"/>
                <w:b/>
              </w:rPr>
              <w:t>占当期债券成交总额的比例</w:t>
            </w:r>
          </w:p>
        </w:tc>
        <w:tc>
          <w:tcPr>
            <w:tcW w:w="1697" w:type="dxa"/>
            <w:shd w:val="clear" w:color="auto" w:fill="BFBFBF"/>
            <w:vAlign w:val="center"/>
          </w:tcPr>
          <w:p w14:paraId="2CA5B876">
            <w:pPr>
              <w:jc w:val="center"/>
            </w:pPr>
            <w:r>
              <w:rPr>
                <w:rFonts w:hint="eastAsia"/>
                <w:b/>
              </w:rPr>
              <w:t>成交金额</w:t>
            </w:r>
          </w:p>
        </w:tc>
        <w:tc>
          <w:tcPr>
            <w:tcW w:w="895" w:type="dxa"/>
            <w:shd w:val="clear" w:color="auto" w:fill="BFBFBF"/>
            <w:vAlign w:val="center"/>
          </w:tcPr>
          <w:p w14:paraId="0CB6F444">
            <w:pPr>
              <w:jc w:val="center"/>
            </w:pPr>
            <w:r>
              <w:rPr>
                <w:rFonts w:hint="eastAsia"/>
                <w:b/>
              </w:rPr>
              <w:t>占当期债券回购成交总额的比例</w:t>
            </w:r>
          </w:p>
        </w:tc>
        <w:tc>
          <w:tcPr>
            <w:tcW w:w="1508" w:type="dxa"/>
            <w:shd w:val="clear" w:color="auto" w:fill="BFBFBF"/>
            <w:vAlign w:val="center"/>
          </w:tcPr>
          <w:p w14:paraId="68296F29">
            <w:pPr>
              <w:jc w:val="center"/>
            </w:pPr>
            <w:r>
              <w:rPr>
                <w:rFonts w:hint="eastAsia"/>
                <w:b/>
              </w:rPr>
              <w:t>成交金额</w:t>
            </w:r>
          </w:p>
        </w:tc>
        <w:tc>
          <w:tcPr>
            <w:tcW w:w="900" w:type="dxa"/>
            <w:shd w:val="clear" w:color="auto" w:fill="BFBFBF"/>
            <w:vAlign w:val="center"/>
          </w:tcPr>
          <w:p w14:paraId="4C71E1A8">
            <w:pPr>
              <w:jc w:val="center"/>
            </w:pPr>
            <w:r>
              <w:rPr>
                <w:rFonts w:hint="eastAsia"/>
                <w:b/>
              </w:rPr>
              <w:t>占当期权证成交总额的比例</w:t>
            </w:r>
          </w:p>
        </w:tc>
      </w:tr>
      <w:tr w14:paraId="3B21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FEABD9">
            <w:r>
              <w:rPr>
                <w:rFonts w:hint="eastAsia"/>
              </w:rPr>
              <w:t>中信建投</w:t>
            </w:r>
          </w:p>
        </w:tc>
        <w:tc>
          <w:tcPr>
            <w:tcW w:w="1508" w:type="dxa"/>
            <w:vAlign w:val="center"/>
          </w:tcPr>
          <w:p w14:paraId="0E1A7B7F">
            <w:pPr>
              <w:jc w:val="right"/>
            </w:pPr>
            <w:r>
              <w:rPr>
                <w:rFonts w:hint="eastAsia"/>
              </w:rPr>
              <w:t>-</w:t>
            </w:r>
          </w:p>
        </w:tc>
        <w:tc>
          <w:tcPr>
            <w:tcW w:w="895" w:type="dxa"/>
            <w:vAlign w:val="center"/>
          </w:tcPr>
          <w:p w14:paraId="36784F96">
            <w:pPr>
              <w:jc w:val="right"/>
            </w:pPr>
            <w:r>
              <w:rPr>
                <w:rFonts w:hint="eastAsia"/>
              </w:rPr>
              <w:t>-</w:t>
            </w:r>
          </w:p>
        </w:tc>
        <w:tc>
          <w:tcPr>
            <w:tcW w:w="1697" w:type="dxa"/>
            <w:vAlign w:val="center"/>
          </w:tcPr>
          <w:p w14:paraId="170D261B">
            <w:pPr>
              <w:jc w:val="right"/>
            </w:pPr>
            <w:r>
              <w:rPr>
                <w:rFonts w:hint="eastAsia"/>
              </w:rPr>
              <w:t>-</w:t>
            </w:r>
          </w:p>
        </w:tc>
        <w:tc>
          <w:tcPr>
            <w:tcW w:w="895" w:type="dxa"/>
            <w:vAlign w:val="center"/>
          </w:tcPr>
          <w:p w14:paraId="55C21465">
            <w:pPr>
              <w:jc w:val="right"/>
            </w:pPr>
            <w:r>
              <w:rPr>
                <w:rFonts w:hint="eastAsia"/>
              </w:rPr>
              <w:t>-</w:t>
            </w:r>
          </w:p>
        </w:tc>
        <w:tc>
          <w:tcPr>
            <w:tcW w:w="1508" w:type="dxa"/>
            <w:vAlign w:val="center"/>
          </w:tcPr>
          <w:p w14:paraId="701DF15D">
            <w:pPr>
              <w:jc w:val="right"/>
            </w:pPr>
            <w:r>
              <w:rPr>
                <w:rFonts w:hint="eastAsia"/>
              </w:rPr>
              <w:t>-</w:t>
            </w:r>
          </w:p>
        </w:tc>
        <w:tc>
          <w:tcPr>
            <w:tcW w:w="900" w:type="dxa"/>
            <w:vAlign w:val="center"/>
          </w:tcPr>
          <w:p w14:paraId="73D8AFA2">
            <w:pPr>
              <w:jc w:val="right"/>
            </w:pPr>
            <w:r>
              <w:rPr>
                <w:rFonts w:hint="eastAsia"/>
              </w:rPr>
              <w:t>-</w:t>
            </w:r>
          </w:p>
        </w:tc>
      </w:tr>
      <w:tr w14:paraId="7E50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65081D">
            <w:r>
              <w:rPr>
                <w:rFonts w:hint="eastAsia"/>
              </w:rPr>
              <w:t>中信证券</w:t>
            </w:r>
          </w:p>
        </w:tc>
        <w:tc>
          <w:tcPr>
            <w:tcW w:w="1508" w:type="dxa"/>
            <w:vAlign w:val="center"/>
          </w:tcPr>
          <w:p w14:paraId="1407E8D0">
            <w:pPr>
              <w:jc w:val="right"/>
            </w:pPr>
            <w:r>
              <w:rPr>
                <w:rFonts w:hint="eastAsia"/>
              </w:rPr>
              <w:t>187,061,255.00</w:t>
            </w:r>
          </w:p>
        </w:tc>
        <w:tc>
          <w:tcPr>
            <w:tcW w:w="895" w:type="dxa"/>
            <w:vAlign w:val="center"/>
          </w:tcPr>
          <w:p w14:paraId="17801661">
            <w:pPr>
              <w:jc w:val="right"/>
            </w:pPr>
            <w:r>
              <w:rPr>
                <w:rFonts w:hint="eastAsia"/>
              </w:rPr>
              <w:t>100.00%</w:t>
            </w:r>
          </w:p>
        </w:tc>
        <w:tc>
          <w:tcPr>
            <w:tcW w:w="1697" w:type="dxa"/>
            <w:vAlign w:val="center"/>
          </w:tcPr>
          <w:p w14:paraId="18BE60F8">
            <w:pPr>
              <w:jc w:val="right"/>
            </w:pPr>
            <w:r>
              <w:rPr>
                <w:rFonts w:hint="eastAsia"/>
              </w:rPr>
              <w:t>16,000,000.00</w:t>
            </w:r>
          </w:p>
        </w:tc>
        <w:tc>
          <w:tcPr>
            <w:tcW w:w="895" w:type="dxa"/>
            <w:vAlign w:val="center"/>
          </w:tcPr>
          <w:p w14:paraId="7B0EF66E">
            <w:pPr>
              <w:jc w:val="right"/>
            </w:pPr>
            <w:r>
              <w:rPr>
                <w:rFonts w:hint="eastAsia"/>
              </w:rPr>
              <w:t>100.00%</w:t>
            </w:r>
          </w:p>
        </w:tc>
        <w:tc>
          <w:tcPr>
            <w:tcW w:w="1508" w:type="dxa"/>
            <w:vAlign w:val="center"/>
          </w:tcPr>
          <w:p w14:paraId="1F7B110B">
            <w:pPr>
              <w:jc w:val="right"/>
            </w:pPr>
            <w:r>
              <w:rPr>
                <w:rFonts w:hint="eastAsia"/>
              </w:rPr>
              <w:t>-</w:t>
            </w:r>
          </w:p>
        </w:tc>
        <w:tc>
          <w:tcPr>
            <w:tcW w:w="900" w:type="dxa"/>
            <w:vAlign w:val="center"/>
          </w:tcPr>
          <w:p w14:paraId="4298BA9F">
            <w:pPr>
              <w:jc w:val="right"/>
            </w:pPr>
            <w:r>
              <w:rPr>
                <w:rFonts w:hint="eastAsia"/>
              </w:rPr>
              <w:t>-</w:t>
            </w:r>
          </w:p>
        </w:tc>
      </w:tr>
      <w:tr w14:paraId="0C35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B60A4F">
            <w:r>
              <w:rPr>
                <w:rFonts w:hint="eastAsia"/>
              </w:rPr>
              <w:t>国盛证券</w:t>
            </w:r>
          </w:p>
        </w:tc>
        <w:tc>
          <w:tcPr>
            <w:tcW w:w="1508" w:type="dxa"/>
            <w:vAlign w:val="center"/>
          </w:tcPr>
          <w:p w14:paraId="60A64A8E">
            <w:pPr>
              <w:jc w:val="right"/>
            </w:pPr>
            <w:r>
              <w:rPr>
                <w:rFonts w:hint="eastAsia"/>
              </w:rPr>
              <w:t>-</w:t>
            </w:r>
          </w:p>
        </w:tc>
        <w:tc>
          <w:tcPr>
            <w:tcW w:w="895" w:type="dxa"/>
            <w:vAlign w:val="center"/>
          </w:tcPr>
          <w:p w14:paraId="056FC68C">
            <w:pPr>
              <w:jc w:val="right"/>
            </w:pPr>
            <w:r>
              <w:rPr>
                <w:rFonts w:hint="eastAsia"/>
              </w:rPr>
              <w:t>-</w:t>
            </w:r>
          </w:p>
        </w:tc>
        <w:tc>
          <w:tcPr>
            <w:tcW w:w="1697" w:type="dxa"/>
            <w:vAlign w:val="center"/>
          </w:tcPr>
          <w:p w14:paraId="7F03468A">
            <w:pPr>
              <w:jc w:val="right"/>
            </w:pPr>
            <w:r>
              <w:rPr>
                <w:rFonts w:hint="eastAsia"/>
              </w:rPr>
              <w:t>-</w:t>
            </w:r>
          </w:p>
        </w:tc>
        <w:tc>
          <w:tcPr>
            <w:tcW w:w="895" w:type="dxa"/>
            <w:vAlign w:val="center"/>
          </w:tcPr>
          <w:p w14:paraId="0F78CE23">
            <w:pPr>
              <w:jc w:val="right"/>
            </w:pPr>
            <w:r>
              <w:rPr>
                <w:rFonts w:hint="eastAsia"/>
              </w:rPr>
              <w:t>-</w:t>
            </w:r>
          </w:p>
        </w:tc>
        <w:tc>
          <w:tcPr>
            <w:tcW w:w="1508" w:type="dxa"/>
            <w:vAlign w:val="center"/>
          </w:tcPr>
          <w:p w14:paraId="41F45F1F">
            <w:pPr>
              <w:jc w:val="right"/>
            </w:pPr>
            <w:r>
              <w:rPr>
                <w:rFonts w:hint="eastAsia"/>
              </w:rPr>
              <w:t>-</w:t>
            </w:r>
          </w:p>
        </w:tc>
        <w:tc>
          <w:tcPr>
            <w:tcW w:w="900" w:type="dxa"/>
            <w:vAlign w:val="center"/>
          </w:tcPr>
          <w:p w14:paraId="64470EB3">
            <w:pPr>
              <w:jc w:val="right"/>
            </w:pPr>
            <w:r>
              <w:rPr>
                <w:rFonts w:hint="eastAsia"/>
              </w:rPr>
              <w:t>-</w:t>
            </w:r>
          </w:p>
        </w:tc>
      </w:tr>
      <w:tr w14:paraId="3F24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F4A7F3">
            <w:r>
              <w:rPr>
                <w:rFonts w:hint="eastAsia"/>
              </w:rPr>
              <w:t>西部证券</w:t>
            </w:r>
          </w:p>
        </w:tc>
        <w:tc>
          <w:tcPr>
            <w:tcW w:w="1508" w:type="dxa"/>
            <w:vAlign w:val="center"/>
          </w:tcPr>
          <w:p w14:paraId="0A218361">
            <w:pPr>
              <w:jc w:val="right"/>
            </w:pPr>
            <w:r>
              <w:rPr>
                <w:rFonts w:hint="eastAsia"/>
              </w:rPr>
              <w:t>-</w:t>
            </w:r>
          </w:p>
        </w:tc>
        <w:tc>
          <w:tcPr>
            <w:tcW w:w="895" w:type="dxa"/>
            <w:vAlign w:val="center"/>
          </w:tcPr>
          <w:p w14:paraId="182C4CA3">
            <w:pPr>
              <w:jc w:val="right"/>
            </w:pPr>
            <w:r>
              <w:rPr>
                <w:rFonts w:hint="eastAsia"/>
              </w:rPr>
              <w:t>-</w:t>
            </w:r>
          </w:p>
        </w:tc>
        <w:tc>
          <w:tcPr>
            <w:tcW w:w="1697" w:type="dxa"/>
            <w:vAlign w:val="center"/>
          </w:tcPr>
          <w:p w14:paraId="2641146A">
            <w:pPr>
              <w:jc w:val="right"/>
            </w:pPr>
            <w:r>
              <w:rPr>
                <w:rFonts w:hint="eastAsia"/>
              </w:rPr>
              <w:t>-</w:t>
            </w:r>
          </w:p>
        </w:tc>
        <w:tc>
          <w:tcPr>
            <w:tcW w:w="895" w:type="dxa"/>
            <w:vAlign w:val="center"/>
          </w:tcPr>
          <w:p w14:paraId="4A03AC91">
            <w:pPr>
              <w:jc w:val="right"/>
            </w:pPr>
            <w:r>
              <w:rPr>
                <w:rFonts w:hint="eastAsia"/>
              </w:rPr>
              <w:t>-</w:t>
            </w:r>
          </w:p>
        </w:tc>
        <w:tc>
          <w:tcPr>
            <w:tcW w:w="1508" w:type="dxa"/>
            <w:vAlign w:val="center"/>
          </w:tcPr>
          <w:p w14:paraId="2752747C">
            <w:pPr>
              <w:jc w:val="right"/>
            </w:pPr>
            <w:r>
              <w:rPr>
                <w:rFonts w:hint="eastAsia"/>
              </w:rPr>
              <w:t>-</w:t>
            </w:r>
          </w:p>
        </w:tc>
        <w:tc>
          <w:tcPr>
            <w:tcW w:w="900" w:type="dxa"/>
            <w:vAlign w:val="center"/>
          </w:tcPr>
          <w:p w14:paraId="75FCA6AD">
            <w:pPr>
              <w:jc w:val="right"/>
            </w:pPr>
            <w:r>
              <w:rPr>
                <w:rFonts w:hint="eastAsia"/>
              </w:rPr>
              <w:t>-</w:t>
            </w:r>
          </w:p>
        </w:tc>
      </w:tr>
    </w:tbl>
    <w:p w14:paraId="6B2D2CF9">
      <w:pPr>
        <w:pStyle w:val="23"/>
      </w:pPr>
      <w:bookmarkStart w:id="197" w:name="_Toc19540"/>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4DC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4E388BE">
            <w:pPr>
              <w:jc w:val="center"/>
            </w:pPr>
            <w:r>
              <w:rPr>
                <w:rFonts w:hint="eastAsia"/>
                <w:b/>
              </w:rPr>
              <w:t>序号</w:t>
            </w:r>
          </w:p>
        </w:tc>
        <w:tc>
          <w:tcPr>
            <w:tcW w:w="4319" w:type="dxa"/>
            <w:shd w:val="clear" w:color="auto" w:fill="BFBFBF"/>
            <w:vAlign w:val="center"/>
          </w:tcPr>
          <w:p w14:paraId="39AB7A60">
            <w:pPr>
              <w:jc w:val="center"/>
            </w:pPr>
            <w:r>
              <w:rPr>
                <w:rFonts w:hint="eastAsia"/>
                <w:b/>
              </w:rPr>
              <w:t>公告事项</w:t>
            </w:r>
          </w:p>
        </w:tc>
        <w:tc>
          <w:tcPr>
            <w:tcW w:w="2076" w:type="dxa"/>
            <w:shd w:val="clear" w:color="auto" w:fill="BFBFBF"/>
            <w:vAlign w:val="center"/>
          </w:tcPr>
          <w:p w14:paraId="38AD98EB">
            <w:pPr>
              <w:jc w:val="center"/>
            </w:pPr>
            <w:r>
              <w:rPr>
                <w:rFonts w:hint="eastAsia"/>
                <w:b/>
              </w:rPr>
              <w:t>法定披露方式</w:t>
            </w:r>
          </w:p>
        </w:tc>
        <w:tc>
          <w:tcPr>
            <w:tcW w:w="1218" w:type="dxa"/>
            <w:shd w:val="clear" w:color="auto" w:fill="BFBFBF"/>
            <w:vAlign w:val="center"/>
          </w:tcPr>
          <w:p w14:paraId="43AAA47A">
            <w:pPr>
              <w:jc w:val="center"/>
            </w:pPr>
            <w:r>
              <w:rPr>
                <w:rFonts w:hint="eastAsia"/>
                <w:b/>
              </w:rPr>
              <w:t>法定披露日期</w:t>
            </w:r>
          </w:p>
        </w:tc>
      </w:tr>
      <w:tr w14:paraId="4E38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25015D">
            <w:pPr>
              <w:jc w:val="center"/>
            </w:pPr>
            <w:r>
              <w:rPr>
                <w:rFonts w:hint="eastAsia"/>
              </w:rPr>
              <w:t>1</w:t>
            </w:r>
          </w:p>
        </w:tc>
        <w:tc>
          <w:tcPr>
            <w:tcW w:w="4319" w:type="dxa"/>
            <w:vAlign w:val="center"/>
          </w:tcPr>
          <w:p w14:paraId="437EBE13">
            <w:r>
              <w:rPr>
                <w:rFonts w:hint="eastAsia"/>
              </w:rPr>
              <w:t>南方基金关于直销平台相关业务费率优惠的公告</w:t>
            </w:r>
          </w:p>
        </w:tc>
        <w:tc>
          <w:tcPr>
            <w:tcW w:w="2076" w:type="dxa"/>
            <w:vAlign w:val="center"/>
          </w:tcPr>
          <w:p w14:paraId="186443FC">
            <w:r>
              <w:rPr>
                <w:rFonts w:hint="eastAsia"/>
              </w:rPr>
              <w:t>证券日报、基金管理人网站、中国证监会基金电子披露网站</w:t>
            </w:r>
          </w:p>
        </w:tc>
        <w:tc>
          <w:tcPr>
            <w:tcW w:w="1218" w:type="dxa"/>
            <w:vAlign w:val="center"/>
          </w:tcPr>
          <w:p w14:paraId="5F08F34A">
            <w:r>
              <w:rPr>
                <w:rFonts w:hint="eastAsia"/>
              </w:rPr>
              <w:t>2025-01-01</w:t>
            </w:r>
          </w:p>
        </w:tc>
      </w:tr>
      <w:tr w14:paraId="1631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6D4BA7">
            <w:pPr>
              <w:jc w:val="center"/>
            </w:pPr>
            <w:r>
              <w:rPr>
                <w:rFonts w:hint="eastAsia"/>
              </w:rPr>
              <w:t>2</w:t>
            </w:r>
          </w:p>
        </w:tc>
        <w:tc>
          <w:tcPr>
            <w:tcW w:w="4319" w:type="dxa"/>
            <w:vAlign w:val="center"/>
          </w:tcPr>
          <w:p w14:paraId="0BFC362C">
            <w:r>
              <w:rPr>
                <w:rFonts w:hint="eastAsia"/>
              </w:rPr>
              <w:t>南方宏元定期开放债券型发起式证券投资基金开放申购、赎回及转换业务的公告</w:t>
            </w:r>
          </w:p>
        </w:tc>
        <w:tc>
          <w:tcPr>
            <w:tcW w:w="2076" w:type="dxa"/>
            <w:vAlign w:val="center"/>
          </w:tcPr>
          <w:p w14:paraId="1655AFAB">
            <w:r>
              <w:rPr>
                <w:rFonts w:hint="eastAsia"/>
              </w:rPr>
              <w:t>证券日报、基金管理人网站、中国证监会基金电子披露网站</w:t>
            </w:r>
          </w:p>
        </w:tc>
        <w:tc>
          <w:tcPr>
            <w:tcW w:w="1218" w:type="dxa"/>
            <w:vAlign w:val="center"/>
          </w:tcPr>
          <w:p w14:paraId="02921585">
            <w:r>
              <w:rPr>
                <w:rFonts w:hint="eastAsia"/>
              </w:rPr>
              <w:t>2025-02-12</w:t>
            </w:r>
          </w:p>
        </w:tc>
      </w:tr>
      <w:tr w14:paraId="3871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9EB314">
            <w:pPr>
              <w:jc w:val="center"/>
            </w:pPr>
            <w:r>
              <w:rPr>
                <w:rFonts w:hint="eastAsia"/>
              </w:rPr>
              <w:t>3</w:t>
            </w:r>
          </w:p>
        </w:tc>
        <w:tc>
          <w:tcPr>
            <w:tcW w:w="4319" w:type="dxa"/>
            <w:vAlign w:val="center"/>
          </w:tcPr>
          <w:p w14:paraId="030230FA">
            <w:r>
              <w:rPr>
                <w:rFonts w:hint="eastAsia"/>
              </w:rPr>
              <w:t>南方基金管理股份有限公司旗下公募基金通过证券公司证券交易及佣金支付情况（2024年度）</w:t>
            </w:r>
          </w:p>
        </w:tc>
        <w:tc>
          <w:tcPr>
            <w:tcW w:w="2076" w:type="dxa"/>
            <w:vAlign w:val="center"/>
          </w:tcPr>
          <w:p w14:paraId="624D729B">
            <w:r>
              <w:rPr>
                <w:rFonts w:hint="eastAsia"/>
              </w:rPr>
              <w:t>证券日报、基金管理人网站、中国证监会基金电子披露网站</w:t>
            </w:r>
          </w:p>
        </w:tc>
        <w:tc>
          <w:tcPr>
            <w:tcW w:w="1218" w:type="dxa"/>
            <w:vAlign w:val="center"/>
          </w:tcPr>
          <w:p w14:paraId="6561766E">
            <w:r>
              <w:rPr>
                <w:rFonts w:hint="eastAsia"/>
              </w:rPr>
              <w:t>2025-03-31</w:t>
            </w:r>
          </w:p>
        </w:tc>
      </w:tr>
      <w:tr w14:paraId="66D9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EBFC5B">
            <w:pPr>
              <w:jc w:val="center"/>
            </w:pPr>
            <w:r>
              <w:rPr>
                <w:rFonts w:hint="eastAsia"/>
              </w:rPr>
              <w:t>4</w:t>
            </w:r>
          </w:p>
        </w:tc>
        <w:tc>
          <w:tcPr>
            <w:tcW w:w="4319" w:type="dxa"/>
            <w:vAlign w:val="center"/>
          </w:tcPr>
          <w:p w14:paraId="41FA76A7">
            <w:r>
              <w:rPr>
                <w:rFonts w:hint="eastAsia"/>
              </w:rPr>
              <w:t>南方宏元定期开放债券型发起式证券投资基金开放申购、赎回及转换业务的公告</w:t>
            </w:r>
          </w:p>
        </w:tc>
        <w:tc>
          <w:tcPr>
            <w:tcW w:w="2076" w:type="dxa"/>
            <w:vAlign w:val="center"/>
          </w:tcPr>
          <w:p w14:paraId="58E792B2">
            <w:r>
              <w:rPr>
                <w:rFonts w:hint="eastAsia"/>
              </w:rPr>
              <w:t>证券日报、基金管理人网站、中国证监会基金电子披露网站</w:t>
            </w:r>
          </w:p>
        </w:tc>
        <w:tc>
          <w:tcPr>
            <w:tcW w:w="1218" w:type="dxa"/>
            <w:vAlign w:val="center"/>
          </w:tcPr>
          <w:p w14:paraId="298467F5">
            <w:r>
              <w:rPr>
                <w:rFonts w:hint="eastAsia"/>
              </w:rPr>
              <w:t>2025-06-11</w:t>
            </w:r>
          </w:p>
        </w:tc>
      </w:tr>
      <w:tr w14:paraId="6BBD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AC7FDC">
            <w:pPr>
              <w:jc w:val="center"/>
            </w:pPr>
            <w:r>
              <w:rPr>
                <w:rFonts w:hint="eastAsia"/>
              </w:rPr>
              <w:t>5</w:t>
            </w:r>
          </w:p>
        </w:tc>
        <w:tc>
          <w:tcPr>
            <w:tcW w:w="4319" w:type="dxa"/>
            <w:vAlign w:val="center"/>
          </w:tcPr>
          <w:p w14:paraId="288DAD3C">
            <w:r>
              <w:rPr>
                <w:rFonts w:hint="eastAsia"/>
              </w:rPr>
              <w:t>关于南方宏元定期开放债券型发起式证券投资基金调整开放期安排的公告</w:t>
            </w:r>
          </w:p>
        </w:tc>
        <w:tc>
          <w:tcPr>
            <w:tcW w:w="2076" w:type="dxa"/>
            <w:vAlign w:val="center"/>
          </w:tcPr>
          <w:p w14:paraId="6C80FDAC">
            <w:r>
              <w:rPr>
                <w:rFonts w:hint="eastAsia"/>
              </w:rPr>
              <w:t>证券日报、基金管理人网站、中国证监会基金电子披露网站</w:t>
            </w:r>
          </w:p>
        </w:tc>
        <w:tc>
          <w:tcPr>
            <w:tcW w:w="1218" w:type="dxa"/>
            <w:vAlign w:val="center"/>
          </w:tcPr>
          <w:p w14:paraId="3FBEBBA4">
            <w:r>
              <w:rPr>
                <w:rFonts w:hint="eastAsia"/>
              </w:rPr>
              <w:t>2025-06-19</w:t>
            </w:r>
          </w:p>
        </w:tc>
      </w:tr>
      <w:tr w14:paraId="6101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D149CC">
            <w:pPr>
              <w:jc w:val="center"/>
            </w:pPr>
            <w:r>
              <w:rPr>
                <w:rFonts w:hint="eastAsia"/>
              </w:rPr>
              <w:t>6</w:t>
            </w:r>
          </w:p>
        </w:tc>
        <w:tc>
          <w:tcPr>
            <w:tcW w:w="4319" w:type="dxa"/>
            <w:vAlign w:val="center"/>
          </w:tcPr>
          <w:p w14:paraId="2EB34F95">
            <w:r>
              <w:rPr>
                <w:rFonts w:hint="eastAsia"/>
              </w:rPr>
              <w:t>南方宏元定期开放债券型发起式证券投资基金分红公告</w:t>
            </w:r>
          </w:p>
        </w:tc>
        <w:tc>
          <w:tcPr>
            <w:tcW w:w="2076" w:type="dxa"/>
            <w:vAlign w:val="center"/>
          </w:tcPr>
          <w:p w14:paraId="79CD2257">
            <w:r>
              <w:rPr>
                <w:rFonts w:hint="eastAsia"/>
              </w:rPr>
              <w:t>证券日报、基金管理人网站、中国证监会基金电子披露网站</w:t>
            </w:r>
          </w:p>
        </w:tc>
        <w:tc>
          <w:tcPr>
            <w:tcW w:w="1218" w:type="dxa"/>
            <w:vAlign w:val="center"/>
          </w:tcPr>
          <w:p w14:paraId="1E78F214">
            <w:r>
              <w:rPr>
                <w:rFonts w:hint="eastAsia"/>
              </w:rPr>
              <w:t>2025-06-21</w:t>
            </w:r>
          </w:p>
        </w:tc>
      </w:tr>
      <w:tr w14:paraId="25C0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56D1B9">
            <w:pPr>
              <w:jc w:val="center"/>
            </w:pPr>
            <w:r>
              <w:rPr>
                <w:rFonts w:hint="eastAsia"/>
              </w:rPr>
              <w:t>7</w:t>
            </w:r>
          </w:p>
        </w:tc>
        <w:tc>
          <w:tcPr>
            <w:tcW w:w="4319" w:type="dxa"/>
            <w:vAlign w:val="center"/>
          </w:tcPr>
          <w:p w14:paraId="12371850">
            <w:r>
              <w:rPr>
                <w:rFonts w:hint="eastAsia"/>
              </w:rPr>
              <w:t>南方宏元定期开放债券型发起式证券投资基金限制大额申购、转换转入业务的公告</w:t>
            </w:r>
          </w:p>
        </w:tc>
        <w:tc>
          <w:tcPr>
            <w:tcW w:w="2076" w:type="dxa"/>
            <w:vAlign w:val="center"/>
          </w:tcPr>
          <w:p w14:paraId="1BAF7894">
            <w:r>
              <w:rPr>
                <w:rFonts w:hint="eastAsia"/>
              </w:rPr>
              <w:t>证券日报、基金管理人网站、中国证监会基金电子披露网站</w:t>
            </w:r>
          </w:p>
        </w:tc>
        <w:tc>
          <w:tcPr>
            <w:tcW w:w="1218" w:type="dxa"/>
            <w:vAlign w:val="center"/>
          </w:tcPr>
          <w:p w14:paraId="6B773EF1">
            <w:r>
              <w:rPr>
                <w:rFonts w:hint="eastAsia"/>
              </w:rPr>
              <w:t>2025-06-21</w:t>
            </w:r>
          </w:p>
        </w:tc>
      </w:tr>
      <w:tr w14:paraId="0FD0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2DF7C8">
            <w:pPr>
              <w:jc w:val="center"/>
            </w:pPr>
            <w:r>
              <w:rPr>
                <w:rFonts w:hint="eastAsia"/>
              </w:rPr>
              <w:t>8</w:t>
            </w:r>
          </w:p>
        </w:tc>
        <w:tc>
          <w:tcPr>
            <w:tcW w:w="4319" w:type="dxa"/>
            <w:vAlign w:val="center"/>
          </w:tcPr>
          <w:p w14:paraId="51CB836A">
            <w:r>
              <w:rPr>
                <w:rFonts w:hint="eastAsia"/>
              </w:rPr>
              <w:t>南方宏元定期开放债券型发起式证券投资基金恢复大额申购、转换转入业务的公告</w:t>
            </w:r>
          </w:p>
        </w:tc>
        <w:tc>
          <w:tcPr>
            <w:tcW w:w="2076" w:type="dxa"/>
            <w:vAlign w:val="center"/>
          </w:tcPr>
          <w:p w14:paraId="2F3DBFCB">
            <w:r>
              <w:rPr>
                <w:rFonts w:hint="eastAsia"/>
              </w:rPr>
              <w:t>证券日报、基金管理人网站、中国证监会基金电子披露网站</w:t>
            </w:r>
          </w:p>
        </w:tc>
        <w:tc>
          <w:tcPr>
            <w:tcW w:w="1218" w:type="dxa"/>
            <w:vAlign w:val="center"/>
          </w:tcPr>
          <w:p w14:paraId="572E6776">
            <w:r>
              <w:rPr>
                <w:rFonts w:hint="eastAsia"/>
              </w:rPr>
              <w:t>2025-06-25</w:t>
            </w:r>
          </w:p>
        </w:tc>
      </w:tr>
      <w:tr w14:paraId="5046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B7EFE4">
            <w:pPr>
              <w:jc w:val="center"/>
            </w:pPr>
            <w:r>
              <w:rPr>
                <w:rFonts w:hint="eastAsia"/>
              </w:rPr>
              <w:t>9</w:t>
            </w:r>
          </w:p>
        </w:tc>
        <w:tc>
          <w:tcPr>
            <w:tcW w:w="4319" w:type="dxa"/>
            <w:vAlign w:val="center"/>
          </w:tcPr>
          <w:p w14:paraId="1563F3E9">
            <w:r>
              <w:rPr>
                <w:rFonts w:hint="eastAsia"/>
              </w:rPr>
              <w:t>南方宏元定期开放债券型发起式证券投资基金开放申购、赎回及转换业务的公告</w:t>
            </w:r>
          </w:p>
        </w:tc>
        <w:tc>
          <w:tcPr>
            <w:tcW w:w="2076" w:type="dxa"/>
            <w:vAlign w:val="center"/>
          </w:tcPr>
          <w:p w14:paraId="2A45C03D">
            <w:r>
              <w:rPr>
                <w:rFonts w:hint="eastAsia"/>
              </w:rPr>
              <w:t>证券日报、基金管理人网站、中国证监会基金电子披露网站</w:t>
            </w:r>
          </w:p>
        </w:tc>
        <w:tc>
          <w:tcPr>
            <w:tcW w:w="1218" w:type="dxa"/>
            <w:vAlign w:val="center"/>
          </w:tcPr>
          <w:p w14:paraId="47B5510B">
            <w:r>
              <w:rPr>
                <w:rFonts w:hint="eastAsia"/>
              </w:rPr>
              <w:t>2025-09-26</w:t>
            </w:r>
          </w:p>
        </w:tc>
      </w:tr>
    </w:tbl>
    <w:p w14:paraId="571B7C78">
      <w:pPr>
        <w:pStyle w:val="26"/>
      </w:pPr>
      <w:bookmarkStart w:id="198" w:name="_Toc1597"/>
      <w:r>
        <w:t>影响投资者决策的其他重要信息</w:t>
      </w:r>
      <w:bookmarkEnd w:id="198"/>
    </w:p>
    <w:p w14:paraId="11B7E710">
      <w:pPr>
        <w:pStyle w:val="23"/>
      </w:pPr>
      <w:bookmarkStart w:id="199" w:name="_Toc25569"/>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ACC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53AE448">
            <w:r>
              <w:rPr>
                <w:rFonts w:hint="eastAsia"/>
              </w:rPr>
              <w:t>投资者类别</w:t>
            </w:r>
          </w:p>
        </w:tc>
        <w:tc>
          <w:tcPr>
            <w:tcW w:w="500" w:type="dxa"/>
            <w:gridSpan w:val="5"/>
            <w:vAlign w:val="center"/>
          </w:tcPr>
          <w:p w14:paraId="79C9BD38">
            <w:r>
              <w:rPr>
                <w:rFonts w:hint="eastAsia"/>
              </w:rPr>
              <w:t>报告期内持有基金份额变化情况</w:t>
            </w:r>
          </w:p>
        </w:tc>
        <w:tc>
          <w:tcPr>
            <w:tcW w:w="1377" w:type="dxa"/>
            <w:gridSpan w:val="2"/>
            <w:vAlign w:val="center"/>
          </w:tcPr>
          <w:p w14:paraId="6E4D6062">
            <w:r>
              <w:rPr>
                <w:rFonts w:hint="eastAsia"/>
              </w:rPr>
              <w:t>报告期末持有基金情况</w:t>
            </w:r>
          </w:p>
        </w:tc>
      </w:tr>
      <w:tr w14:paraId="2054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59B4410"/>
        </w:tc>
        <w:tc>
          <w:tcPr>
            <w:tcW w:w="500" w:type="dxa"/>
            <w:vAlign w:val="center"/>
          </w:tcPr>
          <w:p w14:paraId="34DDC6D3">
            <w:r>
              <w:rPr>
                <w:rFonts w:hint="eastAsia"/>
              </w:rPr>
              <w:t>序号</w:t>
            </w:r>
          </w:p>
        </w:tc>
        <w:tc>
          <w:tcPr>
            <w:tcW w:w="876" w:type="dxa"/>
            <w:vAlign w:val="center"/>
          </w:tcPr>
          <w:p w14:paraId="05CE0DCD">
            <w:r>
              <w:rPr>
                <w:rFonts w:hint="eastAsia"/>
              </w:rPr>
              <w:t>持有基金份额比例达到或者超过20%的时间区间</w:t>
            </w:r>
          </w:p>
        </w:tc>
        <w:tc>
          <w:tcPr>
            <w:tcW w:w="1377" w:type="dxa"/>
            <w:vAlign w:val="center"/>
          </w:tcPr>
          <w:p w14:paraId="18409289">
            <w:r>
              <w:rPr>
                <w:rFonts w:hint="eastAsia"/>
              </w:rPr>
              <w:t>期初份额</w:t>
            </w:r>
          </w:p>
        </w:tc>
        <w:tc>
          <w:tcPr>
            <w:tcW w:w="1377" w:type="dxa"/>
            <w:vAlign w:val="center"/>
          </w:tcPr>
          <w:p w14:paraId="438181A3">
            <w:r>
              <w:rPr>
                <w:rFonts w:hint="eastAsia"/>
              </w:rPr>
              <w:t>申购份额</w:t>
            </w:r>
          </w:p>
        </w:tc>
        <w:tc>
          <w:tcPr>
            <w:tcW w:w="1377" w:type="dxa"/>
            <w:vAlign w:val="center"/>
          </w:tcPr>
          <w:p w14:paraId="17F6A443">
            <w:r>
              <w:rPr>
                <w:rFonts w:hint="eastAsia"/>
              </w:rPr>
              <w:t>赎回份额</w:t>
            </w:r>
          </w:p>
        </w:tc>
        <w:tc>
          <w:tcPr>
            <w:tcW w:w="1377" w:type="dxa"/>
            <w:vAlign w:val="center"/>
          </w:tcPr>
          <w:p w14:paraId="71251EEE">
            <w:r>
              <w:rPr>
                <w:rFonts w:hint="eastAsia"/>
              </w:rPr>
              <w:t>持有份额</w:t>
            </w:r>
          </w:p>
        </w:tc>
        <w:tc>
          <w:tcPr>
            <w:tcW w:w="667" w:type="dxa"/>
            <w:vAlign w:val="center"/>
          </w:tcPr>
          <w:p w14:paraId="5027F417">
            <w:r>
              <w:rPr>
                <w:rFonts w:hint="eastAsia"/>
              </w:rPr>
              <w:t>份额占比</w:t>
            </w:r>
          </w:p>
        </w:tc>
      </w:tr>
      <w:tr w14:paraId="0FE5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2A41B38">
            <w:r>
              <w:rPr>
                <w:rFonts w:hint="eastAsia"/>
              </w:rPr>
              <w:t>机构</w:t>
            </w:r>
          </w:p>
        </w:tc>
        <w:tc>
          <w:tcPr>
            <w:tcW w:w="500" w:type="dxa"/>
            <w:vAlign w:val="center"/>
          </w:tcPr>
          <w:p w14:paraId="3FE1F7CF">
            <w:pPr>
              <w:jc w:val="right"/>
            </w:pPr>
            <w:r>
              <w:rPr>
                <w:rFonts w:hint="eastAsia"/>
              </w:rPr>
              <w:t>1</w:t>
            </w:r>
          </w:p>
        </w:tc>
        <w:tc>
          <w:tcPr>
            <w:tcW w:w="876" w:type="dxa"/>
            <w:vAlign w:val="center"/>
          </w:tcPr>
          <w:p w14:paraId="17A7B46C">
            <w:r>
              <w:rPr>
                <w:rFonts w:hint="eastAsia"/>
              </w:rPr>
              <w:t>20250101-20251231</w:t>
            </w:r>
          </w:p>
        </w:tc>
        <w:tc>
          <w:tcPr>
            <w:tcW w:w="1377" w:type="dxa"/>
            <w:vAlign w:val="center"/>
          </w:tcPr>
          <w:p w14:paraId="193EAFA0">
            <w:pPr>
              <w:jc w:val="right"/>
            </w:pPr>
            <w:r>
              <w:rPr>
                <w:rFonts w:hint="eastAsia"/>
              </w:rPr>
              <w:t>2,556,154,979.28</w:t>
            </w:r>
          </w:p>
        </w:tc>
        <w:tc>
          <w:tcPr>
            <w:tcW w:w="1377" w:type="dxa"/>
            <w:vAlign w:val="center"/>
          </w:tcPr>
          <w:p w14:paraId="2B1D42A9">
            <w:pPr>
              <w:jc w:val="right"/>
            </w:pPr>
            <w:r>
              <w:rPr>
                <w:rFonts w:hint="eastAsia"/>
              </w:rPr>
              <w:t>-</w:t>
            </w:r>
          </w:p>
        </w:tc>
        <w:tc>
          <w:tcPr>
            <w:tcW w:w="1377" w:type="dxa"/>
            <w:vAlign w:val="center"/>
          </w:tcPr>
          <w:p w14:paraId="39066CC0">
            <w:pPr>
              <w:jc w:val="right"/>
            </w:pPr>
            <w:r>
              <w:rPr>
                <w:rFonts w:hint="eastAsia"/>
              </w:rPr>
              <w:t>2,536,154,979.28</w:t>
            </w:r>
          </w:p>
        </w:tc>
        <w:tc>
          <w:tcPr>
            <w:tcW w:w="1377" w:type="dxa"/>
            <w:vAlign w:val="center"/>
          </w:tcPr>
          <w:p w14:paraId="675901A8">
            <w:pPr>
              <w:jc w:val="right"/>
            </w:pPr>
            <w:r>
              <w:rPr>
                <w:rFonts w:hint="eastAsia"/>
              </w:rPr>
              <w:t>20,000,000.00</w:t>
            </w:r>
          </w:p>
        </w:tc>
        <w:tc>
          <w:tcPr>
            <w:tcW w:w="667" w:type="dxa"/>
            <w:vAlign w:val="center"/>
          </w:tcPr>
          <w:p w14:paraId="5C4636AB">
            <w:pPr>
              <w:jc w:val="right"/>
            </w:pPr>
            <w:r>
              <w:rPr>
                <w:rFonts w:hint="eastAsia"/>
              </w:rPr>
              <w:t>36.74%</w:t>
            </w:r>
          </w:p>
        </w:tc>
      </w:tr>
      <w:tr w14:paraId="47A9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A3451C2">
            <w:r>
              <w:rPr>
                <w:rFonts w:hint="eastAsia"/>
              </w:rPr>
              <w:t>机构</w:t>
            </w:r>
          </w:p>
        </w:tc>
        <w:tc>
          <w:tcPr>
            <w:tcW w:w="500" w:type="dxa"/>
            <w:vAlign w:val="center"/>
          </w:tcPr>
          <w:p w14:paraId="56DCB760">
            <w:pPr>
              <w:jc w:val="right"/>
            </w:pPr>
            <w:r>
              <w:rPr>
                <w:rFonts w:hint="eastAsia"/>
              </w:rPr>
              <w:t>2</w:t>
            </w:r>
          </w:p>
        </w:tc>
        <w:tc>
          <w:tcPr>
            <w:tcW w:w="876" w:type="dxa"/>
            <w:vAlign w:val="center"/>
          </w:tcPr>
          <w:p w14:paraId="1CEA7C75">
            <w:r>
              <w:rPr>
                <w:rFonts w:hint="eastAsia"/>
              </w:rPr>
              <w:t>20251104-20251231</w:t>
            </w:r>
          </w:p>
        </w:tc>
        <w:tc>
          <w:tcPr>
            <w:tcW w:w="1377" w:type="dxa"/>
            <w:vAlign w:val="center"/>
          </w:tcPr>
          <w:p w14:paraId="258AA4E5">
            <w:pPr>
              <w:jc w:val="right"/>
            </w:pPr>
            <w:r>
              <w:rPr>
                <w:rFonts w:hint="eastAsia"/>
              </w:rPr>
              <w:t>24,377,539.41</w:t>
            </w:r>
          </w:p>
        </w:tc>
        <w:tc>
          <w:tcPr>
            <w:tcW w:w="1377" w:type="dxa"/>
            <w:vAlign w:val="center"/>
          </w:tcPr>
          <w:p w14:paraId="2601BBC7">
            <w:pPr>
              <w:jc w:val="right"/>
            </w:pPr>
            <w:r>
              <w:rPr>
                <w:rFonts w:hint="eastAsia"/>
              </w:rPr>
              <w:t>-</w:t>
            </w:r>
          </w:p>
        </w:tc>
        <w:tc>
          <w:tcPr>
            <w:tcW w:w="1377" w:type="dxa"/>
            <w:vAlign w:val="center"/>
          </w:tcPr>
          <w:p w14:paraId="077393D0">
            <w:pPr>
              <w:jc w:val="right"/>
            </w:pPr>
            <w:r>
              <w:rPr>
                <w:rFonts w:hint="eastAsia"/>
              </w:rPr>
              <w:t>-</w:t>
            </w:r>
          </w:p>
        </w:tc>
        <w:tc>
          <w:tcPr>
            <w:tcW w:w="1377" w:type="dxa"/>
            <w:vAlign w:val="center"/>
          </w:tcPr>
          <w:p w14:paraId="6756DE81">
            <w:pPr>
              <w:jc w:val="right"/>
            </w:pPr>
            <w:r>
              <w:rPr>
                <w:rFonts w:hint="eastAsia"/>
              </w:rPr>
              <w:t>24,377,539.41</w:t>
            </w:r>
          </w:p>
        </w:tc>
        <w:tc>
          <w:tcPr>
            <w:tcW w:w="667" w:type="dxa"/>
            <w:vAlign w:val="center"/>
          </w:tcPr>
          <w:p w14:paraId="33DD03E7">
            <w:pPr>
              <w:jc w:val="right"/>
            </w:pPr>
            <w:r>
              <w:rPr>
                <w:rFonts w:hint="eastAsia"/>
              </w:rPr>
              <w:t>44.78%</w:t>
            </w:r>
          </w:p>
        </w:tc>
      </w:tr>
      <w:tr w14:paraId="3C8B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9B3A785">
            <w:r>
              <w:rPr>
                <w:rFonts w:hint="eastAsia"/>
              </w:rPr>
              <w:t>产品特有风险</w:t>
            </w:r>
          </w:p>
        </w:tc>
      </w:tr>
      <w:tr w14:paraId="5CF4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1B576B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0B04928">
      <w:pPr>
        <w:pStyle w:val="23"/>
      </w:pPr>
      <w:bookmarkStart w:id="200" w:name="_Toc11784"/>
      <w:r>
        <w:t>影响投资者决策的其他重要信息</w:t>
      </w:r>
      <w:bookmarkEnd w:id="200"/>
    </w:p>
    <w:p w14:paraId="6EFC5157">
      <w:pPr>
        <w:pStyle w:val="18"/>
        <w:rPr>
          <w:rFonts w:hint="eastAsia"/>
        </w:rPr>
      </w:pPr>
      <w:r>
        <w:rPr>
          <w:rFonts w:hint="eastAsia"/>
        </w:rPr>
        <w:t>无。</w:t>
      </w:r>
    </w:p>
    <w:p w14:paraId="159492D9">
      <w:pPr>
        <w:pStyle w:val="26"/>
      </w:pPr>
      <w:bookmarkStart w:id="201" w:name="_Toc22223"/>
      <w:r>
        <w:t>备查文件目录</w:t>
      </w:r>
      <w:bookmarkEnd w:id="201"/>
    </w:p>
    <w:p w14:paraId="6AFC0C50">
      <w:pPr>
        <w:pStyle w:val="23"/>
      </w:pPr>
      <w:bookmarkStart w:id="202" w:name="_Toc30070"/>
      <w:r>
        <w:t>备查文件目录</w:t>
      </w:r>
      <w:bookmarkEnd w:id="202"/>
    </w:p>
    <w:p w14:paraId="4D4AA869">
      <w:pPr>
        <w:pStyle w:val="18"/>
        <w:rPr>
          <w:rFonts w:hint="eastAsia"/>
        </w:rPr>
      </w:pPr>
      <w:r>
        <w:rPr>
          <w:rFonts w:hint="eastAsia"/>
        </w:rPr>
        <w:t>1、中国证监会批准设立南方宏元定期开放债券型发起式证券投资基金的文件；</w:t>
      </w:r>
    </w:p>
    <w:p w14:paraId="18D2BCEF">
      <w:pPr>
        <w:pStyle w:val="18"/>
        <w:rPr>
          <w:rFonts w:hint="eastAsia"/>
        </w:rPr>
      </w:pPr>
      <w:r>
        <w:rPr>
          <w:rFonts w:hint="eastAsia"/>
        </w:rPr>
        <w:t>2、《南方宏元定期开放债券型发起式证券投资基金基金合同》；</w:t>
      </w:r>
    </w:p>
    <w:p w14:paraId="54520BEF">
      <w:pPr>
        <w:pStyle w:val="18"/>
        <w:rPr>
          <w:rFonts w:hint="eastAsia"/>
        </w:rPr>
      </w:pPr>
      <w:r>
        <w:rPr>
          <w:rFonts w:hint="eastAsia"/>
        </w:rPr>
        <w:t>3、《南方宏元定期开放债券型发起式证券投资基金托管协议》；</w:t>
      </w:r>
    </w:p>
    <w:p w14:paraId="72431DC5">
      <w:pPr>
        <w:pStyle w:val="18"/>
        <w:rPr>
          <w:rFonts w:hint="eastAsia"/>
        </w:rPr>
      </w:pPr>
      <w:r>
        <w:rPr>
          <w:rFonts w:hint="eastAsia"/>
        </w:rPr>
        <w:t>4、基金管理人业务资格批件、营业执照；</w:t>
      </w:r>
    </w:p>
    <w:p w14:paraId="4465E30E">
      <w:pPr>
        <w:pStyle w:val="18"/>
        <w:rPr>
          <w:rFonts w:hint="eastAsia"/>
        </w:rPr>
      </w:pPr>
      <w:r>
        <w:rPr>
          <w:rFonts w:hint="eastAsia"/>
        </w:rPr>
        <w:t>5、报告期内在选定报刊上披露的各项公告；</w:t>
      </w:r>
    </w:p>
    <w:p w14:paraId="57F5BB93">
      <w:pPr>
        <w:pStyle w:val="18"/>
        <w:rPr>
          <w:rFonts w:hint="eastAsia"/>
        </w:rPr>
      </w:pPr>
      <w:r>
        <w:rPr>
          <w:rFonts w:hint="eastAsia"/>
        </w:rPr>
        <w:t>6、《南方宏元定期开放债券型发起式证券投资基金2025年年度报告》原文。</w:t>
      </w:r>
    </w:p>
    <w:p w14:paraId="17B2C81E">
      <w:pPr>
        <w:pStyle w:val="23"/>
      </w:pPr>
      <w:bookmarkStart w:id="203" w:name="_Toc637"/>
      <w:r>
        <w:t>存放地点</w:t>
      </w:r>
      <w:bookmarkEnd w:id="203"/>
    </w:p>
    <w:p w14:paraId="187E6AA9">
      <w:pPr>
        <w:pStyle w:val="18"/>
        <w:rPr>
          <w:rFonts w:hint="eastAsia"/>
        </w:rPr>
      </w:pPr>
      <w:r>
        <w:rPr>
          <w:rFonts w:hint="eastAsia"/>
        </w:rPr>
        <w:t>深圳市福田区莲花街道益田路5999号基金大厦32-42楼。</w:t>
      </w:r>
    </w:p>
    <w:p w14:paraId="19366D2F">
      <w:pPr>
        <w:pStyle w:val="23"/>
      </w:pPr>
      <w:bookmarkStart w:id="204" w:name="_Toc17573"/>
      <w:r>
        <w:t>查阅方式</w:t>
      </w:r>
      <w:bookmarkEnd w:id="204"/>
    </w:p>
    <w:p w14:paraId="2F92B32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4807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7FDD1">
    <w:pPr>
      <w:pStyle w:val="7"/>
      <w:pBdr>
        <w:bottom w:val="single" w:color="auto" w:sz="4" w:space="1"/>
      </w:pBdr>
      <w:jc w:val="right"/>
    </w:pPr>
    <w:r>
      <w:t>南方宏元定期开放债券型发起式证券投资基金2025年年度报告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0705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8084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880BEDA54574454E97C90362651811BE_12</vt:lpwstr>
  </property>
</Properties>
</file>