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0F0FBD">
      <w:pPr>
        <w:pStyle w:val="18"/>
        <w:ind w:firstLine="420"/>
      </w:pPr>
      <w:bookmarkStart w:id="217" w:name="_GoBack"/>
      <w:bookmarkEnd w:id="217"/>
    </w:p>
    <w:p w14:paraId="11773873">
      <w:pPr>
        <w:jc w:val="center"/>
        <w:rPr>
          <w:rFonts w:ascii="宋体" w:hAnsi="宋体"/>
          <w:b/>
          <w:bCs/>
          <w:sz w:val="28"/>
          <w:szCs w:val="30"/>
        </w:rPr>
      </w:pPr>
    </w:p>
    <w:p w14:paraId="38EE421C">
      <w:pPr>
        <w:jc w:val="center"/>
        <w:rPr>
          <w:rFonts w:ascii="宋体" w:hAnsi="宋体"/>
          <w:b/>
          <w:bCs/>
          <w:sz w:val="48"/>
          <w:szCs w:val="30"/>
        </w:rPr>
      </w:pPr>
      <w:r>
        <w:rPr>
          <w:rFonts w:ascii="宋体" w:hAnsi="宋体"/>
          <w:b/>
          <w:bCs/>
          <w:sz w:val="48"/>
          <w:szCs w:val="30"/>
        </w:rPr>
        <w:t>南方恒生科技交易型开放式指数证券投资基金（QDII）2025年年度报告</w:t>
      </w:r>
    </w:p>
    <w:p w14:paraId="4469EC8D">
      <w:pPr>
        <w:jc w:val="center"/>
        <w:rPr>
          <w:rFonts w:ascii="宋体" w:hAnsi="宋体"/>
          <w:b/>
          <w:bCs/>
          <w:sz w:val="48"/>
          <w:szCs w:val="30"/>
        </w:rPr>
      </w:pPr>
      <w:bookmarkStart w:id="0" w:name="OLE_LINK2"/>
      <w:bookmarkStart w:id="1" w:name="OLE_LINK1"/>
    </w:p>
    <w:p w14:paraId="26610732">
      <w:pPr>
        <w:jc w:val="center"/>
        <w:rPr>
          <w:rFonts w:ascii="宋体" w:hAnsi="宋体"/>
          <w:b/>
          <w:bCs/>
          <w:sz w:val="28"/>
          <w:szCs w:val="30"/>
        </w:rPr>
      </w:pPr>
    </w:p>
    <w:bookmarkEnd w:id="0"/>
    <w:bookmarkEnd w:id="1"/>
    <w:p w14:paraId="038EA1C7">
      <w:pPr>
        <w:jc w:val="center"/>
        <w:rPr>
          <w:rFonts w:ascii="宋体" w:hAnsi="宋体"/>
          <w:b/>
          <w:bCs/>
          <w:sz w:val="28"/>
          <w:szCs w:val="30"/>
        </w:rPr>
      </w:pPr>
      <w:r>
        <w:rPr>
          <w:rFonts w:ascii="宋体" w:hAnsi="宋体"/>
          <w:b/>
          <w:bCs/>
          <w:sz w:val="28"/>
          <w:szCs w:val="30"/>
        </w:rPr>
        <w:t>2025年12月31日</w:t>
      </w:r>
    </w:p>
    <w:p w14:paraId="37E0E32C">
      <w:pPr>
        <w:jc w:val="center"/>
        <w:rPr>
          <w:rFonts w:ascii="宋体" w:hAnsi="宋体"/>
          <w:sz w:val="28"/>
          <w:szCs w:val="30"/>
        </w:rPr>
      </w:pPr>
    </w:p>
    <w:p w14:paraId="073AFBBD">
      <w:pPr>
        <w:jc w:val="center"/>
        <w:rPr>
          <w:rFonts w:ascii="宋体" w:hAnsi="宋体"/>
          <w:sz w:val="28"/>
          <w:szCs w:val="30"/>
        </w:rPr>
      </w:pPr>
    </w:p>
    <w:p w14:paraId="66924041">
      <w:pPr>
        <w:jc w:val="center"/>
        <w:rPr>
          <w:rFonts w:ascii="宋体" w:hAnsi="宋体"/>
          <w:sz w:val="28"/>
          <w:szCs w:val="30"/>
        </w:rPr>
      </w:pPr>
    </w:p>
    <w:p w14:paraId="00EBD9E3">
      <w:pPr>
        <w:jc w:val="center"/>
        <w:rPr>
          <w:rFonts w:ascii="宋体" w:hAnsi="宋体"/>
          <w:sz w:val="28"/>
          <w:szCs w:val="30"/>
        </w:rPr>
      </w:pPr>
    </w:p>
    <w:p w14:paraId="65A4AA1B">
      <w:pPr>
        <w:jc w:val="center"/>
        <w:rPr>
          <w:rFonts w:ascii="宋体" w:hAnsi="宋体"/>
          <w:sz w:val="28"/>
          <w:szCs w:val="30"/>
        </w:rPr>
      </w:pPr>
    </w:p>
    <w:p w14:paraId="2F7A21C8">
      <w:pPr>
        <w:jc w:val="center"/>
        <w:rPr>
          <w:rFonts w:ascii="宋体" w:hAnsi="宋体"/>
          <w:sz w:val="28"/>
          <w:szCs w:val="30"/>
        </w:rPr>
      </w:pPr>
    </w:p>
    <w:p w14:paraId="40903695">
      <w:pPr>
        <w:jc w:val="center"/>
        <w:rPr>
          <w:rFonts w:ascii="宋体" w:hAnsi="宋体"/>
          <w:sz w:val="28"/>
          <w:szCs w:val="30"/>
        </w:rPr>
      </w:pPr>
    </w:p>
    <w:p w14:paraId="277851D3">
      <w:pPr>
        <w:jc w:val="center"/>
        <w:rPr>
          <w:rFonts w:ascii="宋体" w:hAnsi="宋体"/>
          <w:sz w:val="28"/>
          <w:szCs w:val="30"/>
        </w:rPr>
      </w:pPr>
    </w:p>
    <w:p w14:paraId="18CBF268">
      <w:pPr>
        <w:jc w:val="center"/>
        <w:rPr>
          <w:rFonts w:ascii="宋体" w:hAnsi="宋体"/>
          <w:sz w:val="28"/>
          <w:szCs w:val="30"/>
        </w:rPr>
      </w:pPr>
    </w:p>
    <w:p w14:paraId="4E7C4CF0">
      <w:pPr>
        <w:jc w:val="center"/>
        <w:rPr>
          <w:rFonts w:ascii="宋体" w:hAnsi="宋体"/>
          <w:sz w:val="28"/>
          <w:szCs w:val="30"/>
        </w:rPr>
      </w:pPr>
    </w:p>
    <w:p w14:paraId="30106755">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5C34C432">
      <w:pPr>
        <w:ind w:firstLine="1687" w:firstLineChars="600"/>
        <w:rPr>
          <w:rFonts w:ascii="宋体" w:hAnsi="宋体"/>
          <w:b/>
          <w:bCs/>
          <w:sz w:val="28"/>
          <w:szCs w:val="30"/>
        </w:rPr>
      </w:pPr>
      <w:r>
        <w:rPr>
          <w:rFonts w:hint="eastAsia" w:ascii="宋体" w:hAnsi="宋体"/>
          <w:b/>
          <w:bCs/>
          <w:sz w:val="28"/>
          <w:szCs w:val="30"/>
        </w:rPr>
        <w:t>基金托管人：交通银行股份有限公司</w:t>
      </w:r>
    </w:p>
    <w:p w14:paraId="052213AB">
      <w:pPr>
        <w:ind w:firstLine="1687" w:firstLineChars="600"/>
        <w:rPr>
          <w:rFonts w:ascii="宋体" w:hAnsi="宋体"/>
          <w:b/>
          <w:bCs/>
          <w:sz w:val="28"/>
          <w:szCs w:val="30"/>
        </w:rPr>
      </w:pPr>
      <w:r>
        <w:rPr>
          <w:rFonts w:hint="eastAsia" w:ascii="宋体" w:hAnsi="宋体"/>
          <w:b/>
          <w:bCs/>
          <w:sz w:val="28"/>
          <w:szCs w:val="30"/>
        </w:rPr>
        <w:t>送出日期：2026年3月31日</w:t>
      </w:r>
    </w:p>
    <w:p w14:paraId="58036DDA">
      <w:pPr>
        <w:ind w:firstLine="1687" w:firstLineChars="600"/>
        <w:rPr>
          <w:rFonts w:ascii="宋体" w:hAnsi="宋体"/>
          <w:b/>
          <w:bCs/>
          <w:sz w:val="28"/>
          <w:szCs w:val="30"/>
        </w:rPr>
      </w:pPr>
    </w:p>
    <w:p w14:paraId="57F64B40">
      <w:pPr>
        <w:snapToGrid w:val="0"/>
        <w:spacing w:line="360" w:lineRule="auto"/>
        <w:jc w:val="left"/>
      </w:pPr>
      <w:r>
        <w:br w:type="page"/>
      </w:r>
    </w:p>
    <w:p w14:paraId="33EA275D"/>
    <w:p w14:paraId="5F22F9CA">
      <w:pPr>
        <w:pStyle w:val="26"/>
      </w:pPr>
      <w:bookmarkStart w:id="2" w:name="_Toc23703"/>
      <w:r>
        <w:t>重要提示及目录</w:t>
      </w:r>
      <w:bookmarkEnd w:id="2"/>
    </w:p>
    <w:p w14:paraId="2E4FEEB4">
      <w:pPr>
        <w:pStyle w:val="23"/>
      </w:pPr>
      <w:bookmarkStart w:id="3" w:name="_Toc8016"/>
      <w:r>
        <w:t>重要提示</w:t>
      </w:r>
      <w:bookmarkEnd w:id="3"/>
    </w:p>
    <w:p w14:paraId="78561BE9">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66D772B9">
      <w:pPr>
        <w:pStyle w:val="18"/>
        <w:rPr>
          <w:rFonts w:hint="eastAsia"/>
        </w:rPr>
      </w:pPr>
      <w:r>
        <w:rPr>
          <w:rFonts w:hint="eastAsia"/>
        </w:rPr>
        <w:t>本年度报告已经三分之二以上独立董事签字同意，并由董事长签发。</w:t>
      </w:r>
    </w:p>
    <w:p w14:paraId="5E025B13">
      <w:pPr>
        <w:pStyle w:val="18"/>
        <w:rPr>
          <w:rFonts w:hint="eastAsia"/>
        </w:rPr>
      </w:pPr>
      <w:r>
        <w:rPr>
          <w:rFonts w:hint="eastAsia"/>
        </w:rPr>
        <w:t>基金托管人交通银行股份有限公司根据本基金合同规定，于2026年3月27日复核了本报告中的财务指标、净值表现、利润分配情况、财务会计报告、投资组合报告等内容，保证复核内容不存在虚假记载、误导性陈述或者重大遗漏。</w:t>
      </w:r>
    </w:p>
    <w:p w14:paraId="5E291AAF">
      <w:pPr>
        <w:pStyle w:val="18"/>
        <w:rPr>
          <w:rFonts w:hint="eastAsia"/>
        </w:rPr>
      </w:pPr>
      <w:r>
        <w:rPr>
          <w:rFonts w:hint="eastAsia"/>
        </w:rPr>
        <w:t>基金管理人承诺以诚实信用、勤勉尽责的原则管理和运用基金资产，但不保证基金一定盈利。</w:t>
      </w:r>
    </w:p>
    <w:p w14:paraId="6B1C76F0">
      <w:pPr>
        <w:pStyle w:val="18"/>
        <w:rPr>
          <w:rFonts w:hint="eastAsia"/>
        </w:rPr>
      </w:pPr>
      <w:r>
        <w:rPr>
          <w:rFonts w:hint="eastAsia"/>
        </w:rPr>
        <w:t>基金的过往业绩并不代表其未来表现。投资有风险，投资者在作出投资决策前应仔细阅读本基金的招募说明书及其更新。</w:t>
      </w:r>
    </w:p>
    <w:p w14:paraId="557EF472">
      <w:pPr>
        <w:pStyle w:val="18"/>
        <w:rPr>
          <w:rFonts w:hint="eastAsia"/>
        </w:rPr>
      </w:pPr>
      <w:r>
        <w:rPr>
          <w:rFonts w:hint="eastAsia"/>
        </w:rPr>
        <w:t>本报告期自2025年10月29日（基金合同生效日）起至12月31日止。</w:t>
      </w:r>
    </w:p>
    <w:p w14:paraId="4E0F7723">
      <w:pPr>
        <w:pStyle w:val="23"/>
        <w:pageBreakBefore/>
      </w:pPr>
      <w:bookmarkStart w:id="4" w:name="_Toc8344"/>
      <w:r>
        <w:t>目录</w:t>
      </w:r>
      <w:bookmarkEnd w:id="4"/>
    </w:p>
    <w:sdt>
      <w:sdtPr>
        <w:rPr>
          <w:rFonts w:ascii="宋体" w:hAnsi="宋体" w:eastAsia="宋体"/>
          <w:color w:val="DBDBDB"/>
          <w:sz w:val="21"/>
          <w:szCs w:val="24"/>
          <w:lang w:val="en-US" w:eastAsia="zh-CN" w:bidi="ar-SA"/>
        </w:rPr>
        <w:id w:val="37018"/>
        <w:docPartObj>
          <w:docPartGallery w:val="Table of Contents"/>
          <w:docPartUnique/>
        </w:docPartObj>
      </w:sdtPr>
      <w:sdtEndPr>
        <w:rPr>
          <w:rFonts w:ascii="宋体" w:hAnsi="宋体" w:eastAsia="宋体"/>
          <w:b/>
          <w:color w:val="DBDBDB"/>
          <w:sz w:val="21"/>
          <w:szCs w:val="24"/>
          <w:lang w:val="en-US" w:eastAsia="zh-CN" w:bidi="ar-SA"/>
        </w:rPr>
      </w:sdtEndPr>
      <w:sdtContent>
        <w:p w14:paraId="68E42F73">
          <w:pPr>
            <w:pStyle w:val="61"/>
            <w:spacing w:before="0" w:beforeLines="0" w:after="0" w:afterLines="0" w:line="240" w:lineRule="auto"/>
            <w:ind w:left="0" w:leftChars="0" w:right="0" w:rightChars="0" w:firstLine="0" w:firstLineChars="0"/>
            <w:jc w:val="center"/>
            <w:rPr>
              <w:b/>
            </w:rPr>
          </w:pPr>
          <w:r>
            <w:rPr>
              <w:b/>
              <w:lang w:val="zh-CN"/>
            </w:rPr>
            <w:t>目录</w:t>
          </w:r>
        </w:p>
        <w:p w14:paraId="1ACB63B9">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_Toc23703 </w:instrText>
          </w:r>
          <w:r>
            <w:fldChar w:fldCharType="separate"/>
          </w:r>
          <w:r>
            <w:rPr>
              <w:rFonts w:hint="eastAsia"/>
            </w:rPr>
            <w:t xml:space="preserve">§1 </w:t>
          </w:r>
          <w:r>
            <w:t>重要提示及目录</w:t>
          </w:r>
          <w:r>
            <w:tab/>
          </w:r>
          <w:r>
            <w:fldChar w:fldCharType="begin"/>
          </w:r>
          <w:r>
            <w:instrText xml:space="preserve"> PAGEREF _Toc23703 \h </w:instrText>
          </w:r>
          <w:r>
            <w:fldChar w:fldCharType="separate"/>
          </w:r>
          <w:r>
            <w:t>1</w:t>
          </w:r>
          <w:r>
            <w:fldChar w:fldCharType="end"/>
          </w:r>
          <w:r>
            <w:fldChar w:fldCharType="end"/>
          </w:r>
        </w:p>
        <w:p w14:paraId="4561433D">
          <w:pPr>
            <w:pStyle w:val="10"/>
            <w:tabs>
              <w:tab w:val="right" w:leader="dot" w:pos="8306"/>
            </w:tabs>
          </w:pPr>
          <w:r>
            <w:fldChar w:fldCharType="begin"/>
          </w:r>
          <w:r>
            <w:instrText xml:space="preserve"> HYPERLINK \l _Toc8016 </w:instrText>
          </w:r>
          <w:r>
            <w:fldChar w:fldCharType="separate"/>
          </w:r>
          <w:r>
            <w:rPr>
              <w:rFonts w:hint="eastAsia"/>
            </w:rPr>
            <w:t xml:space="preserve">1.1 </w:t>
          </w:r>
          <w:r>
            <w:t>重要提示</w:t>
          </w:r>
          <w:r>
            <w:tab/>
          </w:r>
          <w:r>
            <w:fldChar w:fldCharType="begin"/>
          </w:r>
          <w:r>
            <w:instrText xml:space="preserve"> PAGEREF _Toc8016 \h </w:instrText>
          </w:r>
          <w:r>
            <w:fldChar w:fldCharType="separate"/>
          </w:r>
          <w:r>
            <w:t>1</w:t>
          </w:r>
          <w:r>
            <w:fldChar w:fldCharType="end"/>
          </w:r>
          <w:r>
            <w:fldChar w:fldCharType="end"/>
          </w:r>
        </w:p>
        <w:p w14:paraId="35FD96B9">
          <w:pPr>
            <w:pStyle w:val="10"/>
            <w:tabs>
              <w:tab w:val="right" w:leader="dot" w:pos="8306"/>
            </w:tabs>
          </w:pPr>
          <w:r>
            <w:fldChar w:fldCharType="begin"/>
          </w:r>
          <w:r>
            <w:instrText xml:space="preserve"> HYPERLINK \l _Toc8344 </w:instrText>
          </w:r>
          <w:r>
            <w:fldChar w:fldCharType="separate"/>
          </w:r>
          <w:r>
            <w:rPr>
              <w:rFonts w:hint="eastAsia"/>
            </w:rPr>
            <w:t xml:space="preserve">1.2 </w:t>
          </w:r>
          <w:r>
            <w:t>目录</w:t>
          </w:r>
          <w:r>
            <w:tab/>
          </w:r>
          <w:r>
            <w:fldChar w:fldCharType="begin"/>
          </w:r>
          <w:r>
            <w:instrText xml:space="preserve"> PAGEREF _Toc8344 \h </w:instrText>
          </w:r>
          <w:r>
            <w:fldChar w:fldCharType="separate"/>
          </w:r>
          <w:r>
            <w:t>2</w:t>
          </w:r>
          <w:r>
            <w:fldChar w:fldCharType="end"/>
          </w:r>
          <w:r>
            <w:fldChar w:fldCharType="end"/>
          </w:r>
        </w:p>
        <w:p w14:paraId="50A64BD9">
          <w:pPr>
            <w:pStyle w:val="8"/>
            <w:tabs>
              <w:tab w:val="right" w:leader="dot" w:pos="8306"/>
            </w:tabs>
          </w:pPr>
          <w:r>
            <w:fldChar w:fldCharType="begin"/>
          </w:r>
          <w:r>
            <w:instrText xml:space="preserve"> HYPERLINK \l _Toc12186 </w:instrText>
          </w:r>
          <w:r>
            <w:fldChar w:fldCharType="separate"/>
          </w:r>
          <w:r>
            <w:rPr>
              <w:rFonts w:hint="eastAsia"/>
            </w:rPr>
            <w:t xml:space="preserve">§2 </w:t>
          </w:r>
          <w:r>
            <w:t>基金简介</w:t>
          </w:r>
          <w:r>
            <w:tab/>
          </w:r>
          <w:r>
            <w:fldChar w:fldCharType="begin"/>
          </w:r>
          <w:r>
            <w:instrText xml:space="preserve"> PAGEREF _Toc12186 \h </w:instrText>
          </w:r>
          <w:r>
            <w:fldChar w:fldCharType="separate"/>
          </w:r>
          <w:r>
            <w:t>4</w:t>
          </w:r>
          <w:r>
            <w:fldChar w:fldCharType="end"/>
          </w:r>
          <w:r>
            <w:fldChar w:fldCharType="end"/>
          </w:r>
        </w:p>
        <w:p w14:paraId="0A427B42">
          <w:pPr>
            <w:pStyle w:val="10"/>
            <w:tabs>
              <w:tab w:val="right" w:leader="dot" w:pos="8306"/>
            </w:tabs>
          </w:pPr>
          <w:r>
            <w:fldChar w:fldCharType="begin"/>
          </w:r>
          <w:r>
            <w:instrText xml:space="preserve"> HYPERLINK \l _Toc15477 </w:instrText>
          </w:r>
          <w:r>
            <w:fldChar w:fldCharType="separate"/>
          </w:r>
          <w:r>
            <w:rPr>
              <w:rFonts w:hint="eastAsia"/>
            </w:rPr>
            <w:t xml:space="preserve">2.1 </w:t>
          </w:r>
          <w:r>
            <w:t>基金基本情况</w:t>
          </w:r>
          <w:r>
            <w:tab/>
          </w:r>
          <w:r>
            <w:fldChar w:fldCharType="begin"/>
          </w:r>
          <w:r>
            <w:instrText xml:space="preserve"> PAGEREF _Toc15477 \h </w:instrText>
          </w:r>
          <w:r>
            <w:fldChar w:fldCharType="separate"/>
          </w:r>
          <w:r>
            <w:t>4</w:t>
          </w:r>
          <w:r>
            <w:fldChar w:fldCharType="end"/>
          </w:r>
          <w:r>
            <w:fldChar w:fldCharType="end"/>
          </w:r>
        </w:p>
        <w:p w14:paraId="40D53C71">
          <w:pPr>
            <w:pStyle w:val="10"/>
            <w:tabs>
              <w:tab w:val="right" w:leader="dot" w:pos="8306"/>
            </w:tabs>
          </w:pPr>
          <w:r>
            <w:fldChar w:fldCharType="begin"/>
          </w:r>
          <w:r>
            <w:instrText xml:space="preserve"> HYPERLINK \l _Toc20716 </w:instrText>
          </w:r>
          <w:r>
            <w:fldChar w:fldCharType="separate"/>
          </w:r>
          <w:r>
            <w:rPr>
              <w:rFonts w:hint="eastAsia"/>
            </w:rPr>
            <w:t xml:space="preserve">2.2 </w:t>
          </w:r>
          <w:r>
            <w:t>基金产品说明</w:t>
          </w:r>
          <w:r>
            <w:tab/>
          </w:r>
          <w:r>
            <w:fldChar w:fldCharType="begin"/>
          </w:r>
          <w:r>
            <w:instrText xml:space="preserve"> PAGEREF _Toc20716 \h </w:instrText>
          </w:r>
          <w:r>
            <w:fldChar w:fldCharType="separate"/>
          </w:r>
          <w:r>
            <w:t>4</w:t>
          </w:r>
          <w:r>
            <w:fldChar w:fldCharType="end"/>
          </w:r>
          <w:r>
            <w:fldChar w:fldCharType="end"/>
          </w:r>
        </w:p>
        <w:p w14:paraId="56105186">
          <w:pPr>
            <w:pStyle w:val="10"/>
            <w:tabs>
              <w:tab w:val="right" w:leader="dot" w:pos="8306"/>
            </w:tabs>
          </w:pPr>
          <w:r>
            <w:fldChar w:fldCharType="begin"/>
          </w:r>
          <w:r>
            <w:instrText xml:space="preserve"> HYPERLINK \l _Toc26718 </w:instrText>
          </w:r>
          <w:r>
            <w:fldChar w:fldCharType="separate"/>
          </w:r>
          <w:r>
            <w:rPr>
              <w:rFonts w:hint="eastAsia"/>
            </w:rPr>
            <w:t xml:space="preserve">2.3 </w:t>
          </w:r>
          <w:r>
            <w:t>基金管理人和基金托管人</w:t>
          </w:r>
          <w:r>
            <w:tab/>
          </w:r>
          <w:r>
            <w:fldChar w:fldCharType="begin"/>
          </w:r>
          <w:r>
            <w:instrText xml:space="preserve"> PAGEREF _Toc26718 \h </w:instrText>
          </w:r>
          <w:r>
            <w:fldChar w:fldCharType="separate"/>
          </w:r>
          <w:r>
            <w:t>5</w:t>
          </w:r>
          <w:r>
            <w:fldChar w:fldCharType="end"/>
          </w:r>
          <w:r>
            <w:fldChar w:fldCharType="end"/>
          </w:r>
        </w:p>
        <w:p w14:paraId="62F0262F">
          <w:pPr>
            <w:pStyle w:val="10"/>
            <w:tabs>
              <w:tab w:val="right" w:leader="dot" w:pos="8306"/>
            </w:tabs>
          </w:pPr>
          <w:r>
            <w:fldChar w:fldCharType="begin"/>
          </w:r>
          <w:r>
            <w:instrText xml:space="preserve"> HYPERLINK \l _Toc20920 </w:instrText>
          </w:r>
          <w:r>
            <w:fldChar w:fldCharType="separate"/>
          </w:r>
          <w:r>
            <w:rPr>
              <w:rFonts w:hint="eastAsia"/>
            </w:rPr>
            <w:t xml:space="preserve">2.4 </w:t>
          </w:r>
          <w:r>
            <w:t>境外投资顾问和境外资产托管人</w:t>
          </w:r>
          <w:r>
            <w:tab/>
          </w:r>
          <w:r>
            <w:fldChar w:fldCharType="begin"/>
          </w:r>
          <w:r>
            <w:instrText xml:space="preserve"> PAGEREF _Toc20920 \h </w:instrText>
          </w:r>
          <w:r>
            <w:fldChar w:fldCharType="separate"/>
          </w:r>
          <w:r>
            <w:t>5</w:t>
          </w:r>
          <w:r>
            <w:fldChar w:fldCharType="end"/>
          </w:r>
          <w:r>
            <w:fldChar w:fldCharType="end"/>
          </w:r>
        </w:p>
        <w:p w14:paraId="2FC385D3">
          <w:pPr>
            <w:pStyle w:val="10"/>
            <w:tabs>
              <w:tab w:val="right" w:leader="dot" w:pos="8306"/>
            </w:tabs>
          </w:pPr>
          <w:r>
            <w:fldChar w:fldCharType="begin"/>
          </w:r>
          <w:r>
            <w:instrText xml:space="preserve"> HYPERLINK \l _Toc15374 </w:instrText>
          </w:r>
          <w:r>
            <w:fldChar w:fldCharType="separate"/>
          </w:r>
          <w:r>
            <w:rPr>
              <w:rFonts w:hint="eastAsia"/>
            </w:rPr>
            <w:t xml:space="preserve">2.5 </w:t>
          </w:r>
          <w:r>
            <w:t>信息披露方式</w:t>
          </w:r>
          <w:r>
            <w:tab/>
          </w:r>
          <w:r>
            <w:fldChar w:fldCharType="begin"/>
          </w:r>
          <w:r>
            <w:instrText xml:space="preserve"> PAGEREF _Toc15374 \h </w:instrText>
          </w:r>
          <w:r>
            <w:fldChar w:fldCharType="separate"/>
          </w:r>
          <w:r>
            <w:t>5</w:t>
          </w:r>
          <w:r>
            <w:fldChar w:fldCharType="end"/>
          </w:r>
          <w:r>
            <w:fldChar w:fldCharType="end"/>
          </w:r>
        </w:p>
        <w:p w14:paraId="29CA1DFD">
          <w:pPr>
            <w:pStyle w:val="10"/>
            <w:tabs>
              <w:tab w:val="right" w:leader="dot" w:pos="8306"/>
            </w:tabs>
          </w:pPr>
          <w:r>
            <w:fldChar w:fldCharType="begin"/>
          </w:r>
          <w:r>
            <w:instrText xml:space="preserve"> HYPERLINK \l _Toc10639 </w:instrText>
          </w:r>
          <w:r>
            <w:fldChar w:fldCharType="separate"/>
          </w:r>
          <w:r>
            <w:rPr>
              <w:rFonts w:hint="eastAsia"/>
            </w:rPr>
            <w:t xml:space="preserve">2.6 </w:t>
          </w:r>
          <w:r>
            <w:t>其他相关资料</w:t>
          </w:r>
          <w:r>
            <w:tab/>
          </w:r>
          <w:r>
            <w:fldChar w:fldCharType="begin"/>
          </w:r>
          <w:r>
            <w:instrText xml:space="preserve"> PAGEREF _Toc10639 \h </w:instrText>
          </w:r>
          <w:r>
            <w:fldChar w:fldCharType="separate"/>
          </w:r>
          <w:r>
            <w:t>6</w:t>
          </w:r>
          <w:r>
            <w:fldChar w:fldCharType="end"/>
          </w:r>
          <w:r>
            <w:fldChar w:fldCharType="end"/>
          </w:r>
        </w:p>
        <w:p w14:paraId="500E683F">
          <w:pPr>
            <w:pStyle w:val="8"/>
            <w:tabs>
              <w:tab w:val="right" w:leader="dot" w:pos="8306"/>
            </w:tabs>
          </w:pPr>
          <w:r>
            <w:fldChar w:fldCharType="begin"/>
          </w:r>
          <w:r>
            <w:instrText xml:space="preserve"> HYPERLINK \l _Toc15472 </w:instrText>
          </w:r>
          <w:r>
            <w:fldChar w:fldCharType="separate"/>
          </w:r>
          <w:r>
            <w:rPr>
              <w:rFonts w:hint="eastAsia"/>
            </w:rPr>
            <w:t xml:space="preserve">§3 </w:t>
          </w:r>
          <w:r>
            <w:t>主要财务指标、基金净值表现及利润分配情况</w:t>
          </w:r>
          <w:r>
            <w:tab/>
          </w:r>
          <w:r>
            <w:fldChar w:fldCharType="begin"/>
          </w:r>
          <w:r>
            <w:instrText xml:space="preserve"> PAGEREF _Toc15472 \h </w:instrText>
          </w:r>
          <w:r>
            <w:fldChar w:fldCharType="separate"/>
          </w:r>
          <w:r>
            <w:t>7</w:t>
          </w:r>
          <w:r>
            <w:fldChar w:fldCharType="end"/>
          </w:r>
          <w:r>
            <w:fldChar w:fldCharType="end"/>
          </w:r>
        </w:p>
        <w:p w14:paraId="063E9D57">
          <w:pPr>
            <w:pStyle w:val="10"/>
            <w:tabs>
              <w:tab w:val="right" w:leader="dot" w:pos="8306"/>
            </w:tabs>
          </w:pPr>
          <w:r>
            <w:fldChar w:fldCharType="begin"/>
          </w:r>
          <w:r>
            <w:instrText xml:space="preserve"> HYPERLINK \l _Toc3789 </w:instrText>
          </w:r>
          <w:r>
            <w:fldChar w:fldCharType="separate"/>
          </w:r>
          <w:r>
            <w:rPr>
              <w:rFonts w:hint="eastAsia"/>
            </w:rPr>
            <w:t xml:space="preserve">3.1 </w:t>
          </w:r>
          <w:r>
            <w:t>主要会计数据和财务指标</w:t>
          </w:r>
          <w:r>
            <w:tab/>
          </w:r>
          <w:r>
            <w:fldChar w:fldCharType="begin"/>
          </w:r>
          <w:r>
            <w:instrText xml:space="preserve"> PAGEREF _Toc3789 \h </w:instrText>
          </w:r>
          <w:r>
            <w:fldChar w:fldCharType="separate"/>
          </w:r>
          <w:r>
            <w:t>7</w:t>
          </w:r>
          <w:r>
            <w:fldChar w:fldCharType="end"/>
          </w:r>
          <w:r>
            <w:fldChar w:fldCharType="end"/>
          </w:r>
        </w:p>
        <w:p w14:paraId="6B8CE38B">
          <w:pPr>
            <w:pStyle w:val="10"/>
            <w:tabs>
              <w:tab w:val="right" w:leader="dot" w:pos="8306"/>
            </w:tabs>
          </w:pPr>
          <w:r>
            <w:fldChar w:fldCharType="begin"/>
          </w:r>
          <w:r>
            <w:instrText xml:space="preserve"> HYPERLINK \l _Toc24359 </w:instrText>
          </w:r>
          <w:r>
            <w:fldChar w:fldCharType="separate"/>
          </w:r>
          <w:r>
            <w:rPr>
              <w:rFonts w:hint="eastAsia"/>
            </w:rPr>
            <w:t xml:space="preserve">3.2 </w:t>
          </w:r>
          <w:r>
            <w:t>基金净值表现</w:t>
          </w:r>
          <w:r>
            <w:tab/>
          </w:r>
          <w:r>
            <w:fldChar w:fldCharType="begin"/>
          </w:r>
          <w:r>
            <w:instrText xml:space="preserve"> PAGEREF _Toc24359 \h </w:instrText>
          </w:r>
          <w:r>
            <w:fldChar w:fldCharType="separate"/>
          </w:r>
          <w:r>
            <w:t>7</w:t>
          </w:r>
          <w:r>
            <w:fldChar w:fldCharType="end"/>
          </w:r>
          <w:r>
            <w:fldChar w:fldCharType="end"/>
          </w:r>
        </w:p>
        <w:p w14:paraId="3F56FA65">
          <w:pPr>
            <w:pStyle w:val="10"/>
            <w:tabs>
              <w:tab w:val="right" w:leader="dot" w:pos="8306"/>
            </w:tabs>
          </w:pPr>
          <w:r>
            <w:fldChar w:fldCharType="begin"/>
          </w:r>
          <w:r>
            <w:instrText xml:space="preserve"> HYPERLINK \l _Toc7797 </w:instrText>
          </w:r>
          <w:r>
            <w:fldChar w:fldCharType="separate"/>
          </w:r>
          <w:r>
            <w:rPr>
              <w:rFonts w:hint="eastAsia"/>
            </w:rPr>
            <w:t xml:space="preserve">3.3 </w:t>
          </w:r>
          <w:r>
            <w:t>过去三年基金的利润分配情况</w:t>
          </w:r>
          <w:r>
            <w:tab/>
          </w:r>
          <w:r>
            <w:fldChar w:fldCharType="begin"/>
          </w:r>
          <w:r>
            <w:instrText xml:space="preserve"> PAGEREF _Toc7797 \h </w:instrText>
          </w:r>
          <w:r>
            <w:fldChar w:fldCharType="separate"/>
          </w:r>
          <w:r>
            <w:t>9</w:t>
          </w:r>
          <w:r>
            <w:fldChar w:fldCharType="end"/>
          </w:r>
          <w:r>
            <w:fldChar w:fldCharType="end"/>
          </w:r>
        </w:p>
        <w:p w14:paraId="6835F98D">
          <w:pPr>
            <w:pStyle w:val="8"/>
            <w:tabs>
              <w:tab w:val="right" w:leader="dot" w:pos="8306"/>
            </w:tabs>
          </w:pPr>
          <w:r>
            <w:fldChar w:fldCharType="begin"/>
          </w:r>
          <w:r>
            <w:instrText xml:space="preserve"> HYPERLINK \l _Toc31597 </w:instrText>
          </w:r>
          <w:r>
            <w:fldChar w:fldCharType="separate"/>
          </w:r>
          <w:r>
            <w:rPr>
              <w:rFonts w:hint="eastAsia"/>
            </w:rPr>
            <w:t xml:space="preserve">§4 </w:t>
          </w:r>
          <w:r>
            <w:t>管理人报告</w:t>
          </w:r>
          <w:r>
            <w:tab/>
          </w:r>
          <w:r>
            <w:fldChar w:fldCharType="begin"/>
          </w:r>
          <w:r>
            <w:instrText xml:space="preserve"> PAGEREF _Toc31597 \h </w:instrText>
          </w:r>
          <w:r>
            <w:fldChar w:fldCharType="separate"/>
          </w:r>
          <w:r>
            <w:t>9</w:t>
          </w:r>
          <w:r>
            <w:fldChar w:fldCharType="end"/>
          </w:r>
          <w:r>
            <w:fldChar w:fldCharType="end"/>
          </w:r>
        </w:p>
        <w:p w14:paraId="60783400">
          <w:pPr>
            <w:pStyle w:val="10"/>
            <w:tabs>
              <w:tab w:val="right" w:leader="dot" w:pos="8306"/>
            </w:tabs>
          </w:pPr>
          <w:r>
            <w:fldChar w:fldCharType="begin"/>
          </w:r>
          <w:r>
            <w:instrText xml:space="preserve"> HYPERLINK \l _Toc20497 </w:instrText>
          </w:r>
          <w:r>
            <w:fldChar w:fldCharType="separate"/>
          </w:r>
          <w:r>
            <w:rPr>
              <w:rFonts w:hint="eastAsia"/>
            </w:rPr>
            <w:t xml:space="preserve">4.1 </w:t>
          </w:r>
          <w:r>
            <w:t>基金管理人及基金经理情况</w:t>
          </w:r>
          <w:r>
            <w:tab/>
          </w:r>
          <w:r>
            <w:fldChar w:fldCharType="begin"/>
          </w:r>
          <w:r>
            <w:instrText xml:space="preserve"> PAGEREF _Toc20497 \h </w:instrText>
          </w:r>
          <w:r>
            <w:fldChar w:fldCharType="separate"/>
          </w:r>
          <w:r>
            <w:t>9</w:t>
          </w:r>
          <w:r>
            <w:fldChar w:fldCharType="end"/>
          </w:r>
          <w:r>
            <w:fldChar w:fldCharType="end"/>
          </w:r>
        </w:p>
        <w:p w14:paraId="2B10D33A">
          <w:pPr>
            <w:pStyle w:val="10"/>
            <w:tabs>
              <w:tab w:val="right" w:leader="dot" w:pos="8306"/>
            </w:tabs>
          </w:pPr>
          <w:r>
            <w:fldChar w:fldCharType="begin"/>
          </w:r>
          <w:r>
            <w:instrText xml:space="preserve"> HYPERLINK \l _Toc6895 </w:instrText>
          </w:r>
          <w:r>
            <w:fldChar w:fldCharType="separate"/>
          </w:r>
          <w:r>
            <w:rPr>
              <w:rFonts w:hint="eastAsia"/>
            </w:rPr>
            <w:t xml:space="preserve">4.2 </w:t>
          </w:r>
          <w:r>
            <w:t>境外投资顾问为本基金提供投资建议的主要成员简介</w:t>
          </w:r>
          <w:r>
            <w:tab/>
          </w:r>
          <w:r>
            <w:fldChar w:fldCharType="begin"/>
          </w:r>
          <w:r>
            <w:instrText xml:space="preserve"> PAGEREF _Toc6895 \h </w:instrText>
          </w:r>
          <w:r>
            <w:fldChar w:fldCharType="separate"/>
          </w:r>
          <w:r>
            <w:t>11</w:t>
          </w:r>
          <w:r>
            <w:fldChar w:fldCharType="end"/>
          </w:r>
          <w:r>
            <w:fldChar w:fldCharType="end"/>
          </w:r>
        </w:p>
        <w:p w14:paraId="56667B87">
          <w:pPr>
            <w:pStyle w:val="10"/>
            <w:tabs>
              <w:tab w:val="right" w:leader="dot" w:pos="8306"/>
            </w:tabs>
          </w:pPr>
          <w:r>
            <w:fldChar w:fldCharType="begin"/>
          </w:r>
          <w:r>
            <w:instrText xml:space="preserve"> HYPERLINK \l _Toc32162 </w:instrText>
          </w:r>
          <w:r>
            <w:fldChar w:fldCharType="separate"/>
          </w:r>
          <w:r>
            <w:rPr>
              <w:rFonts w:hint="eastAsia"/>
            </w:rPr>
            <w:t xml:space="preserve">4.3 </w:t>
          </w:r>
          <w:r>
            <w:t>管理人对报告期内本基金运作遵规守信情况的说明</w:t>
          </w:r>
          <w:r>
            <w:tab/>
          </w:r>
          <w:r>
            <w:fldChar w:fldCharType="begin"/>
          </w:r>
          <w:r>
            <w:instrText xml:space="preserve"> PAGEREF _Toc32162 \h </w:instrText>
          </w:r>
          <w:r>
            <w:fldChar w:fldCharType="separate"/>
          </w:r>
          <w:r>
            <w:t>11</w:t>
          </w:r>
          <w:r>
            <w:fldChar w:fldCharType="end"/>
          </w:r>
          <w:r>
            <w:fldChar w:fldCharType="end"/>
          </w:r>
        </w:p>
        <w:p w14:paraId="6266010D">
          <w:pPr>
            <w:pStyle w:val="10"/>
            <w:tabs>
              <w:tab w:val="right" w:leader="dot" w:pos="8306"/>
            </w:tabs>
          </w:pPr>
          <w:r>
            <w:fldChar w:fldCharType="begin"/>
          </w:r>
          <w:r>
            <w:instrText xml:space="preserve"> HYPERLINK \l _Toc29331 </w:instrText>
          </w:r>
          <w:r>
            <w:fldChar w:fldCharType="separate"/>
          </w:r>
          <w:r>
            <w:rPr>
              <w:rFonts w:hint="eastAsia"/>
            </w:rPr>
            <w:t xml:space="preserve">4.4 </w:t>
          </w:r>
          <w:r>
            <w:t>管理人对报告期内公平交易情况的专项说明</w:t>
          </w:r>
          <w:r>
            <w:tab/>
          </w:r>
          <w:r>
            <w:fldChar w:fldCharType="begin"/>
          </w:r>
          <w:r>
            <w:instrText xml:space="preserve"> PAGEREF _Toc29331 \h </w:instrText>
          </w:r>
          <w:r>
            <w:fldChar w:fldCharType="separate"/>
          </w:r>
          <w:r>
            <w:t>11</w:t>
          </w:r>
          <w:r>
            <w:fldChar w:fldCharType="end"/>
          </w:r>
          <w:r>
            <w:fldChar w:fldCharType="end"/>
          </w:r>
        </w:p>
        <w:p w14:paraId="6A4ED732">
          <w:pPr>
            <w:pStyle w:val="10"/>
            <w:tabs>
              <w:tab w:val="right" w:leader="dot" w:pos="8306"/>
            </w:tabs>
          </w:pPr>
          <w:r>
            <w:fldChar w:fldCharType="begin"/>
          </w:r>
          <w:r>
            <w:instrText xml:space="preserve"> HYPERLINK \l _Toc18389 </w:instrText>
          </w:r>
          <w:r>
            <w:fldChar w:fldCharType="separate"/>
          </w:r>
          <w:r>
            <w:rPr>
              <w:rFonts w:hint="eastAsia"/>
            </w:rPr>
            <w:t xml:space="preserve">4.5 </w:t>
          </w:r>
          <w:r>
            <w:t>管理人对报告期内基金的投资策略和业绩表现的说明</w:t>
          </w:r>
          <w:r>
            <w:tab/>
          </w:r>
          <w:r>
            <w:fldChar w:fldCharType="begin"/>
          </w:r>
          <w:r>
            <w:instrText xml:space="preserve"> PAGEREF _Toc18389 \h </w:instrText>
          </w:r>
          <w:r>
            <w:fldChar w:fldCharType="separate"/>
          </w:r>
          <w:r>
            <w:t>12</w:t>
          </w:r>
          <w:r>
            <w:fldChar w:fldCharType="end"/>
          </w:r>
          <w:r>
            <w:fldChar w:fldCharType="end"/>
          </w:r>
        </w:p>
        <w:p w14:paraId="4B969952">
          <w:pPr>
            <w:pStyle w:val="10"/>
            <w:tabs>
              <w:tab w:val="right" w:leader="dot" w:pos="8306"/>
            </w:tabs>
          </w:pPr>
          <w:r>
            <w:fldChar w:fldCharType="begin"/>
          </w:r>
          <w:r>
            <w:instrText xml:space="preserve"> HYPERLINK \l _Toc19008 </w:instrText>
          </w:r>
          <w:r>
            <w:fldChar w:fldCharType="separate"/>
          </w:r>
          <w:r>
            <w:rPr>
              <w:rFonts w:hint="eastAsia"/>
            </w:rPr>
            <w:t xml:space="preserve">4.6 </w:t>
          </w:r>
          <w:r>
            <w:t>管理人对宏观经济、证券市场及行业走势的简要展望</w:t>
          </w:r>
          <w:r>
            <w:tab/>
          </w:r>
          <w:r>
            <w:fldChar w:fldCharType="begin"/>
          </w:r>
          <w:r>
            <w:instrText xml:space="preserve"> PAGEREF _Toc19008 \h </w:instrText>
          </w:r>
          <w:r>
            <w:fldChar w:fldCharType="separate"/>
          </w:r>
          <w:r>
            <w:t>12</w:t>
          </w:r>
          <w:r>
            <w:fldChar w:fldCharType="end"/>
          </w:r>
          <w:r>
            <w:fldChar w:fldCharType="end"/>
          </w:r>
        </w:p>
        <w:p w14:paraId="47A0DC9F">
          <w:pPr>
            <w:pStyle w:val="10"/>
            <w:tabs>
              <w:tab w:val="right" w:leader="dot" w:pos="8306"/>
            </w:tabs>
          </w:pPr>
          <w:r>
            <w:fldChar w:fldCharType="begin"/>
          </w:r>
          <w:r>
            <w:instrText xml:space="preserve"> HYPERLINK \l _Toc8475 </w:instrText>
          </w:r>
          <w:r>
            <w:fldChar w:fldCharType="separate"/>
          </w:r>
          <w:r>
            <w:rPr>
              <w:rFonts w:hint="eastAsia"/>
            </w:rPr>
            <w:t xml:space="preserve">4.7 </w:t>
          </w:r>
          <w:r>
            <w:t>管理人内部有关本基金的监察稽核工作情况</w:t>
          </w:r>
          <w:r>
            <w:tab/>
          </w:r>
          <w:r>
            <w:fldChar w:fldCharType="begin"/>
          </w:r>
          <w:r>
            <w:instrText xml:space="preserve"> PAGEREF _Toc8475 \h </w:instrText>
          </w:r>
          <w:r>
            <w:fldChar w:fldCharType="separate"/>
          </w:r>
          <w:r>
            <w:t>13</w:t>
          </w:r>
          <w:r>
            <w:fldChar w:fldCharType="end"/>
          </w:r>
          <w:r>
            <w:fldChar w:fldCharType="end"/>
          </w:r>
        </w:p>
        <w:p w14:paraId="55E6E8B6">
          <w:pPr>
            <w:pStyle w:val="10"/>
            <w:tabs>
              <w:tab w:val="right" w:leader="dot" w:pos="8306"/>
            </w:tabs>
          </w:pPr>
          <w:r>
            <w:fldChar w:fldCharType="begin"/>
          </w:r>
          <w:r>
            <w:instrText xml:space="preserve"> HYPERLINK \l _Toc5159 </w:instrText>
          </w:r>
          <w:r>
            <w:fldChar w:fldCharType="separate"/>
          </w:r>
          <w:r>
            <w:rPr>
              <w:rFonts w:hint="eastAsia"/>
            </w:rPr>
            <w:t xml:space="preserve">4.8 </w:t>
          </w:r>
          <w:r>
            <w:t>管理人对报告期内基金估值程序等事项的说明</w:t>
          </w:r>
          <w:r>
            <w:tab/>
          </w:r>
          <w:r>
            <w:fldChar w:fldCharType="begin"/>
          </w:r>
          <w:r>
            <w:instrText xml:space="preserve"> PAGEREF _Toc5159 \h </w:instrText>
          </w:r>
          <w:r>
            <w:fldChar w:fldCharType="separate"/>
          </w:r>
          <w:r>
            <w:t>14</w:t>
          </w:r>
          <w:r>
            <w:fldChar w:fldCharType="end"/>
          </w:r>
          <w:r>
            <w:fldChar w:fldCharType="end"/>
          </w:r>
        </w:p>
        <w:p w14:paraId="4588144F">
          <w:pPr>
            <w:pStyle w:val="10"/>
            <w:tabs>
              <w:tab w:val="right" w:leader="dot" w:pos="8306"/>
            </w:tabs>
          </w:pPr>
          <w:r>
            <w:fldChar w:fldCharType="begin"/>
          </w:r>
          <w:r>
            <w:instrText xml:space="preserve"> HYPERLINK \l _Toc24155 </w:instrText>
          </w:r>
          <w:r>
            <w:fldChar w:fldCharType="separate"/>
          </w:r>
          <w:r>
            <w:rPr>
              <w:rFonts w:hint="eastAsia"/>
            </w:rPr>
            <w:t xml:space="preserve">4.9 </w:t>
          </w:r>
          <w:r>
            <w:t>管理人对报告期内基金利润分配情况的说明</w:t>
          </w:r>
          <w:r>
            <w:tab/>
          </w:r>
          <w:r>
            <w:fldChar w:fldCharType="begin"/>
          </w:r>
          <w:r>
            <w:instrText xml:space="preserve"> PAGEREF _Toc24155 \h </w:instrText>
          </w:r>
          <w:r>
            <w:fldChar w:fldCharType="separate"/>
          </w:r>
          <w:r>
            <w:t>14</w:t>
          </w:r>
          <w:r>
            <w:fldChar w:fldCharType="end"/>
          </w:r>
          <w:r>
            <w:fldChar w:fldCharType="end"/>
          </w:r>
        </w:p>
        <w:p w14:paraId="5A5CD883">
          <w:pPr>
            <w:pStyle w:val="10"/>
            <w:tabs>
              <w:tab w:val="right" w:leader="dot" w:pos="8306"/>
            </w:tabs>
          </w:pPr>
          <w:r>
            <w:fldChar w:fldCharType="begin"/>
          </w:r>
          <w:r>
            <w:instrText xml:space="preserve"> HYPERLINK \l _Toc14114 </w:instrText>
          </w:r>
          <w:r>
            <w:fldChar w:fldCharType="separate"/>
          </w:r>
          <w:r>
            <w:rPr>
              <w:rFonts w:hint="eastAsia"/>
            </w:rPr>
            <w:t xml:space="preserve">4.10 </w:t>
          </w:r>
          <w:r>
            <w:t>报告期内基金持有人数或基金资产净值预警说明</w:t>
          </w:r>
          <w:r>
            <w:tab/>
          </w:r>
          <w:r>
            <w:fldChar w:fldCharType="begin"/>
          </w:r>
          <w:r>
            <w:instrText xml:space="preserve"> PAGEREF _Toc14114 \h </w:instrText>
          </w:r>
          <w:r>
            <w:fldChar w:fldCharType="separate"/>
          </w:r>
          <w:r>
            <w:t>14</w:t>
          </w:r>
          <w:r>
            <w:fldChar w:fldCharType="end"/>
          </w:r>
          <w:r>
            <w:fldChar w:fldCharType="end"/>
          </w:r>
        </w:p>
        <w:p w14:paraId="71E76127">
          <w:pPr>
            <w:pStyle w:val="8"/>
            <w:tabs>
              <w:tab w:val="right" w:leader="dot" w:pos="8306"/>
            </w:tabs>
          </w:pPr>
          <w:r>
            <w:fldChar w:fldCharType="begin"/>
          </w:r>
          <w:r>
            <w:instrText xml:space="preserve"> HYPERLINK \l _Toc25173 </w:instrText>
          </w:r>
          <w:r>
            <w:fldChar w:fldCharType="separate"/>
          </w:r>
          <w:r>
            <w:rPr>
              <w:rFonts w:hint="eastAsia"/>
            </w:rPr>
            <w:t xml:space="preserve">§5 </w:t>
          </w:r>
          <w:r>
            <w:t>托管人报告</w:t>
          </w:r>
          <w:r>
            <w:tab/>
          </w:r>
          <w:r>
            <w:fldChar w:fldCharType="begin"/>
          </w:r>
          <w:r>
            <w:instrText xml:space="preserve"> PAGEREF _Toc25173 \h </w:instrText>
          </w:r>
          <w:r>
            <w:fldChar w:fldCharType="separate"/>
          </w:r>
          <w:r>
            <w:t>15</w:t>
          </w:r>
          <w:r>
            <w:fldChar w:fldCharType="end"/>
          </w:r>
          <w:r>
            <w:fldChar w:fldCharType="end"/>
          </w:r>
        </w:p>
        <w:p w14:paraId="56BCAE93">
          <w:pPr>
            <w:pStyle w:val="10"/>
            <w:tabs>
              <w:tab w:val="right" w:leader="dot" w:pos="8306"/>
            </w:tabs>
          </w:pPr>
          <w:r>
            <w:fldChar w:fldCharType="begin"/>
          </w:r>
          <w:r>
            <w:instrText xml:space="preserve"> HYPERLINK \l _Toc27927 </w:instrText>
          </w:r>
          <w:r>
            <w:fldChar w:fldCharType="separate"/>
          </w:r>
          <w:r>
            <w:rPr>
              <w:rFonts w:hint="eastAsia"/>
            </w:rPr>
            <w:t xml:space="preserve">5.1 </w:t>
          </w:r>
          <w:r>
            <w:t>报告期内本基金托管人遵规守信情况声明</w:t>
          </w:r>
          <w:r>
            <w:tab/>
          </w:r>
          <w:r>
            <w:fldChar w:fldCharType="begin"/>
          </w:r>
          <w:r>
            <w:instrText xml:space="preserve"> PAGEREF _Toc27927 \h </w:instrText>
          </w:r>
          <w:r>
            <w:fldChar w:fldCharType="separate"/>
          </w:r>
          <w:r>
            <w:t>15</w:t>
          </w:r>
          <w:r>
            <w:fldChar w:fldCharType="end"/>
          </w:r>
          <w:r>
            <w:fldChar w:fldCharType="end"/>
          </w:r>
        </w:p>
        <w:p w14:paraId="4F62D173">
          <w:pPr>
            <w:pStyle w:val="10"/>
            <w:tabs>
              <w:tab w:val="right" w:leader="dot" w:pos="8306"/>
            </w:tabs>
          </w:pPr>
          <w:r>
            <w:fldChar w:fldCharType="begin"/>
          </w:r>
          <w:r>
            <w:instrText xml:space="preserve"> HYPERLINK \l _Toc24811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_Toc24811 \h </w:instrText>
          </w:r>
          <w:r>
            <w:fldChar w:fldCharType="separate"/>
          </w:r>
          <w:r>
            <w:t>15</w:t>
          </w:r>
          <w:r>
            <w:fldChar w:fldCharType="end"/>
          </w:r>
          <w:r>
            <w:fldChar w:fldCharType="end"/>
          </w:r>
        </w:p>
        <w:p w14:paraId="113FE9EE">
          <w:pPr>
            <w:pStyle w:val="10"/>
            <w:tabs>
              <w:tab w:val="right" w:leader="dot" w:pos="8306"/>
            </w:tabs>
          </w:pPr>
          <w:r>
            <w:fldChar w:fldCharType="begin"/>
          </w:r>
          <w:r>
            <w:instrText xml:space="preserve"> HYPERLINK \l _Toc23953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_Toc23953 \h </w:instrText>
          </w:r>
          <w:r>
            <w:fldChar w:fldCharType="separate"/>
          </w:r>
          <w:r>
            <w:t>15</w:t>
          </w:r>
          <w:r>
            <w:fldChar w:fldCharType="end"/>
          </w:r>
          <w:r>
            <w:fldChar w:fldCharType="end"/>
          </w:r>
        </w:p>
        <w:p w14:paraId="799D8D32">
          <w:pPr>
            <w:pStyle w:val="8"/>
            <w:tabs>
              <w:tab w:val="right" w:leader="dot" w:pos="8306"/>
            </w:tabs>
          </w:pPr>
          <w:r>
            <w:fldChar w:fldCharType="begin"/>
          </w:r>
          <w:r>
            <w:instrText xml:space="preserve"> HYPERLINK \l _Toc25070 </w:instrText>
          </w:r>
          <w:r>
            <w:fldChar w:fldCharType="separate"/>
          </w:r>
          <w:r>
            <w:rPr>
              <w:rFonts w:hint="eastAsia"/>
            </w:rPr>
            <w:t xml:space="preserve">§6 </w:t>
          </w:r>
          <w:r>
            <w:t>审计报告</w:t>
          </w:r>
          <w:r>
            <w:tab/>
          </w:r>
          <w:r>
            <w:fldChar w:fldCharType="begin"/>
          </w:r>
          <w:r>
            <w:instrText xml:space="preserve"> PAGEREF _Toc25070 \h </w:instrText>
          </w:r>
          <w:r>
            <w:fldChar w:fldCharType="separate"/>
          </w:r>
          <w:r>
            <w:t>15</w:t>
          </w:r>
          <w:r>
            <w:fldChar w:fldCharType="end"/>
          </w:r>
          <w:r>
            <w:fldChar w:fldCharType="end"/>
          </w:r>
        </w:p>
        <w:p w14:paraId="58E2B3D2">
          <w:pPr>
            <w:pStyle w:val="10"/>
            <w:tabs>
              <w:tab w:val="right" w:leader="dot" w:pos="8306"/>
            </w:tabs>
          </w:pPr>
          <w:r>
            <w:fldChar w:fldCharType="begin"/>
          </w:r>
          <w:r>
            <w:instrText xml:space="preserve"> HYPERLINK \l _Toc7647 </w:instrText>
          </w:r>
          <w:r>
            <w:fldChar w:fldCharType="separate"/>
          </w:r>
          <w:r>
            <w:rPr>
              <w:rFonts w:hint="eastAsia"/>
            </w:rPr>
            <w:t xml:space="preserve">6.1 </w:t>
          </w:r>
          <w:r>
            <w:t>审计报告基本信息</w:t>
          </w:r>
          <w:r>
            <w:tab/>
          </w:r>
          <w:r>
            <w:fldChar w:fldCharType="begin"/>
          </w:r>
          <w:r>
            <w:instrText xml:space="preserve"> PAGEREF _Toc7647 \h </w:instrText>
          </w:r>
          <w:r>
            <w:fldChar w:fldCharType="separate"/>
          </w:r>
          <w:r>
            <w:t>15</w:t>
          </w:r>
          <w:r>
            <w:fldChar w:fldCharType="end"/>
          </w:r>
          <w:r>
            <w:fldChar w:fldCharType="end"/>
          </w:r>
        </w:p>
        <w:p w14:paraId="05FEFBD2">
          <w:pPr>
            <w:pStyle w:val="10"/>
            <w:tabs>
              <w:tab w:val="right" w:leader="dot" w:pos="8306"/>
            </w:tabs>
          </w:pPr>
          <w:r>
            <w:fldChar w:fldCharType="begin"/>
          </w:r>
          <w:r>
            <w:instrText xml:space="preserve"> HYPERLINK \l _Toc10019 </w:instrText>
          </w:r>
          <w:r>
            <w:fldChar w:fldCharType="separate"/>
          </w:r>
          <w:r>
            <w:rPr>
              <w:rFonts w:hint="eastAsia"/>
            </w:rPr>
            <w:t xml:space="preserve">6.2 </w:t>
          </w:r>
          <w:r>
            <w:t>审计报告的基本内容</w:t>
          </w:r>
          <w:r>
            <w:tab/>
          </w:r>
          <w:r>
            <w:fldChar w:fldCharType="begin"/>
          </w:r>
          <w:r>
            <w:instrText xml:space="preserve"> PAGEREF _Toc10019 \h </w:instrText>
          </w:r>
          <w:r>
            <w:fldChar w:fldCharType="separate"/>
          </w:r>
          <w:r>
            <w:t>15</w:t>
          </w:r>
          <w:r>
            <w:fldChar w:fldCharType="end"/>
          </w:r>
          <w:r>
            <w:fldChar w:fldCharType="end"/>
          </w:r>
        </w:p>
        <w:p w14:paraId="421B3B28">
          <w:pPr>
            <w:pStyle w:val="8"/>
            <w:tabs>
              <w:tab w:val="right" w:leader="dot" w:pos="8306"/>
            </w:tabs>
          </w:pPr>
          <w:r>
            <w:fldChar w:fldCharType="begin"/>
          </w:r>
          <w:r>
            <w:instrText xml:space="preserve"> HYPERLINK \l _Toc19328 </w:instrText>
          </w:r>
          <w:r>
            <w:fldChar w:fldCharType="separate"/>
          </w:r>
          <w:r>
            <w:rPr>
              <w:rFonts w:hint="eastAsia"/>
            </w:rPr>
            <w:t xml:space="preserve">§7 </w:t>
          </w:r>
          <w:r>
            <w:t>年度财务报表</w:t>
          </w:r>
          <w:r>
            <w:tab/>
          </w:r>
          <w:r>
            <w:fldChar w:fldCharType="begin"/>
          </w:r>
          <w:r>
            <w:instrText xml:space="preserve"> PAGEREF _Toc19328 \h </w:instrText>
          </w:r>
          <w:r>
            <w:fldChar w:fldCharType="separate"/>
          </w:r>
          <w:r>
            <w:t>17</w:t>
          </w:r>
          <w:r>
            <w:fldChar w:fldCharType="end"/>
          </w:r>
          <w:r>
            <w:fldChar w:fldCharType="end"/>
          </w:r>
        </w:p>
        <w:p w14:paraId="05DD6B60">
          <w:pPr>
            <w:pStyle w:val="10"/>
            <w:tabs>
              <w:tab w:val="right" w:leader="dot" w:pos="8306"/>
            </w:tabs>
          </w:pPr>
          <w:r>
            <w:fldChar w:fldCharType="begin"/>
          </w:r>
          <w:r>
            <w:instrText xml:space="preserve"> HYPERLINK \l _Toc30619 </w:instrText>
          </w:r>
          <w:r>
            <w:fldChar w:fldCharType="separate"/>
          </w:r>
          <w:r>
            <w:rPr>
              <w:rFonts w:hint="eastAsia"/>
            </w:rPr>
            <w:t xml:space="preserve">7.1 </w:t>
          </w:r>
          <w:r>
            <w:t>资产负债表</w:t>
          </w:r>
          <w:r>
            <w:tab/>
          </w:r>
          <w:r>
            <w:fldChar w:fldCharType="begin"/>
          </w:r>
          <w:r>
            <w:instrText xml:space="preserve"> PAGEREF _Toc30619 \h </w:instrText>
          </w:r>
          <w:r>
            <w:fldChar w:fldCharType="separate"/>
          </w:r>
          <w:r>
            <w:t>18</w:t>
          </w:r>
          <w:r>
            <w:fldChar w:fldCharType="end"/>
          </w:r>
          <w:r>
            <w:fldChar w:fldCharType="end"/>
          </w:r>
        </w:p>
        <w:p w14:paraId="6B312B1B">
          <w:pPr>
            <w:pStyle w:val="10"/>
            <w:tabs>
              <w:tab w:val="right" w:leader="dot" w:pos="8306"/>
            </w:tabs>
          </w:pPr>
          <w:r>
            <w:fldChar w:fldCharType="begin"/>
          </w:r>
          <w:r>
            <w:instrText xml:space="preserve"> HYPERLINK \l _Toc23209 </w:instrText>
          </w:r>
          <w:r>
            <w:fldChar w:fldCharType="separate"/>
          </w:r>
          <w:r>
            <w:rPr>
              <w:rFonts w:hint="eastAsia"/>
            </w:rPr>
            <w:t xml:space="preserve">7.2 </w:t>
          </w:r>
          <w:r>
            <w:t>利润表</w:t>
          </w:r>
          <w:r>
            <w:tab/>
          </w:r>
          <w:r>
            <w:fldChar w:fldCharType="begin"/>
          </w:r>
          <w:r>
            <w:instrText xml:space="preserve"> PAGEREF _Toc23209 \h </w:instrText>
          </w:r>
          <w:r>
            <w:fldChar w:fldCharType="separate"/>
          </w:r>
          <w:r>
            <w:t>19</w:t>
          </w:r>
          <w:r>
            <w:fldChar w:fldCharType="end"/>
          </w:r>
          <w:r>
            <w:fldChar w:fldCharType="end"/>
          </w:r>
        </w:p>
        <w:p w14:paraId="41ED30E7">
          <w:pPr>
            <w:pStyle w:val="10"/>
            <w:tabs>
              <w:tab w:val="right" w:leader="dot" w:pos="8306"/>
            </w:tabs>
          </w:pPr>
          <w:r>
            <w:fldChar w:fldCharType="begin"/>
          </w:r>
          <w:r>
            <w:instrText xml:space="preserve"> HYPERLINK \l _Toc8847 </w:instrText>
          </w:r>
          <w:r>
            <w:fldChar w:fldCharType="separate"/>
          </w:r>
          <w:r>
            <w:rPr>
              <w:rFonts w:hint="eastAsia"/>
            </w:rPr>
            <w:t xml:space="preserve">7.3 </w:t>
          </w:r>
          <w:r>
            <w:t>净资产变动表</w:t>
          </w:r>
          <w:r>
            <w:tab/>
          </w:r>
          <w:r>
            <w:fldChar w:fldCharType="begin"/>
          </w:r>
          <w:r>
            <w:instrText xml:space="preserve"> PAGEREF _Toc8847 \h </w:instrText>
          </w:r>
          <w:r>
            <w:fldChar w:fldCharType="separate"/>
          </w:r>
          <w:r>
            <w:t>20</w:t>
          </w:r>
          <w:r>
            <w:fldChar w:fldCharType="end"/>
          </w:r>
          <w:r>
            <w:fldChar w:fldCharType="end"/>
          </w:r>
        </w:p>
        <w:p w14:paraId="3189DB9D">
          <w:pPr>
            <w:pStyle w:val="10"/>
            <w:tabs>
              <w:tab w:val="right" w:leader="dot" w:pos="8306"/>
            </w:tabs>
          </w:pPr>
          <w:r>
            <w:fldChar w:fldCharType="begin"/>
          </w:r>
          <w:r>
            <w:instrText xml:space="preserve"> HYPERLINK \l _Toc16925 </w:instrText>
          </w:r>
          <w:r>
            <w:fldChar w:fldCharType="separate"/>
          </w:r>
          <w:r>
            <w:rPr>
              <w:rFonts w:hint="eastAsia"/>
            </w:rPr>
            <w:t xml:space="preserve">7.4 </w:t>
          </w:r>
          <w:r>
            <w:t>报表附注</w:t>
          </w:r>
          <w:r>
            <w:tab/>
          </w:r>
          <w:r>
            <w:fldChar w:fldCharType="begin"/>
          </w:r>
          <w:r>
            <w:instrText xml:space="preserve"> PAGEREF _Toc16925 \h </w:instrText>
          </w:r>
          <w:r>
            <w:fldChar w:fldCharType="separate"/>
          </w:r>
          <w:r>
            <w:t>21</w:t>
          </w:r>
          <w:r>
            <w:fldChar w:fldCharType="end"/>
          </w:r>
          <w:r>
            <w:fldChar w:fldCharType="end"/>
          </w:r>
        </w:p>
        <w:p w14:paraId="12C9549B">
          <w:pPr>
            <w:pStyle w:val="8"/>
            <w:tabs>
              <w:tab w:val="right" w:leader="dot" w:pos="8306"/>
            </w:tabs>
          </w:pPr>
          <w:r>
            <w:fldChar w:fldCharType="begin"/>
          </w:r>
          <w:r>
            <w:instrText xml:space="preserve"> HYPERLINK \l _Toc24162 </w:instrText>
          </w:r>
          <w:r>
            <w:fldChar w:fldCharType="separate"/>
          </w:r>
          <w:r>
            <w:rPr>
              <w:rFonts w:hint="eastAsia"/>
            </w:rPr>
            <w:t xml:space="preserve">§8 </w:t>
          </w:r>
          <w:r>
            <w:t>投资组合报告</w:t>
          </w:r>
          <w:r>
            <w:tab/>
          </w:r>
          <w:r>
            <w:fldChar w:fldCharType="begin"/>
          </w:r>
          <w:r>
            <w:instrText xml:space="preserve"> PAGEREF _Toc24162 \h </w:instrText>
          </w:r>
          <w:r>
            <w:fldChar w:fldCharType="separate"/>
          </w:r>
          <w:r>
            <w:t>47</w:t>
          </w:r>
          <w:r>
            <w:fldChar w:fldCharType="end"/>
          </w:r>
          <w:r>
            <w:fldChar w:fldCharType="end"/>
          </w:r>
        </w:p>
        <w:p w14:paraId="7AB4E148">
          <w:pPr>
            <w:pStyle w:val="10"/>
            <w:tabs>
              <w:tab w:val="right" w:leader="dot" w:pos="8306"/>
            </w:tabs>
          </w:pPr>
          <w:r>
            <w:fldChar w:fldCharType="begin"/>
          </w:r>
          <w:r>
            <w:instrText xml:space="preserve"> HYPERLINK \l _Toc14008 </w:instrText>
          </w:r>
          <w:r>
            <w:fldChar w:fldCharType="separate"/>
          </w:r>
          <w:r>
            <w:rPr>
              <w:rFonts w:hint="eastAsia"/>
            </w:rPr>
            <w:t xml:space="preserve">8.1 </w:t>
          </w:r>
          <w:r>
            <w:t>期末基金资产组合情况</w:t>
          </w:r>
          <w:r>
            <w:tab/>
          </w:r>
          <w:r>
            <w:fldChar w:fldCharType="begin"/>
          </w:r>
          <w:r>
            <w:instrText xml:space="preserve"> PAGEREF _Toc14008 \h </w:instrText>
          </w:r>
          <w:r>
            <w:fldChar w:fldCharType="separate"/>
          </w:r>
          <w:r>
            <w:t>47</w:t>
          </w:r>
          <w:r>
            <w:fldChar w:fldCharType="end"/>
          </w:r>
          <w:r>
            <w:fldChar w:fldCharType="end"/>
          </w:r>
        </w:p>
        <w:p w14:paraId="526526DD">
          <w:pPr>
            <w:pStyle w:val="10"/>
            <w:tabs>
              <w:tab w:val="right" w:leader="dot" w:pos="8306"/>
            </w:tabs>
          </w:pPr>
          <w:r>
            <w:fldChar w:fldCharType="begin"/>
          </w:r>
          <w:r>
            <w:instrText xml:space="preserve"> HYPERLINK \l _Toc3194 </w:instrText>
          </w:r>
          <w:r>
            <w:fldChar w:fldCharType="separate"/>
          </w:r>
          <w:r>
            <w:rPr>
              <w:rFonts w:hint="eastAsia"/>
            </w:rPr>
            <w:t xml:space="preserve">8.2 </w:t>
          </w:r>
          <w:r>
            <w:t>期末在各个国家（地区）证券市场的权益投资分布</w:t>
          </w:r>
          <w:r>
            <w:tab/>
          </w:r>
          <w:r>
            <w:fldChar w:fldCharType="begin"/>
          </w:r>
          <w:r>
            <w:instrText xml:space="preserve"> PAGEREF _Toc3194 \h </w:instrText>
          </w:r>
          <w:r>
            <w:fldChar w:fldCharType="separate"/>
          </w:r>
          <w:r>
            <w:t>47</w:t>
          </w:r>
          <w:r>
            <w:fldChar w:fldCharType="end"/>
          </w:r>
          <w:r>
            <w:fldChar w:fldCharType="end"/>
          </w:r>
        </w:p>
        <w:p w14:paraId="0549807B">
          <w:pPr>
            <w:pStyle w:val="10"/>
            <w:tabs>
              <w:tab w:val="right" w:leader="dot" w:pos="8306"/>
            </w:tabs>
          </w:pPr>
          <w:r>
            <w:fldChar w:fldCharType="begin"/>
          </w:r>
          <w:r>
            <w:instrText xml:space="preserve"> HYPERLINK \l _Toc31831 </w:instrText>
          </w:r>
          <w:r>
            <w:fldChar w:fldCharType="separate"/>
          </w:r>
          <w:r>
            <w:rPr>
              <w:rFonts w:hint="eastAsia"/>
            </w:rPr>
            <w:t xml:space="preserve">8.3 </w:t>
          </w:r>
          <w:r>
            <w:t>报告期末按行业分类的股票及存托凭证投资组合</w:t>
          </w:r>
          <w:r>
            <w:tab/>
          </w:r>
          <w:r>
            <w:fldChar w:fldCharType="begin"/>
          </w:r>
          <w:r>
            <w:instrText xml:space="preserve"> PAGEREF _Toc31831 \h </w:instrText>
          </w:r>
          <w:r>
            <w:fldChar w:fldCharType="separate"/>
          </w:r>
          <w:r>
            <w:t>47</w:t>
          </w:r>
          <w:r>
            <w:fldChar w:fldCharType="end"/>
          </w:r>
          <w:r>
            <w:fldChar w:fldCharType="end"/>
          </w:r>
        </w:p>
        <w:p w14:paraId="7ACE3D09">
          <w:pPr>
            <w:pStyle w:val="10"/>
            <w:tabs>
              <w:tab w:val="right" w:leader="dot" w:pos="8306"/>
            </w:tabs>
          </w:pPr>
          <w:r>
            <w:fldChar w:fldCharType="begin"/>
          </w:r>
          <w:r>
            <w:instrText xml:space="preserve"> HYPERLINK \l _Toc28937 </w:instrText>
          </w:r>
          <w:r>
            <w:fldChar w:fldCharType="separate"/>
          </w:r>
          <w:r>
            <w:rPr>
              <w:rFonts w:hint="eastAsia"/>
            </w:rPr>
            <w:t xml:space="preserve">8.4 </w:t>
          </w:r>
          <w:r>
            <w:t>期末按公允价值占基金资产净值比例大小排序的权益投资明细</w:t>
          </w:r>
          <w:r>
            <w:tab/>
          </w:r>
          <w:r>
            <w:fldChar w:fldCharType="begin"/>
          </w:r>
          <w:r>
            <w:instrText xml:space="preserve"> PAGEREF _Toc28937 \h </w:instrText>
          </w:r>
          <w:r>
            <w:fldChar w:fldCharType="separate"/>
          </w:r>
          <w:r>
            <w:t>48</w:t>
          </w:r>
          <w:r>
            <w:fldChar w:fldCharType="end"/>
          </w:r>
          <w:r>
            <w:fldChar w:fldCharType="end"/>
          </w:r>
        </w:p>
        <w:p w14:paraId="651C6B79">
          <w:pPr>
            <w:pStyle w:val="10"/>
            <w:tabs>
              <w:tab w:val="right" w:leader="dot" w:pos="8306"/>
            </w:tabs>
          </w:pPr>
          <w:r>
            <w:fldChar w:fldCharType="begin"/>
          </w:r>
          <w:r>
            <w:instrText xml:space="preserve"> HYPERLINK \l _Toc16134 </w:instrText>
          </w:r>
          <w:r>
            <w:fldChar w:fldCharType="separate"/>
          </w:r>
          <w:r>
            <w:rPr>
              <w:rFonts w:hint="eastAsia"/>
            </w:rPr>
            <w:t xml:space="preserve">8.5 </w:t>
          </w:r>
          <w:r>
            <w:t>报告期内权益投资组合的重大变动</w:t>
          </w:r>
          <w:r>
            <w:tab/>
          </w:r>
          <w:r>
            <w:fldChar w:fldCharType="begin"/>
          </w:r>
          <w:r>
            <w:instrText xml:space="preserve"> PAGEREF _Toc16134 \h </w:instrText>
          </w:r>
          <w:r>
            <w:fldChar w:fldCharType="separate"/>
          </w:r>
          <w:r>
            <w:t>51</w:t>
          </w:r>
          <w:r>
            <w:fldChar w:fldCharType="end"/>
          </w:r>
          <w:r>
            <w:fldChar w:fldCharType="end"/>
          </w:r>
        </w:p>
        <w:p w14:paraId="1CF8200B">
          <w:pPr>
            <w:pStyle w:val="10"/>
            <w:tabs>
              <w:tab w:val="right" w:leader="dot" w:pos="8306"/>
            </w:tabs>
          </w:pPr>
          <w:r>
            <w:fldChar w:fldCharType="begin"/>
          </w:r>
          <w:r>
            <w:instrText xml:space="preserve"> HYPERLINK \l _Toc9731 </w:instrText>
          </w:r>
          <w:r>
            <w:fldChar w:fldCharType="separate"/>
          </w:r>
          <w:r>
            <w:rPr>
              <w:rFonts w:hint="eastAsia"/>
            </w:rPr>
            <w:t xml:space="preserve">8.6 </w:t>
          </w:r>
          <w:r>
            <w:t>期末按债券信用等级分类的债券投资组合</w:t>
          </w:r>
          <w:r>
            <w:tab/>
          </w:r>
          <w:r>
            <w:fldChar w:fldCharType="begin"/>
          </w:r>
          <w:r>
            <w:instrText xml:space="preserve"> PAGEREF _Toc9731 \h </w:instrText>
          </w:r>
          <w:r>
            <w:fldChar w:fldCharType="separate"/>
          </w:r>
          <w:r>
            <w:t>53</w:t>
          </w:r>
          <w:r>
            <w:fldChar w:fldCharType="end"/>
          </w:r>
          <w:r>
            <w:fldChar w:fldCharType="end"/>
          </w:r>
        </w:p>
        <w:p w14:paraId="2ADFAD84">
          <w:pPr>
            <w:pStyle w:val="10"/>
            <w:tabs>
              <w:tab w:val="right" w:leader="dot" w:pos="8306"/>
            </w:tabs>
          </w:pPr>
          <w:r>
            <w:fldChar w:fldCharType="begin"/>
          </w:r>
          <w:r>
            <w:instrText xml:space="preserve"> HYPERLINK \l _Toc16029 </w:instrText>
          </w:r>
          <w:r>
            <w:fldChar w:fldCharType="separate"/>
          </w:r>
          <w:r>
            <w:rPr>
              <w:rFonts w:hint="eastAsia"/>
            </w:rPr>
            <w:t xml:space="preserve">8.7 </w:t>
          </w:r>
          <w:r>
            <w:t>期末按公允价值占基金资产净值比例大小排名的前五名债券投资明细</w:t>
          </w:r>
          <w:r>
            <w:tab/>
          </w:r>
          <w:r>
            <w:fldChar w:fldCharType="begin"/>
          </w:r>
          <w:r>
            <w:instrText xml:space="preserve"> PAGEREF _Toc16029 \h </w:instrText>
          </w:r>
          <w:r>
            <w:fldChar w:fldCharType="separate"/>
          </w:r>
          <w:r>
            <w:t>53</w:t>
          </w:r>
          <w:r>
            <w:fldChar w:fldCharType="end"/>
          </w:r>
          <w:r>
            <w:fldChar w:fldCharType="end"/>
          </w:r>
        </w:p>
        <w:p w14:paraId="779C5475">
          <w:pPr>
            <w:pStyle w:val="10"/>
            <w:tabs>
              <w:tab w:val="right" w:leader="dot" w:pos="8306"/>
            </w:tabs>
          </w:pPr>
          <w:r>
            <w:fldChar w:fldCharType="begin"/>
          </w:r>
          <w:r>
            <w:instrText xml:space="preserve"> HYPERLINK \l _Toc2766 </w:instrText>
          </w:r>
          <w:r>
            <w:fldChar w:fldCharType="separate"/>
          </w:r>
          <w:r>
            <w:rPr>
              <w:rFonts w:hint="eastAsia"/>
            </w:rPr>
            <w:t xml:space="preserve">8.8 </w:t>
          </w:r>
          <w:r>
            <w:t>期末按公允价值占基金资产净值比例大小排名的前十名资产支持证券投资明细</w:t>
          </w:r>
          <w:r>
            <w:tab/>
          </w:r>
          <w:r>
            <w:fldChar w:fldCharType="begin"/>
          </w:r>
          <w:r>
            <w:instrText xml:space="preserve"> PAGEREF _Toc2766 \h </w:instrText>
          </w:r>
          <w:r>
            <w:fldChar w:fldCharType="separate"/>
          </w:r>
          <w:r>
            <w:t>53</w:t>
          </w:r>
          <w:r>
            <w:fldChar w:fldCharType="end"/>
          </w:r>
          <w:r>
            <w:fldChar w:fldCharType="end"/>
          </w:r>
        </w:p>
        <w:p w14:paraId="63DC4A15">
          <w:pPr>
            <w:pStyle w:val="10"/>
            <w:tabs>
              <w:tab w:val="right" w:leader="dot" w:pos="8306"/>
            </w:tabs>
          </w:pPr>
          <w:r>
            <w:fldChar w:fldCharType="begin"/>
          </w:r>
          <w:r>
            <w:instrText xml:space="preserve"> HYPERLINK \l _Toc10284 </w:instrText>
          </w:r>
          <w:r>
            <w:fldChar w:fldCharType="separate"/>
          </w:r>
          <w:r>
            <w:rPr>
              <w:rFonts w:hint="eastAsia"/>
            </w:rPr>
            <w:t xml:space="preserve">8.9 </w:t>
          </w:r>
          <w:r>
            <w:t>期末按公允价值占基金资产净值比例大小排名的前五名金融衍生品投资明细</w:t>
          </w:r>
          <w:r>
            <w:tab/>
          </w:r>
          <w:r>
            <w:fldChar w:fldCharType="begin"/>
          </w:r>
          <w:r>
            <w:instrText xml:space="preserve"> PAGEREF _Toc10284 \h </w:instrText>
          </w:r>
          <w:r>
            <w:fldChar w:fldCharType="separate"/>
          </w:r>
          <w:r>
            <w:t>53</w:t>
          </w:r>
          <w:r>
            <w:fldChar w:fldCharType="end"/>
          </w:r>
          <w:r>
            <w:fldChar w:fldCharType="end"/>
          </w:r>
        </w:p>
        <w:p w14:paraId="0E3944C0">
          <w:pPr>
            <w:pStyle w:val="10"/>
            <w:tabs>
              <w:tab w:val="right" w:leader="dot" w:pos="8306"/>
            </w:tabs>
          </w:pPr>
          <w:r>
            <w:fldChar w:fldCharType="begin"/>
          </w:r>
          <w:r>
            <w:instrText xml:space="preserve"> HYPERLINK \l _Toc15987 </w:instrText>
          </w:r>
          <w:r>
            <w:fldChar w:fldCharType="separate"/>
          </w:r>
          <w:r>
            <w:rPr>
              <w:rFonts w:hint="eastAsia"/>
            </w:rPr>
            <w:t xml:space="preserve">8.10 </w:t>
          </w:r>
          <w:r>
            <w:t>期末按公允价值占基金资产净值比例大小排序的前十名基金投资明细</w:t>
          </w:r>
          <w:r>
            <w:tab/>
          </w:r>
          <w:r>
            <w:fldChar w:fldCharType="begin"/>
          </w:r>
          <w:r>
            <w:instrText xml:space="preserve"> PAGEREF _Toc15987 \h </w:instrText>
          </w:r>
          <w:r>
            <w:fldChar w:fldCharType="separate"/>
          </w:r>
          <w:r>
            <w:t>53</w:t>
          </w:r>
          <w:r>
            <w:fldChar w:fldCharType="end"/>
          </w:r>
          <w:r>
            <w:fldChar w:fldCharType="end"/>
          </w:r>
        </w:p>
        <w:p w14:paraId="2CBF39DE">
          <w:pPr>
            <w:pStyle w:val="10"/>
            <w:tabs>
              <w:tab w:val="right" w:leader="dot" w:pos="8306"/>
            </w:tabs>
          </w:pPr>
          <w:r>
            <w:fldChar w:fldCharType="begin"/>
          </w:r>
          <w:r>
            <w:instrText xml:space="preserve"> HYPERLINK \l _Toc5097 </w:instrText>
          </w:r>
          <w:r>
            <w:fldChar w:fldCharType="separate"/>
          </w:r>
          <w:r>
            <w:rPr>
              <w:rFonts w:hint="eastAsia"/>
            </w:rPr>
            <w:t xml:space="preserve">8.11 </w:t>
          </w:r>
          <w:r>
            <w:t>投资组合报告附注</w:t>
          </w:r>
          <w:r>
            <w:tab/>
          </w:r>
          <w:r>
            <w:fldChar w:fldCharType="begin"/>
          </w:r>
          <w:r>
            <w:instrText xml:space="preserve"> PAGEREF _Toc5097 \h </w:instrText>
          </w:r>
          <w:r>
            <w:fldChar w:fldCharType="separate"/>
          </w:r>
          <w:r>
            <w:t>54</w:t>
          </w:r>
          <w:r>
            <w:fldChar w:fldCharType="end"/>
          </w:r>
          <w:r>
            <w:fldChar w:fldCharType="end"/>
          </w:r>
        </w:p>
        <w:p w14:paraId="1A541B3B">
          <w:pPr>
            <w:pStyle w:val="8"/>
            <w:tabs>
              <w:tab w:val="right" w:leader="dot" w:pos="8306"/>
            </w:tabs>
          </w:pPr>
          <w:r>
            <w:fldChar w:fldCharType="begin"/>
          </w:r>
          <w:r>
            <w:instrText xml:space="preserve"> HYPERLINK \l _Toc24664 </w:instrText>
          </w:r>
          <w:r>
            <w:fldChar w:fldCharType="separate"/>
          </w:r>
          <w:r>
            <w:rPr>
              <w:rFonts w:hint="eastAsia"/>
            </w:rPr>
            <w:t xml:space="preserve">§9 </w:t>
          </w:r>
          <w:r>
            <w:t>基金份额持有人信息</w:t>
          </w:r>
          <w:r>
            <w:tab/>
          </w:r>
          <w:r>
            <w:fldChar w:fldCharType="begin"/>
          </w:r>
          <w:r>
            <w:instrText xml:space="preserve"> PAGEREF _Toc24664 \h </w:instrText>
          </w:r>
          <w:r>
            <w:fldChar w:fldCharType="separate"/>
          </w:r>
          <w:r>
            <w:t>54</w:t>
          </w:r>
          <w:r>
            <w:fldChar w:fldCharType="end"/>
          </w:r>
          <w:r>
            <w:fldChar w:fldCharType="end"/>
          </w:r>
        </w:p>
        <w:p w14:paraId="7C8884D9">
          <w:pPr>
            <w:pStyle w:val="10"/>
            <w:tabs>
              <w:tab w:val="right" w:leader="dot" w:pos="8306"/>
            </w:tabs>
          </w:pPr>
          <w:r>
            <w:fldChar w:fldCharType="begin"/>
          </w:r>
          <w:r>
            <w:instrText xml:space="preserve"> HYPERLINK \l _Toc4995 </w:instrText>
          </w:r>
          <w:r>
            <w:fldChar w:fldCharType="separate"/>
          </w:r>
          <w:r>
            <w:rPr>
              <w:rFonts w:hint="eastAsia"/>
            </w:rPr>
            <w:t xml:space="preserve">9.1 </w:t>
          </w:r>
          <w:r>
            <w:t>期末基金份额持有人户数及持有人结构</w:t>
          </w:r>
          <w:r>
            <w:tab/>
          </w:r>
          <w:r>
            <w:fldChar w:fldCharType="begin"/>
          </w:r>
          <w:r>
            <w:instrText xml:space="preserve"> PAGEREF _Toc4995 \h </w:instrText>
          </w:r>
          <w:r>
            <w:fldChar w:fldCharType="separate"/>
          </w:r>
          <w:r>
            <w:t>55</w:t>
          </w:r>
          <w:r>
            <w:fldChar w:fldCharType="end"/>
          </w:r>
          <w:r>
            <w:fldChar w:fldCharType="end"/>
          </w:r>
        </w:p>
        <w:p w14:paraId="1C62BB8E">
          <w:pPr>
            <w:pStyle w:val="10"/>
            <w:tabs>
              <w:tab w:val="right" w:leader="dot" w:pos="8306"/>
            </w:tabs>
          </w:pPr>
          <w:r>
            <w:fldChar w:fldCharType="begin"/>
          </w:r>
          <w:r>
            <w:instrText xml:space="preserve"> HYPERLINK \l _Toc29645 </w:instrText>
          </w:r>
          <w:r>
            <w:fldChar w:fldCharType="separate"/>
          </w:r>
          <w:r>
            <w:rPr>
              <w:rFonts w:hint="eastAsia"/>
            </w:rPr>
            <w:t xml:space="preserve">9.2 </w:t>
          </w:r>
          <w:r>
            <w:t>期末上市基金前十名持有人</w:t>
          </w:r>
          <w:r>
            <w:tab/>
          </w:r>
          <w:r>
            <w:fldChar w:fldCharType="begin"/>
          </w:r>
          <w:r>
            <w:instrText xml:space="preserve"> PAGEREF _Toc29645 \h </w:instrText>
          </w:r>
          <w:r>
            <w:fldChar w:fldCharType="separate"/>
          </w:r>
          <w:r>
            <w:t>55</w:t>
          </w:r>
          <w:r>
            <w:fldChar w:fldCharType="end"/>
          </w:r>
          <w:r>
            <w:fldChar w:fldCharType="end"/>
          </w:r>
        </w:p>
        <w:p w14:paraId="10EC39EA">
          <w:pPr>
            <w:pStyle w:val="10"/>
            <w:tabs>
              <w:tab w:val="right" w:leader="dot" w:pos="8306"/>
            </w:tabs>
          </w:pPr>
          <w:r>
            <w:fldChar w:fldCharType="begin"/>
          </w:r>
          <w:r>
            <w:instrText xml:space="preserve"> HYPERLINK \l _Toc23550 </w:instrText>
          </w:r>
          <w:r>
            <w:fldChar w:fldCharType="separate"/>
          </w:r>
          <w:r>
            <w:rPr>
              <w:rFonts w:hint="eastAsia"/>
            </w:rPr>
            <w:t xml:space="preserve">9.3 </w:t>
          </w:r>
          <w:r>
            <w:t>期末基金管理人的从业人员持有本基金的情况</w:t>
          </w:r>
          <w:r>
            <w:tab/>
          </w:r>
          <w:r>
            <w:fldChar w:fldCharType="begin"/>
          </w:r>
          <w:r>
            <w:instrText xml:space="preserve"> PAGEREF _Toc23550 \h </w:instrText>
          </w:r>
          <w:r>
            <w:fldChar w:fldCharType="separate"/>
          </w:r>
          <w:r>
            <w:t>55</w:t>
          </w:r>
          <w:r>
            <w:fldChar w:fldCharType="end"/>
          </w:r>
          <w:r>
            <w:fldChar w:fldCharType="end"/>
          </w:r>
        </w:p>
        <w:p w14:paraId="4201FAAB">
          <w:pPr>
            <w:pStyle w:val="10"/>
            <w:tabs>
              <w:tab w:val="right" w:leader="dot" w:pos="8306"/>
            </w:tabs>
          </w:pPr>
          <w:r>
            <w:fldChar w:fldCharType="begin"/>
          </w:r>
          <w:r>
            <w:instrText xml:space="preserve"> HYPERLINK \l _Toc25838 </w:instrText>
          </w:r>
          <w:r>
            <w:fldChar w:fldCharType="separate"/>
          </w:r>
          <w:r>
            <w:rPr>
              <w:rFonts w:hint="eastAsia"/>
            </w:rPr>
            <w:t xml:space="preserve">9.4 </w:t>
          </w:r>
          <w:r>
            <w:t>期末基金管理人的从业人员持有本开放式基金份额总量区间情况</w:t>
          </w:r>
          <w:r>
            <w:tab/>
          </w:r>
          <w:r>
            <w:fldChar w:fldCharType="begin"/>
          </w:r>
          <w:r>
            <w:instrText xml:space="preserve"> PAGEREF _Toc25838 \h </w:instrText>
          </w:r>
          <w:r>
            <w:fldChar w:fldCharType="separate"/>
          </w:r>
          <w:r>
            <w:t>55</w:t>
          </w:r>
          <w:r>
            <w:fldChar w:fldCharType="end"/>
          </w:r>
          <w:r>
            <w:fldChar w:fldCharType="end"/>
          </w:r>
        </w:p>
        <w:p w14:paraId="5871C585">
          <w:pPr>
            <w:pStyle w:val="8"/>
            <w:tabs>
              <w:tab w:val="right" w:leader="dot" w:pos="8306"/>
            </w:tabs>
          </w:pPr>
          <w:r>
            <w:fldChar w:fldCharType="begin"/>
          </w:r>
          <w:r>
            <w:instrText xml:space="preserve"> HYPERLINK \l _Toc12169 </w:instrText>
          </w:r>
          <w:r>
            <w:fldChar w:fldCharType="separate"/>
          </w:r>
          <w:r>
            <w:rPr>
              <w:rFonts w:hint="eastAsia"/>
            </w:rPr>
            <w:t xml:space="preserve">§10 </w:t>
          </w:r>
          <w:r>
            <w:t>开放式基金份额变动</w:t>
          </w:r>
          <w:r>
            <w:tab/>
          </w:r>
          <w:r>
            <w:fldChar w:fldCharType="begin"/>
          </w:r>
          <w:r>
            <w:instrText xml:space="preserve"> PAGEREF _Toc12169 \h </w:instrText>
          </w:r>
          <w:r>
            <w:fldChar w:fldCharType="separate"/>
          </w:r>
          <w:r>
            <w:t>56</w:t>
          </w:r>
          <w:r>
            <w:fldChar w:fldCharType="end"/>
          </w:r>
          <w:r>
            <w:fldChar w:fldCharType="end"/>
          </w:r>
        </w:p>
        <w:p w14:paraId="1F173DF0">
          <w:pPr>
            <w:pStyle w:val="8"/>
            <w:tabs>
              <w:tab w:val="right" w:leader="dot" w:pos="8306"/>
            </w:tabs>
          </w:pPr>
          <w:r>
            <w:fldChar w:fldCharType="begin"/>
          </w:r>
          <w:r>
            <w:instrText xml:space="preserve"> HYPERLINK \l _Toc24999 </w:instrText>
          </w:r>
          <w:r>
            <w:fldChar w:fldCharType="separate"/>
          </w:r>
          <w:r>
            <w:rPr>
              <w:rFonts w:hint="eastAsia"/>
            </w:rPr>
            <w:t xml:space="preserve">§11 </w:t>
          </w:r>
          <w:r>
            <w:t>重大事件揭示</w:t>
          </w:r>
          <w:r>
            <w:tab/>
          </w:r>
          <w:r>
            <w:fldChar w:fldCharType="begin"/>
          </w:r>
          <w:r>
            <w:instrText xml:space="preserve"> PAGEREF _Toc24999 \h </w:instrText>
          </w:r>
          <w:r>
            <w:fldChar w:fldCharType="separate"/>
          </w:r>
          <w:r>
            <w:t>56</w:t>
          </w:r>
          <w:r>
            <w:fldChar w:fldCharType="end"/>
          </w:r>
          <w:r>
            <w:fldChar w:fldCharType="end"/>
          </w:r>
        </w:p>
        <w:p w14:paraId="1A9AE5B5">
          <w:pPr>
            <w:pStyle w:val="10"/>
            <w:tabs>
              <w:tab w:val="right" w:leader="dot" w:pos="8306"/>
            </w:tabs>
          </w:pPr>
          <w:r>
            <w:fldChar w:fldCharType="begin"/>
          </w:r>
          <w:r>
            <w:instrText xml:space="preserve"> HYPERLINK \l _Toc3822 </w:instrText>
          </w:r>
          <w:r>
            <w:fldChar w:fldCharType="separate"/>
          </w:r>
          <w:r>
            <w:rPr>
              <w:rFonts w:hint="eastAsia"/>
            </w:rPr>
            <w:t xml:space="preserve">11.1 </w:t>
          </w:r>
          <w:r>
            <w:t>基金份额持有人大会决议</w:t>
          </w:r>
          <w:r>
            <w:tab/>
          </w:r>
          <w:r>
            <w:fldChar w:fldCharType="begin"/>
          </w:r>
          <w:r>
            <w:instrText xml:space="preserve"> PAGEREF _Toc3822 \h </w:instrText>
          </w:r>
          <w:r>
            <w:fldChar w:fldCharType="separate"/>
          </w:r>
          <w:r>
            <w:t>56</w:t>
          </w:r>
          <w:r>
            <w:fldChar w:fldCharType="end"/>
          </w:r>
          <w:r>
            <w:fldChar w:fldCharType="end"/>
          </w:r>
        </w:p>
        <w:p w14:paraId="66033CFF">
          <w:pPr>
            <w:pStyle w:val="10"/>
            <w:tabs>
              <w:tab w:val="right" w:leader="dot" w:pos="8306"/>
            </w:tabs>
          </w:pPr>
          <w:r>
            <w:fldChar w:fldCharType="begin"/>
          </w:r>
          <w:r>
            <w:instrText xml:space="preserve"> HYPERLINK \l _Toc4071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_Toc4071 \h </w:instrText>
          </w:r>
          <w:r>
            <w:fldChar w:fldCharType="separate"/>
          </w:r>
          <w:r>
            <w:t>56</w:t>
          </w:r>
          <w:r>
            <w:fldChar w:fldCharType="end"/>
          </w:r>
          <w:r>
            <w:fldChar w:fldCharType="end"/>
          </w:r>
        </w:p>
        <w:p w14:paraId="1B2F5741">
          <w:pPr>
            <w:pStyle w:val="10"/>
            <w:tabs>
              <w:tab w:val="right" w:leader="dot" w:pos="8306"/>
            </w:tabs>
          </w:pPr>
          <w:r>
            <w:fldChar w:fldCharType="begin"/>
          </w:r>
          <w:r>
            <w:instrText xml:space="preserve"> HYPERLINK \l _Toc14214 </w:instrText>
          </w:r>
          <w:r>
            <w:fldChar w:fldCharType="separate"/>
          </w:r>
          <w:r>
            <w:rPr>
              <w:rFonts w:hint="eastAsia"/>
            </w:rPr>
            <w:t xml:space="preserve">11.3 </w:t>
          </w:r>
          <w:r>
            <w:t>涉及基金管理人、基金财产、基金托管业务的诉讼</w:t>
          </w:r>
          <w:r>
            <w:tab/>
          </w:r>
          <w:r>
            <w:fldChar w:fldCharType="begin"/>
          </w:r>
          <w:r>
            <w:instrText xml:space="preserve"> PAGEREF _Toc14214 \h </w:instrText>
          </w:r>
          <w:r>
            <w:fldChar w:fldCharType="separate"/>
          </w:r>
          <w:r>
            <w:t>56</w:t>
          </w:r>
          <w:r>
            <w:fldChar w:fldCharType="end"/>
          </w:r>
          <w:r>
            <w:fldChar w:fldCharType="end"/>
          </w:r>
        </w:p>
        <w:p w14:paraId="33163298">
          <w:pPr>
            <w:pStyle w:val="10"/>
            <w:tabs>
              <w:tab w:val="right" w:leader="dot" w:pos="8306"/>
            </w:tabs>
          </w:pPr>
          <w:r>
            <w:fldChar w:fldCharType="begin"/>
          </w:r>
          <w:r>
            <w:instrText xml:space="preserve"> HYPERLINK \l _Toc12857 </w:instrText>
          </w:r>
          <w:r>
            <w:fldChar w:fldCharType="separate"/>
          </w:r>
          <w:r>
            <w:rPr>
              <w:rFonts w:hint="eastAsia"/>
            </w:rPr>
            <w:t xml:space="preserve">11.4 </w:t>
          </w:r>
          <w:r>
            <w:t>基金投资策略的改变</w:t>
          </w:r>
          <w:r>
            <w:tab/>
          </w:r>
          <w:r>
            <w:fldChar w:fldCharType="begin"/>
          </w:r>
          <w:r>
            <w:instrText xml:space="preserve"> PAGEREF _Toc12857 \h </w:instrText>
          </w:r>
          <w:r>
            <w:fldChar w:fldCharType="separate"/>
          </w:r>
          <w:r>
            <w:t>56</w:t>
          </w:r>
          <w:r>
            <w:fldChar w:fldCharType="end"/>
          </w:r>
          <w:r>
            <w:fldChar w:fldCharType="end"/>
          </w:r>
        </w:p>
        <w:p w14:paraId="764525DC">
          <w:pPr>
            <w:pStyle w:val="10"/>
            <w:tabs>
              <w:tab w:val="right" w:leader="dot" w:pos="8306"/>
            </w:tabs>
          </w:pPr>
          <w:r>
            <w:fldChar w:fldCharType="begin"/>
          </w:r>
          <w:r>
            <w:instrText xml:space="preserve"> HYPERLINK \l _Toc23006 </w:instrText>
          </w:r>
          <w:r>
            <w:fldChar w:fldCharType="separate"/>
          </w:r>
          <w:r>
            <w:rPr>
              <w:rFonts w:hint="eastAsia"/>
            </w:rPr>
            <w:t xml:space="preserve">11.5 </w:t>
          </w:r>
          <w:r>
            <w:t>为基金进行审计的会计师事务所情况</w:t>
          </w:r>
          <w:r>
            <w:tab/>
          </w:r>
          <w:r>
            <w:fldChar w:fldCharType="begin"/>
          </w:r>
          <w:r>
            <w:instrText xml:space="preserve"> PAGEREF _Toc23006 \h </w:instrText>
          </w:r>
          <w:r>
            <w:fldChar w:fldCharType="separate"/>
          </w:r>
          <w:r>
            <w:t>56</w:t>
          </w:r>
          <w:r>
            <w:fldChar w:fldCharType="end"/>
          </w:r>
          <w:r>
            <w:fldChar w:fldCharType="end"/>
          </w:r>
        </w:p>
        <w:p w14:paraId="774E6C6B">
          <w:pPr>
            <w:pStyle w:val="10"/>
            <w:tabs>
              <w:tab w:val="right" w:leader="dot" w:pos="8306"/>
            </w:tabs>
          </w:pPr>
          <w:r>
            <w:fldChar w:fldCharType="begin"/>
          </w:r>
          <w:r>
            <w:instrText xml:space="preserve"> HYPERLINK \l _Toc5729 </w:instrText>
          </w:r>
          <w:r>
            <w:fldChar w:fldCharType="separate"/>
          </w:r>
          <w:r>
            <w:rPr>
              <w:rFonts w:hint="eastAsia"/>
            </w:rPr>
            <w:t xml:space="preserve">11.6 </w:t>
          </w:r>
          <w:r>
            <w:t>管理人、托管人及相关从业人员受调查或处罚等情况</w:t>
          </w:r>
          <w:r>
            <w:tab/>
          </w:r>
          <w:r>
            <w:fldChar w:fldCharType="begin"/>
          </w:r>
          <w:r>
            <w:instrText xml:space="preserve"> PAGEREF _Toc5729 \h </w:instrText>
          </w:r>
          <w:r>
            <w:fldChar w:fldCharType="separate"/>
          </w:r>
          <w:r>
            <w:t>57</w:t>
          </w:r>
          <w:r>
            <w:fldChar w:fldCharType="end"/>
          </w:r>
          <w:r>
            <w:fldChar w:fldCharType="end"/>
          </w:r>
        </w:p>
        <w:p w14:paraId="241B72C9">
          <w:pPr>
            <w:pStyle w:val="10"/>
            <w:tabs>
              <w:tab w:val="right" w:leader="dot" w:pos="8306"/>
            </w:tabs>
          </w:pPr>
          <w:r>
            <w:fldChar w:fldCharType="begin"/>
          </w:r>
          <w:r>
            <w:instrText xml:space="preserve"> HYPERLINK \l _Toc5743 </w:instrText>
          </w:r>
          <w:r>
            <w:fldChar w:fldCharType="separate"/>
          </w:r>
          <w:r>
            <w:rPr>
              <w:rFonts w:hint="eastAsia"/>
            </w:rPr>
            <w:t xml:space="preserve">11.7 </w:t>
          </w:r>
          <w:r>
            <w:t>基金租用证券公司交易单元的有关情况</w:t>
          </w:r>
          <w:r>
            <w:tab/>
          </w:r>
          <w:r>
            <w:fldChar w:fldCharType="begin"/>
          </w:r>
          <w:r>
            <w:instrText xml:space="preserve"> PAGEREF _Toc5743 \h </w:instrText>
          </w:r>
          <w:r>
            <w:fldChar w:fldCharType="separate"/>
          </w:r>
          <w:r>
            <w:t>58</w:t>
          </w:r>
          <w:r>
            <w:fldChar w:fldCharType="end"/>
          </w:r>
          <w:r>
            <w:fldChar w:fldCharType="end"/>
          </w:r>
        </w:p>
        <w:p w14:paraId="637CC84E">
          <w:pPr>
            <w:pStyle w:val="10"/>
            <w:tabs>
              <w:tab w:val="right" w:leader="dot" w:pos="8306"/>
            </w:tabs>
          </w:pPr>
          <w:r>
            <w:fldChar w:fldCharType="begin"/>
          </w:r>
          <w:r>
            <w:instrText xml:space="preserve"> HYPERLINK \l _Toc17844 </w:instrText>
          </w:r>
          <w:r>
            <w:fldChar w:fldCharType="separate"/>
          </w:r>
          <w:r>
            <w:rPr>
              <w:rFonts w:hint="eastAsia"/>
            </w:rPr>
            <w:t xml:space="preserve">11.8 </w:t>
          </w:r>
          <w:r>
            <w:t>其他重大事件</w:t>
          </w:r>
          <w:r>
            <w:tab/>
          </w:r>
          <w:r>
            <w:fldChar w:fldCharType="begin"/>
          </w:r>
          <w:r>
            <w:instrText xml:space="preserve"> PAGEREF _Toc17844 \h </w:instrText>
          </w:r>
          <w:r>
            <w:fldChar w:fldCharType="separate"/>
          </w:r>
          <w:r>
            <w:t>61</w:t>
          </w:r>
          <w:r>
            <w:fldChar w:fldCharType="end"/>
          </w:r>
          <w:r>
            <w:fldChar w:fldCharType="end"/>
          </w:r>
        </w:p>
        <w:p w14:paraId="34B29445">
          <w:pPr>
            <w:pStyle w:val="8"/>
            <w:tabs>
              <w:tab w:val="right" w:leader="dot" w:pos="8306"/>
            </w:tabs>
          </w:pPr>
          <w:r>
            <w:fldChar w:fldCharType="begin"/>
          </w:r>
          <w:r>
            <w:instrText xml:space="preserve"> HYPERLINK \l _Toc30989 </w:instrText>
          </w:r>
          <w:r>
            <w:fldChar w:fldCharType="separate"/>
          </w:r>
          <w:r>
            <w:rPr>
              <w:rFonts w:hint="eastAsia"/>
            </w:rPr>
            <w:t xml:space="preserve">§12 </w:t>
          </w:r>
          <w:r>
            <w:t>影响投资者决策的其他重要信息</w:t>
          </w:r>
          <w:r>
            <w:tab/>
          </w:r>
          <w:r>
            <w:fldChar w:fldCharType="begin"/>
          </w:r>
          <w:r>
            <w:instrText xml:space="preserve"> PAGEREF _Toc30989 \h </w:instrText>
          </w:r>
          <w:r>
            <w:fldChar w:fldCharType="separate"/>
          </w:r>
          <w:r>
            <w:t>61</w:t>
          </w:r>
          <w:r>
            <w:fldChar w:fldCharType="end"/>
          </w:r>
          <w:r>
            <w:fldChar w:fldCharType="end"/>
          </w:r>
        </w:p>
        <w:p w14:paraId="6DB894F1">
          <w:pPr>
            <w:pStyle w:val="10"/>
            <w:tabs>
              <w:tab w:val="right" w:leader="dot" w:pos="8306"/>
            </w:tabs>
          </w:pPr>
          <w:r>
            <w:fldChar w:fldCharType="begin"/>
          </w:r>
          <w:r>
            <w:instrText xml:space="preserve"> HYPERLINK \l _Toc27958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_Toc27958 \h </w:instrText>
          </w:r>
          <w:r>
            <w:fldChar w:fldCharType="separate"/>
          </w:r>
          <w:r>
            <w:t>61</w:t>
          </w:r>
          <w:r>
            <w:fldChar w:fldCharType="end"/>
          </w:r>
          <w:r>
            <w:fldChar w:fldCharType="end"/>
          </w:r>
        </w:p>
        <w:p w14:paraId="53705E4C">
          <w:pPr>
            <w:pStyle w:val="10"/>
            <w:tabs>
              <w:tab w:val="right" w:leader="dot" w:pos="8306"/>
            </w:tabs>
          </w:pPr>
          <w:r>
            <w:fldChar w:fldCharType="begin"/>
          </w:r>
          <w:r>
            <w:instrText xml:space="preserve"> HYPERLINK \l _Toc12554 </w:instrText>
          </w:r>
          <w:r>
            <w:fldChar w:fldCharType="separate"/>
          </w:r>
          <w:r>
            <w:rPr>
              <w:rFonts w:hint="eastAsia"/>
            </w:rPr>
            <w:t xml:space="preserve">12.2 </w:t>
          </w:r>
          <w:r>
            <w:t>影响投资者决策的其他重要信息</w:t>
          </w:r>
          <w:r>
            <w:tab/>
          </w:r>
          <w:r>
            <w:fldChar w:fldCharType="begin"/>
          </w:r>
          <w:r>
            <w:instrText xml:space="preserve"> PAGEREF _Toc12554 \h </w:instrText>
          </w:r>
          <w:r>
            <w:fldChar w:fldCharType="separate"/>
          </w:r>
          <w:r>
            <w:t>62</w:t>
          </w:r>
          <w:r>
            <w:fldChar w:fldCharType="end"/>
          </w:r>
          <w:r>
            <w:fldChar w:fldCharType="end"/>
          </w:r>
        </w:p>
        <w:p w14:paraId="3FC18A1C">
          <w:pPr>
            <w:pStyle w:val="8"/>
            <w:tabs>
              <w:tab w:val="right" w:leader="dot" w:pos="8306"/>
            </w:tabs>
          </w:pPr>
          <w:r>
            <w:fldChar w:fldCharType="begin"/>
          </w:r>
          <w:r>
            <w:instrText xml:space="preserve"> HYPERLINK \l _Toc25557 </w:instrText>
          </w:r>
          <w:r>
            <w:fldChar w:fldCharType="separate"/>
          </w:r>
          <w:r>
            <w:rPr>
              <w:rFonts w:hint="eastAsia"/>
            </w:rPr>
            <w:t xml:space="preserve">§13 </w:t>
          </w:r>
          <w:r>
            <w:t>备查文件目录</w:t>
          </w:r>
          <w:r>
            <w:tab/>
          </w:r>
          <w:r>
            <w:fldChar w:fldCharType="begin"/>
          </w:r>
          <w:r>
            <w:instrText xml:space="preserve"> PAGEREF _Toc25557 \h </w:instrText>
          </w:r>
          <w:r>
            <w:fldChar w:fldCharType="separate"/>
          </w:r>
          <w:r>
            <w:t>62</w:t>
          </w:r>
          <w:r>
            <w:fldChar w:fldCharType="end"/>
          </w:r>
          <w:r>
            <w:fldChar w:fldCharType="end"/>
          </w:r>
        </w:p>
        <w:p w14:paraId="18EF4D01">
          <w:pPr>
            <w:pStyle w:val="10"/>
            <w:tabs>
              <w:tab w:val="right" w:leader="dot" w:pos="8306"/>
            </w:tabs>
          </w:pPr>
          <w:r>
            <w:fldChar w:fldCharType="begin"/>
          </w:r>
          <w:r>
            <w:instrText xml:space="preserve"> HYPERLINK \l _Toc29459 </w:instrText>
          </w:r>
          <w:r>
            <w:fldChar w:fldCharType="separate"/>
          </w:r>
          <w:r>
            <w:rPr>
              <w:rFonts w:hint="eastAsia"/>
            </w:rPr>
            <w:t xml:space="preserve">13.1 </w:t>
          </w:r>
          <w:r>
            <w:t>备查文件目录</w:t>
          </w:r>
          <w:r>
            <w:tab/>
          </w:r>
          <w:r>
            <w:fldChar w:fldCharType="begin"/>
          </w:r>
          <w:r>
            <w:instrText xml:space="preserve"> PAGEREF _Toc29459 \h </w:instrText>
          </w:r>
          <w:r>
            <w:fldChar w:fldCharType="separate"/>
          </w:r>
          <w:r>
            <w:t>62</w:t>
          </w:r>
          <w:r>
            <w:fldChar w:fldCharType="end"/>
          </w:r>
          <w:r>
            <w:fldChar w:fldCharType="end"/>
          </w:r>
        </w:p>
        <w:p w14:paraId="3FC0AB54">
          <w:pPr>
            <w:pStyle w:val="10"/>
            <w:tabs>
              <w:tab w:val="right" w:leader="dot" w:pos="8306"/>
            </w:tabs>
          </w:pPr>
          <w:r>
            <w:fldChar w:fldCharType="begin"/>
          </w:r>
          <w:r>
            <w:instrText xml:space="preserve"> HYPERLINK \l _Toc10028 </w:instrText>
          </w:r>
          <w:r>
            <w:fldChar w:fldCharType="separate"/>
          </w:r>
          <w:r>
            <w:rPr>
              <w:rFonts w:hint="eastAsia"/>
            </w:rPr>
            <w:t xml:space="preserve">13.2 </w:t>
          </w:r>
          <w:r>
            <w:t>存放地点</w:t>
          </w:r>
          <w:r>
            <w:tab/>
          </w:r>
          <w:r>
            <w:fldChar w:fldCharType="begin"/>
          </w:r>
          <w:r>
            <w:instrText xml:space="preserve"> PAGEREF _Toc10028 \h </w:instrText>
          </w:r>
          <w:r>
            <w:fldChar w:fldCharType="separate"/>
          </w:r>
          <w:r>
            <w:t>62</w:t>
          </w:r>
          <w:r>
            <w:fldChar w:fldCharType="end"/>
          </w:r>
          <w:r>
            <w:fldChar w:fldCharType="end"/>
          </w:r>
        </w:p>
        <w:p w14:paraId="317F5FCD">
          <w:pPr>
            <w:pStyle w:val="10"/>
            <w:tabs>
              <w:tab w:val="right" w:leader="dot" w:pos="8306"/>
            </w:tabs>
          </w:pPr>
          <w:r>
            <w:fldChar w:fldCharType="begin"/>
          </w:r>
          <w:r>
            <w:instrText xml:space="preserve"> HYPERLINK \l _Toc6995 </w:instrText>
          </w:r>
          <w:r>
            <w:fldChar w:fldCharType="separate"/>
          </w:r>
          <w:r>
            <w:rPr>
              <w:rFonts w:hint="eastAsia"/>
            </w:rPr>
            <w:t xml:space="preserve">13.3 </w:t>
          </w:r>
          <w:r>
            <w:t>查阅方式</w:t>
          </w:r>
          <w:r>
            <w:tab/>
          </w:r>
          <w:r>
            <w:fldChar w:fldCharType="begin"/>
          </w:r>
          <w:r>
            <w:instrText xml:space="preserve"> PAGEREF _Toc6995 \h </w:instrText>
          </w:r>
          <w:r>
            <w:fldChar w:fldCharType="separate"/>
          </w:r>
          <w:r>
            <w:t>62</w:t>
          </w:r>
          <w:r>
            <w:fldChar w:fldCharType="end"/>
          </w:r>
          <w:r>
            <w:fldChar w:fldCharType="end"/>
          </w:r>
        </w:p>
        <w:p w14:paraId="69A3814E">
          <w:r>
            <w:fldChar w:fldCharType="end"/>
          </w:r>
        </w:p>
      </w:sdtContent>
    </w:sdt>
    <w:p w14:paraId="6A5E7B6E">
      <w:pPr>
        <w:pStyle w:val="26"/>
        <w:pageBreakBefore/>
      </w:pPr>
      <w:bookmarkStart w:id="5" w:name="_Toc12186"/>
      <w:r>
        <w:t>基金简介</w:t>
      </w:r>
      <w:bookmarkEnd w:id="5"/>
    </w:p>
    <w:p w14:paraId="0DFB06E8">
      <w:pPr>
        <w:pStyle w:val="23"/>
      </w:pPr>
      <w:bookmarkStart w:id="6" w:name="_Toc15477"/>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FB16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8B7623F">
            <w:r>
              <w:rPr>
                <w:rFonts w:hint="eastAsia"/>
              </w:rPr>
              <w:t>基金名称</w:t>
            </w:r>
          </w:p>
        </w:tc>
        <w:tc>
          <w:tcPr>
            <w:tcW w:w="4153" w:type="dxa"/>
            <w:vAlign w:val="center"/>
          </w:tcPr>
          <w:p w14:paraId="33261D2B">
            <w:r>
              <w:rPr>
                <w:rFonts w:hint="eastAsia"/>
              </w:rPr>
              <w:t>南方恒生科技交易型开放式指数证券投资基金（QDII）</w:t>
            </w:r>
          </w:p>
        </w:tc>
      </w:tr>
      <w:tr w14:paraId="0802B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CE433B">
            <w:r>
              <w:rPr>
                <w:rFonts w:hint="eastAsia"/>
              </w:rPr>
              <w:t>基金简称</w:t>
            </w:r>
          </w:p>
        </w:tc>
        <w:tc>
          <w:tcPr>
            <w:tcW w:w="4153" w:type="dxa"/>
            <w:vAlign w:val="center"/>
          </w:tcPr>
          <w:p w14:paraId="6AE07E51">
            <w:r>
              <w:rPr>
                <w:rFonts w:hint="eastAsia"/>
              </w:rPr>
              <w:t>南方恒生科技ETF（QDII）</w:t>
            </w:r>
          </w:p>
        </w:tc>
      </w:tr>
      <w:tr w14:paraId="22D09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E31B893">
            <w:r>
              <w:rPr>
                <w:rFonts w:hint="eastAsia"/>
              </w:rPr>
              <w:t>场内简称</w:t>
            </w:r>
          </w:p>
        </w:tc>
        <w:tc>
          <w:tcPr>
            <w:tcW w:w="4153" w:type="dxa"/>
            <w:vAlign w:val="center"/>
          </w:tcPr>
          <w:p w14:paraId="763385D9">
            <w:r>
              <w:rPr>
                <w:rFonts w:hint="eastAsia"/>
              </w:rPr>
              <w:t>恒生科技ETF南方</w:t>
            </w:r>
          </w:p>
        </w:tc>
      </w:tr>
      <w:tr w14:paraId="266E1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30D902">
            <w:r>
              <w:rPr>
                <w:rFonts w:hint="eastAsia"/>
              </w:rPr>
              <w:t>基金主代码</w:t>
            </w:r>
          </w:p>
        </w:tc>
        <w:tc>
          <w:tcPr>
            <w:tcW w:w="4153" w:type="dxa"/>
            <w:vAlign w:val="center"/>
          </w:tcPr>
          <w:p w14:paraId="5A711B33">
            <w:r>
              <w:rPr>
                <w:rFonts w:hint="eastAsia"/>
              </w:rPr>
              <w:t>520570</w:t>
            </w:r>
          </w:p>
        </w:tc>
      </w:tr>
      <w:tr w14:paraId="71DDB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BE30DA">
            <w:r>
              <w:rPr>
                <w:rFonts w:hint="eastAsia"/>
              </w:rPr>
              <w:t>交易代码</w:t>
            </w:r>
          </w:p>
        </w:tc>
        <w:tc>
          <w:tcPr>
            <w:tcW w:w="4153" w:type="dxa"/>
            <w:vAlign w:val="center"/>
          </w:tcPr>
          <w:p w14:paraId="63456CAB">
            <w:r>
              <w:rPr>
                <w:rFonts w:hint="eastAsia"/>
              </w:rPr>
              <w:t>520570</w:t>
            </w:r>
          </w:p>
        </w:tc>
      </w:tr>
      <w:tr w14:paraId="5FBF1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CF8B20">
            <w:r>
              <w:rPr>
                <w:rFonts w:hint="eastAsia"/>
              </w:rPr>
              <w:t>基金运作方式</w:t>
            </w:r>
          </w:p>
        </w:tc>
        <w:tc>
          <w:tcPr>
            <w:tcW w:w="4153" w:type="dxa"/>
            <w:vAlign w:val="center"/>
          </w:tcPr>
          <w:p w14:paraId="3F5766F8">
            <w:r>
              <w:rPr>
                <w:rFonts w:hint="eastAsia"/>
              </w:rPr>
              <w:t>交易型开放式</w:t>
            </w:r>
          </w:p>
        </w:tc>
      </w:tr>
      <w:tr w14:paraId="5675A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6E45EAA">
            <w:r>
              <w:rPr>
                <w:rFonts w:hint="eastAsia"/>
              </w:rPr>
              <w:t>基金合同生效日</w:t>
            </w:r>
          </w:p>
        </w:tc>
        <w:tc>
          <w:tcPr>
            <w:tcW w:w="4153" w:type="dxa"/>
            <w:vAlign w:val="center"/>
          </w:tcPr>
          <w:p w14:paraId="304A564D">
            <w:r>
              <w:rPr>
                <w:rFonts w:hint="eastAsia"/>
              </w:rPr>
              <w:t>2025年10月29日</w:t>
            </w:r>
          </w:p>
        </w:tc>
      </w:tr>
      <w:tr w14:paraId="1F1F9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EFDEB9">
            <w:r>
              <w:rPr>
                <w:rFonts w:hint="eastAsia"/>
              </w:rPr>
              <w:t>基金管理人</w:t>
            </w:r>
          </w:p>
        </w:tc>
        <w:tc>
          <w:tcPr>
            <w:tcW w:w="4153" w:type="dxa"/>
            <w:vAlign w:val="center"/>
          </w:tcPr>
          <w:p w14:paraId="5914DA12">
            <w:r>
              <w:rPr>
                <w:rFonts w:hint="eastAsia"/>
              </w:rPr>
              <w:t>南方基金管理股份有限公司</w:t>
            </w:r>
          </w:p>
        </w:tc>
      </w:tr>
      <w:tr w14:paraId="1FF46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3986F88">
            <w:r>
              <w:rPr>
                <w:rFonts w:hint="eastAsia"/>
              </w:rPr>
              <w:t>基金托管人</w:t>
            </w:r>
          </w:p>
        </w:tc>
        <w:tc>
          <w:tcPr>
            <w:tcW w:w="4153" w:type="dxa"/>
            <w:vAlign w:val="center"/>
          </w:tcPr>
          <w:p w14:paraId="50E8C927">
            <w:r>
              <w:rPr>
                <w:rFonts w:hint="eastAsia"/>
              </w:rPr>
              <w:t>交通银行股份有限公司</w:t>
            </w:r>
          </w:p>
        </w:tc>
      </w:tr>
      <w:tr w14:paraId="19647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68B46E">
            <w:r>
              <w:rPr>
                <w:rFonts w:hint="eastAsia"/>
              </w:rPr>
              <w:t>报告期末基金份额总额</w:t>
            </w:r>
          </w:p>
        </w:tc>
        <w:tc>
          <w:tcPr>
            <w:tcW w:w="4153" w:type="dxa"/>
            <w:vAlign w:val="center"/>
          </w:tcPr>
          <w:p w14:paraId="170EC1C7">
            <w:r>
              <w:rPr>
                <w:rFonts w:hint="eastAsia"/>
              </w:rPr>
              <w:t>2,099,876,000.00份</w:t>
            </w:r>
          </w:p>
        </w:tc>
      </w:tr>
      <w:tr w14:paraId="3F949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0ADAAAE">
            <w:r>
              <w:rPr>
                <w:rFonts w:hint="eastAsia"/>
              </w:rPr>
              <w:t>基金合同存续期</w:t>
            </w:r>
          </w:p>
        </w:tc>
        <w:tc>
          <w:tcPr>
            <w:tcW w:w="4153" w:type="dxa"/>
            <w:vAlign w:val="center"/>
          </w:tcPr>
          <w:p w14:paraId="1D2827C1">
            <w:r>
              <w:rPr>
                <w:rFonts w:hint="eastAsia"/>
              </w:rPr>
              <w:t>不定期</w:t>
            </w:r>
          </w:p>
        </w:tc>
      </w:tr>
      <w:tr w14:paraId="2F127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04152A2">
            <w:r>
              <w:rPr>
                <w:rFonts w:hint="eastAsia"/>
              </w:rPr>
              <w:t>基金份额上市的证券交易所</w:t>
            </w:r>
          </w:p>
        </w:tc>
        <w:tc>
          <w:tcPr>
            <w:tcW w:w="4153" w:type="dxa"/>
            <w:vAlign w:val="center"/>
          </w:tcPr>
          <w:p w14:paraId="05E45433">
            <w:r>
              <w:rPr>
                <w:rFonts w:hint="eastAsia"/>
              </w:rPr>
              <w:t>上海证券交易所</w:t>
            </w:r>
          </w:p>
        </w:tc>
      </w:tr>
      <w:tr w14:paraId="0D9D5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9BFE92">
            <w:r>
              <w:rPr>
                <w:rFonts w:hint="eastAsia"/>
              </w:rPr>
              <w:t>上市日期</w:t>
            </w:r>
          </w:p>
        </w:tc>
        <w:tc>
          <w:tcPr>
            <w:tcW w:w="4153" w:type="dxa"/>
            <w:vAlign w:val="center"/>
          </w:tcPr>
          <w:p w14:paraId="78F7CE52">
            <w:r>
              <w:rPr>
                <w:rFonts w:hint="eastAsia"/>
              </w:rPr>
              <w:t>2025年11月17日</w:t>
            </w:r>
          </w:p>
        </w:tc>
      </w:tr>
    </w:tbl>
    <w:p w14:paraId="52A8A871">
      <w:pPr>
        <w:pStyle w:val="23"/>
      </w:pPr>
      <w:bookmarkStart w:id="7" w:name="_Toc20716"/>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5CB3C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E4202F">
            <w:r>
              <w:rPr>
                <w:rFonts w:hint="eastAsia"/>
              </w:rPr>
              <w:t>投资目标</w:t>
            </w:r>
          </w:p>
        </w:tc>
        <w:tc>
          <w:tcPr>
            <w:tcW w:w="6644" w:type="dxa"/>
            <w:vAlign w:val="center"/>
          </w:tcPr>
          <w:p w14:paraId="4831409A">
            <w:r>
              <w:rPr>
                <w:rFonts w:hint="eastAsia"/>
              </w:rPr>
              <w:t>紧密跟踪标的指数，追求跟踪偏离度和跟踪误差最小化。</w:t>
            </w:r>
          </w:p>
        </w:tc>
      </w:tr>
      <w:tr w14:paraId="7DF96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A5AA89">
            <w:r>
              <w:rPr>
                <w:rFonts w:hint="eastAsia"/>
              </w:rPr>
              <w:t>投资策略</w:t>
            </w:r>
          </w:p>
        </w:tc>
        <w:tc>
          <w:tcPr>
            <w:tcW w:w="6644" w:type="dxa"/>
            <w:vAlign w:val="center"/>
          </w:tcPr>
          <w:p w14:paraId="097F7122">
            <w:pPr>
              <w:jc w:val="both"/>
            </w:pPr>
            <w:r>
              <w:rPr>
                <w:rFonts w:hint="eastAsia"/>
              </w:rPr>
              <w:t>本基金主要采用完全复制策略、替代策略及其他适当的策略以更好的跟踪标的指数，实现基金投资目标。本基金力争日均跟踪偏离度的绝对值不超过0.35%，年跟踪误差不超过4%。主要投资策略包括：完全复制策略、替代策略、金融衍生品投资策略、债券投资策略、可转换债券及可交换债券投资策略、资产支持证券投资策略、存托凭证投资策略、境内融资及转融通证券出借业务投资策略、境外市场基金投资策略、境外回购交易及证券借贷交易策略等。</w:t>
            </w:r>
          </w:p>
        </w:tc>
      </w:tr>
      <w:tr w14:paraId="52CA1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8BDACF">
            <w:r>
              <w:rPr>
                <w:rFonts w:hint="eastAsia"/>
              </w:rPr>
              <w:t>业绩比较基准</w:t>
            </w:r>
          </w:p>
        </w:tc>
        <w:tc>
          <w:tcPr>
            <w:tcW w:w="6644" w:type="dxa"/>
            <w:vAlign w:val="center"/>
          </w:tcPr>
          <w:p w14:paraId="281BE2E9">
            <w:r>
              <w:rPr>
                <w:rFonts w:hint="eastAsia"/>
              </w:rPr>
              <w:t>本基金的业绩比较基准为经汇率调整后的标的指数收益率。本基金标的指数为恒生科技指数。</w:t>
            </w:r>
          </w:p>
        </w:tc>
      </w:tr>
      <w:tr w14:paraId="5B5F1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C2BD8B">
            <w:r>
              <w:rPr>
                <w:rFonts w:hint="eastAsia"/>
              </w:rPr>
              <w:t>风险收益特征</w:t>
            </w:r>
          </w:p>
        </w:tc>
        <w:tc>
          <w:tcPr>
            <w:tcW w:w="6644" w:type="dxa"/>
            <w:vAlign w:val="center"/>
          </w:tcPr>
          <w:p w14:paraId="0C177BAA">
            <w:pPr>
              <w:jc w:val="both"/>
              <w:rPr>
                <w:rFonts w:hint="eastAsia"/>
              </w:rPr>
            </w:pPr>
            <w:r>
              <w:rPr>
                <w:rFonts w:hint="eastAsia"/>
              </w:rPr>
              <w:t>本基金属于股票型基金，一般而言，其长期平均风险和预期收益水平高于混合型基金、债券型基金与货币市场基金。本基金主要采用完全复制法跟踪标的指数的表现，具有与标的指数以及标的指数所代表的市场相似的风险收益特征。
</w:t>
            </w:r>
            <w:r>
              <w:rPr>
                <w:rFonts w:hint="eastAsia"/>
              </w:rPr>
              <w:br w:type="textWrapping"/>
            </w:r>
            <w:r>
              <w:rPr>
                <w:rFonts w:hint="eastAsia"/>
              </w:rPr>
              <w:t>本基金投资港股通股票，除了需要承担与境内证券投资基金类似的市场波动风险等一般投资风险之外，本基金还面临汇率风险和港股通机制下因投资环境、投资标的、市场制度以及交易规则等差异带来的特有风险。
</w:t>
            </w:r>
            <w:r>
              <w:rPr>
                <w:rFonts w:hint="eastAsia"/>
              </w:rPr>
              <w:br w:type="textWrapping"/>
            </w:r>
            <w:r>
              <w:rPr>
                <w:rFonts w:hint="eastAsia"/>
              </w:rPr>
              <w:t>本基金投资于境外证券，除了需要承担与境内证券投资基金类似的市场波动风险等一般投资风险之外，本基金还面临汇率风险、股价波动风险等境外证券市场投资所面临的特别投资风险。</w:t>
            </w:r>
          </w:p>
        </w:tc>
      </w:tr>
    </w:tbl>
    <w:p w14:paraId="05209C19">
      <w:pPr>
        <w:pStyle w:val="23"/>
      </w:pPr>
      <w:bookmarkStart w:id="8" w:name="_Toc26718"/>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7B001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ED2BB7A">
            <w:r>
              <w:rPr>
                <w:rFonts w:hint="eastAsia"/>
              </w:rPr>
              <w:t>项目</w:t>
            </w:r>
          </w:p>
        </w:tc>
        <w:tc>
          <w:tcPr>
            <w:tcW w:w="2270" w:type="dxa"/>
            <w:vAlign w:val="center"/>
          </w:tcPr>
          <w:p w14:paraId="2C0A27A0">
            <w:r>
              <w:rPr>
                <w:rFonts w:hint="eastAsia"/>
              </w:rPr>
              <w:t>基金管理人</w:t>
            </w:r>
          </w:p>
        </w:tc>
        <w:tc>
          <w:tcPr>
            <w:tcW w:w="2990" w:type="dxa"/>
            <w:vAlign w:val="center"/>
          </w:tcPr>
          <w:p w14:paraId="72FDA263">
            <w:r>
              <w:rPr>
                <w:rFonts w:hint="eastAsia"/>
              </w:rPr>
              <w:t>基金托管人</w:t>
            </w:r>
          </w:p>
        </w:tc>
      </w:tr>
      <w:tr w14:paraId="53BEE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C1F2ECA">
            <w:r>
              <w:rPr>
                <w:rFonts w:hint="eastAsia"/>
              </w:rPr>
              <w:t>名称</w:t>
            </w:r>
          </w:p>
        </w:tc>
        <w:tc>
          <w:tcPr>
            <w:tcW w:w="2270" w:type="dxa"/>
            <w:vAlign w:val="center"/>
          </w:tcPr>
          <w:p w14:paraId="7299399C">
            <w:r>
              <w:rPr>
                <w:rFonts w:hint="eastAsia"/>
              </w:rPr>
              <w:t>南方基金管理股份有限公司</w:t>
            </w:r>
          </w:p>
        </w:tc>
        <w:tc>
          <w:tcPr>
            <w:tcW w:w="2990" w:type="dxa"/>
            <w:vAlign w:val="center"/>
          </w:tcPr>
          <w:p w14:paraId="7C406DE3">
            <w:r>
              <w:rPr>
                <w:rFonts w:hint="eastAsia"/>
              </w:rPr>
              <w:t>交通银行股份有限公司</w:t>
            </w:r>
          </w:p>
        </w:tc>
      </w:tr>
      <w:tr w14:paraId="16F71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BE1762D">
            <w:r>
              <w:rPr>
                <w:rFonts w:hint="eastAsia"/>
              </w:rPr>
              <w:t>信息披露负责人</w:t>
            </w:r>
          </w:p>
        </w:tc>
        <w:tc>
          <w:tcPr>
            <w:tcW w:w="1384" w:type="dxa"/>
            <w:vAlign w:val="center"/>
          </w:tcPr>
          <w:p w14:paraId="5B7A2B97">
            <w:r>
              <w:rPr>
                <w:rFonts w:hint="eastAsia"/>
              </w:rPr>
              <w:t>姓名</w:t>
            </w:r>
          </w:p>
        </w:tc>
        <w:tc>
          <w:tcPr>
            <w:tcW w:w="2270" w:type="dxa"/>
            <w:vAlign w:val="center"/>
          </w:tcPr>
          <w:p w14:paraId="4C69F871">
            <w:r>
              <w:rPr>
                <w:rFonts w:hint="eastAsia"/>
              </w:rPr>
              <w:t>鲍文革</w:t>
            </w:r>
          </w:p>
        </w:tc>
        <w:tc>
          <w:tcPr>
            <w:tcW w:w="2990" w:type="dxa"/>
            <w:vAlign w:val="center"/>
          </w:tcPr>
          <w:p w14:paraId="00343B68">
            <w:r>
              <w:rPr>
                <w:rFonts w:hint="eastAsia"/>
              </w:rPr>
              <w:t>方圆</w:t>
            </w:r>
          </w:p>
        </w:tc>
      </w:tr>
      <w:tr w14:paraId="5BB68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1D243FE"/>
        </w:tc>
        <w:tc>
          <w:tcPr>
            <w:tcW w:w="1384" w:type="dxa"/>
            <w:vAlign w:val="center"/>
          </w:tcPr>
          <w:p w14:paraId="667B939F">
            <w:r>
              <w:rPr>
                <w:rFonts w:hint="eastAsia"/>
              </w:rPr>
              <w:t>联系电话</w:t>
            </w:r>
          </w:p>
        </w:tc>
        <w:tc>
          <w:tcPr>
            <w:tcW w:w="2270" w:type="dxa"/>
            <w:vAlign w:val="center"/>
          </w:tcPr>
          <w:p w14:paraId="5021946B">
            <w:r>
              <w:rPr>
                <w:rFonts w:hint="eastAsia"/>
              </w:rPr>
              <w:t>0755-82763888</w:t>
            </w:r>
          </w:p>
        </w:tc>
        <w:tc>
          <w:tcPr>
            <w:tcW w:w="2990" w:type="dxa"/>
            <w:vAlign w:val="center"/>
          </w:tcPr>
          <w:p w14:paraId="49059457">
            <w:r>
              <w:rPr>
                <w:rFonts w:hint="eastAsia"/>
              </w:rPr>
              <w:t>95559</w:t>
            </w:r>
          </w:p>
        </w:tc>
      </w:tr>
      <w:tr w14:paraId="4005A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C960294"/>
        </w:tc>
        <w:tc>
          <w:tcPr>
            <w:tcW w:w="1384" w:type="dxa"/>
            <w:vAlign w:val="center"/>
          </w:tcPr>
          <w:p w14:paraId="401609EE">
            <w:r>
              <w:rPr>
                <w:rFonts w:hint="eastAsia"/>
              </w:rPr>
              <w:t>电子邮箱</w:t>
            </w:r>
          </w:p>
        </w:tc>
        <w:tc>
          <w:tcPr>
            <w:tcW w:w="2270" w:type="dxa"/>
            <w:vAlign w:val="center"/>
          </w:tcPr>
          <w:p w14:paraId="2E734540">
            <w:r>
              <w:rPr>
                <w:rFonts w:hint="eastAsia"/>
              </w:rPr>
              <w:t>manager@southernfund.com</w:t>
            </w:r>
          </w:p>
        </w:tc>
        <w:tc>
          <w:tcPr>
            <w:tcW w:w="2990" w:type="dxa"/>
            <w:vAlign w:val="center"/>
          </w:tcPr>
          <w:p w14:paraId="6305AADC">
            <w:r>
              <w:rPr>
                <w:rFonts w:hint="eastAsia"/>
              </w:rPr>
              <w:t>fangy_20@bankcomm.com</w:t>
            </w:r>
          </w:p>
        </w:tc>
      </w:tr>
      <w:tr w14:paraId="189F5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F957FD4">
            <w:r>
              <w:rPr>
                <w:rFonts w:hint="eastAsia"/>
              </w:rPr>
              <w:t>客户服务电话</w:t>
            </w:r>
          </w:p>
        </w:tc>
        <w:tc>
          <w:tcPr>
            <w:tcW w:w="2270" w:type="dxa"/>
            <w:vAlign w:val="center"/>
          </w:tcPr>
          <w:p w14:paraId="6F8E86EE">
            <w:r>
              <w:rPr>
                <w:rFonts w:hint="eastAsia"/>
              </w:rPr>
              <w:t>400-889-8899</w:t>
            </w:r>
          </w:p>
        </w:tc>
        <w:tc>
          <w:tcPr>
            <w:tcW w:w="2990" w:type="dxa"/>
            <w:vAlign w:val="center"/>
          </w:tcPr>
          <w:p w14:paraId="7440794A">
            <w:r>
              <w:rPr>
                <w:rFonts w:hint="eastAsia"/>
              </w:rPr>
              <w:t>95559</w:t>
            </w:r>
          </w:p>
        </w:tc>
      </w:tr>
      <w:tr w14:paraId="1A208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07B8A19">
            <w:r>
              <w:rPr>
                <w:rFonts w:hint="eastAsia"/>
              </w:rPr>
              <w:t>传真</w:t>
            </w:r>
          </w:p>
        </w:tc>
        <w:tc>
          <w:tcPr>
            <w:tcW w:w="2270" w:type="dxa"/>
            <w:vAlign w:val="center"/>
          </w:tcPr>
          <w:p w14:paraId="2E01292A">
            <w:r>
              <w:rPr>
                <w:rFonts w:hint="eastAsia"/>
              </w:rPr>
              <w:t>0755-82763889</w:t>
            </w:r>
          </w:p>
        </w:tc>
        <w:tc>
          <w:tcPr>
            <w:tcW w:w="2990" w:type="dxa"/>
            <w:vAlign w:val="center"/>
          </w:tcPr>
          <w:p w14:paraId="0D914C85">
            <w:r>
              <w:rPr>
                <w:rFonts w:hint="eastAsia"/>
              </w:rPr>
              <w:t>021-62701216</w:t>
            </w:r>
          </w:p>
        </w:tc>
      </w:tr>
      <w:tr w14:paraId="3033E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DD4DED3">
            <w:r>
              <w:rPr>
                <w:rFonts w:hint="eastAsia"/>
              </w:rPr>
              <w:t>注册地址</w:t>
            </w:r>
          </w:p>
        </w:tc>
        <w:tc>
          <w:tcPr>
            <w:tcW w:w="2270" w:type="dxa"/>
            <w:vAlign w:val="center"/>
          </w:tcPr>
          <w:p w14:paraId="59F54B13">
            <w:r>
              <w:rPr>
                <w:rFonts w:hint="eastAsia"/>
              </w:rPr>
              <w:t>深圳市福田区莲花街道益田路5999号基金大厦32-42楼</w:t>
            </w:r>
          </w:p>
        </w:tc>
        <w:tc>
          <w:tcPr>
            <w:tcW w:w="2990" w:type="dxa"/>
            <w:vAlign w:val="center"/>
          </w:tcPr>
          <w:p w14:paraId="6CF9FF08">
            <w:r>
              <w:rPr>
                <w:rFonts w:hint="eastAsia"/>
              </w:rPr>
              <w:t>中国（上海）自由贸易试验区银城中路188号</w:t>
            </w:r>
          </w:p>
        </w:tc>
      </w:tr>
      <w:tr w14:paraId="00093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6240671">
            <w:r>
              <w:rPr>
                <w:rFonts w:hint="eastAsia"/>
              </w:rPr>
              <w:t>办公地址</w:t>
            </w:r>
          </w:p>
        </w:tc>
        <w:tc>
          <w:tcPr>
            <w:tcW w:w="2270" w:type="dxa"/>
            <w:vAlign w:val="center"/>
          </w:tcPr>
          <w:p w14:paraId="6606A764">
            <w:r>
              <w:rPr>
                <w:rFonts w:hint="eastAsia"/>
              </w:rPr>
              <w:t>深圳市福田区莲花街道益田路5999号基金大厦32-42楼</w:t>
            </w:r>
          </w:p>
        </w:tc>
        <w:tc>
          <w:tcPr>
            <w:tcW w:w="2990" w:type="dxa"/>
            <w:vAlign w:val="center"/>
          </w:tcPr>
          <w:p w14:paraId="1582DE39">
            <w:r>
              <w:rPr>
                <w:rFonts w:hint="eastAsia"/>
              </w:rPr>
              <w:t>中国（上海）长宁区仙霞路18号</w:t>
            </w:r>
          </w:p>
        </w:tc>
      </w:tr>
      <w:tr w14:paraId="43859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A6729A2">
            <w:r>
              <w:rPr>
                <w:rFonts w:hint="eastAsia"/>
              </w:rPr>
              <w:t>邮政编码</w:t>
            </w:r>
          </w:p>
        </w:tc>
        <w:tc>
          <w:tcPr>
            <w:tcW w:w="2270" w:type="dxa"/>
            <w:vAlign w:val="center"/>
          </w:tcPr>
          <w:p w14:paraId="445CD394">
            <w:r>
              <w:rPr>
                <w:rFonts w:hint="eastAsia"/>
              </w:rPr>
              <w:t>518017</w:t>
            </w:r>
          </w:p>
        </w:tc>
        <w:tc>
          <w:tcPr>
            <w:tcW w:w="2990" w:type="dxa"/>
            <w:vAlign w:val="center"/>
          </w:tcPr>
          <w:p w14:paraId="62B0D011">
            <w:r>
              <w:rPr>
                <w:rFonts w:hint="eastAsia"/>
              </w:rPr>
              <w:t>200336</w:t>
            </w:r>
          </w:p>
        </w:tc>
      </w:tr>
      <w:tr w14:paraId="28790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068B570">
            <w:r>
              <w:rPr>
                <w:rFonts w:hint="eastAsia"/>
              </w:rPr>
              <w:t>法定代表人</w:t>
            </w:r>
          </w:p>
        </w:tc>
        <w:tc>
          <w:tcPr>
            <w:tcW w:w="2270" w:type="dxa"/>
            <w:vAlign w:val="center"/>
          </w:tcPr>
          <w:p w14:paraId="2438290F">
            <w:r>
              <w:rPr>
                <w:rFonts w:hint="eastAsia"/>
              </w:rPr>
              <w:t>周易</w:t>
            </w:r>
          </w:p>
        </w:tc>
        <w:tc>
          <w:tcPr>
            <w:tcW w:w="2990" w:type="dxa"/>
            <w:vAlign w:val="center"/>
          </w:tcPr>
          <w:p w14:paraId="2CF6D3FC">
            <w:r>
              <w:rPr>
                <w:rFonts w:hint="eastAsia"/>
              </w:rPr>
              <w:t>任德奇</w:t>
            </w:r>
          </w:p>
        </w:tc>
      </w:tr>
    </w:tbl>
    <w:p w14:paraId="6786B516">
      <w:pPr>
        <w:pStyle w:val="23"/>
      </w:pPr>
      <w:bookmarkStart w:id="9" w:name="_Toc20920"/>
      <w:r>
        <w:t>境外投资顾问和境外资产托管人</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9AE9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2"/>
            <w:vAlign w:val="center"/>
          </w:tcPr>
          <w:p w14:paraId="6274C27F">
            <w:r>
              <w:rPr>
                <w:rFonts w:hint="eastAsia"/>
              </w:rPr>
              <w:t>项目</w:t>
            </w:r>
          </w:p>
        </w:tc>
        <w:tc>
          <w:tcPr>
            <w:tcW w:w="2076" w:type="dxa"/>
            <w:vAlign w:val="center"/>
          </w:tcPr>
          <w:p w14:paraId="4412CA73">
            <w:r>
              <w:rPr>
                <w:rFonts w:hint="eastAsia"/>
              </w:rPr>
              <w:t>境外投资顾问</w:t>
            </w:r>
          </w:p>
        </w:tc>
        <w:tc>
          <w:tcPr>
            <w:tcW w:w="2076" w:type="dxa"/>
            <w:vAlign w:val="center"/>
          </w:tcPr>
          <w:p w14:paraId="73409F7A">
            <w:r>
              <w:rPr>
                <w:rFonts w:hint="eastAsia"/>
              </w:rPr>
              <w:t>境外资产托管人</w:t>
            </w:r>
          </w:p>
        </w:tc>
      </w:tr>
      <w:tr w14:paraId="4FCD6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1D143D31">
            <w:r>
              <w:rPr>
                <w:rFonts w:hint="eastAsia"/>
              </w:rPr>
              <w:t>名称</w:t>
            </w:r>
          </w:p>
        </w:tc>
        <w:tc>
          <w:tcPr>
            <w:tcW w:w="2076" w:type="dxa"/>
            <w:vAlign w:val="center"/>
          </w:tcPr>
          <w:p w14:paraId="044A273B">
            <w:r>
              <w:rPr>
                <w:rFonts w:hint="eastAsia"/>
              </w:rPr>
              <w:t>中文</w:t>
            </w:r>
          </w:p>
        </w:tc>
        <w:tc>
          <w:tcPr>
            <w:tcW w:w="2076" w:type="dxa"/>
            <w:vAlign w:val="center"/>
          </w:tcPr>
          <w:p w14:paraId="4195A14A">
            <w:pPr>
              <w:jc w:val="right"/>
            </w:pPr>
            <w:r>
              <w:rPr>
                <w:rFonts w:hint="eastAsia"/>
              </w:rPr>
              <w:t>-</w:t>
            </w:r>
          </w:p>
        </w:tc>
        <w:tc>
          <w:tcPr>
            <w:tcW w:w="2076" w:type="dxa"/>
            <w:vAlign w:val="center"/>
          </w:tcPr>
          <w:p w14:paraId="1F85E46F">
            <w:r>
              <w:rPr>
                <w:rFonts w:hint="eastAsia"/>
              </w:rPr>
              <w:t>香港上海汇丰银行有限公司</w:t>
            </w:r>
          </w:p>
        </w:tc>
      </w:tr>
      <w:tr w14:paraId="67DF6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4471B1E"/>
        </w:tc>
        <w:tc>
          <w:tcPr>
            <w:tcW w:w="2076" w:type="dxa"/>
            <w:vAlign w:val="center"/>
          </w:tcPr>
          <w:p w14:paraId="621F2E00">
            <w:r>
              <w:rPr>
                <w:rFonts w:hint="eastAsia"/>
              </w:rPr>
              <w:t>英文</w:t>
            </w:r>
          </w:p>
        </w:tc>
        <w:tc>
          <w:tcPr>
            <w:tcW w:w="2076" w:type="dxa"/>
            <w:vAlign w:val="center"/>
          </w:tcPr>
          <w:p w14:paraId="2F4331E3">
            <w:pPr>
              <w:jc w:val="right"/>
            </w:pPr>
            <w:r>
              <w:rPr>
                <w:rFonts w:hint="eastAsia"/>
              </w:rPr>
              <w:t>-</w:t>
            </w:r>
          </w:p>
        </w:tc>
        <w:tc>
          <w:tcPr>
            <w:tcW w:w="2076" w:type="dxa"/>
            <w:vAlign w:val="center"/>
          </w:tcPr>
          <w:p w14:paraId="27173A09">
            <w:r>
              <w:rPr>
                <w:rFonts w:hint="eastAsia"/>
              </w:rPr>
              <w:t>The Hongkong and Shanghai Banking Corporation Limited</w:t>
            </w:r>
          </w:p>
        </w:tc>
      </w:tr>
      <w:tr w14:paraId="4FBB5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2"/>
            <w:vAlign w:val="center"/>
          </w:tcPr>
          <w:p w14:paraId="5EFCACEE">
            <w:r>
              <w:rPr>
                <w:rFonts w:hint="eastAsia"/>
              </w:rPr>
              <w:t>注册地址</w:t>
            </w:r>
          </w:p>
        </w:tc>
        <w:tc>
          <w:tcPr>
            <w:tcW w:w="2076" w:type="dxa"/>
            <w:vAlign w:val="center"/>
          </w:tcPr>
          <w:p w14:paraId="712E0BD4">
            <w:pPr>
              <w:jc w:val="right"/>
            </w:pPr>
            <w:r>
              <w:rPr>
                <w:rFonts w:hint="eastAsia"/>
              </w:rPr>
              <w:t>-</w:t>
            </w:r>
          </w:p>
        </w:tc>
        <w:tc>
          <w:tcPr>
            <w:tcW w:w="2076" w:type="dxa"/>
            <w:vAlign w:val="center"/>
          </w:tcPr>
          <w:p w14:paraId="2156A5F3">
            <w:r>
              <w:rPr>
                <w:rFonts w:hint="eastAsia"/>
              </w:rPr>
              <w:t>香港中环皇后大道中一号汇丰总行大厦</w:t>
            </w:r>
          </w:p>
        </w:tc>
      </w:tr>
      <w:tr w14:paraId="3130A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2"/>
            <w:vAlign w:val="center"/>
          </w:tcPr>
          <w:p w14:paraId="60D4DAF1">
            <w:r>
              <w:rPr>
                <w:rFonts w:hint="eastAsia"/>
              </w:rPr>
              <w:t>办公地址</w:t>
            </w:r>
          </w:p>
        </w:tc>
        <w:tc>
          <w:tcPr>
            <w:tcW w:w="2076" w:type="dxa"/>
            <w:vAlign w:val="center"/>
          </w:tcPr>
          <w:p w14:paraId="333441B9">
            <w:pPr>
              <w:jc w:val="right"/>
            </w:pPr>
            <w:r>
              <w:rPr>
                <w:rFonts w:hint="eastAsia"/>
              </w:rPr>
              <w:t>-</w:t>
            </w:r>
          </w:p>
        </w:tc>
        <w:tc>
          <w:tcPr>
            <w:tcW w:w="2076" w:type="dxa"/>
            <w:vAlign w:val="center"/>
          </w:tcPr>
          <w:p w14:paraId="13FD7E63">
            <w:r>
              <w:rPr>
                <w:rFonts w:hint="eastAsia"/>
              </w:rPr>
              <w:t>香港中环皇后大道中一号汇丰总行大厦</w:t>
            </w:r>
          </w:p>
        </w:tc>
      </w:tr>
      <w:tr w14:paraId="24DBF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2"/>
            <w:vAlign w:val="center"/>
          </w:tcPr>
          <w:p w14:paraId="07FCCD5D">
            <w:r>
              <w:rPr>
                <w:rFonts w:hint="eastAsia"/>
              </w:rPr>
              <w:t>邮政编码</w:t>
            </w:r>
          </w:p>
        </w:tc>
        <w:tc>
          <w:tcPr>
            <w:tcW w:w="2076" w:type="dxa"/>
            <w:vAlign w:val="center"/>
          </w:tcPr>
          <w:p w14:paraId="0C51927E">
            <w:pPr>
              <w:jc w:val="right"/>
            </w:pPr>
            <w:r>
              <w:rPr>
                <w:rFonts w:hint="eastAsia"/>
              </w:rPr>
              <w:t>-</w:t>
            </w:r>
          </w:p>
        </w:tc>
        <w:tc>
          <w:tcPr>
            <w:tcW w:w="2076" w:type="dxa"/>
            <w:vAlign w:val="center"/>
          </w:tcPr>
          <w:p w14:paraId="15C2E951">
            <w:r>
              <w:rPr>
                <w:rFonts w:hint="eastAsia"/>
              </w:rPr>
              <w:t>999077</w:t>
            </w:r>
          </w:p>
        </w:tc>
      </w:tr>
    </w:tbl>
    <w:p w14:paraId="04FD833A">
      <w:pPr>
        <w:pStyle w:val="23"/>
      </w:pPr>
      <w:bookmarkStart w:id="10" w:name="_Toc15374"/>
      <w:r>
        <w:t>信息披露方式</w:t>
      </w:r>
      <w:bookmarkEnd w:id="1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EA88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EF362DD">
            <w:r>
              <w:rPr>
                <w:rFonts w:hint="eastAsia"/>
              </w:rPr>
              <w:t>本基金选定的信息披露报纸名称</w:t>
            </w:r>
          </w:p>
        </w:tc>
        <w:tc>
          <w:tcPr>
            <w:tcW w:w="3322" w:type="dxa"/>
            <w:vAlign w:val="center"/>
          </w:tcPr>
          <w:p w14:paraId="44B93179">
            <w:r>
              <w:rPr>
                <w:rFonts w:hint="eastAsia"/>
              </w:rPr>
              <w:t>上海证券报</w:t>
            </w:r>
          </w:p>
        </w:tc>
      </w:tr>
      <w:tr w14:paraId="27F9C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689F6CE">
            <w:r>
              <w:rPr>
                <w:rFonts w:hint="eastAsia"/>
              </w:rPr>
              <w:t>登载基金年度报告正文的管理人互联网网址</w:t>
            </w:r>
          </w:p>
        </w:tc>
        <w:tc>
          <w:tcPr>
            <w:tcW w:w="3322" w:type="dxa"/>
            <w:vAlign w:val="center"/>
          </w:tcPr>
          <w:p w14:paraId="2DAAB9CD">
            <w:r>
              <w:rPr>
                <w:rFonts w:hint="eastAsia"/>
              </w:rPr>
              <w:t>http://www.nffund.com</w:t>
            </w:r>
          </w:p>
        </w:tc>
      </w:tr>
      <w:tr w14:paraId="0D190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3AFCA89">
            <w:r>
              <w:rPr>
                <w:rFonts w:hint="eastAsia"/>
              </w:rPr>
              <w:t>基金年度报告备置地点</w:t>
            </w:r>
          </w:p>
        </w:tc>
        <w:tc>
          <w:tcPr>
            <w:tcW w:w="3322" w:type="dxa"/>
            <w:vAlign w:val="center"/>
          </w:tcPr>
          <w:p w14:paraId="1D0E43F1">
            <w:r>
              <w:rPr>
                <w:rFonts w:hint="eastAsia"/>
              </w:rPr>
              <w:t>基金管理人、基金托管人的办公地址、基金上市交易的证券交易所（如有）</w:t>
            </w:r>
          </w:p>
        </w:tc>
      </w:tr>
    </w:tbl>
    <w:p w14:paraId="69BC18CA">
      <w:pPr>
        <w:pStyle w:val="23"/>
      </w:pPr>
      <w:bookmarkStart w:id="11" w:name="_Toc10639"/>
      <w:r>
        <w:t>其他相关资料</w:t>
      </w:r>
      <w:bookmarkEnd w:id="1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43CED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21EAD036">
            <w:pPr>
              <w:jc w:val="center"/>
            </w:pPr>
            <w:r>
              <w:rPr>
                <w:rFonts w:hint="eastAsia"/>
                <w:b/>
              </w:rPr>
              <w:t>项目</w:t>
            </w:r>
          </w:p>
        </w:tc>
        <w:tc>
          <w:tcPr>
            <w:tcW w:w="2907" w:type="dxa"/>
            <w:shd w:val="clear" w:color="auto" w:fill="BFBFBF"/>
            <w:vAlign w:val="center"/>
          </w:tcPr>
          <w:p w14:paraId="0A2AD7E7">
            <w:pPr>
              <w:jc w:val="center"/>
            </w:pPr>
            <w:r>
              <w:rPr>
                <w:rFonts w:hint="eastAsia"/>
                <w:b/>
              </w:rPr>
              <w:t>名称</w:t>
            </w:r>
          </w:p>
        </w:tc>
        <w:tc>
          <w:tcPr>
            <w:tcW w:w="3876" w:type="dxa"/>
            <w:shd w:val="clear" w:color="auto" w:fill="BFBFBF"/>
            <w:vAlign w:val="center"/>
          </w:tcPr>
          <w:p w14:paraId="3BF7785C">
            <w:pPr>
              <w:jc w:val="center"/>
            </w:pPr>
            <w:r>
              <w:rPr>
                <w:rFonts w:hint="eastAsia"/>
                <w:b/>
              </w:rPr>
              <w:t>办公地址</w:t>
            </w:r>
          </w:p>
        </w:tc>
      </w:tr>
      <w:tr w14:paraId="07C7E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7B06F9B8">
            <w:r>
              <w:rPr>
                <w:rFonts w:hint="eastAsia"/>
              </w:rPr>
              <w:t>会计师事务所</w:t>
            </w:r>
          </w:p>
        </w:tc>
        <w:tc>
          <w:tcPr>
            <w:tcW w:w="2907" w:type="dxa"/>
            <w:vAlign w:val="center"/>
          </w:tcPr>
          <w:p w14:paraId="727BDA93">
            <w:r>
              <w:rPr>
                <w:rFonts w:hint="eastAsia"/>
              </w:rPr>
              <w:t>安永华明会计师事务所（特殊普通合伙）</w:t>
            </w:r>
          </w:p>
        </w:tc>
        <w:tc>
          <w:tcPr>
            <w:tcW w:w="3876" w:type="dxa"/>
            <w:vAlign w:val="center"/>
          </w:tcPr>
          <w:p w14:paraId="6D5C6F6A">
            <w:r>
              <w:rPr>
                <w:rFonts w:hint="eastAsia"/>
              </w:rPr>
              <w:t>北京市东城区东长安街1号东方广场安永大楼17层</w:t>
            </w:r>
          </w:p>
        </w:tc>
      </w:tr>
      <w:tr w14:paraId="2E3C2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659BC92">
            <w:r>
              <w:rPr>
                <w:rFonts w:hint="eastAsia"/>
              </w:rPr>
              <w:t>注册登记机构</w:t>
            </w:r>
          </w:p>
        </w:tc>
        <w:tc>
          <w:tcPr>
            <w:tcW w:w="2907" w:type="dxa"/>
            <w:vAlign w:val="center"/>
          </w:tcPr>
          <w:p w14:paraId="41D4109F">
            <w:r>
              <w:rPr>
                <w:rFonts w:hint="eastAsia"/>
              </w:rPr>
              <w:t>中国证券登记结算有限责任公司</w:t>
            </w:r>
          </w:p>
        </w:tc>
        <w:tc>
          <w:tcPr>
            <w:tcW w:w="3876" w:type="dxa"/>
            <w:vAlign w:val="center"/>
          </w:tcPr>
          <w:p w14:paraId="24FBAD7B">
            <w:r>
              <w:rPr>
                <w:rFonts w:hint="eastAsia"/>
              </w:rPr>
              <w:t>北京市西城区太平桥大街17号</w:t>
            </w:r>
          </w:p>
        </w:tc>
      </w:tr>
    </w:tbl>
    <w:p w14:paraId="723E3D70">
      <w:pPr>
        <w:pStyle w:val="26"/>
        <w:pageBreakBefore/>
      </w:pPr>
      <w:bookmarkStart w:id="12" w:name="_Toc15472"/>
      <w:r>
        <w:t>主要财务指标、基金净值表现及利润分配情况</w:t>
      </w:r>
      <w:bookmarkEnd w:id="12"/>
    </w:p>
    <w:p w14:paraId="52087199">
      <w:pPr>
        <w:pStyle w:val="23"/>
      </w:pPr>
      <w:bookmarkStart w:id="13" w:name="_Toc3789"/>
      <w:r>
        <w:t>主要会计数据和财务指标</w:t>
      </w:r>
      <w:bookmarkEnd w:id="13"/>
    </w:p>
    <w:p w14:paraId="49A5505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3B60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DC08B99">
            <w:r>
              <w:rPr>
                <w:rFonts w:hint="eastAsia"/>
              </w:rPr>
              <w:t>3.1.1 期间数据和指标</w:t>
            </w:r>
          </w:p>
        </w:tc>
        <w:tc>
          <w:tcPr>
            <w:tcW w:w="4153" w:type="dxa"/>
            <w:vAlign w:val="center"/>
          </w:tcPr>
          <w:p w14:paraId="28A5DCA3">
            <w:r>
              <w:rPr>
                <w:rFonts w:hint="eastAsia"/>
              </w:rPr>
              <w:t>2025年10月29日-2025年12月31日</w:t>
            </w:r>
          </w:p>
        </w:tc>
      </w:tr>
      <w:tr w14:paraId="627B2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DF72C3">
            <w:r>
              <w:rPr>
                <w:rFonts w:hint="eastAsia"/>
              </w:rPr>
              <w:t>本期已实现收益</w:t>
            </w:r>
          </w:p>
        </w:tc>
        <w:tc>
          <w:tcPr>
            <w:tcW w:w="4153" w:type="dxa"/>
            <w:vAlign w:val="center"/>
          </w:tcPr>
          <w:p w14:paraId="2CD15833">
            <w:pPr>
              <w:jc w:val="right"/>
            </w:pPr>
            <w:r>
              <w:rPr>
                <w:rFonts w:hint="eastAsia"/>
              </w:rPr>
              <w:t>-4,199,392.68</w:t>
            </w:r>
          </w:p>
        </w:tc>
      </w:tr>
      <w:tr w14:paraId="10162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A98FA3">
            <w:r>
              <w:rPr>
                <w:rFonts w:hint="eastAsia"/>
              </w:rPr>
              <w:t>本期利润</w:t>
            </w:r>
          </w:p>
        </w:tc>
        <w:tc>
          <w:tcPr>
            <w:tcW w:w="4153" w:type="dxa"/>
            <w:vAlign w:val="center"/>
          </w:tcPr>
          <w:p w14:paraId="2E9589BF">
            <w:pPr>
              <w:jc w:val="right"/>
            </w:pPr>
            <w:r>
              <w:rPr>
                <w:rFonts w:hint="eastAsia"/>
              </w:rPr>
              <w:t>-51,519,237.55</w:t>
            </w:r>
          </w:p>
        </w:tc>
      </w:tr>
      <w:tr w14:paraId="4D122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95FF07">
            <w:r>
              <w:rPr>
                <w:rFonts w:hint="eastAsia"/>
              </w:rPr>
              <w:t>加权平均基金份额本期利润</w:t>
            </w:r>
          </w:p>
        </w:tc>
        <w:tc>
          <w:tcPr>
            <w:tcW w:w="4153" w:type="dxa"/>
            <w:vAlign w:val="center"/>
          </w:tcPr>
          <w:p w14:paraId="087879AE">
            <w:pPr>
              <w:jc w:val="right"/>
            </w:pPr>
            <w:r>
              <w:rPr>
                <w:rFonts w:hint="eastAsia"/>
              </w:rPr>
              <w:t>-0.0496</w:t>
            </w:r>
          </w:p>
        </w:tc>
      </w:tr>
      <w:tr w14:paraId="2C353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07B7DE">
            <w:r>
              <w:rPr>
                <w:rFonts w:hint="eastAsia"/>
              </w:rPr>
              <w:t>本期加权平均净值利润率</w:t>
            </w:r>
          </w:p>
        </w:tc>
        <w:tc>
          <w:tcPr>
            <w:tcW w:w="4153" w:type="dxa"/>
            <w:vAlign w:val="center"/>
          </w:tcPr>
          <w:p w14:paraId="6AAEBD95">
            <w:pPr>
              <w:jc w:val="right"/>
            </w:pPr>
            <w:r>
              <w:rPr>
                <w:rFonts w:hint="eastAsia"/>
              </w:rPr>
              <w:t>-5.28%</w:t>
            </w:r>
          </w:p>
        </w:tc>
      </w:tr>
      <w:tr w14:paraId="1ECB3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637BB93">
            <w:r>
              <w:rPr>
                <w:rFonts w:hint="eastAsia"/>
              </w:rPr>
              <w:t>本期基金份额净值增长率</w:t>
            </w:r>
          </w:p>
        </w:tc>
        <w:tc>
          <w:tcPr>
            <w:tcW w:w="4153" w:type="dxa"/>
            <w:vAlign w:val="center"/>
          </w:tcPr>
          <w:p w14:paraId="6DCE8EDB">
            <w:pPr>
              <w:jc w:val="right"/>
            </w:pPr>
            <w:r>
              <w:rPr>
                <w:rFonts w:hint="eastAsia"/>
              </w:rPr>
              <w:t>-7.80%</w:t>
            </w:r>
          </w:p>
        </w:tc>
      </w:tr>
      <w:tr w14:paraId="01FC7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D67584">
            <w:r>
              <w:rPr>
                <w:rFonts w:hint="eastAsia"/>
              </w:rPr>
              <w:t>3.1.2 期末数据和指标</w:t>
            </w:r>
          </w:p>
        </w:tc>
        <w:tc>
          <w:tcPr>
            <w:tcW w:w="4153" w:type="dxa"/>
            <w:vAlign w:val="center"/>
          </w:tcPr>
          <w:p w14:paraId="17F6EF86">
            <w:r>
              <w:rPr>
                <w:rFonts w:hint="eastAsia"/>
              </w:rPr>
              <w:t>2025年末</w:t>
            </w:r>
          </w:p>
        </w:tc>
      </w:tr>
      <w:tr w14:paraId="0C193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B76BFE">
            <w:r>
              <w:rPr>
                <w:rFonts w:hint="eastAsia"/>
              </w:rPr>
              <w:t>期末可供分配利润</w:t>
            </w:r>
          </w:p>
        </w:tc>
        <w:tc>
          <w:tcPr>
            <w:tcW w:w="4153" w:type="dxa"/>
            <w:vAlign w:val="center"/>
          </w:tcPr>
          <w:p w14:paraId="5F8BC892">
            <w:pPr>
              <w:jc w:val="right"/>
            </w:pPr>
            <w:r>
              <w:rPr>
                <w:rFonts w:hint="eastAsia"/>
              </w:rPr>
              <w:t>-163,856,635.96</w:t>
            </w:r>
          </w:p>
        </w:tc>
      </w:tr>
      <w:tr w14:paraId="3637A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60B5AD">
            <w:r>
              <w:rPr>
                <w:rFonts w:hint="eastAsia"/>
              </w:rPr>
              <w:t>期末可供分配基金份额利润</w:t>
            </w:r>
          </w:p>
        </w:tc>
        <w:tc>
          <w:tcPr>
            <w:tcW w:w="4153" w:type="dxa"/>
            <w:vAlign w:val="center"/>
          </w:tcPr>
          <w:p w14:paraId="4CF5BAC5">
            <w:pPr>
              <w:jc w:val="right"/>
            </w:pPr>
            <w:r>
              <w:rPr>
                <w:rFonts w:hint="eastAsia"/>
              </w:rPr>
              <w:t>-0.0780</w:t>
            </w:r>
          </w:p>
        </w:tc>
      </w:tr>
      <w:tr w14:paraId="7CDD4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7E96F7">
            <w:r>
              <w:rPr>
                <w:rFonts w:hint="eastAsia"/>
              </w:rPr>
              <w:t>期末基金资产净值</w:t>
            </w:r>
          </w:p>
        </w:tc>
        <w:tc>
          <w:tcPr>
            <w:tcW w:w="4153" w:type="dxa"/>
            <w:vAlign w:val="center"/>
          </w:tcPr>
          <w:p w14:paraId="49F073A9">
            <w:pPr>
              <w:jc w:val="right"/>
            </w:pPr>
            <w:r>
              <w:rPr>
                <w:rFonts w:hint="eastAsia"/>
              </w:rPr>
              <w:t>1,936,019,364.04</w:t>
            </w:r>
          </w:p>
        </w:tc>
      </w:tr>
      <w:tr w14:paraId="054C4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854CB2">
            <w:r>
              <w:rPr>
                <w:rFonts w:hint="eastAsia"/>
              </w:rPr>
              <w:t>期末基金份额净值</w:t>
            </w:r>
          </w:p>
        </w:tc>
        <w:tc>
          <w:tcPr>
            <w:tcW w:w="4153" w:type="dxa"/>
            <w:vAlign w:val="center"/>
          </w:tcPr>
          <w:p w14:paraId="199C3BD2">
            <w:pPr>
              <w:jc w:val="right"/>
            </w:pPr>
            <w:r>
              <w:rPr>
                <w:rFonts w:hint="eastAsia"/>
              </w:rPr>
              <w:t>0.9220</w:t>
            </w:r>
          </w:p>
        </w:tc>
      </w:tr>
      <w:tr w14:paraId="10940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717051">
            <w:r>
              <w:rPr>
                <w:rFonts w:hint="eastAsia"/>
              </w:rPr>
              <w:t>3.1.3 累计期末指标</w:t>
            </w:r>
          </w:p>
        </w:tc>
        <w:tc>
          <w:tcPr>
            <w:tcW w:w="4153" w:type="dxa"/>
            <w:vAlign w:val="center"/>
          </w:tcPr>
          <w:p w14:paraId="6B32334F">
            <w:r>
              <w:rPr>
                <w:rFonts w:hint="eastAsia"/>
              </w:rPr>
              <w:t>2025年末</w:t>
            </w:r>
          </w:p>
        </w:tc>
      </w:tr>
      <w:tr w14:paraId="5228D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88FD52">
            <w:r>
              <w:rPr>
                <w:rFonts w:hint="eastAsia"/>
              </w:rPr>
              <w:t>基金份额累计净值增长率</w:t>
            </w:r>
          </w:p>
        </w:tc>
        <w:tc>
          <w:tcPr>
            <w:tcW w:w="4153" w:type="dxa"/>
            <w:vAlign w:val="center"/>
          </w:tcPr>
          <w:p w14:paraId="6E837D05">
            <w:pPr>
              <w:jc w:val="right"/>
            </w:pPr>
            <w:r>
              <w:rPr>
                <w:rFonts w:hint="eastAsia"/>
              </w:rPr>
              <w:t>-7.80%</w:t>
            </w:r>
          </w:p>
        </w:tc>
      </w:tr>
    </w:tbl>
    <w:p w14:paraId="7896958A">
      <w:pPr>
        <w:pStyle w:val="47"/>
        <w:rPr>
          <w:rFonts w:hint="eastAsia"/>
        </w:rPr>
      </w:pPr>
      <w:r>
        <w:rPr>
          <w:rFonts w:hint="eastAsia"/>
        </w:rPr>
        <w:t>注：基金业绩指标不包括持有人认（申）购或交易基金的各项费用，计入费用后实际收益水平要低于所列数字；</w:t>
      </w:r>
    </w:p>
    <w:p w14:paraId="1F0DAFAF">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0B9F3E32">
      <w:pPr>
        <w:pStyle w:val="47"/>
        <w:rPr>
          <w:rFonts w:hint="eastAsia"/>
        </w:rPr>
      </w:pPr>
      <w:r>
        <w:tab/>
      </w:r>
      <w:r>
        <w:rPr>
          <w:rFonts w:hint="eastAsia"/>
        </w:rPr>
        <w:t>对期末可供分配利润，采用期末资产负债表中未分配利润与未分配利润中已实现部分的孰低数；</w:t>
      </w:r>
    </w:p>
    <w:p w14:paraId="2A5DAB53">
      <w:pPr>
        <w:pStyle w:val="47"/>
        <w:rPr>
          <w:rFonts w:hint="eastAsia"/>
        </w:rPr>
      </w:pPr>
      <w:r>
        <w:tab/>
      </w:r>
      <w:r>
        <w:rPr>
          <w:rFonts w:hint="eastAsia"/>
        </w:rPr>
        <w:t>本基金合同生效日为2025年10月29日，基金合同生效日至本报告期末，本基金运作时间未满一年。</w:t>
      </w:r>
    </w:p>
    <w:p w14:paraId="1B2E0AB2">
      <w:pPr>
        <w:pStyle w:val="23"/>
      </w:pPr>
      <w:bookmarkStart w:id="14" w:name="_Toc24359"/>
      <w:r>
        <w:t>基金净值表现</w:t>
      </w:r>
      <w:bookmarkEnd w:id="14"/>
    </w:p>
    <w:p w14:paraId="0199C5C2">
      <w:pPr>
        <w:pStyle w:val="28"/>
      </w:pPr>
      <w:bookmarkStart w:id="15" w:name="_Toc15"/>
      <w:r>
        <w:t>基金份额净值增长率及其与同期业绩比较基准收益率的比较</w:t>
      </w:r>
      <w:bookmarkEnd w:id="1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17FE5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16F1452D">
            <w:pPr>
              <w:jc w:val="center"/>
            </w:pPr>
            <w:r>
              <w:rPr>
                <w:rFonts w:hint="eastAsia"/>
                <w:b/>
              </w:rPr>
              <w:t>阶段</w:t>
            </w:r>
          </w:p>
        </w:tc>
        <w:tc>
          <w:tcPr>
            <w:tcW w:w="1186" w:type="dxa"/>
            <w:shd w:val="clear" w:color="auto" w:fill="BFBFBF"/>
            <w:vAlign w:val="center"/>
          </w:tcPr>
          <w:p w14:paraId="2AF3CCCF">
            <w:pPr>
              <w:jc w:val="center"/>
            </w:pPr>
            <w:r>
              <w:rPr>
                <w:rFonts w:hint="eastAsia"/>
                <w:b/>
              </w:rPr>
              <w:t>份额净值增长率①</w:t>
            </w:r>
          </w:p>
        </w:tc>
        <w:tc>
          <w:tcPr>
            <w:tcW w:w="1186" w:type="dxa"/>
            <w:shd w:val="clear" w:color="auto" w:fill="BFBFBF"/>
            <w:vAlign w:val="center"/>
          </w:tcPr>
          <w:p w14:paraId="18E42949">
            <w:pPr>
              <w:jc w:val="center"/>
            </w:pPr>
            <w:r>
              <w:rPr>
                <w:rFonts w:hint="eastAsia"/>
                <w:b/>
              </w:rPr>
              <w:t>份额净值增长率标准差②</w:t>
            </w:r>
          </w:p>
        </w:tc>
        <w:tc>
          <w:tcPr>
            <w:tcW w:w="1186" w:type="dxa"/>
            <w:shd w:val="clear" w:color="auto" w:fill="BFBFBF"/>
            <w:vAlign w:val="center"/>
          </w:tcPr>
          <w:p w14:paraId="77A7F6D4">
            <w:pPr>
              <w:jc w:val="center"/>
            </w:pPr>
            <w:r>
              <w:rPr>
                <w:rFonts w:hint="eastAsia"/>
                <w:b/>
              </w:rPr>
              <w:t>业绩比较基准收益率③</w:t>
            </w:r>
          </w:p>
        </w:tc>
        <w:tc>
          <w:tcPr>
            <w:tcW w:w="1186" w:type="dxa"/>
            <w:shd w:val="clear" w:color="auto" w:fill="BFBFBF"/>
            <w:vAlign w:val="center"/>
          </w:tcPr>
          <w:p w14:paraId="6C865EDF">
            <w:pPr>
              <w:jc w:val="center"/>
            </w:pPr>
            <w:r>
              <w:rPr>
                <w:rFonts w:hint="eastAsia"/>
                <w:b/>
              </w:rPr>
              <w:t>业绩比较基准收益率标准差④</w:t>
            </w:r>
          </w:p>
        </w:tc>
        <w:tc>
          <w:tcPr>
            <w:tcW w:w="1186" w:type="dxa"/>
            <w:shd w:val="clear" w:color="auto" w:fill="BFBFBF"/>
            <w:vAlign w:val="center"/>
          </w:tcPr>
          <w:p w14:paraId="64303EFE">
            <w:pPr>
              <w:jc w:val="center"/>
            </w:pPr>
            <w:r>
              <w:rPr>
                <w:rFonts w:hint="eastAsia"/>
                <w:b/>
              </w:rPr>
              <w:t>①-③</w:t>
            </w:r>
          </w:p>
        </w:tc>
        <w:tc>
          <w:tcPr>
            <w:tcW w:w="1186" w:type="dxa"/>
            <w:shd w:val="clear" w:color="auto" w:fill="BFBFBF"/>
            <w:vAlign w:val="center"/>
          </w:tcPr>
          <w:p w14:paraId="25D7573C">
            <w:pPr>
              <w:jc w:val="center"/>
            </w:pPr>
            <w:r>
              <w:rPr>
                <w:rFonts w:hint="eastAsia"/>
                <w:b/>
              </w:rPr>
              <w:t>②-④</w:t>
            </w:r>
          </w:p>
        </w:tc>
      </w:tr>
      <w:tr w14:paraId="08395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4E606C9">
            <w:r>
              <w:rPr>
                <w:rFonts w:hint="eastAsia"/>
              </w:rPr>
              <w:t>自基金合同生效起至今</w:t>
            </w:r>
          </w:p>
        </w:tc>
        <w:tc>
          <w:tcPr>
            <w:tcW w:w="1186" w:type="dxa"/>
            <w:vAlign w:val="center"/>
          </w:tcPr>
          <w:p w14:paraId="1D70A945">
            <w:pPr>
              <w:jc w:val="right"/>
            </w:pPr>
            <w:r>
              <w:rPr>
                <w:rFonts w:hint="eastAsia"/>
              </w:rPr>
              <w:t>-7.80%</w:t>
            </w:r>
          </w:p>
        </w:tc>
        <w:tc>
          <w:tcPr>
            <w:tcW w:w="1186" w:type="dxa"/>
            <w:vAlign w:val="center"/>
          </w:tcPr>
          <w:p w14:paraId="7A883082">
            <w:pPr>
              <w:jc w:val="right"/>
            </w:pPr>
            <w:r>
              <w:rPr>
                <w:rFonts w:hint="eastAsia"/>
              </w:rPr>
              <w:t>1.23%</w:t>
            </w:r>
          </w:p>
        </w:tc>
        <w:tc>
          <w:tcPr>
            <w:tcW w:w="1186" w:type="dxa"/>
            <w:vAlign w:val="center"/>
          </w:tcPr>
          <w:p w14:paraId="53ACDE76">
            <w:pPr>
              <w:jc w:val="right"/>
            </w:pPr>
            <w:r>
              <w:rPr>
                <w:rFonts w:hint="eastAsia"/>
              </w:rPr>
              <w:t>-10.38%</w:t>
            </w:r>
          </w:p>
        </w:tc>
        <w:tc>
          <w:tcPr>
            <w:tcW w:w="1186" w:type="dxa"/>
            <w:vAlign w:val="center"/>
          </w:tcPr>
          <w:p w14:paraId="0051B472">
            <w:pPr>
              <w:jc w:val="right"/>
            </w:pPr>
            <w:r>
              <w:rPr>
                <w:rFonts w:hint="eastAsia"/>
              </w:rPr>
              <w:t>1.38%</w:t>
            </w:r>
          </w:p>
        </w:tc>
        <w:tc>
          <w:tcPr>
            <w:tcW w:w="1186" w:type="dxa"/>
            <w:vAlign w:val="center"/>
          </w:tcPr>
          <w:p w14:paraId="17684537">
            <w:pPr>
              <w:jc w:val="right"/>
            </w:pPr>
            <w:r>
              <w:rPr>
                <w:rFonts w:hint="eastAsia"/>
              </w:rPr>
              <w:t>2.58%</w:t>
            </w:r>
          </w:p>
        </w:tc>
        <w:tc>
          <w:tcPr>
            <w:tcW w:w="1186" w:type="dxa"/>
            <w:vAlign w:val="center"/>
          </w:tcPr>
          <w:p w14:paraId="6E2199A8">
            <w:pPr>
              <w:jc w:val="right"/>
            </w:pPr>
            <w:r>
              <w:rPr>
                <w:rFonts w:hint="eastAsia"/>
              </w:rPr>
              <w:t>-0.15%</w:t>
            </w:r>
          </w:p>
        </w:tc>
      </w:tr>
    </w:tbl>
    <w:p w14:paraId="6E703A63">
      <w:pPr>
        <w:pStyle w:val="28"/>
      </w:pPr>
      <w:bookmarkStart w:id="16" w:name="_Toc16"/>
      <w:r>
        <w:t>自基金合同生效以来基金份额累计净值增长率变动及其与同期业绩比较基准收益率变动的比较</w:t>
      </w:r>
      <w:bookmarkEnd w:id="16"/>
    </w:p>
    <w:p w14:paraId="1E26C5B1">
      <w:pPr>
        <w:jc w:val="center"/>
      </w:pPr>
      <w:r>
        <w:drawing>
          <wp:inline distT="0" distB="0" distL="114300" distR="114300">
            <wp:extent cx="5274310" cy="3679190"/>
            <wp:effectExtent l="0" t="0" r="2540" b="165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679751"/>
                    </a:xfrm>
                    <a:prstGeom prst="rect">
                      <a:avLst/>
                    </a:prstGeom>
                  </pic:spPr>
                </pic:pic>
              </a:graphicData>
            </a:graphic>
          </wp:inline>
        </w:drawing>
      </w:r>
    </w:p>
    <w:p w14:paraId="64644DE8">
      <w:pPr>
        <w:pStyle w:val="47"/>
        <w:rPr>
          <w:rFonts w:hint="eastAsia"/>
        </w:rPr>
      </w:pPr>
      <w:r>
        <w:rPr>
          <w:rFonts w:hint="eastAsia"/>
        </w:rPr>
        <w:t>注：本基金合同于2025年10月29日生效，截至本报告期末基金成立未满一年；自基金成立日起6个月内为建仓期，截至报告期末建仓期尚未结束。</w:t>
      </w:r>
    </w:p>
    <w:p w14:paraId="3DC1E38E">
      <w:pPr>
        <w:pStyle w:val="28"/>
      </w:pPr>
      <w:bookmarkStart w:id="17" w:name="_Toc17"/>
      <w:r>
        <w:t>自基金合同生效以来基金每年净值增长率及其与同期业绩比较基准收益率的比较</w:t>
      </w:r>
      <w:bookmarkEnd w:id="17"/>
    </w:p>
    <w:p w14:paraId="65021E5A">
      <w:pPr>
        <w:jc w:val="center"/>
      </w:pPr>
      <w:r>
        <w:drawing>
          <wp:inline distT="0" distB="0" distL="114300" distR="114300">
            <wp:extent cx="5274310" cy="3738245"/>
            <wp:effectExtent l="0" t="0" r="2540" b="1460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738431"/>
                    </a:xfrm>
                    <a:prstGeom prst="rect">
                      <a:avLst/>
                    </a:prstGeom>
                  </pic:spPr>
                </pic:pic>
              </a:graphicData>
            </a:graphic>
          </wp:inline>
        </w:drawing>
      </w:r>
    </w:p>
    <w:p w14:paraId="3DE28712">
      <w:pPr>
        <w:pStyle w:val="47"/>
        <w:rPr>
          <w:rFonts w:hint="eastAsia"/>
        </w:rPr>
      </w:pPr>
      <w:r>
        <w:rPr>
          <w:rFonts w:hint="eastAsia"/>
        </w:rPr>
        <w:t>注：基金合同生效当年按实际存续期计算，不按整个自然年度进行折算。</w:t>
      </w:r>
    </w:p>
    <w:p w14:paraId="2C2C2945">
      <w:pPr>
        <w:pStyle w:val="23"/>
      </w:pPr>
      <w:bookmarkStart w:id="18" w:name="_Toc7797"/>
      <w:r>
        <w:t>过去三年基金的利润分配情况</w:t>
      </w:r>
      <w:bookmarkEnd w:id="18"/>
    </w:p>
    <w:p w14:paraId="5E228596">
      <w:pPr>
        <w:pStyle w:val="18"/>
        <w:rPr>
          <w:rFonts w:hint="eastAsia"/>
        </w:rPr>
      </w:pPr>
      <w:r>
        <w:rPr>
          <w:rFonts w:hint="eastAsia"/>
        </w:rPr>
        <w:t>本基金于2025年10月29日成立，自基金合同生效日以来未进行利润分配。</w:t>
      </w:r>
    </w:p>
    <w:p w14:paraId="7A8BE345">
      <w:pPr>
        <w:pStyle w:val="26"/>
      </w:pPr>
      <w:bookmarkStart w:id="19" w:name="_Toc31597"/>
      <w:r>
        <w:t>管理人报告</w:t>
      </w:r>
      <w:bookmarkEnd w:id="19"/>
    </w:p>
    <w:p w14:paraId="0B73951D">
      <w:pPr>
        <w:pStyle w:val="23"/>
      </w:pPr>
      <w:bookmarkStart w:id="20" w:name="_Toc20497"/>
      <w:r>
        <w:t>基金管理人及基金经理情况</w:t>
      </w:r>
      <w:bookmarkEnd w:id="20"/>
    </w:p>
    <w:p w14:paraId="7CEF7056">
      <w:pPr>
        <w:pStyle w:val="28"/>
      </w:pPr>
      <w:bookmarkStart w:id="21" w:name="_Toc21"/>
      <w:r>
        <w:t>基金管理人及其管理基金的经验</w:t>
      </w:r>
      <w:bookmarkEnd w:id="21"/>
    </w:p>
    <w:p w14:paraId="5BD63F94">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676AA77D">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49D54C3D">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15F7990D">
      <w:pPr>
        <w:pStyle w:val="28"/>
      </w:pPr>
      <w:bookmarkStart w:id="22" w:name="_Toc22"/>
      <w:r>
        <w:t>基金经理（或基金经理小组）及基金经理助理简介</w:t>
      </w:r>
      <w:bookmarkEnd w:id="2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39D1B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16BCE374">
            <w:pPr>
              <w:jc w:val="center"/>
            </w:pPr>
            <w:r>
              <w:rPr>
                <w:rFonts w:hint="eastAsia"/>
                <w:b/>
              </w:rPr>
              <w:t>姓名</w:t>
            </w:r>
          </w:p>
        </w:tc>
        <w:tc>
          <w:tcPr>
            <w:tcW w:w="830" w:type="dxa"/>
            <w:vMerge w:val="restart"/>
            <w:shd w:val="clear" w:color="auto" w:fill="BFBFBF"/>
            <w:vAlign w:val="center"/>
          </w:tcPr>
          <w:p w14:paraId="710AE3FC">
            <w:pPr>
              <w:jc w:val="center"/>
            </w:pPr>
            <w:r>
              <w:rPr>
                <w:rFonts w:hint="eastAsia"/>
                <w:b/>
              </w:rPr>
              <w:t>职务</w:t>
            </w:r>
          </w:p>
        </w:tc>
        <w:tc>
          <w:tcPr>
            <w:tcW w:w="1090" w:type="dxa"/>
            <w:gridSpan w:val="2"/>
            <w:shd w:val="clear" w:color="auto" w:fill="BFBFBF"/>
            <w:vAlign w:val="center"/>
          </w:tcPr>
          <w:p w14:paraId="65C5F77C">
            <w:pPr>
              <w:jc w:val="center"/>
            </w:pPr>
            <w:r>
              <w:rPr>
                <w:rFonts w:hint="eastAsia"/>
                <w:b/>
              </w:rPr>
              <w:t>任本基金的基金经理（助理）期限</w:t>
            </w:r>
          </w:p>
        </w:tc>
        <w:tc>
          <w:tcPr>
            <w:tcW w:w="686" w:type="dxa"/>
            <w:vMerge w:val="restart"/>
            <w:shd w:val="clear" w:color="auto" w:fill="BFBFBF"/>
            <w:vAlign w:val="center"/>
          </w:tcPr>
          <w:p w14:paraId="200B0E7D">
            <w:pPr>
              <w:jc w:val="center"/>
            </w:pPr>
            <w:r>
              <w:rPr>
                <w:rFonts w:hint="eastAsia"/>
                <w:b/>
              </w:rPr>
              <w:t>证券从业年限</w:t>
            </w:r>
          </w:p>
        </w:tc>
        <w:tc>
          <w:tcPr>
            <w:tcW w:w="3765" w:type="dxa"/>
            <w:vMerge w:val="restart"/>
            <w:shd w:val="clear" w:color="auto" w:fill="BFBFBF"/>
            <w:vAlign w:val="center"/>
          </w:tcPr>
          <w:p w14:paraId="4860F4C2">
            <w:pPr>
              <w:jc w:val="center"/>
            </w:pPr>
            <w:r>
              <w:rPr>
                <w:rFonts w:hint="eastAsia"/>
                <w:b/>
              </w:rPr>
              <w:t>说明</w:t>
            </w:r>
          </w:p>
        </w:tc>
      </w:tr>
      <w:tr w14:paraId="7AEA1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62DC1292"/>
        </w:tc>
        <w:tc>
          <w:tcPr>
            <w:tcW w:w="830" w:type="dxa"/>
            <w:vMerge w:val="continue"/>
            <w:vAlign w:val="center"/>
          </w:tcPr>
          <w:p w14:paraId="1CAA110B"/>
        </w:tc>
        <w:tc>
          <w:tcPr>
            <w:tcW w:w="1090" w:type="dxa"/>
            <w:shd w:val="clear" w:color="auto" w:fill="BFBFBF"/>
            <w:vAlign w:val="center"/>
          </w:tcPr>
          <w:p w14:paraId="4E0AD262">
            <w:pPr>
              <w:jc w:val="center"/>
            </w:pPr>
            <w:r>
              <w:rPr>
                <w:rFonts w:hint="eastAsia"/>
                <w:b/>
              </w:rPr>
              <w:t>任职日期</w:t>
            </w:r>
          </w:p>
        </w:tc>
        <w:tc>
          <w:tcPr>
            <w:tcW w:w="1090" w:type="dxa"/>
            <w:shd w:val="clear" w:color="auto" w:fill="BFBFBF"/>
            <w:vAlign w:val="center"/>
          </w:tcPr>
          <w:p w14:paraId="05170411">
            <w:pPr>
              <w:jc w:val="center"/>
            </w:pPr>
            <w:r>
              <w:rPr>
                <w:rFonts w:hint="eastAsia"/>
                <w:b/>
              </w:rPr>
              <w:t>离任日期</w:t>
            </w:r>
          </w:p>
        </w:tc>
        <w:tc>
          <w:tcPr>
            <w:tcW w:w="686" w:type="dxa"/>
            <w:vMerge w:val="continue"/>
            <w:vAlign w:val="center"/>
          </w:tcPr>
          <w:p w14:paraId="40D7F665"/>
        </w:tc>
        <w:tc>
          <w:tcPr>
            <w:tcW w:w="3765" w:type="dxa"/>
            <w:vMerge w:val="continue"/>
            <w:vAlign w:val="center"/>
          </w:tcPr>
          <w:p w14:paraId="13A980CC"/>
        </w:tc>
      </w:tr>
      <w:tr w14:paraId="264A4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410C22C8">
            <w:r>
              <w:rPr>
                <w:rFonts w:hint="eastAsia"/>
              </w:rPr>
              <w:t>张其思</w:t>
            </w:r>
          </w:p>
        </w:tc>
        <w:tc>
          <w:tcPr>
            <w:tcW w:w="830" w:type="dxa"/>
            <w:vAlign w:val="center"/>
          </w:tcPr>
          <w:p w14:paraId="40135431">
            <w:r>
              <w:rPr>
                <w:rFonts w:hint="eastAsia"/>
              </w:rPr>
              <w:t>本基金基金经理</w:t>
            </w:r>
          </w:p>
        </w:tc>
        <w:tc>
          <w:tcPr>
            <w:tcW w:w="1090" w:type="dxa"/>
            <w:vAlign w:val="center"/>
          </w:tcPr>
          <w:p w14:paraId="7C8EFACC">
            <w:r>
              <w:rPr>
                <w:rFonts w:hint="eastAsia"/>
              </w:rPr>
              <w:t>2025年10月29日</w:t>
            </w:r>
          </w:p>
        </w:tc>
        <w:tc>
          <w:tcPr>
            <w:tcW w:w="1090" w:type="dxa"/>
            <w:vAlign w:val="center"/>
          </w:tcPr>
          <w:p w14:paraId="751D3B71">
            <w:pPr>
              <w:jc w:val="right"/>
            </w:pPr>
            <w:r>
              <w:rPr>
                <w:rFonts w:hint="eastAsia"/>
              </w:rPr>
              <w:t>-</w:t>
            </w:r>
          </w:p>
        </w:tc>
        <w:tc>
          <w:tcPr>
            <w:tcW w:w="686" w:type="dxa"/>
            <w:vAlign w:val="center"/>
          </w:tcPr>
          <w:p w14:paraId="00B2F928">
            <w:r>
              <w:rPr>
                <w:rFonts w:hint="eastAsia"/>
              </w:rPr>
              <w:t>11年</w:t>
            </w:r>
          </w:p>
        </w:tc>
        <w:tc>
          <w:tcPr>
            <w:tcW w:w="3765" w:type="dxa"/>
            <w:vAlign w:val="center"/>
          </w:tcPr>
          <w:p w14:paraId="7F7A1CC8">
            <w:pPr>
              <w:jc w:val="both"/>
            </w:pPr>
            <w:r>
              <w:rPr>
                <w:rFonts w:hint="eastAsia"/>
              </w:rPr>
              <w:t>中国国籍，波士顿大学数理金融硕士，特许金融分析师（CFA）、金融风险管理师（FRM），具有基金从业资格。曾就职于美国Charles River Development、Citizens Financial Group，历任固定收益部分析员、资本管理部量化分析师。2017年4月加入南方基金，历任数量化投资部研究员、指数投资部研究员、国际业务部研究员。2020年6月2日至2021年3月26日，任南方原油基金经理助理；2021年3月26日至今，任南方道琼斯美国精选REIT指数（QDII-LOF）、南方原油（QDII-FOF-LOF）基金经理；2022年11月29日至今，任南方纳斯达克100指数发起（QDII）基金经理；2024年5月21日至今，任南方恒生科技ETF发起联接（QDII）（原：南方恒生科技指数发起（QDII））基金经理；2025年3月7日至今，任南方标普500ETF（QDII）基金经理；2025年4月11日至今，任南方顶峰TOPIX ETF（QDII）、南方基金南方东英沙特阿拉伯ETF（QDII）、南方中证香港科技ETF（QDII）基金经理；2025年4月18日至今，任南方基金南方东英富时亚太低碳精选ETF（QDII）、南方富时亚太低碳精选ETF发起联接（QDII）基金经理；2025年6月6日至今，任南方港股数字经济混合发起（QDII）基金经理；2025年9月12日至今，任南方国证港股通创新药ETF基金经理；2025年10月22日至今，任南方中证港股通50ETF基金经理；2025年10月29日至今，任南方中证港股通互联网ETF、南方恒生科技ETF（QDII）基金经理；2025年11月12日至今，任南方中证港股通高股息投资ETF基金经理。</w:t>
            </w:r>
          </w:p>
        </w:tc>
      </w:tr>
    </w:tbl>
    <w:p w14:paraId="30140536">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12527D00">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274776C2">
      <w:pPr>
        <w:pStyle w:val="28"/>
      </w:pPr>
      <w:bookmarkStart w:id="23" w:name="_Toc23"/>
      <w:r>
        <w:t>基金经理薪酬机制</w:t>
      </w:r>
      <w:bookmarkEnd w:id="23"/>
    </w:p>
    <w:p w14:paraId="7D2EEA7F">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68D07E18">
      <w:pPr>
        <w:pStyle w:val="23"/>
      </w:pPr>
      <w:bookmarkStart w:id="24" w:name="_Toc6895"/>
      <w:r>
        <w:t>境外投资顾问为本基金提供投资建议的主要成员简介</w:t>
      </w:r>
      <w:bookmarkEnd w:id="24"/>
    </w:p>
    <w:p w14:paraId="62D993D9">
      <w:pPr>
        <w:pStyle w:val="18"/>
        <w:rPr>
          <w:rFonts w:hint="eastAsia"/>
        </w:rPr>
      </w:pPr>
      <w:r>
        <w:rPr>
          <w:rFonts w:hint="eastAsia"/>
        </w:rPr>
        <w:t>本基金无境外投资顾问。</w:t>
      </w:r>
    </w:p>
    <w:p w14:paraId="3BE71866">
      <w:pPr>
        <w:pStyle w:val="23"/>
      </w:pPr>
      <w:bookmarkStart w:id="25" w:name="_Toc32162"/>
      <w:r>
        <w:t>管理人对报告期内本基金运作遵规守信情况的说明</w:t>
      </w:r>
      <w:bookmarkEnd w:id="25"/>
    </w:p>
    <w:p w14:paraId="715C63F5">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5B2CE383">
      <w:pPr>
        <w:pStyle w:val="23"/>
      </w:pPr>
      <w:bookmarkStart w:id="26" w:name="_Toc29331"/>
      <w:r>
        <w:t>管理人对报告期内公平交易情况的专项说明</w:t>
      </w:r>
      <w:bookmarkEnd w:id="26"/>
    </w:p>
    <w:p w14:paraId="61260C1C">
      <w:pPr>
        <w:pStyle w:val="28"/>
      </w:pPr>
      <w:bookmarkStart w:id="27" w:name="_Toc27"/>
      <w:r>
        <w:t>公平交易制度和控制方法</w:t>
      </w:r>
      <w:bookmarkEnd w:id="27"/>
    </w:p>
    <w:p w14:paraId="783D153D">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707A309D">
      <w:pPr>
        <w:pStyle w:val="28"/>
      </w:pPr>
      <w:bookmarkStart w:id="28" w:name="_Toc28"/>
      <w:r>
        <w:t>公平交易制度的执行情况</w:t>
      </w:r>
      <w:bookmarkEnd w:id="28"/>
    </w:p>
    <w:p w14:paraId="76294159">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0CC69C9B">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1DF7B9F0">
      <w:pPr>
        <w:pStyle w:val="35"/>
      </w:pPr>
      <w:bookmarkStart w:id="29" w:name="_Toc29"/>
      <w:r>
        <w:t>增加执行的基金经理公平交易制度执行情况及公平交易管理情况</w:t>
      </w:r>
      <w:bookmarkEnd w:id="29"/>
    </w:p>
    <w:p w14:paraId="6B5E3B89">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5DD286DA">
      <w:pPr>
        <w:pStyle w:val="28"/>
      </w:pPr>
      <w:bookmarkStart w:id="30" w:name="_Toc30"/>
      <w:r>
        <w:t>异常交易行为的专项说明</w:t>
      </w:r>
      <w:bookmarkEnd w:id="30"/>
    </w:p>
    <w:p w14:paraId="2790FADD">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08BF465F">
      <w:pPr>
        <w:pStyle w:val="23"/>
      </w:pPr>
      <w:bookmarkStart w:id="31" w:name="_Toc18389"/>
      <w:r>
        <w:t>管理人对报告期内基金的投资策略和业绩表现的说明</w:t>
      </w:r>
      <w:bookmarkEnd w:id="31"/>
    </w:p>
    <w:p w14:paraId="33FD7633">
      <w:pPr>
        <w:pStyle w:val="28"/>
      </w:pPr>
      <w:bookmarkStart w:id="32" w:name="_Toc32"/>
      <w:r>
        <w:t>报告期内基金投资策略和运作分析</w:t>
      </w:r>
      <w:bookmarkEnd w:id="32"/>
    </w:p>
    <w:p w14:paraId="33778133">
      <w:pPr>
        <w:pStyle w:val="18"/>
        <w:rPr>
          <w:rFonts w:hint="eastAsia"/>
        </w:rPr>
      </w:pPr>
      <w:r>
        <w:rPr>
          <w:rFonts w:hint="eastAsia"/>
        </w:rPr>
        <w:t>本基金的投资目标是通过指数化投资策略，力争获得与业绩比较基准相似的回报。在基金的管理中我们采用了全复制法跟踪标的指数，基金投资组合中的证券以贴近指数成分股的配比进行配置。</w:t>
      </w:r>
    </w:p>
    <w:p w14:paraId="495E551F">
      <w:pPr>
        <w:pStyle w:val="18"/>
        <w:rPr>
          <w:rFonts w:hint="eastAsia"/>
        </w:rPr>
      </w:pPr>
      <w:r>
        <w:rPr>
          <w:rFonts w:hint="eastAsia"/>
        </w:rPr>
        <w:t>港股行情的边际贡献主要来自中国的科技龙头股。可以看到港股整体和港股科技股的走势方向是类似的，而港股科技板块行情的幅度在大行情时比港股整体市场的弹性更高。港股市场上的科技股以中国内地在港上市的科技龙头为主，代表了中国互联网科技的头部行情。</w:t>
      </w:r>
    </w:p>
    <w:p w14:paraId="72DA8A20">
      <w:pPr>
        <w:pStyle w:val="18"/>
        <w:rPr>
          <w:rFonts w:hint="eastAsia"/>
        </w:rPr>
      </w:pPr>
      <w:r>
        <w:rPr>
          <w:rFonts w:hint="eastAsia"/>
        </w:rPr>
        <w:t>2025年，本基金净值良好保持了对业绩基准的跟踪。未来，本基金投资团队将密切关注市场变化趋势，谨慎勤勉、恪尽职守，力争实现对标的指数的继续有效跟踪。</w:t>
      </w:r>
    </w:p>
    <w:p w14:paraId="1906757E">
      <w:pPr>
        <w:pStyle w:val="28"/>
      </w:pPr>
      <w:bookmarkStart w:id="33" w:name="_Toc33"/>
      <w:r>
        <w:t>报告期内基金的业绩表现</w:t>
      </w:r>
      <w:bookmarkEnd w:id="33"/>
    </w:p>
    <w:p w14:paraId="50EFDDCE">
      <w:pPr>
        <w:pStyle w:val="18"/>
        <w:rPr>
          <w:rFonts w:hint="eastAsia"/>
        </w:rPr>
      </w:pPr>
      <w:r>
        <w:rPr>
          <w:rFonts w:hint="eastAsia"/>
        </w:rPr>
        <w:t>截至报告期末，本基金份额净值为0.9220元，报告期内，份额净值增长率为-7.80%，同期业绩基准增长率为-10.38%。</w:t>
      </w:r>
    </w:p>
    <w:p w14:paraId="4C19A836">
      <w:pPr>
        <w:pStyle w:val="23"/>
      </w:pPr>
      <w:bookmarkStart w:id="34" w:name="_Toc19008"/>
      <w:r>
        <w:t>管理人对宏观经济、证券市场及行业走势的简要展望</w:t>
      </w:r>
      <w:bookmarkEnd w:id="34"/>
    </w:p>
    <w:p w14:paraId="644A204C">
      <w:pPr>
        <w:pStyle w:val="18"/>
        <w:rPr>
          <w:rFonts w:hint="eastAsia"/>
        </w:rPr>
      </w:pPr>
      <w:r>
        <w:rPr>
          <w:rFonts w:hint="eastAsia"/>
        </w:rPr>
        <w:t>2025年港股市场迎来强劲复苏，受益于科技/创新药等产业事件驱动、内外流动性改善、估值与资金结构优化等因素，整体涨幅处于全球市场前列。展望2026年，预计全球主要经济体均呈现宽财政+宽货币的宏观环境组合，全球流动性的宽松将对风险资产配置形成利好,尤其是过去几年强美元环境压制下相对承压的非美资产，港股市场有望继续受益于全球流动性+南下资金的双重流动性加持。国内视角来看，在经济工作坚持稳中求进、提质增效的要求下，财政货币的“双宽”有望进一步加码，配合“反内卷”等政策的协同发力，物价和企业利润也有望迎来修复，我们依然看好后续港股市场的整体表现。</w:t>
      </w:r>
    </w:p>
    <w:p w14:paraId="442E75C7">
      <w:pPr>
        <w:pStyle w:val="18"/>
        <w:rPr>
          <w:rFonts w:hint="eastAsia"/>
        </w:rPr>
      </w:pPr>
      <w:r>
        <w:rPr>
          <w:rFonts w:hint="eastAsia"/>
        </w:rPr>
        <w:t>港股市场具有上涨快的特性，因此投资上我们建议在横盘震荡或阴跌时布局，才更容易左侧布局等待行情上涨。</w:t>
      </w:r>
    </w:p>
    <w:p w14:paraId="0942B9E8">
      <w:pPr>
        <w:pStyle w:val="23"/>
      </w:pPr>
      <w:bookmarkStart w:id="35" w:name="_Toc8475"/>
      <w:r>
        <w:t>管理人内部有关本基金的监察稽核工作情况</w:t>
      </w:r>
      <w:bookmarkEnd w:id="35"/>
    </w:p>
    <w:p w14:paraId="421985F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6D42631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1B7DF0E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27AFCB9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19F6BCF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07BEE2C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7ECDA951">
      <w:pPr>
        <w:pStyle w:val="23"/>
      </w:pPr>
      <w:bookmarkStart w:id="36" w:name="_Toc5159"/>
      <w:r>
        <w:t>管理人对报告期内基金估值程序等事项的说明</w:t>
      </w:r>
      <w:bookmarkEnd w:id="36"/>
    </w:p>
    <w:p w14:paraId="04224B46">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55F71D26">
      <w:pPr>
        <w:pStyle w:val="23"/>
      </w:pPr>
      <w:bookmarkStart w:id="37" w:name="_Toc24155"/>
      <w:r>
        <w:t>管理人对报告期内基金利润分配情况的说明</w:t>
      </w:r>
      <w:bookmarkEnd w:id="37"/>
    </w:p>
    <w:p w14:paraId="003A34A9">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12B73E6E">
      <w:pPr>
        <w:pStyle w:val="23"/>
      </w:pPr>
      <w:bookmarkStart w:id="38" w:name="_Toc14114"/>
      <w:r>
        <w:t>报告期内基金持有人数或基金资产净值预警说明</w:t>
      </w:r>
      <w:bookmarkEnd w:id="38"/>
    </w:p>
    <w:p w14:paraId="65FA738A">
      <w:pPr>
        <w:pStyle w:val="18"/>
        <w:rPr>
          <w:rFonts w:hint="eastAsia"/>
        </w:rPr>
      </w:pPr>
      <w:r>
        <w:rPr>
          <w:rFonts w:hint="eastAsia"/>
        </w:rPr>
        <w:t>报告期内，本基金未出现连续二十个交易日基金份额持有人数量不满二百人或者基金资产净值低于五千万元的情形。</w:t>
      </w:r>
    </w:p>
    <w:p w14:paraId="557938A0">
      <w:pPr>
        <w:pStyle w:val="26"/>
      </w:pPr>
      <w:bookmarkStart w:id="39" w:name="_Toc25173"/>
      <w:r>
        <w:t>托管人报告</w:t>
      </w:r>
      <w:bookmarkEnd w:id="39"/>
    </w:p>
    <w:p w14:paraId="4BB62223">
      <w:pPr>
        <w:pStyle w:val="23"/>
      </w:pPr>
      <w:bookmarkStart w:id="40" w:name="_Toc27927"/>
      <w:r>
        <w:t>报告期内本基金托管人遵规守信情况声明</w:t>
      </w:r>
      <w:bookmarkEnd w:id="40"/>
    </w:p>
    <w:p w14:paraId="1CFD0612">
      <w:pPr>
        <w:pStyle w:val="18"/>
        <w:rPr>
          <w:rFonts w:hint="eastAsia"/>
        </w:rPr>
      </w:pPr>
      <w:r>
        <w:rPr>
          <w:rFonts w:hint="eastAsia"/>
        </w:rPr>
        <w:t>本报告期内，基金托管人在南方恒生科技交易型开放式指数证券投资基金（QDII）的托管过程中，严格遵守了《证券投资基金法》及其他有关法律法规、基金合同、托管协议，尽职尽责地履行了托管人应尽的义务，不存在任何损害基金持有人利益的行为。</w:t>
      </w:r>
    </w:p>
    <w:p w14:paraId="2470026B">
      <w:pPr>
        <w:pStyle w:val="23"/>
      </w:pPr>
      <w:bookmarkStart w:id="41" w:name="_Toc24811"/>
      <w:r>
        <w:t>托管人对报告期内本基金投资运作遵规守信、净值计算、利润分配等情况的说明</w:t>
      </w:r>
      <w:bookmarkEnd w:id="41"/>
    </w:p>
    <w:p w14:paraId="4F71AC0E">
      <w:pPr>
        <w:pStyle w:val="18"/>
        <w:rPr>
          <w:rFonts w:hint="eastAsia"/>
        </w:rPr>
      </w:pPr>
      <w:r>
        <w:rPr>
          <w:rFonts w:hint="eastAsia"/>
        </w:rPr>
        <w:t>本报告期内，南方基金管理股份有限公司在南方恒生科技交易型开放式指数证券投资基金（QDII）投资运作、基金资产净值的计算、基金份额申购赎回价格的计算、基金费用开支、基金收益分配等问题上，托管人未发现损害基金持有人利益的行为。</w:t>
      </w:r>
    </w:p>
    <w:p w14:paraId="2B25891A">
      <w:pPr>
        <w:pStyle w:val="23"/>
      </w:pPr>
      <w:bookmarkStart w:id="42" w:name="_Toc23953"/>
      <w:r>
        <w:t>托管人对本年度报告中财务信息等内容的真实、准确和完整发表意见</w:t>
      </w:r>
      <w:bookmarkEnd w:id="42"/>
    </w:p>
    <w:p w14:paraId="6C8EB9F5">
      <w:pPr>
        <w:pStyle w:val="18"/>
        <w:rPr>
          <w:rFonts w:hint="eastAsia"/>
        </w:rPr>
      </w:pPr>
      <w:r>
        <w:rPr>
          <w:rFonts w:hint="eastAsia"/>
        </w:rPr>
        <w:t>本报告期内，由南方基金管理股份有限公司编制并经托管人复核审查的有关南方恒生科技交易型开放式指数证券投资基金（QDII）的年度报告中财务指标、净值表现、收益分配情况、财务会计报告相关内容、投资组合报告等内容真实、准确、完整。</w:t>
      </w:r>
    </w:p>
    <w:p w14:paraId="54635EDD">
      <w:pPr>
        <w:pStyle w:val="26"/>
      </w:pPr>
      <w:bookmarkStart w:id="43" w:name="_Toc25070"/>
      <w:r>
        <w:t>审计报告</w:t>
      </w:r>
      <w:bookmarkEnd w:id="43"/>
    </w:p>
    <w:p w14:paraId="66FBE3BF">
      <w:pPr>
        <w:pStyle w:val="23"/>
      </w:pPr>
      <w:bookmarkStart w:id="44" w:name="_Toc7647"/>
      <w:r>
        <w:t>审计报告基本信息</w:t>
      </w:r>
      <w:bookmarkEnd w:id="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8A11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ED123D5">
            <w:r>
              <w:rPr>
                <w:rFonts w:hint="eastAsia"/>
              </w:rPr>
              <w:t>财务报表是否经过审计</w:t>
            </w:r>
          </w:p>
        </w:tc>
        <w:tc>
          <w:tcPr>
            <w:tcW w:w="4153" w:type="dxa"/>
            <w:vAlign w:val="center"/>
          </w:tcPr>
          <w:p w14:paraId="038FF07E">
            <w:r>
              <w:rPr>
                <w:rFonts w:hint="eastAsia"/>
              </w:rPr>
              <w:t>是</w:t>
            </w:r>
          </w:p>
        </w:tc>
      </w:tr>
      <w:tr w14:paraId="38B56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5095AB">
            <w:r>
              <w:rPr>
                <w:rFonts w:hint="eastAsia"/>
              </w:rPr>
              <w:t>审计意见类型</w:t>
            </w:r>
          </w:p>
        </w:tc>
        <w:tc>
          <w:tcPr>
            <w:tcW w:w="4153" w:type="dxa"/>
            <w:vAlign w:val="center"/>
          </w:tcPr>
          <w:p w14:paraId="2737045C">
            <w:r>
              <w:rPr>
                <w:rFonts w:hint="eastAsia"/>
              </w:rPr>
              <w:t>标准无保留意见</w:t>
            </w:r>
          </w:p>
        </w:tc>
      </w:tr>
      <w:tr w14:paraId="06538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E0CE58">
            <w:r>
              <w:rPr>
                <w:rFonts w:hint="eastAsia"/>
              </w:rPr>
              <w:t>审计报告编号</w:t>
            </w:r>
          </w:p>
        </w:tc>
        <w:tc>
          <w:tcPr>
            <w:tcW w:w="4153" w:type="dxa"/>
            <w:vAlign w:val="center"/>
          </w:tcPr>
          <w:p w14:paraId="01D54B2B">
            <w:r>
              <w:rPr>
                <w:rFonts w:hint="eastAsia"/>
              </w:rPr>
              <w:t>安永华明（2026）审字第70027797_H143号</w:t>
            </w:r>
          </w:p>
        </w:tc>
      </w:tr>
    </w:tbl>
    <w:p w14:paraId="7E61F4EF">
      <w:pPr>
        <w:pStyle w:val="23"/>
      </w:pPr>
      <w:bookmarkStart w:id="45" w:name="_Toc10019"/>
      <w:r>
        <w:t>审计报告的基本内容</w:t>
      </w:r>
      <w:bookmarkEnd w:id="4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501AB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635A257C">
            <w:pPr>
              <w:jc w:val="center"/>
            </w:pPr>
            <w:r>
              <w:rPr>
                <w:rFonts w:hint="eastAsia"/>
                <w:b/>
              </w:rPr>
              <w:t>审计报告标题</w:t>
            </w:r>
          </w:p>
        </w:tc>
        <w:tc>
          <w:tcPr>
            <w:tcW w:w="2491" w:type="dxa"/>
            <w:gridSpan w:val="2"/>
            <w:shd w:val="clear" w:color="auto" w:fill="BFBFBF"/>
            <w:vAlign w:val="center"/>
          </w:tcPr>
          <w:p w14:paraId="7B724D69">
            <w:pPr>
              <w:jc w:val="center"/>
            </w:pPr>
            <w:r>
              <w:rPr>
                <w:rFonts w:hint="eastAsia"/>
                <w:b/>
              </w:rPr>
              <w:t>审计报告</w:t>
            </w:r>
          </w:p>
        </w:tc>
      </w:tr>
      <w:tr w14:paraId="7F5E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66C75E8">
            <w:r>
              <w:rPr>
                <w:rFonts w:hint="eastAsia"/>
              </w:rPr>
              <w:t>审计报告收件人</w:t>
            </w:r>
          </w:p>
        </w:tc>
        <w:tc>
          <w:tcPr>
            <w:tcW w:w="2491" w:type="dxa"/>
            <w:gridSpan w:val="2"/>
            <w:vAlign w:val="center"/>
          </w:tcPr>
          <w:p w14:paraId="75092DAF">
            <w:r>
              <w:rPr>
                <w:rFonts w:hint="eastAsia"/>
              </w:rPr>
              <w:t>南方恒生科技交易型开放式指数证券投资基金（QDII）全体基金份额持有人</w:t>
            </w:r>
          </w:p>
        </w:tc>
      </w:tr>
      <w:tr w14:paraId="494F0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37799E3">
            <w:r>
              <w:rPr>
                <w:rFonts w:hint="eastAsia"/>
              </w:rPr>
              <w:t>审计意见</w:t>
            </w:r>
          </w:p>
        </w:tc>
        <w:tc>
          <w:tcPr>
            <w:tcW w:w="2491" w:type="dxa"/>
            <w:gridSpan w:val="2"/>
            <w:vAlign w:val="center"/>
          </w:tcPr>
          <w:p w14:paraId="5C0F6D88">
            <w:pPr>
              <w:jc w:val="both"/>
              <w:rPr>
                <w:rFonts w:hint="eastAsia"/>
              </w:rPr>
            </w:pPr>
            <w:r>
              <w:rPr>
                <w:rFonts w:hint="eastAsia"/>
              </w:rPr>
              <w:t>我们审计了南方恒生科技交易型开放式指数证券投资基金（QDII）的财务报表，包括2025年12月31日的资产负债表，2025年10月29日（基金合同生效日）至2025年12月31日止期间的利润表、净资产变动表以及相关财务报表附注。
</w:t>
            </w:r>
            <w:r>
              <w:rPr>
                <w:rFonts w:hint="eastAsia"/>
              </w:rPr>
              <w:br w:type="textWrapping"/>
            </w:r>
            <w:r>
              <w:rPr>
                <w:rFonts w:hint="eastAsia"/>
              </w:rPr>
              <w:t>我们认为，后附的南方恒生科技交易型开放式指数证券投资基金（QDII）的财务报表在所有重大方面按照企业会计准则的规定编制，公允反映了南方恒生科技交易型开放式指数证券投资基金（QDII）2025年12月31日的财务状况以及2025年10月29日（基金合同生效日）至2025年12月31日止期间的经营成果和净资产变动情况。</w:t>
            </w:r>
          </w:p>
        </w:tc>
      </w:tr>
      <w:tr w14:paraId="312BF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DA65487">
            <w:r>
              <w:rPr>
                <w:rFonts w:hint="eastAsia"/>
              </w:rPr>
              <w:t>形成审计意见的基础</w:t>
            </w:r>
          </w:p>
        </w:tc>
        <w:tc>
          <w:tcPr>
            <w:tcW w:w="2491" w:type="dxa"/>
            <w:gridSpan w:val="2"/>
            <w:vAlign w:val="center"/>
          </w:tcPr>
          <w:p w14:paraId="4C7AA591">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恒生科技交易型开放式指数证券投资基金（QDII），并履行了职业道德方面的其他责任。我们在审计中遵循了对公众利益实体审计的独立性要求。我们相信，我们获取的审计证据是充分、适当的，为发表审计意见提供了基础。</w:t>
            </w:r>
          </w:p>
        </w:tc>
      </w:tr>
      <w:tr w14:paraId="237A0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1086F66">
            <w:r>
              <w:rPr>
                <w:rFonts w:hint="eastAsia"/>
              </w:rPr>
              <w:t>强调事项</w:t>
            </w:r>
          </w:p>
        </w:tc>
        <w:tc>
          <w:tcPr>
            <w:tcW w:w="2491" w:type="dxa"/>
            <w:gridSpan w:val="2"/>
            <w:vAlign w:val="center"/>
          </w:tcPr>
          <w:p w14:paraId="79348A6C">
            <w:pPr>
              <w:jc w:val="right"/>
            </w:pPr>
            <w:r>
              <w:rPr>
                <w:rFonts w:hint="eastAsia"/>
              </w:rPr>
              <w:t>-</w:t>
            </w:r>
          </w:p>
        </w:tc>
      </w:tr>
      <w:tr w14:paraId="0191B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EC57ADD">
            <w:r>
              <w:rPr>
                <w:rFonts w:hint="eastAsia"/>
              </w:rPr>
              <w:t>其他事项</w:t>
            </w:r>
          </w:p>
        </w:tc>
        <w:tc>
          <w:tcPr>
            <w:tcW w:w="2491" w:type="dxa"/>
            <w:gridSpan w:val="2"/>
            <w:vAlign w:val="center"/>
          </w:tcPr>
          <w:p w14:paraId="3A624D81">
            <w:pPr>
              <w:jc w:val="right"/>
            </w:pPr>
            <w:r>
              <w:rPr>
                <w:rFonts w:hint="eastAsia"/>
              </w:rPr>
              <w:t>-</w:t>
            </w:r>
          </w:p>
        </w:tc>
      </w:tr>
      <w:tr w14:paraId="5B909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E5CF8B0">
            <w:r>
              <w:rPr>
                <w:rFonts w:hint="eastAsia"/>
              </w:rPr>
              <w:t>其他信息</w:t>
            </w:r>
          </w:p>
        </w:tc>
        <w:tc>
          <w:tcPr>
            <w:tcW w:w="2491" w:type="dxa"/>
            <w:gridSpan w:val="2"/>
            <w:vAlign w:val="center"/>
          </w:tcPr>
          <w:p w14:paraId="10815B10">
            <w:pPr>
              <w:jc w:val="both"/>
              <w:rPr>
                <w:rFonts w:hint="eastAsia"/>
              </w:rPr>
            </w:pPr>
            <w:r>
              <w:rPr>
                <w:rFonts w:hint="eastAsia"/>
              </w:rPr>
              <w:t>南方恒生科技交易型开放式指数证券投资基金（QDII）管理层对其他信息负责。其他信息包括年度报告中涵盖的信息，但不包括财务报表和我们的审计报告。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7E1C3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C222947">
            <w:r>
              <w:rPr>
                <w:rFonts w:hint="eastAsia"/>
              </w:rPr>
              <w:t>管理层和治理层对财务报表的责任</w:t>
            </w:r>
          </w:p>
        </w:tc>
        <w:tc>
          <w:tcPr>
            <w:tcW w:w="2491" w:type="dxa"/>
            <w:gridSpan w:val="2"/>
            <w:vAlign w:val="center"/>
          </w:tcPr>
          <w:p w14:paraId="69FAACFF">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恒生科技交易型开放式指数证券投资基金（QDII）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治理层负责监督南方恒生科技交易型开放式指数证券投资基金（QDII）的财务报告过程。</w:t>
            </w:r>
          </w:p>
        </w:tc>
      </w:tr>
      <w:tr w14:paraId="791BC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2375F1E">
            <w:r>
              <w:rPr>
                <w:rFonts w:hint="eastAsia"/>
              </w:rPr>
              <w:t>注册会计师对财务报表审计的责任</w:t>
            </w:r>
          </w:p>
        </w:tc>
        <w:tc>
          <w:tcPr>
            <w:tcW w:w="2491" w:type="dxa"/>
            <w:gridSpan w:val="2"/>
            <w:vAlign w:val="center"/>
          </w:tcPr>
          <w:p w14:paraId="150E6BF1">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恒生科技交易型开放式指数证券投资基金（QDII）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恒生科技交易型开放式指数证券投资基金（QDII）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2D134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AFC2F09">
            <w:r>
              <w:rPr>
                <w:rFonts w:hint="eastAsia"/>
              </w:rPr>
              <w:t>会计师事务所的名称</w:t>
            </w:r>
          </w:p>
        </w:tc>
        <w:tc>
          <w:tcPr>
            <w:tcW w:w="2491" w:type="dxa"/>
            <w:gridSpan w:val="2"/>
            <w:vAlign w:val="center"/>
          </w:tcPr>
          <w:p w14:paraId="40D9A0BF">
            <w:r>
              <w:rPr>
                <w:rFonts w:hint="eastAsia"/>
              </w:rPr>
              <w:t>安永华明会计师事务所（特殊普通合伙）</w:t>
            </w:r>
          </w:p>
        </w:tc>
      </w:tr>
      <w:tr w14:paraId="7E575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CD57326">
            <w:r>
              <w:rPr>
                <w:rFonts w:hint="eastAsia"/>
              </w:rPr>
              <w:t>注册会计师的姓名</w:t>
            </w:r>
          </w:p>
        </w:tc>
        <w:tc>
          <w:tcPr>
            <w:tcW w:w="2491" w:type="dxa"/>
            <w:vAlign w:val="center"/>
          </w:tcPr>
          <w:p w14:paraId="72497C52">
            <w:r>
              <w:rPr>
                <w:rFonts w:hint="eastAsia"/>
              </w:rPr>
              <w:t>高  鹤</w:t>
            </w:r>
          </w:p>
        </w:tc>
        <w:tc>
          <w:tcPr>
            <w:tcW w:w="2768" w:type="dxa"/>
            <w:vAlign w:val="center"/>
          </w:tcPr>
          <w:p w14:paraId="414ED9DB">
            <w:r>
              <w:rPr>
                <w:rFonts w:hint="eastAsia"/>
              </w:rPr>
              <w:t>邓  雯</w:t>
            </w:r>
          </w:p>
        </w:tc>
      </w:tr>
      <w:tr w14:paraId="090A6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3FDFB19">
            <w:r>
              <w:rPr>
                <w:rFonts w:hint="eastAsia"/>
              </w:rPr>
              <w:t>会计师事务所的地址</w:t>
            </w:r>
          </w:p>
        </w:tc>
        <w:tc>
          <w:tcPr>
            <w:tcW w:w="2491" w:type="dxa"/>
            <w:gridSpan w:val="2"/>
            <w:vAlign w:val="center"/>
          </w:tcPr>
          <w:p w14:paraId="628D7CC3">
            <w:r>
              <w:rPr>
                <w:rFonts w:hint="eastAsia"/>
              </w:rPr>
              <w:t>北京市东城区东长安街1号东方广场安永大楼17层</w:t>
            </w:r>
          </w:p>
        </w:tc>
      </w:tr>
      <w:tr w14:paraId="36A5D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2628081">
            <w:r>
              <w:rPr>
                <w:rFonts w:hint="eastAsia"/>
              </w:rPr>
              <w:t>审计报告日期</w:t>
            </w:r>
          </w:p>
        </w:tc>
        <w:tc>
          <w:tcPr>
            <w:tcW w:w="2491" w:type="dxa"/>
            <w:gridSpan w:val="2"/>
            <w:vAlign w:val="center"/>
          </w:tcPr>
          <w:p w14:paraId="07238492">
            <w:r>
              <w:rPr>
                <w:rFonts w:hint="eastAsia"/>
              </w:rPr>
              <w:t>2026年3月27日</w:t>
            </w:r>
          </w:p>
        </w:tc>
      </w:tr>
    </w:tbl>
    <w:p w14:paraId="63969686">
      <w:pPr>
        <w:pStyle w:val="26"/>
      </w:pPr>
      <w:bookmarkStart w:id="46" w:name="_Toc19328"/>
      <w:r>
        <w:t>年度财务报表</w:t>
      </w:r>
      <w:bookmarkEnd w:id="46"/>
    </w:p>
    <w:p w14:paraId="0CE6296C">
      <w:pPr>
        <w:pStyle w:val="23"/>
      </w:pPr>
      <w:bookmarkStart w:id="47" w:name="_Toc30619"/>
      <w:r>
        <w:t>资产负债表</w:t>
      </w:r>
      <w:bookmarkEnd w:id="47"/>
    </w:p>
    <w:p w14:paraId="12A0AD22">
      <w:pPr>
        <w:pStyle w:val="18"/>
        <w:rPr>
          <w:rFonts w:hint="eastAsia"/>
        </w:rPr>
      </w:pPr>
      <w:r>
        <w:rPr>
          <w:rFonts w:hint="eastAsia"/>
        </w:rPr>
        <w:t>会计主体：南方恒生科技交易型开放式指数证券投资基金（QDII）</w:t>
      </w:r>
    </w:p>
    <w:p w14:paraId="19EB9EBE">
      <w:pPr>
        <w:pStyle w:val="18"/>
        <w:rPr>
          <w:rFonts w:hint="eastAsia"/>
        </w:rPr>
      </w:pPr>
      <w:r>
        <w:rPr>
          <w:rFonts w:hint="eastAsia"/>
        </w:rPr>
        <w:t>报告截止日：2025年12月31日</w:t>
      </w:r>
    </w:p>
    <w:p w14:paraId="47FDBAE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CB3C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C1D5E4">
            <w:r>
              <w:rPr>
                <w:rFonts w:hint="eastAsia"/>
              </w:rPr>
              <w:t>资产</w:t>
            </w:r>
          </w:p>
        </w:tc>
        <w:tc>
          <w:tcPr>
            <w:tcW w:w="2768" w:type="dxa"/>
            <w:vAlign w:val="center"/>
          </w:tcPr>
          <w:p w14:paraId="262C1D68">
            <w:r>
              <w:rPr>
                <w:rFonts w:hint="eastAsia"/>
              </w:rPr>
              <w:t>附注号</w:t>
            </w:r>
          </w:p>
        </w:tc>
        <w:tc>
          <w:tcPr>
            <w:tcW w:w="2768" w:type="dxa"/>
            <w:vAlign w:val="center"/>
          </w:tcPr>
          <w:p w14:paraId="5B196F63">
            <w:r>
              <w:rPr>
                <w:rFonts w:hint="eastAsia"/>
              </w:rPr>
              <w:t>本期末2025年12月31日</w:t>
            </w:r>
          </w:p>
        </w:tc>
      </w:tr>
      <w:tr w14:paraId="6795A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2941F1">
            <w:r>
              <w:rPr>
                <w:rFonts w:hint="eastAsia"/>
              </w:rPr>
              <w:t>资产：</w:t>
            </w:r>
          </w:p>
        </w:tc>
        <w:tc>
          <w:tcPr>
            <w:tcW w:w="2768" w:type="dxa"/>
            <w:vAlign w:val="center"/>
          </w:tcPr>
          <w:p w14:paraId="1AB82932"/>
        </w:tc>
        <w:tc>
          <w:tcPr>
            <w:tcW w:w="2768" w:type="dxa"/>
            <w:vAlign w:val="center"/>
          </w:tcPr>
          <w:p w14:paraId="708377FB"/>
        </w:tc>
      </w:tr>
      <w:tr w14:paraId="29E9C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A3BBEC">
            <w:r>
              <w:rPr>
                <w:rFonts w:hint="eastAsia"/>
              </w:rPr>
              <w:t>货币资金</w:t>
            </w:r>
          </w:p>
        </w:tc>
        <w:tc>
          <w:tcPr>
            <w:tcW w:w="2768" w:type="dxa"/>
            <w:vAlign w:val="center"/>
          </w:tcPr>
          <w:p w14:paraId="6E682899">
            <w:r>
              <w:rPr>
                <w:rFonts w:hint="eastAsia"/>
              </w:rPr>
              <w:t>7.4.7.1</w:t>
            </w:r>
          </w:p>
        </w:tc>
        <w:tc>
          <w:tcPr>
            <w:tcW w:w="2768" w:type="dxa"/>
            <w:vAlign w:val="center"/>
          </w:tcPr>
          <w:p w14:paraId="68FA995D">
            <w:pPr>
              <w:jc w:val="right"/>
            </w:pPr>
            <w:r>
              <w:rPr>
                <w:rFonts w:hint="eastAsia"/>
              </w:rPr>
              <w:t>219,369,989.40</w:t>
            </w:r>
          </w:p>
        </w:tc>
      </w:tr>
      <w:tr w14:paraId="4D215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770C79">
            <w:r>
              <w:rPr>
                <w:rFonts w:hint="eastAsia"/>
              </w:rPr>
              <w:t>结算备付金</w:t>
            </w:r>
          </w:p>
        </w:tc>
        <w:tc>
          <w:tcPr>
            <w:tcW w:w="2768" w:type="dxa"/>
            <w:vAlign w:val="center"/>
          </w:tcPr>
          <w:p w14:paraId="32C147E9"/>
        </w:tc>
        <w:tc>
          <w:tcPr>
            <w:tcW w:w="2768" w:type="dxa"/>
            <w:vAlign w:val="center"/>
          </w:tcPr>
          <w:p w14:paraId="09D2F1FB">
            <w:pPr>
              <w:jc w:val="right"/>
            </w:pPr>
            <w:r>
              <w:rPr>
                <w:rFonts w:hint="eastAsia"/>
              </w:rPr>
              <w:t>8,232,375.84</w:t>
            </w:r>
          </w:p>
        </w:tc>
      </w:tr>
      <w:tr w14:paraId="5D5B7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423052">
            <w:r>
              <w:rPr>
                <w:rFonts w:hint="eastAsia"/>
              </w:rPr>
              <w:t>存出保证金</w:t>
            </w:r>
          </w:p>
        </w:tc>
        <w:tc>
          <w:tcPr>
            <w:tcW w:w="2768" w:type="dxa"/>
            <w:vAlign w:val="center"/>
          </w:tcPr>
          <w:p w14:paraId="2AB245D2"/>
        </w:tc>
        <w:tc>
          <w:tcPr>
            <w:tcW w:w="2768" w:type="dxa"/>
            <w:vAlign w:val="center"/>
          </w:tcPr>
          <w:p w14:paraId="0128C4A3">
            <w:pPr>
              <w:jc w:val="right"/>
            </w:pPr>
            <w:r>
              <w:rPr>
                <w:rFonts w:hint="eastAsia"/>
              </w:rPr>
              <w:t>10,466,949.89</w:t>
            </w:r>
          </w:p>
        </w:tc>
      </w:tr>
      <w:tr w14:paraId="6E235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4A844C">
            <w:r>
              <w:rPr>
                <w:rFonts w:hint="eastAsia"/>
              </w:rPr>
              <w:t>交易性金融资产</w:t>
            </w:r>
          </w:p>
        </w:tc>
        <w:tc>
          <w:tcPr>
            <w:tcW w:w="2768" w:type="dxa"/>
            <w:vAlign w:val="center"/>
          </w:tcPr>
          <w:p w14:paraId="09E2AC43">
            <w:r>
              <w:rPr>
                <w:rFonts w:hint="eastAsia"/>
              </w:rPr>
              <w:t>7.4.7.2</w:t>
            </w:r>
          </w:p>
        </w:tc>
        <w:tc>
          <w:tcPr>
            <w:tcW w:w="2768" w:type="dxa"/>
            <w:vAlign w:val="center"/>
          </w:tcPr>
          <w:p w14:paraId="4D4BB123">
            <w:pPr>
              <w:jc w:val="right"/>
            </w:pPr>
            <w:r>
              <w:rPr>
                <w:rFonts w:hint="eastAsia"/>
              </w:rPr>
              <w:t>1,868,420,970.41</w:t>
            </w:r>
          </w:p>
        </w:tc>
      </w:tr>
      <w:tr w14:paraId="1CDAA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B5E1A5">
            <w:r>
              <w:rPr>
                <w:rFonts w:hint="eastAsia"/>
              </w:rPr>
              <w:t>其中：股票投资</w:t>
            </w:r>
          </w:p>
        </w:tc>
        <w:tc>
          <w:tcPr>
            <w:tcW w:w="2768" w:type="dxa"/>
            <w:vAlign w:val="center"/>
          </w:tcPr>
          <w:p w14:paraId="15470C77"/>
        </w:tc>
        <w:tc>
          <w:tcPr>
            <w:tcW w:w="2768" w:type="dxa"/>
            <w:vAlign w:val="center"/>
          </w:tcPr>
          <w:p w14:paraId="014480D8">
            <w:pPr>
              <w:jc w:val="right"/>
            </w:pPr>
            <w:r>
              <w:rPr>
                <w:rFonts w:hint="eastAsia"/>
              </w:rPr>
              <w:t>1,868,420,970.41</w:t>
            </w:r>
          </w:p>
        </w:tc>
      </w:tr>
      <w:tr w14:paraId="64E4D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676CAB">
            <w:r>
              <w:rPr>
                <w:rFonts w:hint="eastAsia"/>
              </w:rPr>
              <w:t xml:space="preserve">      基金投资</w:t>
            </w:r>
          </w:p>
        </w:tc>
        <w:tc>
          <w:tcPr>
            <w:tcW w:w="2768" w:type="dxa"/>
            <w:vAlign w:val="center"/>
          </w:tcPr>
          <w:p w14:paraId="765E4762"/>
        </w:tc>
        <w:tc>
          <w:tcPr>
            <w:tcW w:w="2768" w:type="dxa"/>
            <w:vAlign w:val="center"/>
          </w:tcPr>
          <w:p w14:paraId="0932CC1E">
            <w:pPr>
              <w:jc w:val="right"/>
            </w:pPr>
            <w:r>
              <w:rPr>
                <w:rFonts w:hint="eastAsia"/>
              </w:rPr>
              <w:t>-</w:t>
            </w:r>
          </w:p>
        </w:tc>
      </w:tr>
      <w:tr w14:paraId="72E0C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4AD6F5">
            <w:r>
              <w:rPr>
                <w:rFonts w:hint="eastAsia"/>
              </w:rPr>
              <w:t xml:space="preserve">      债券投资</w:t>
            </w:r>
          </w:p>
        </w:tc>
        <w:tc>
          <w:tcPr>
            <w:tcW w:w="2768" w:type="dxa"/>
            <w:vAlign w:val="center"/>
          </w:tcPr>
          <w:p w14:paraId="42BB930E"/>
        </w:tc>
        <w:tc>
          <w:tcPr>
            <w:tcW w:w="2768" w:type="dxa"/>
            <w:vAlign w:val="center"/>
          </w:tcPr>
          <w:p w14:paraId="621CA8FC">
            <w:pPr>
              <w:jc w:val="right"/>
            </w:pPr>
            <w:r>
              <w:rPr>
                <w:rFonts w:hint="eastAsia"/>
              </w:rPr>
              <w:t>-</w:t>
            </w:r>
          </w:p>
        </w:tc>
      </w:tr>
      <w:tr w14:paraId="4855C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556CB6">
            <w:r>
              <w:rPr>
                <w:rFonts w:hint="eastAsia"/>
              </w:rPr>
              <w:t xml:space="preserve">      资产支持证券投资</w:t>
            </w:r>
          </w:p>
        </w:tc>
        <w:tc>
          <w:tcPr>
            <w:tcW w:w="2768" w:type="dxa"/>
            <w:vAlign w:val="center"/>
          </w:tcPr>
          <w:p w14:paraId="7CF69C42"/>
        </w:tc>
        <w:tc>
          <w:tcPr>
            <w:tcW w:w="2768" w:type="dxa"/>
            <w:vAlign w:val="center"/>
          </w:tcPr>
          <w:p w14:paraId="6D486BCE">
            <w:pPr>
              <w:jc w:val="right"/>
            </w:pPr>
            <w:r>
              <w:rPr>
                <w:rFonts w:hint="eastAsia"/>
              </w:rPr>
              <w:t>-</w:t>
            </w:r>
          </w:p>
        </w:tc>
      </w:tr>
      <w:tr w14:paraId="6492C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1202A7">
            <w:r>
              <w:rPr>
                <w:rFonts w:hint="eastAsia"/>
              </w:rPr>
              <w:t xml:space="preserve">      贵金属投资</w:t>
            </w:r>
          </w:p>
        </w:tc>
        <w:tc>
          <w:tcPr>
            <w:tcW w:w="2768" w:type="dxa"/>
            <w:vAlign w:val="center"/>
          </w:tcPr>
          <w:p w14:paraId="76DE34F9"/>
        </w:tc>
        <w:tc>
          <w:tcPr>
            <w:tcW w:w="2768" w:type="dxa"/>
            <w:vAlign w:val="center"/>
          </w:tcPr>
          <w:p w14:paraId="4A7FEE83">
            <w:pPr>
              <w:jc w:val="right"/>
            </w:pPr>
            <w:r>
              <w:rPr>
                <w:rFonts w:hint="eastAsia"/>
              </w:rPr>
              <w:t>-</w:t>
            </w:r>
          </w:p>
        </w:tc>
      </w:tr>
      <w:tr w14:paraId="3276B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558AE3">
            <w:r>
              <w:rPr>
                <w:rFonts w:hint="eastAsia"/>
              </w:rPr>
              <w:t xml:space="preserve">      其他投资</w:t>
            </w:r>
          </w:p>
        </w:tc>
        <w:tc>
          <w:tcPr>
            <w:tcW w:w="2768" w:type="dxa"/>
            <w:vAlign w:val="center"/>
          </w:tcPr>
          <w:p w14:paraId="184D6F81"/>
        </w:tc>
        <w:tc>
          <w:tcPr>
            <w:tcW w:w="2768" w:type="dxa"/>
            <w:vAlign w:val="center"/>
          </w:tcPr>
          <w:p w14:paraId="64C1E307">
            <w:pPr>
              <w:jc w:val="right"/>
            </w:pPr>
            <w:r>
              <w:rPr>
                <w:rFonts w:hint="eastAsia"/>
              </w:rPr>
              <w:t>-</w:t>
            </w:r>
          </w:p>
        </w:tc>
      </w:tr>
      <w:tr w14:paraId="090E1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936682">
            <w:r>
              <w:rPr>
                <w:rFonts w:hint="eastAsia"/>
              </w:rPr>
              <w:t>衍生金融资产</w:t>
            </w:r>
          </w:p>
        </w:tc>
        <w:tc>
          <w:tcPr>
            <w:tcW w:w="2768" w:type="dxa"/>
            <w:vAlign w:val="center"/>
          </w:tcPr>
          <w:p w14:paraId="64426AB3">
            <w:r>
              <w:rPr>
                <w:rFonts w:hint="eastAsia"/>
              </w:rPr>
              <w:t>7.4.7.3</w:t>
            </w:r>
          </w:p>
        </w:tc>
        <w:tc>
          <w:tcPr>
            <w:tcW w:w="2768" w:type="dxa"/>
            <w:vAlign w:val="center"/>
          </w:tcPr>
          <w:p w14:paraId="1A85453B">
            <w:pPr>
              <w:jc w:val="right"/>
            </w:pPr>
            <w:r>
              <w:rPr>
                <w:rFonts w:hint="eastAsia"/>
              </w:rPr>
              <w:t>-</w:t>
            </w:r>
          </w:p>
        </w:tc>
      </w:tr>
      <w:tr w14:paraId="2661D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F5A89D">
            <w:r>
              <w:rPr>
                <w:rFonts w:hint="eastAsia"/>
              </w:rPr>
              <w:t>买入返售金融资产</w:t>
            </w:r>
          </w:p>
        </w:tc>
        <w:tc>
          <w:tcPr>
            <w:tcW w:w="2768" w:type="dxa"/>
            <w:vAlign w:val="center"/>
          </w:tcPr>
          <w:p w14:paraId="1137AD38">
            <w:r>
              <w:rPr>
                <w:rFonts w:hint="eastAsia"/>
              </w:rPr>
              <w:t>7.4.7.4</w:t>
            </w:r>
          </w:p>
        </w:tc>
        <w:tc>
          <w:tcPr>
            <w:tcW w:w="2768" w:type="dxa"/>
            <w:vAlign w:val="center"/>
          </w:tcPr>
          <w:p w14:paraId="1514C852">
            <w:pPr>
              <w:jc w:val="right"/>
            </w:pPr>
            <w:r>
              <w:rPr>
                <w:rFonts w:hint="eastAsia"/>
              </w:rPr>
              <w:t>-</w:t>
            </w:r>
          </w:p>
        </w:tc>
      </w:tr>
      <w:tr w14:paraId="0EE86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4F60C9">
            <w:r>
              <w:rPr>
                <w:rFonts w:hint="eastAsia"/>
              </w:rPr>
              <w:t>债权投资</w:t>
            </w:r>
          </w:p>
        </w:tc>
        <w:tc>
          <w:tcPr>
            <w:tcW w:w="2768" w:type="dxa"/>
            <w:vAlign w:val="center"/>
          </w:tcPr>
          <w:p w14:paraId="3438528F"/>
        </w:tc>
        <w:tc>
          <w:tcPr>
            <w:tcW w:w="2768" w:type="dxa"/>
            <w:vAlign w:val="center"/>
          </w:tcPr>
          <w:p w14:paraId="70627810">
            <w:pPr>
              <w:jc w:val="right"/>
            </w:pPr>
            <w:r>
              <w:rPr>
                <w:rFonts w:hint="eastAsia"/>
              </w:rPr>
              <w:t>-</w:t>
            </w:r>
          </w:p>
        </w:tc>
      </w:tr>
      <w:tr w14:paraId="2D2CF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2AABC4">
            <w:r>
              <w:rPr>
                <w:rFonts w:hint="eastAsia"/>
              </w:rPr>
              <w:t>其中：债券投资</w:t>
            </w:r>
          </w:p>
        </w:tc>
        <w:tc>
          <w:tcPr>
            <w:tcW w:w="2768" w:type="dxa"/>
            <w:vAlign w:val="center"/>
          </w:tcPr>
          <w:p w14:paraId="7BD72724"/>
        </w:tc>
        <w:tc>
          <w:tcPr>
            <w:tcW w:w="2768" w:type="dxa"/>
            <w:vAlign w:val="center"/>
          </w:tcPr>
          <w:p w14:paraId="0E76778D">
            <w:pPr>
              <w:jc w:val="right"/>
            </w:pPr>
            <w:r>
              <w:rPr>
                <w:rFonts w:hint="eastAsia"/>
              </w:rPr>
              <w:t>-</w:t>
            </w:r>
          </w:p>
        </w:tc>
      </w:tr>
      <w:tr w14:paraId="7F20A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304864">
            <w:r>
              <w:rPr>
                <w:rFonts w:hint="eastAsia"/>
              </w:rPr>
              <w:t xml:space="preserve">      资产支持证券投资</w:t>
            </w:r>
          </w:p>
        </w:tc>
        <w:tc>
          <w:tcPr>
            <w:tcW w:w="2768" w:type="dxa"/>
            <w:vAlign w:val="center"/>
          </w:tcPr>
          <w:p w14:paraId="701519FE"/>
        </w:tc>
        <w:tc>
          <w:tcPr>
            <w:tcW w:w="2768" w:type="dxa"/>
            <w:vAlign w:val="center"/>
          </w:tcPr>
          <w:p w14:paraId="2DCC325D">
            <w:pPr>
              <w:jc w:val="right"/>
            </w:pPr>
            <w:r>
              <w:rPr>
                <w:rFonts w:hint="eastAsia"/>
              </w:rPr>
              <w:t>-</w:t>
            </w:r>
          </w:p>
        </w:tc>
      </w:tr>
      <w:tr w14:paraId="25DBD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0B7CC9">
            <w:r>
              <w:rPr>
                <w:rFonts w:hint="eastAsia"/>
              </w:rPr>
              <w:t xml:space="preserve">      其他投资</w:t>
            </w:r>
          </w:p>
        </w:tc>
        <w:tc>
          <w:tcPr>
            <w:tcW w:w="2768" w:type="dxa"/>
            <w:vAlign w:val="center"/>
          </w:tcPr>
          <w:p w14:paraId="4BE1C6BC"/>
        </w:tc>
        <w:tc>
          <w:tcPr>
            <w:tcW w:w="2768" w:type="dxa"/>
            <w:vAlign w:val="center"/>
          </w:tcPr>
          <w:p w14:paraId="2CE6CCF2">
            <w:pPr>
              <w:jc w:val="right"/>
            </w:pPr>
            <w:r>
              <w:rPr>
                <w:rFonts w:hint="eastAsia"/>
              </w:rPr>
              <w:t>-</w:t>
            </w:r>
          </w:p>
        </w:tc>
      </w:tr>
      <w:tr w14:paraId="48694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B277F4">
            <w:r>
              <w:rPr>
                <w:rFonts w:hint="eastAsia"/>
              </w:rPr>
              <w:t>其他债权投资</w:t>
            </w:r>
          </w:p>
        </w:tc>
        <w:tc>
          <w:tcPr>
            <w:tcW w:w="2768" w:type="dxa"/>
            <w:vAlign w:val="center"/>
          </w:tcPr>
          <w:p w14:paraId="6D7DD2F9"/>
        </w:tc>
        <w:tc>
          <w:tcPr>
            <w:tcW w:w="2768" w:type="dxa"/>
            <w:vAlign w:val="center"/>
          </w:tcPr>
          <w:p w14:paraId="636C943A">
            <w:pPr>
              <w:jc w:val="right"/>
            </w:pPr>
            <w:r>
              <w:rPr>
                <w:rFonts w:hint="eastAsia"/>
              </w:rPr>
              <w:t>-</w:t>
            </w:r>
          </w:p>
        </w:tc>
      </w:tr>
      <w:tr w14:paraId="2827C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A32DF4">
            <w:r>
              <w:rPr>
                <w:rFonts w:hint="eastAsia"/>
              </w:rPr>
              <w:t>其他权益工具投资</w:t>
            </w:r>
          </w:p>
        </w:tc>
        <w:tc>
          <w:tcPr>
            <w:tcW w:w="2768" w:type="dxa"/>
            <w:vAlign w:val="center"/>
          </w:tcPr>
          <w:p w14:paraId="1AD22365"/>
        </w:tc>
        <w:tc>
          <w:tcPr>
            <w:tcW w:w="2768" w:type="dxa"/>
            <w:vAlign w:val="center"/>
          </w:tcPr>
          <w:p w14:paraId="095510BC">
            <w:pPr>
              <w:jc w:val="right"/>
            </w:pPr>
            <w:r>
              <w:rPr>
                <w:rFonts w:hint="eastAsia"/>
              </w:rPr>
              <w:t>-</w:t>
            </w:r>
          </w:p>
        </w:tc>
      </w:tr>
      <w:tr w14:paraId="55199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EA0CA6">
            <w:r>
              <w:rPr>
                <w:rFonts w:hint="eastAsia"/>
              </w:rPr>
              <w:t>应收清算款</w:t>
            </w:r>
          </w:p>
        </w:tc>
        <w:tc>
          <w:tcPr>
            <w:tcW w:w="2768" w:type="dxa"/>
            <w:vAlign w:val="center"/>
          </w:tcPr>
          <w:p w14:paraId="49F7C6E5"/>
        </w:tc>
        <w:tc>
          <w:tcPr>
            <w:tcW w:w="2768" w:type="dxa"/>
            <w:vAlign w:val="center"/>
          </w:tcPr>
          <w:p w14:paraId="0A358631">
            <w:pPr>
              <w:jc w:val="right"/>
            </w:pPr>
            <w:r>
              <w:rPr>
                <w:rFonts w:hint="eastAsia"/>
              </w:rPr>
              <w:t>1,734.30</w:t>
            </w:r>
          </w:p>
        </w:tc>
      </w:tr>
      <w:tr w14:paraId="7E077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D6BBE6">
            <w:r>
              <w:rPr>
                <w:rFonts w:hint="eastAsia"/>
              </w:rPr>
              <w:t>应收股利</w:t>
            </w:r>
          </w:p>
        </w:tc>
        <w:tc>
          <w:tcPr>
            <w:tcW w:w="2768" w:type="dxa"/>
            <w:vAlign w:val="center"/>
          </w:tcPr>
          <w:p w14:paraId="76A29F2F"/>
        </w:tc>
        <w:tc>
          <w:tcPr>
            <w:tcW w:w="2768" w:type="dxa"/>
            <w:vAlign w:val="center"/>
          </w:tcPr>
          <w:p w14:paraId="2AA450EA">
            <w:pPr>
              <w:jc w:val="right"/>
            </w:pPr>
            <w:r>
              <w:rPr>
                <w:rFonts w:hint="eastAsia"/>
              </w:rPr>
              <w:t>-</w:t>
            </w:r>
          </w:p>
        </w:tc>
      </w:tr>
      <w:tr w14:paraId="40671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C2B658">
            <w:r>
              <w:rPr>
                <w:rFonts w:hint="eastAsia"/>
              </w:rPr>
              <w:t>应收申购款</w:t>
            </w:r>
          </w:p>
        </w:tc>
        <w:tc>
          <w:tcPr>
            <w:tcW w:w="2768" w:type="dxa"/>
            <w:vAlign w:val="center"/>
          </w:tcPr>
          <w:p w14:paraId="1FAA1FA4"/>
        </w:tc>
        <w:tc>
          <w:tcPr>
            <w:tcW w:w="2768" w:type="dxa"/>
            <w:vAlign w:val="center"/>
          </w:tcPr>
          <w:p w14:paraId="70039392">
            <w:pPr>
              <w:jc w:val="right"/>
            </w:pPr>
            <w:r>
              <w:rPr>
                <w:rFonts w:hint="eastAsia"/>
              </w:rPr>
              <w:t>-</w:t>
            </w:r>
          </w:p>
        </w:tc>
      </w:tr>
      <w:tr w14:paraId="00828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68E4D3">
            <w:r>
              <w:rPr>
                <w:rFonts w:hint="eastAsia"/>
              </w:rPr>
              <w:t>递延所得税资产</w:t>
            </w:r>
          </w:p>
        </w:tc>
        <w:tc>
          <w:tcPr>
            <w:tcW w:w="2768" w:type="dxa"/>
            <w:vAlign w:val="center"/>
          </w:tcPr>
          <w:p w14:paraId="5E284D23"/>
        </w:tc>
        <w:tc>
          <w:tcPr>
            <w:tcW w:w="2768" w:type="dxa"/>
            <w:vAlign w:val="center"/>
          </w:tcPr>
          <w:p w14:paraId="170FE8CA">
            <w:pPr>
              <w:jc w:val="right"/>
            </w:pPr>
            <w:r>
              <w:rPr>
                <w:rFonts w:hint="eastAsia"/>
              </w:rPr>
              <w:t>-</w:t>
            </w:r>
          </w:p>
        </w:tc>
      </w:tr>
      <w:tr w14:paraId="3A0DE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2EED5A">
            <w:r>
              <w:rPr>
                <w:rFonts w:hint="eastAsia"/>
              </w:rPr>
              <w:t>其他资产</w:t>
            </w:r>
          </w:p>
        </w:tc>
        <w:tc>
          <w:tcPr>
            <w:tcW w:w="2768" w:type="dxa"/>
            <w:vAlign w:val="center"/>
          </w:tcPr>
          <w:p w14:paraId="00355897">
            <w:r>
              <w:rPr>
                <w:rFonts w:hint="eastAsia"/>
              </w:rPr>
              <w:t>7.4.7.5</w:t>
            </w:r>
          </w:p>
        </w:tc>
        <w:tc>
          <w:tcPr>
            <w:tcW w:w="2768" w:type="dxa"/>
            <w:vAlign w:val="center"/>
          </w:tcPr>
          <w:p w14:paraId="3103A00D">
            <w:pPr>
              <w:jc w:val="right"/>
            </w:pPr>
            <w:r>
              <w:rPr>
                <w:rFonts w:hint="eastAsia"/>
              </w:rPr>
              <w:t>-</w:t>
            </w:r>
          </w:p>
        </w:tc>
      </w:tr>
      <w:tr w14:paraId="3E6B3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CA0247">
            <w:r>
              <w:rPr>
                <w:rFonts w:hint="eastAsia"/>
              </w:rPr>
              <w:t>资产总计</w:t>
            </w:r>
          </w:p>
        </w:tc>
        <w:tc>
          <w:tcPr>
            <w:tcW w:w="2768" w:type="dxa"/>
            <w:vAlign w:val="center"/>
          </w:tcPr>
          <w:p w14:paraId="216B4349"/>
        </w:tc>
        <w:tc>
          <w:tcPr>
            <w:tcW w:w="2768" w:type="dxa"/>
            <w:vAlign w:val="center"/>
          </w:tcPr>
          <w:p w14:paraId="57CB742B">
            <w:pPr>
              <w:jc w:val="right"/>
            </w:pPr>
            <w:r>
              <w:rPr>
                <w:rFonts w:hint="eastAsia"/>
              </w:rPr>
              <w:t>2,106,492,019.84</w:t>
            </w:r>
          </w:p>
        </w:tc>
      </w:tr>
      <w:tr w14:paraId="54AB0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A44AB9">
            <w:r>
              <w:rPr>
                <w:rFonts w:hint="eastAsia"/>
              </w:rPr>
              <w:t>负债和净资产</w:t>
            </w:r>
          </w:p>
        </w:tc>
        <w:tc>
          <w:tcPr>
            <w:tcW w:w="2768" w:type="dxa"/>
            <w:vAlign w:val="center"/>
          </w:tcPr>
          <w:p w14:paraId="7B25F260">
            <w:r>
              <w:rPr>
                <w:rFonts w:hint="eastAsia"/>
              </w:rPr>
              <w:t>附注号</w:t>
            </w:r>
          </w:p>
        </w:tc>
        <w:tc>
          <w:tcPr>
            <w:tcW w:w="2768" w:type="dxa"/>
            <w:vAlign w:val="center"/>
          </w:tcPr>
          <w:p w14:paraId="2755E290">
            <w:r>
              <w:rPr>
                <w:rFonts w:hint="eastAsia"/>
              </w:rPr>
              <w:t>本期末2025年12月31日</w:t>
            </w:r>
          </w:p>
        </w:tc>
      </w:tr>
      <w:tr w14:paraId="51A91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ED52A0">
            <w:r>
              <w:rPr>
                <w:rFonts w:hint="eastAsia"/>
              </w:rPr>
              <w:t>负债：</w:t>
            </w:r>
          </w:p>
        </w:tc>
        <w:tc>
          <w:tcPr>
            <w:tcW w:w="2768" w:type="dxa"/>
            <w:vAlign w:val="center"/>
          </w:tcPr>
          <w:p w14:paraId="0DF4FCD1"/>
        </w:tc>
        <w:tc>
          <w:tcPr>
            <w:tcW w:w="2768" w:type="dxa"/>
            <w:vAlign w:val="center"/>
          </w:tcPr>
          <w:p w14:paraId="1C1DFE32"/>
        </w:tc>
      </w:tr>
      <w:tr w14:paraId="2437E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262D5A">
            <w:r>
              <w:rPr>
                <w:rFonts w:hint="eastAsia"/>
              </w:rPr>
              <w:t>短期借款</w:t>
            </w:r>
          </w:p>
        </w:tc>
        <w:tc>
          <w:tcPr>
            <w:tcW w:w="2768" w:type="dxa"/>
            <w:vAlign w:val="center"/>
          </w:tcPr>
          <w:p w14:paraId="07DECB8C"/>
        </w:tc>
        <w:tc>
          <w:tcPr>
            <w:tcW w:w="2768" w:type="dxa"/>
            <w:vAlign w:val="center"/>
          </w:tcPr>
          <w:p w14:paraId="07F4CEA0">
            <w:pPr>
              <w:jc w:val="right"/>
            </w:pPr>
            <w:r>
              <w:rPr>
                <w:rFonts w:hint="eastAsia"/>
              </w:rPr>
              <w:t>-</w:t>
            </w:r>
          </w:p>
        </w:tc>
      </w:tr>
      <w:tr w14:paraId="4B402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2EC4F2">
            <w:r>
              <w:rPr>
                <w:rFonts w:hint="eastAsia"/>
              </w:rPr>
              <w:t>交易性金融负债</w:t>
            </w:r>
          </w:p>
        </w:tc>
        <w:tc>
          <w:tcPr>
            <w:tcW w:w="2768" w:type="dxa"/>
            <w:vAlign w:val="center"/>
          </w:tcPr>
          <w:p w14:paraId="7667578F"/>
        </w:tc>
        <w:tc>
          <w:tcPr>
            <w:tcW w:w="2768" w:type="dxa"/>
            <w:vAlign w:val="center"/>
          </w:tcPr>
          <w:p w14:paraId="10B00275">
            <w:pPr>
              <w:jc w:val="right"/>
            </w:pPr>
            <w:r>
              <w:rPr>
                <w:rFonts w:hint="eastAsia"/>
              </w:rPr>
              <w:t>-</w:t>
            </w:r>
          </w:p>
        </w:tc>
      </w:tr>
      <w:tr w14:paraId="59BD5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1A81D7">
            <w:r>
              <w:rPr>
                <w:rFonts w:hint="eastAsia"/>
              </w:rPr>
              <w:t>衍生金融负债</w:t>
            </w:r>
          </w:p>
        </w:tc>
        <w:tc>
          <w:tcPr>
            <w:tcW w:w="2768" w:type="dxa"/>
            <w:vAlign w:val="center"/>
          </w:tcPr>
          <w:p w14:paraId="117789D1">
            <w:r>
              <w:rPr>
                <w:rFonts w:hint="eastAsia"/>
              </w:rPr>
              <w:t>7.4.7.3</w:t>
            </w:r>
          </w:p>
        </w:tc>
        <w:tc>
          <w:tcPr>
            <w:tcW w:w="2768" w:type="dxa"/>
            <w:vAlign w:val="center"/>
          </w:tcPr>
          <w:p w14:paraId="3A778F5C">
            <w:pPr>
              <w:jc w:val="right"/>
            </w:pPr>
            <w:r>
              <w:rPr>
                <w:rFonts w:hint="eastAsia"/>
              </w:rPr>
              <w:t>-</w:t>
            </w:r>
          </w:p>
        </w:tc>
      </w:tr>
      <w:tr w14:paraId="0DC7D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462FAB">
            <w:r>
              <w:rPr>
                <w:rFonts w:hint="eastAsia"/>
              </w:rPr>
              <w:t>卖出回购金融资产款</w:t>
            </w:r>
          </w:p>
        </w:tc>
        <w:tc>
          <w:tcPr>
            <w:tcW w:w="2768" w:type="dxa"/>
            <w:vAlign w:val="center"/>
          </w:tcPr>
          <w:p w14:paraId="5B2967E5"/>
        </w:tc>
        <w:tc>
          <w:tcPr>
            <w:tcW w:w="2768" w:type="dxa"/>
            <w:vAlign w:val="center"/>
          </w:tcPr>
          <w:p w14:paraId="3FC43D52">
            <w:pPr>
              <w:jc w:val="right"/>
            </w:pPr>
            <w:r>
              <w:rPr>
                <w:rFonts w:hint="eastAsia"/>
              </w:rPr>
              <w:t>-</w:t>
            </w:r>
          </w:p>
        </w:tc>
      </w:tr>
      <w:tr w14:paraId="0A0BB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DD0D55">
            <w:r>
              <w:rPr>
                <w:rFonts w:hint="eastAsia"/>
              </w:rPr>
              <w:t>应付清算款</w:t>
            </w:r>
          </w:p>
        </w:tc>
        <w:tc>
          <w:tcPr>
            <w:tcW w:w="2768" w:type="dxa"/>
            <w:vAlign w:val="center"/>
          </w:tcPr>
          <w:p w14:paraId="51DA54CD"/>
        </w:tc>
        <w:tc>
          <w:tcPr>
            <w:tcW w:w="2768" w:type="dxa"/>
            <w:vAlign w:val="center"/>
          </w:tcPr>
          <w:p w14:paraId="61220CD6">
            <w:pPr>
              <w:jc w:val="right"/>
            </w:pPr>
            <w:r>
              <w:rPr>
                <w:rFonts w:hint="eastAsia"/>
              </w:rPr>
              <w:t>147,107,041.94</w:t>
            </w:r>
          </w:p>
        </w:tc>
      </w:tr>
      <w:tr w14:paraId="55C24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D57C97">
            <w:r>
              <w:rPr>
                <w:rFonts w:hint="eastAsia"/>
              </w:rPr>
              <w:t>应付赎回款</w:t>
            </w:r>
          </w:p>
        </w:tc>
        <w:tc>
          <w:tcPr>
            <w:tcW w:w="2768" w:type="dxa"/>
            <w:vAlign w:val="center"/>
          </w:tcPr>
          <w:p w14:paraId="7A2C28D3"/>
        </w:tc>
        <w:tc>
          <w:tcPr>
            <w:tcW w:w="2768" w:type="dxa"/>
            <w:vAlign w:val="center"/>
          </w:tcPr>
          <w:p w14:paraId="692CCA02">
            <w:pPr>
              <w:jc w:val="right"/>
            </w:pPr>
            <w:r>
              <w:rPr>
                <w:rFonts w:hint="eastAsia"/>
              </w:rPr>
              <w:t>-</w:t>
            </w:r>
          </w:p>
        </w:tc>
      </w:tr>
      <w:tr w14:paraId="1E793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424A56">
            <w:r>
              <w:rPr>
                <w:rFonts w:hint="eastAsia"/>
              </w:rPr>
              <w:t>应付管理人报酬</w:t>
            </w:r>
          </w:p>
        </w:tc>
        <w:tc>
          <w:tcPr>
            <w:tcW w:w="2768" w:type="dxa"/>
            <w:vAlign w:val="center"/>
          </w:tcPr>
          <w:p w14:paraId="6AC1CF6F"/>
        </w:tc>
        <w:tc>
          <w:tcPr>
            <w:tcW w:w="2768" w:type="dxa"/>
            <w:vAlign w:val="center"/>
          </w:tcPr>
          <w:p w14:paraId="4E15DEB9">
            <w:pPr>
              <w:jc w:val="right"/>
            </w:pPr>
            <w:r>
              <w:rPr>
                <w:rFonts w:hint="eastAsia"/>
              </w:rPr>
              <w:t>178,770.86</w:t>
            </w:r>
          </w:p>
        </w:tc>
      </w:tr>
      <w:tr w14:paraId="2238B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83FE15">
            <w:r>
              <w:rPr>
                <w:rFonts w:hint="eastAsia"/>
              </w:rPr>
              <w:t>应付托管费</w:t>
            </w:r>
          </w:p>
        </w:tc>
        <w:tc>
          <w:tcPr>
            <w:tcW w:w="2768" w:type="dxa"/>
            <w:vAlign w:val="center"/>
          </w:tcPr>
          <w:p w14:paraId="3201425F"/>
        </w:tc>
        <w:tc>
          <w:tcPr>
            <w:tcW w:w="2768" w:type="dxa"/>
            <w:vAlign w:val="center"/>
          </w:tcPr>
          <w:p w14:paraId="4112BDEB">
            <w:pPr>
              <w:jc w:val="right"/>
            </w:pPr>
            <w:r>
              <w:rPr>
                <w:rFonts w:hint="eastAsia"/>
              </w:rPr>
              <w:t>59,590.28</w:t>
            </w:r>
          </w:p>
        </w:tc>
      </w:tr>
      <w:tr w14:paraId="5D341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5ADB95">
            <w:r>
              <w:rPr>
                <w:rFonts w:hint="eastAsia"/>
              </w:rPr>
              <w:t>应付销售服务费</w:t>
            </w:r>
          </w:p>
        </w:tc>
        <w:tc>
          <w:tcPr>
            <w:tcW w:w="2768" w:type="dxa"/>
            <w:vAlign w:val="center"/>
          </w:tcPr>
          <w:p w14:paraId="068CA981"/>
        </w:tc>
        <w:tc>
          <w:tcPr>
            <w:tcW w:w="2768" w:type="dxa"/>
            <w:vAlign w:val="center"/>
          </w:tcPr>
          <w:p w14:paraId="38081241">
            <w:pPr>
              <w:jc w:val="right"/>
            </w:pPr>
            <w:r>
              <w:rPr>
                <w:rFonts w:hint="eastAsia"/>
              </w:rPr>
              <w:t>-</w:t>
            </w:r>
          </w:p>
        </w:tc>
      </w:tr>
      <w:tr w14:paraId="4D71B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BDDC0B">
            <w:r>
              <w:rPr>
                <w:rFonts w:hint="eastAsia"/>
              </w:rPr>
              <w:t>应付投资顾问费</w:t>
            </w:r>
          </w:p>
        </w:tc>
        <w:tc>
          <w:tcPr>
            <w:tcW w:w="2768" w:type="dxa"/>
            <w:vAlign w:val="center"/>
          </w:tcPr>
          <w:p w14:paraId="4F0A8E29"/>
        </w:tc>
        <w:tc>
          <w:tcPr>
            <w:tcW w:w="2768" w:type="dxa"/>
            <w:vAlign w:val="center"/>
          </w:tcPr>
          <w:p w14:paraId="7E6886C1">
            <w:pPr>
              <w:jc w:val="right"/>
            </w:pPr>
            <w:r>
              <w:rPr>
                <w:rFonts w:hint="eastAsia"/>
              </w:rPr>
              <w:t>-</w:t>
            </w:r>
          </w:p>
        </w:tc>
      </w:tr>
      <w:tr w14:paraId="59E2E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CC9E50">
            <w:r>
              <w:rPr>
                <w:rFonts w:hint="eastAsia"/>
              </w:rPr>
              <w:t>应交税费</w:t>
            </w:r>
          </w:p>
        </w:tc>
        <w:tc>
          <w:tcPr>
            <w:tcW w:w="2768" w:type="dxa"/>
            <w:vAlign w:val="center"/>
          </w:tcPr>
          <w:p w14:paraId="0190DE17"/>
        </w:tc>
        <w:tc>
          <w:tcPr>
            <w:tcW w:w="2768" w:type="dxa"/>
            <w:vAlign w:val="center"/>
          </w:tcPr>
          <w:p w14:paraId="4DB86859">
            <w:pPr>
              <w:jc w:val="right"/>
            </w:pPr>
            <w:r>
              <w:rPr>
                <w:rFonts w:hint="eastAsia"/>
              </w:rPr>
              <w:t>-</w:t>
            </w:r>
          </w:p>
        </w:tc>
      </w:tr>
      <w:tr w14:paraId="42274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634344">
            <w:r>
              <w:rPr>
                <w:rFonts w:hint="eastAsia"/>
              </w:rPr>
              <w:t>应付利润</w:t>
            </w:r>
          </w:p>
        </w:tc>
        <w:tc>
          <w:tcPr>
            <w:tcW w:w="2768" w:type="dxa"/>
            <w:vAlign w:val="center"/>
          </w:tcPr>
          <w:p w14:paraId="1CC0493A"/>
        </w:tc>
        <w:tc>
          <w:tcPr>
            <w:tcW w:w="2768" w:type="dxa"/>
            <w:vAlign w:val="center"/>
          </w:tcPr>
          <w:p w14:paraId="05DDADEA">
            <w:pPr>
              <w:jc w:val="right"/>
            </w:pPr>
            <w:r>
              <w:rPr>
                <w:rFonts w:hint="eastAsia"/>
              </w:rPr>
              <w:t>-</w:t>
            </w:r>
          </w:p>
        </w:tc>
      </w:tr>
      <w:tr w14:paraId="6C1DD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8A54B2">
            <w:r>
              <w:rPr>
                <w:rFonts w:hint="eastAsia"/>
              </w:rPr>
              <w:t>递延所得税负债</w:t>
            </w:r>
          </w:p>
        </w:tc>
        <w:tc>
          <w:tcPr>
            <w:tcW w:w="2768" w:type="dxa"/>
            <w:vAlign w:val="center"/>
          </w:tcPr>
          <w:p w14:paraId="6AC62357"/>
        </w:tc>
        <w:tc>
          <w:tcPr>
            <w:tcW w:w="2768" w:type="dxa"/>
            <w:vAlign w:val="center"/>
          </w:tcPr>
          <w:p w14:paraId="5951F605">
            <w:pPr>
              <w:jc w:val="right"/>
            </w:pPr>
            <w:r>
              <w:rPr>
                <w:rFonts w:hint="eastAsia"/>
              </w:rPr>
              <w:t>-</w:t>
            </w:r>
          </w:p>
        </w:tc>
      </w:tr>
      <w:tr w14:paraId="13162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3205FB">
            <w:r>
              <w:rPr>
                <w:rFonts w:hint="eastAsia"/>
              </w:rPr>
              <w:t>其他负债</w:t>
            </w:r>
          </w:p>
        </w:tc>
        <w:tc>
          <w:tcPr>
            <w:tcW w:w="2768" w:type="dxa"/>
            <w:vAlign w:val="center"/>
          </w:tcPr>
          <w:p w14:paraId="5A33A664">
            <w:r>
              <w:rPr>
                <w:rFonts w:hint="eastAsia"/>
              </w:rPr>
              <w:t>7.4.7.6</w:t>
            </w:r>
          </w:p>
        </w:tc>
        <w:tc>
          <w:tcPr>
            <w:tcW w:w="2768" w:type="dxa"/>
            <w:vAlign w:val="center"/>
          </w:tcPr>
          <w:p w14:paraId="34BB4074">
            <w:pPr>
              <w:jc w:val="right"/>
            </w:pPr>
            <w:r>
              <w:rPr>
                <w:rFonts w:hint="eastAsia"/>
              </w:rPr>
              <w:t>23,127,252.72</w:t>
            </w:r>
          </w:p>
        </w:tc>
      </w:tr>
      <w:tr w14:paraId="7E921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5F1BDC">
            <w:r>
              <w:rPr>
                <w:rFonts w:hint="eastAsia"/>
              </w:rPr>
              <w:t>负债合计</w:t>
            </w:r>
          </w:p>
        </w:tc>
        <w:tc>
          <w:tcPr>
            <w:tcW w:w="2768" w:type="dxa"/>
            <w:vAlign w:val="center"/>
          </w:tcPr>
          <w:p w14:paraId="4EA635B4"/>
        </w:tc>
        <w:tc>
          <w:tcPr>
            <w:tcW w:w="2768" w:type="dxa"/>
            <w:vAlign w:val="center"/>
          </w:tcPr>
          <w:p w14:paraId="77AF0A66">
            <w:pPr>
              <w:jc w:val="right"/>
            </w:pPr>
            <w:r>
              <w:rPr>
                <w:rFonts w:hint="eastAsia"/>
              </w:rPr>
              <w:t>170,472,655.80</w:t>
            </w:r>
          </w:p>
        </w:tc>
      </w:tr>
      <w:tr w14:paraId="4DDD8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DA2221">
            <w:r>
              <w:rPr>
                <w:rFonts w:hint="eastAsia"/>
              </w:rPr>
              <w:t>净资产：</w:t>
            </w:r>
          </w:p>
        </w:tc>
        <w:tc>
          <w:tcPr>
            <w:tcW w:w="2768" w:type="dxa"/>
            <w:vAlign w:val="center"/>
          </w:tcPr>
          <w:p w14:paraId="31F30FC2"/>
        </w:tc>
        <w:tc>
          <w:tcPr>
            <w:tcW w:w="2768" w:type="dxa"/>
            <w:vAlign w:val="center"/>
          </w:tcPr>
          <w:p w14:paraId="2A67F771"/>
        </w:tc>
      </w:tr>
      <w:tr w14:paraId="4C6E2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8D52AD">
            <w:r>
              <w:rPr>
                <w:rFonts w:hint="eastAsia"/>
              </w:rPr>
              <w:t>实收基金</w:t>
            </w:r>
          </w:p>
        </w:tc>
        <w:tc>
          <w:tcPr>
            <w:tcW w:w="2768" w:type="dxa"/>
            <w:vAlign w:val="center"/>
          </w:tcPr>
          <w:p w14:paraId="032263B9">
            <w:r>
              <w:rPr>
                <w:rFonts w:hint="eastAsia"/>
              </w:rPr>
              <w:t>7.4.7.7</w:t>
            </w:r>
          </w:p>
        </w:tc>
        <w:tc>
          <w:tcPr>
            <w:tcW w:w="2768" w:type="dxa"/>
            <w:vAlign w:val="center"/>
          </w:tcPr>
          <w:p w14:paraId="115A91EE">
            <w:pPr>
              <w:jc w:val="right"/>
            </w:pPr>
            <w:r>
              <w:rPr>
                <w:rFonts w:hint="eastAsia"/>
              </w:rPr>
              <w:t>2,099,876,000.00</w:t>
            </w:r>
          </w:p>
        </w:tc>
      </w:tr>
      <w:tr w14:paraId="2DD3C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72A2E0">
            <w:r>
              <w:rPr>
                <w:rFonts w:hint="eastAsia"/>
              </w:rPr>
              <w:t>其他综合收益</w:t>
            </w:r>
          </w:p>
        </w:tc>
        <w:tc>
          <w:tcPr>
            <w:tcW w:w="2768" w:type="dxa"/>
            <w:vAlign w:val="center"/>
          </w:tcPr>
          <w:p w14:paraId="293CC361"/>
        </w:tc>
        <w:tc>
          <w:tcPr>
            <w:tcW w:w="2768" w:type="dxa"/>
            <w:vAlign w:val="center"/>
          </w:tcPr>
          <w:p w14:paraId="2A0C98B0">
            <w:pPr>
              <w:jc w:val="right"/>
            </w:pPr>
            <w:r>
              <w:rPr>
                <w:rFonts w:hint="eastAsia"/>
              </w:rPr>
              <w:t>-</w:t>
            </w:r>
          </w:p>
        </w:tc>
      </w:tr>
      <w:tr w14:paraId="27E62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7EF978">
            <w:r>
              <w:rPr>
                <w:rFonts w:hint="eastAsia"/>
              </w:rPr>
              <w:t>未分配利润</w:t>
            </w:r>
          </w:p>
        </w:tc>
        <w:tc>
          <w:tcPr>
            <w:tcW w:w="2768" w:type="dxa"/>
            <w:vAlign w:val="center"/>
          </w:tcPr>
          <w:p w14:paraId="02B1B934">
            <w:r>
              <w:rPr>
                <w:rFonts w:hint="eastAsia"/>
              </w:rPr>
              <w:t>7.4.7.8</w:t>
            </w:r>
          </w:p>
        </w:tc>
        <w:tc>
          <w:tcPr>
            <w:tcW w:w="2768" w:type="dxa"/>
            <w:vAlign w:val="center"/>
          </w:tcPr>
          <w:p w14:paraId="71C94D26">
            <w:pPr>
              <w:jc w:val="right"/>
            </w:pPr>
            <w:r>
              <w:rPr>
                <w:rFonts w:hint="eastAsia"/>
              </w:rPr>
              <w:t>-163,856,635.96</w:t>
            </w:r>
          </w:p>
        </w:tc>
      </w:tr>
      <w:tr w14:paraId="50D55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890C73">
            <w:r>
              <w:rPr>
                <w:rFonts w:hint="eastAsia"/>
              </w:rPr>
              <w:t>净资产合计</w:t>
            </w:r>
          </w:p>
        </w:tc>
        <w:tc>
          <w:tcPr>
            <w:tcW w:w="2768" w:type="dxa"/>
            <w:vAlign w:val="center"/>
          </w:tcPr>
          <w:p w14:paraId="6A08AB80"/>
        </w:tc>
        <w:tc>
          <w:tcPr>
            <w:tcW w:w="2768" w:type="dxa"/>
            <w:vAlign w:val="center"/>
          </w:tcPr>
          <w:p w14:paraId="4F148565">
            <w:pPr>
              <w:jc w:val="right"/>
            </w:pPr>
            <w:r>
              <w:rPr>
                <w:rFonts w:hint="eastAsia"/>
              </w:rPr>
              <w:t>1,936,019,364.04</w:t>
            </w:r>
          </w:p>
        </w:tc>
      </w:tr>
      <w:tr w14:paraId="02C24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1D7F36">
            <w:r>
              <w:rPr>
                <w:rFonts w:hint="eastAsia"/>
              </w:rPr>
              <w:t>负债和净资产总计</w:t>
            </w:r>
          </w:p>
        </w:tc>
        <w:tc>
          <w:tcPr>
            <w:tcW w:w="2768" w:type="dxa"/>
            <w:vAlign w:val="center"/>
          </w:tcPr>
          <w:p w14:paraId="510AE0B4"/>
        </w:tc>
        <w:tc>
          <w:tcPr>
            <w:tcW w:w="2768" w:type="dxa"/>
            <w:vAlign w:val="center"/>
          </w:tcPr>
          <w:p w14:paraId="511AA996">
            <w:pPr>
              <w:jc w:val="right"/>
            </w:pPr>
            <w:r>
              <w:rPr>
                <w:rFonts w:hint="eastAsia"/>
              </w:rPr>
              <w:t>2,106,492,019.84</w:t>
            </w:r>
          </w:p>
        </w:tc>
      </w:tr>
    </w:tbl>
    <w:p w14:paraId="14BD26D2">
      <w:pPr>
        <w:pStyle w:val="47"/>
        <w:rPr>
          <w:rFonts w:hint="eastAsia"/>
        </w:rPr>
      </w:pPr>
      <w:r>
        <w:rPr>
          <w:rFonts w:hint="eastAsia"/>
        </w:rPr>
        <w:t>注：1.报告截止日2025年12月31日，基金份额净值0.9220元，基金份额总额2,099,876,000.00份。</w:t>
      </w:r>
    </w:p>
    <w:p w14:paraId="5BBA97C8">
      <w:pPr>
        <w:pStyle w:val="47"/>
        <w:rPr>
          <w:rFonts w:hint="eastAsia"/>
        </w:rPr>
      </w:pPr>
      <w:r>
        <w:tab/>
      </w:r>
      <w:r>
        <w:rPr>
          <w:rFonts w:hint="eastAsia"/>
        </w:rPr>
        <w:t>2.本财务报表的实际编制期间为2025年10月29日(基金合同生效日)至2025年12月31日止期间。</w:t>
      </w:r>
    </w:p>
    <w:p w14:paraId="75DB9424">
      <w:pPr>
        <w:pStyle w:val="23"/>
      </w:pPr>
      <w:bookmarkStart w:id="48" w:name="_Toc23209"/>
      <w:r>
        <w:t>利润表</w:t>
      </w:r>
      <w:bookmarkEnd w:id="48"/>
    </w:p>
    <w:p w14:paraId="76886D65">
      <w:pPr>
        <w:pStyle w:val="18"/>
        <w:rPr>
          <w:rFonts w:hint="eastAsia"/>
        </w:rPr>
      </w:pPr>
      <w:r>
        <w:rPr>
          <w:rFonts w:hint="eastAsia"/>
        </w:rPr>
        <w:t>会计主体：南方恒生科技交易型开放式指数证券投资基金（QDII）</w:t>
      </w:r>
    </w:p>
    <w:p w14:paraId="578AE757">
      <w:pPr>
        <w:pStyle w:val="18"/>
        <w:rPr>
          <w:rFonts w:hint="eastAsia"/>
        </w:rPr>
      </w:pPr>
      <w:r>
        <w:rPr>
          <w:rFonts w:hint="eastAsia"/>
        </w:rPr>
        <w:t>本报告期：2025年10月29日(基金合同生效日)至2025年12月31日</w:t>
      </w:r>
    </w:p>
    <w:p w14:paraId="6FE3243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0362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E6F7A6F">
            <w:pPr>
              <w:jc w:val="center"/>
            </w:pPr>
            <w:r>
              <w:rPr>
                <w:rFonts w:hint="eastAsia"/>
                <w:b/>
              </w:rPr>
              <w:t>项目</w:t>
            </w:r>
          </w:p>
        </w:tc>
        <w:tc>
          <w:tcPr>
            <w:tcW w:w="2768" w:type="dxa"/>
            <w:shd w:val="clear" w:color="auto" w:fill="BFBFBF"/>
            <w:vAlign w:val="center"/>
          </w:tcPr>
          <w:p w14:paraId="5425B376">
            <w:pPr>
              <w:jc w:val="center"/>
            </w:pPr>
            <w:r>
              <w:rPr>
                <w:rFonts w:hint="eastAsia"/>
                <w:b/>
              </w:rPr>
              <w:t>附注号</w:t>
            </w:r>
          </w:p>
        </w:tc>
        <w:tc>
          <w:tcPr>
            <w:tcW w:w="2768" w:type="dxa"/>
            <w:shd w:val="clear" w:color="auto" w:fill="BFBFBF"/>
            <w:vAlign w:val="center"/>
          </w:tcPr>
          <w:p w14:paraId="39A449AA">
            <w:pPr>
              <w:jc w:val="center"/>
            </w:pPr>
            <w:r>
              <w:rPr>
                <w:rFonts w:hint="eastAsia"/>
                <w:b/>
              </w:rPr>
              <w:t>本期2025年10月29日（基金合同生效日）至2025年12月31日</w:t>
            </w:r>
          </w:p>
        </w:tc>
      </w:tr>
      <w:tr w14:paraId="7A48D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C8E3A5">
            <w:r>
              <w:rPr>
                <w:rFonts w:hint="eastAsia"/>
              </w:rPr>
              <w:t>一、营业总收入</w:t>
            </w:r>
          </w:p>
        </w:tc>
        <w:tc>
          <w:tcPr>
            <w:tcW w:w="2768" w:type="dxa"/>
            <w:vAlign w:val="center"/>
          </w:tcPr>
          <w:p w14:paraId="56D37EDD"/>
        </w:tc>
        <w:tc>
          <w:tcPr>
            <w:tcW w:w="2768" w:type="dxa"/>
            <w:vAlign w:val="center"/>
          </w:tcPr>
          <w:p w14:paraId="01DAF838">
            <w:pPr>
              <w:jc w:val="right"/>
            </w:pPr>
            <w:r>
              <w:rPr>
                <w:rFonts w:hint="eastAsia"/>
              </w:rPr>
              <w:t>-51,138,823.77</w:t>
            </w:r>
          </w:p>
        </w:tc>
      </w:tr>
      <w:tr w14:paraId="5F39F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294B6B">
            <w:r>
              <w:rPr>
                <w:rFonts w:hint="eastAsia"/>
              </w:rPr>
              <w:t>1.利息收入</w:t>
            </w:r>
          </w:p>
        </w:tc>
        <w:tc>
          <w:tcPr>
            <w:tcW w:w="2768" w:type="dxa"/>
            <w:vAlign w:val="center"/>
          </w:tcPr>
          <w:p w14:paraId="75657F17"/>
        </w:tc>
        <w:tc>
          <w:tcPr>
            <w:tcW w:w="2768" w:type="dxa"/>
            <w:vAlign w:val="center"/>
          </w:tcPr>
          <w:p w14:paraId="55707203">
            <w:pPr>
              <w:jc w:val="right"/>
            </w:pPr>
            <w:r>
              <w:rPr>
                <w:rFonts w:hint="eastAsia"/>
              </w:rPr>
              <w:t>16,365.20</w:t>
            </w:r>
          </w:p>
        </w:tc>
      </w:tr>
      <w:tr w14:paraId="703CB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7BABB2">
            <w:r>
              <w:rPr>
                <w:rFonts w:hint="eastAsia"/>
              </w:rPr>
              <w:t>其中：存款利息收入</w:t>
            </w:r>
          </w:p>
        </w:tc>
        <w:tc>
          <w:tcPr>
            <w:tcW w:w="2768" w:type="dxa"/>
            <w:vAlign w:val="center"/>
          </w:tcPr>
          <w:p w14:paraId="2964862E">
            <w:r>
              <w:rPr>
                <w:rFonts w:hint="eastAsia"/>
              </w:rPr>
              <w:t>7.4.7.9</w:t>
            </w:r>
          </w:p>
        </w:tc>
        <w:tc>
          <w:tcPr>
            <w:tcW w:w="2768" w:type="dxa"/>
            <w:vAlign w:val="center"/>
          </w:tcPr>
          <w:p w14:paraId="1BE1C946">
            <w:pPr>
              <w:jc w:val="right"/>
            </w:pPr>
            <w:r>
              <w:rPr>
                <w:rFonts w:hint="eastAsia"/>
              </w:rPr>
              <w:t>16,365.20</w:t>
            </w:r>
          </w:p>
        </w:tc>
      </w:tr>
      <w:tr w14:paraId="3F1C33D4">
        <w:tblPrEx>
          <w:tblCellMar>
            <w:top w:w="0" w:type="dxa"/>
            <w:left w:w="108" w:type="dxa"/>
            <w:bottom w:w="0" w:type="dxa"/>
            <w:right w:w="108" w:type="dxa"/>
          </w:tblCellMar>
        </w:tblPrEx>
        <w:trPr>
          <w:jc w:val="center"/>
        </w:trPr>
        <w:tc>
          <w:tcPr>
            <w:tcW w:w="2768" w:type="dxa"/>
            <w:vAlign w:val="center"/>
          </w:tcPr>
          <w:p w14:paraId="194C28E0">
            <w:r>
              <w:rPr>
                <w:rFonts w:hint="eastAsia"/>
              </w:rPr>
              <w:t xml:space="preserve">      债券利息收入</w:t>
            </w:r>
          </w:p>
        </w:tc>
        <w:tc>
          <w:tcPr>
            <w:tcW w:w="2768" w:type="dxa"/>
            <w:vAlign w:val="center"/>
          </w:tcPr>
          <w:p w14:paraId="62DF2B92"/>
        </w:tc>
        <w:tc>
          <w:tcPr>
            <w:tcW w:w="2768" w:type="dxa"/>
            <w:vAlign w:val="center"/>
          </w:tcPr>
          <w:p w14:paraId="7792FA52">
            <w:pPr>
              <w:jc w:val="right"/>
            </w:pPr>
            <w:r>
              <w:rPr>
                <w:rFonts w:hint="eastAsia"/>
              </w:rPr>
              <w:t>-</w:t>
            </w:r>
          </w:p>
        </w:tc>
      </w:tr>
      <w:tr w14:paraId="7EE0A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17128D">
            <w:r>
              <w:rPr>
                <w:rFonts w:hint="eastAsia"/>
              </w:rPr>
              <w:t xml:space="preserve">      资产支持证券利息收入</w:t>
            </w:r>
          </w:p>
        </w:tc>
        <w:tc>
          <w:tcPr>
            <w:tcW w:w="2768" w:type="dxa"/>
            <w:vAlign w:val="center"/>
          </w:tcPr>
          <w:p w14:paraId="54F69AD9"/>
        </w:tc>
        <w:tc>
          <w:tcPr>
            <w:tcW w:w="2768" w:type="dxa"/>
            <w:vAlign w:val="center"/>
          </w:tcPr>
          <w:p w14:paraId="3C52645E">
            <w:pPr>
              <w:jc w:val="right"/>
            </w:pPr>
            <w:r>
              <w:rPr>
                <w:rFonts w:hint="eastAsia"/>
              </w:rPr>
              <w:t>-</w:t>
            </w:r>
          </w:p>
        </w:tc>
      </w:tr>
      <w:tr w14:paraId="59549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6E87F0">
            <w:r>
              <w:rPr>
                <w:rFonts w:hint="eastAsia"/>
              </w:rPr>
              <w:t xml:space="preserve">      买入返售金融资产收入</w:t>
            </w:r>
          </w:p>
        </w:tc>
        <w:tc>
          <w:tcPr>
            <w:tcW w:w="2768" w:type="dxa"/>
            <w:vAlign w:val="center"/>
          </w:tcPr>
          <w:p w14:paraId="1F0D54C1"/>
        </w:tc>
        <w:tc>
          <w:tcPr>
            <w:tcW w:w="2768" w:type="dxa"/>
            <w:vAlign w:val="center"/>
          </w:tcPr>
          <w:p w14:paraId="1A46649E">
            <w:pPr>
              <w:jc w:val="right"/>
            </w:pPr>
            <w:r>
              <w:rPr>
                <w:rFonts w:hint="eastAsia"/>
              </w:rPr>
              <w:t>-</w:t>
            </w:r>
          </w:p>
        </w:tc>
      </w:tr>
      <w:tr w14:paraId="558F3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41DEDA">
            <w:r>
              <w:rPr>
                <w:rFonts w:hint="eastAsia"/>
              </w:rPr>
              <w:t xml:space="preserve">      其他利息收入</w:t>
            </w:r>
          </w:p>
        </w:tc>
        <w:tc>
          <w:tcPr>
            <w:tcW w:w="2768" w:type="dxa"/>
            <w:vAlign w:val="center"/>
          </w:tcPr>
          <w:p w14:paraId="4673771D"/>
        </w:tc>
        <w:tc>
          <w:tcPr>
            <w:tcW w:w="2768" w:type="dxa"/>
            <w:vAlign w:val="center"/>
          </w:tcPr>
          <w:p w14:paraId="19BBF4C6">
            <w:pPr>
              <w:jc w:val="right"/>
            </w:pPr>
            <w:r>
              <w:rPr>
                <w:rFonts w:hint="eastAsia"/>
              </w:rPr>
              <w:t>-</w:t>
            </w:r>
          </w:p>
        </w:tc>
      </w:tr>
      <w:tr w14:paraId="6B747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123E0A">
            <w:r>
              <w:rPr>
                <w:rFonts w:hint="eastAsia"/>
              </w:rPr>
              <w:t>2.投资收益（损失以“-”填列）</w:t>
            </w:r>
          </w:p>
        </w:tc>
        <w:tc>
          <w:tcPr>
            <w:tcW w:w="2768" w:type="dxa"/>
            <w:vAlign w:val="center"/>
          </w:tcPr>
          <w:p w14:paraId="62683CEB"/>
        </w:tc>
        <w:tc>
          <w:tcPr>
            <w:tcW w:w="2768" w:type="dxa"/>
            <w:vAlign w:val="center"/>
          </w:tcPr>
          <w:p w14:paraId="7383780E">
            <w:pPr>
              <w:jc w:val="right"/>
            </w:pPr>
            <w:r>
              <w:rPr>
                <w:rFonts w:hint="eastAsia"/>
              </w:rPr>
              <w:t>-3,048,922.61</w:t>
            </w:r>
          </w:p>
        </w:tc>
      </w:tr>
      <w:tr w14:paraId="459CC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26887A">
            <w:r>
              <w:rPr>
                <w:rFonts w:hint="eastAsia"/>
              </w:rPr>
              <w:t>其中：股票投资收益</w:t>
            </w:r>
          </w:p>
        </w:tc>
        <w:tc>
          <w:tcPr>
            <w:tcW w:w="2768" w:type="dxa"/>
            <w:vAlign w:val="center"/>
          </w:tcPr>
          <w:p w14:paraId="5583C1AE">
            <w:r>
              <w:rPr>
                <w:rFonts w:hint="eastAsia"/>
              </w:rPr>
              <w:t>7.4.7.10</w:t>
            </w:r>
          </w:p>
        </w:tc>
        <w:tc>
          <w:tcPr>
            <w:tcW w:w="2768" w:type="dxa"/>
            <w:vAlign w:val="center"/>
          </w:tcPr>
          <w:p w14:paraId="7916AB83">
            <w:pPr>
              <w:jc w:val="right"/>
            </w:pPr>
            <w:r>
              <w:rPr>
                <w:rFonts w:hint="eastAsia"/>
              </w:rPr>
              <w:t>-3,102,056.18</w:t>
            </w:r>
          </w:p>
        </w:tc>
      </w:tr>
      <w:tr w14:paraId="1D9F1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B958C0">
            <w:r>
              <w:rPr>
                <w:rFonts w:hint="eastAsia"/>
              </w:rPr>
              <w:t xml:space="preserve">      基金投资收益</w:t>
            </w:r>
          </w:p>
        </w:tc>
        <w:tc>
          <w:tcPr>
            <w:tcW w:w="2768" w:type="dxa"/>
            <w:vAlign w:val="center"/>
          </w:tcPr>
          <w:p w14:paraId="06682973">
            <w:r>
              <w:rPr>
                <w:rFonts w:hint="eastAsia"/>
              </w:rPr>
              <w:t>7.4.7.11</w:t>
            </w:r>
          </w:p>
        </w:tc>
        <w:tc>
          <w:tcPr>
            <w:tcW w:w="2768" w:type="dxa"/>
            <w:vAlign w:val="center"/>
          </w:tcPr>
          <w:p w14:paraId="6F997CF1">
            <w:pPr>
              <w:jc w:val="right"/>
            </w:pPr>
            <w:r>
              <w:rPr>
                <w:rFonts w:hint="eastAsia"/>
              </w:rPr>
              <w:t>-</w:t>
            </w:r>
          </w:p>
        </w:tc>
      </w:tr>
      <w:tr w14:paraId="353B5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5D7ECE">
            <w:r>
              <w:rPr>
                <w:rFonts w:hint="eastAsia"/>
              </w:rPr>
              <w:t xml:space="preserve">      债券投资收益</w:t>
            </w:r>
          </w:p>
        </w:tc>
        <w:tc>
          <w:tcPr>
            <w:tcW w:w="2768" w:type="dxa"/>
            <w:vAlign w:val="center"/>
          </w:tcPr>
          <w:p w14:paraId="7BBBC5AC">
            <w:r>
              <w:rPr>
                <w:rFonts w:hint="eastAsia"/>
              </w:rPr>
              <w:t>7.4.7.12</w:t>
            </w:r>
          </w:p>
        </w:tc>
        <w:tc>
          <w:tcPr>
            <w:tcW w:w="2768" w:type="dxa"/>
            <w:vAlign w:val="center"/>
          </w:tcPr>
          <w:p w14:paraId="6073A2BB">
            <w:pPr>
              <w:jc w:val="right"/>
            </w:pPr>
            <w:r>
              <w:rPr>
                <w:rFonts w:hint="eastAsia"/>
              </w:rPr>
              <w:t>-</w:t>
            </w:r>
          </w:p>
        </w:tc>
      </w:tr>
      <w:tr w14:paraId="2202F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AE6ADE">
            <w:r>
              <w:rPr>
                <w:rFonts w:hint="eastAsia"/>
              </w:rPr>
              <w:t xml:space="preserve">      资产支持证券投资收益</w:t>
            </w:r>
          </w:p>
        </w:tc>
        <w:tc>
          <w:tcPr>
            <w:tcW w:w="2768" w:type="dxa"/>
            <w:vAlign w:val="center"/>
          </w:tcPr>
          <w:p w14:paraId="5DA75E26">
            <w:r>
              <w:rPr>
                <w:rFonts w:hint="eastAsia"/>
              </w:rPr>
              <w:t>7.4.7.13</w:t>
            </w:r>
          </w:p>
        </w:tc>
        <w:tc>
          <w:tcPr>
            <w:tcW w:w="2768" w:type="dxa"/>
            <w:vAlign w:val="center"/>
          </w:tcPr>
          <w:p w14:paraId="3E3EF832">
            <w:pPr>
              <w:jc w:val="right"/>
            </w:pPr>
            <w:r>
              <w:rPr>
                <w:rFonts w:hint="eastAsia"/>
              </w:rPr>
              <w:t>-</w:t>
            </w:r>
          </w:p>
        </w:tc>
      </w:tr>
      <w:tr w14:paraId="5EC30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929962">
            <w:r>
              <w:rPr>
                <w:rFonts w:hint="eastAsia"/>
              </w:rPr>
              <w:t xml:space="preserve">      贵金属投资收益</w:t>
            </w:r>
          </w:p>
        </w:tc>
        <w:tc>
          <w:tcPr>
            <w:tcW w:w="2768" w:type="dxa"/>
            <w:vAlign w:val="center"/>
          </w:tcPr>
          <w:p w14:paraId="418CE8C9"/>
        </w:tc>
        <w:tc>
          <w:tcPr>
            <w:tcW w:w="2768" w:type="dxa"/>
            <w:vAlign w:val="center"/>
          </w:tcPr>
          <w:p w14:paraId="271A953F">
            <w:pPr>
              <w:jc w:val="right"/>
            </w:pPr>
            <w:r>
              <w:rPr>
                <w:rFonts w:hint="eastAsia"/>
              </w:rPr>
              <w:t>-</w:t>
            </w:r>
          </w:p>
        </w:tc>
      </w:tr>
      <w:tr w14:paraId="0CD73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9925D5">
            <w:r>
              <w:rPr>
                <w:rFonts w:hint="eastAsia"/>
              </w:rPr>
              <w:t xml:space="preserve">      衍生工具收益</w:t>
            </w:r>
          </w:p>
        </w:tc>
        <w:tc>
          <w:tcPr>
            <w:tcW w:w="2768" w:type="dxa"/>
            <w:vAlign w:val="center"/>
          </w:tcPr>
          <w:p w14:paraId="0F9E2A7B">
            <w:r>
              <w:rPr>
                <w:rFonts w:hint="eastAsia"/>
              </w:rPr>
              <w:t>7.4.7.14</w:t>
            </w:r>
          </w:p>
        </w:tc>
        <w:tc>
          <w:tcPr>
            <w:tcW w:w="2768" w:type="dxa"/>
            <w:vAlign w:val="center"/>
          </w:tcPr>
          <w:p w14:paraId="0CE07221">
            <w:pPr>
              <w:jc w:val="right"/>
            </w:pPr>
            <w:r>
              <w:rPr>
                <w:rFonts w:hint="eastAsia"/>
              </w:rPr>
              <w:t>-405,645.74</w:t>
            </w:r>
          </w:p>
        </w:tc>
      </w:tr>
      <w:tr w14:paraId="1BFA2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897790">
            <w:r>
              <w:rPr>
                <w:rFonts w:hint="eastAsia"/>
              </w:rPr>
              <w:t xml:space="preserve">      股利收益</w:t>
            </w:r>
          </w:p>
        </w:tc>
        <w:tc>
          <w:tcPr>
            <w:tcW w:w="2768" w:type="dxa"/>
            <w:vAlign w:val="center"/>
          </w:tcPr>
          <w:p w14:paraId="22582319">
            <w:r>
              <w:rPr>
                <w:rFonts w:hint="eastAsia"/>
              </w:rPr>
              <w:t>7.4.7.15</w:t>
            </w:r>
          </w:p>
        </w:tc>
        <w:tc>
          <w:tcPr>
            <w:tcW w:w="2768" w:type="dxa"/>
            <w:vAlign w:val="center"/>
          </w:tcPr>
          <w:p w14:paraId="44EBC5D4">
            <w:pPr>
              <w:jc w:val="right"/>
            </w:pPr>
            <w:r>
              <w:rPr>
                <w:rFonts w:hint="eastAsia"/>
              </w:rPr>
              <w:t>458,779.31</w:t>
            </w:r>
          </w:p>
        </w:tc>
      </w:tr>
      <w:tr w14:paraId="23D8B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9919B4">
            <w:r>
              <w:rPr>
                <w:rFonts w:hint="eastAsia"/>
              </w:rPr>
              <w:t xml:space="preserve">      以摊余成本计量的金融资产终止确认产生的收益</w:t>
            </w:r>
          </w:p>
        </w:tc>
        <w:tc>
          <w:tcPr>
            <w:tcW w:w="2768" w:type="dxa"/>
            <w:vAlign w:val="center"/>
          </w:tcPr>
          <w:p w14:paraId="6E11F171"/>
        </w:tc>
        <w:tc>
          <w:tcPr>
            <w:tcW w:w="2768" w:type="dxa"/>
            <w:vAlign w:val="center"/>
          </w:tcPr>
          <w:p w14:paraId="703E8FF9">
            <w:pPr>
              <w:jc w:val="right"/>
            </w:pPr>
            <w:r>
              <w:rPr>
                <w:rFonts w:hint="eastAsia"/>
              </w:rPr>
              <w:t>-</w:t>
            </w:r>
          </w:p>
        </w:tc>
      </w:tr>
      <w:tr w14:paraId="40C64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5FA108">
            <w:r>
              <w:rPr>
                <w:rFonts w:hint="eastAsia"/>
              </w:rPr>
              <w:t xml:space="preserve">      其他投资收益</w:t>
            </w:r>
          </w:p>
        </w:tc>
        <w:tc>
          <w:tcPr>
            <w:tcW w:w="2768" w:type="dxa"/>
            <w:vAlign w:val="center"/>
          </w:tcPr>
          <w:p w14:paraId="57A21B37"/>
        </w:tc>
        <w:tc>
          <w:tcPr>
            <w:tcW w:w="2768" w:type="dxa"/>
            <w:vAlign w:val="center"/>
          </w:tcPr>
          <w:p w14:paraId="2A6AD433">
            <w:pPr>
              <w:jc w:val="right"/>
            </w:pPr>
            <w:r>
              <w:rPr>
                <w:rFonts w:hint="eastAsia"/>
              </w:rPr>
              <w:t>-</w:t>
            </w:r>
          </w:p>
        </w:tc>
      </w:tr>
      <w:tr w14:paraId="1E11A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D99338">
            <w:r>
              <w:rPr>
                <w:rFonts w:hint="eastAsia"/>
              </w:rPr>
              <w:t>3.公允价值变动收益（损失以“-”号填列）</w:t>
            </w:r>
          </w:p>
        </w:tc>
        <w:tc>
          <w:tcPr>
            <w:tcW w:w="2768" w:type="dxa"/>
            <w:vAlign w:val="center"/>
          </w:tcPr>
          <w:p w14:paraId="04334010">
            <w:r>
              <w:rPr>
                <w:rFonts w:hint="eastAsia"/>
              </w:rPr>
              <w:t>7.4.7.16</w:t>
            </w:r>
          </w:p>
        </w:tc>
        <w:tc>
          <w:tcPr>
            <w:tcW w:w="2768" w:type="dxa"/>
            <w:vAlign w:val="center"/>
          </w:tcPr>
          <w:p w14:paraId="7506DB78">
            <w:pPr>
              <w:jc w:val="right"/>
            </w:pPr>
            <w:r>
              <w:rPr>
                <w:rFonts w:hint="eastAsia"/>
              </w:rPr>
              <w:t>-47,319,844.87</w:t>
            </w:r>
          </w:p>
        </w:tc>
      </w:tr>
      <w:tr w14:paraId="49B72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02B28C">
            <w:r>
              <w:rPr>
                <w:rFonts w:hint="eastAsia"/>
              </w:rPr>
              <w:t>4.汇兑收益（损失以“－”号填列）</w:t>
            </w:r>
          </w:p>
        </w:tc>
        <w:tc>
          <w:tcPr>
            <w:tcW w:w="2768" w:type="dxa"/>
            <w:vAlign w:val="center"/>
          </w:tcPr>
          <w:p w14:paraId="09A29F2D"/>
        </w:tc>
        <w:tc>
          <w:tcPr>
            <w:tcW w:w="2768" w:type="dxa"/>
            <w:vAlign w:val="center"/>
          </w:tcPr>
          <w:p w14:paraId="27E00601">
            <w:pPr>
              <w:jc w:val="right"/>
            </w:pPr>
            <w:r>
              <w:rPr>
                <w:rFonts w:hint="eastAsia"/>
              </w:rPr>
              <w:t>-1,109,818.97</w:t>
            </w:r>
          </w:p>
        </w:tc>
      </w:tr>
      <w:tr w14:paraId="4F0F7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EFE14B">
            <w:r>
              <w:rPr>
                <w:rFonts w:hint="eastAsia"/>
              </w:rPr>
              <w:t>5.其他收入（损失以“-”号填列）</w:t>
            </w:r>
          </w:p>
        </w:tc>
        <w:tc>
          <w:tcPr>
            <w:tcW w:w="2768" w:type="dxa"/>
            <w:vAlign w:val="center"/>
          </w:tcPr>
          <w:p w14:paraId="70F1523F">
            <w:r>
              <w:rPr>
                <w:rFonts w:hint="eastAsia"/>
              </w:rPr>
              <w:t>7.4.7.17</w:t>
            </w:r>
          </w:p>
        </w:tc>
        <w:tc>
          <w:tcPr>
            <w:tcW w:w="2768" w:type="dxa"/>
            <w:vAlign w:val="center"/>
          </w:tcPr>
          <w:p w14:paraId="78770113">
            <w:pPr>
              <w:jc w:val="right"/>
            </w:pPr>
            <w:r>
              <w:rPr>
                <w:rFonts w:hint="eastAsia"/>
              </w:rPr>
              <w:t>323,397.48</w:t>
            </w:r>
          </w:p>
        </w:tc>
      </w:tr>
      <w:tr w14:paraId="59250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A7E02F">
            <w:r>
              <w:rPr>
                <w:rFonts w:hint="eastAsia"/>
              </w:rPr>
              <w:t>减：二、营业总支出</w:t>
            </w:r>
          </w:p>
        </w:tc>
        <w:tc>
          <w:tcPr>
            <w:tcW w:w="2768" w:type="dxa"/>
            <w:vAlign w:val="center"/>
          </w:tcPr>
          <w:p w14:paraId="4485AE6C"/>
        </w:tc>
        <w:tc>
          <w:tcPr>
            <w:tcW w:w="2768" w:type="dxa"/>
            <w:vAlign w:val="center"/>
          </w:tcPr>
          <w:p w14:paraId="2A281B66">
            <w:pPr>
              <w:jc w:val="right"/>
            </w:pPr>
            <w:r>
              <w:rPr>
                <w:rFonts w:hint="eastAsia"/>
              </w:rPr>
              <w:t>380,413.78</w:t>
            </w:r>
          </w:p>
        </w:tc>
      </w:tr>
      <w:tr w14:paraId="2A07B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FFF072">
            <w:r>
              <w:rPr>
                <w:rFonts w:hint="eastAsia"/>
              </w:rPr>
              <w:t>1.管理人报酬</w:t>
            </w:r>
          </w:p>
        </w:tc>
        <w:tc>
          <w:tcPr>
            <w:tcW w:w="2768" w:type="dxa"/>
            <w:vAlign w:val="center"/>
          </w:tcPr>
          <w:p w14:paraId="1C9218C1">
            <w:r>
              <w:rPr>
                <w:rFonts w:hint="eastAsia"/>
              </w:rPr>
              <w:t>7.4.10.2.1</w:t>
            </w:r>
          </w:p>
        </w:tc>
        <w:tc>
          <w:tcPr>
            <w:tcW w:w="2768" w:type="dxa"/>
            <w:vAlign w:val="center"/>
          </w:tcPr>
          <w:p w14:paraId="1E6BE9FD">
            <w:pPr>
              <w:jc w:val="right"/>
            </w:pPr>
            <w:r>
              <w:rPr>
                <w:rFonts w:hint="eastAsia"/>
              </w:rPr>
              <w:t>254,685.16</w:t>
            </w:r>
          </w:p>
        </w:tc>
      </w:tr>
      <w:tr w14:paraId="32BF4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D42874">
            <w:r>
              <w:rPr>
                <w:rFonts w:hint="eastAsia"/>
              </w:rPr>
              <w:t>其中：暂估管理人报酬</w:t>
            </w:r>
          </w:p>
        </w:tc>
        <w:tc>
          <w:tcPr>
            <w:tcW w:w="2768" w:type="dxa"/>
            <w:vAlign w:val="center"/>
          </w:tcPr>
          <w:p w14:paraId="6343DE01"/>
        </w:tc>
        <w:tc>
          <w:tcPr>
            <w:tcW w:w="2768" w:type="dxa"/>
            <w:vAlign w:val="center"/>
          </w:tcPr>
          <w:p w14:paraId="2A169156">
            <w:pPr>
              <w:jc w:val="right"/>
            </w:pPr>
            <w:r>
              <w:rPr>
                <w:rFonts w:hint="eastAsia"/>
              </w:rPr>
              <w:t>-</w:t>
            </w:r>
          </w:p>
        </w:tc>
      </w:tr>
      <w:tr w14:paraId="50D6A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6BA18F">
            <w:r>
              <w:rPr>
                <w:rFonts w:hint="eastAsia"/>
              </w:rPr>
              <w:t>2.托管费</w:t>
            </w:r>
          </w:p>
        </w:tc>
        <w:tc>
          <w:tcPr>
            <w:tcW w:w="2768" w:type="dxa"/>
            <w:vAlign w:val="center"/>
          </w:tcPr>
          <w:p w14:paraId="05B41ED8">
            <w:r>
              <w:rPr>
                <w:rFonts w:hint="eastAsia"/>
              </w:rPr>
              <w:t>7.4.10.2.2</w:t>
            </w:r>
          </w:p>
        </w:tc>
        <w:tc>
          <w:tcPr>
            <w:tcW w:w="2768" w:type="dxa"/>
            <w:vAlign w:val="center"/>
          </w:tcPr>
          <w:p w14:paraId="336F4E44">
            <w:pPr>
              <w:jc w:val="right"/>
            </w:pPr>
            <w:r>
              <w:rPr>
                <w:rFonts w:hint="eastAsia"/>
              </w:rPr>
              <w:t>84,895.05</w:t>
            </w:r>
          </w:p>
        </w:tc>
      </w:tr>
      <w:tr w14:paraId="4C873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B541A1">
            <w:r>
              <w:rPr>
                <w:rFonts w:hint="eastAsia"/>
              </w:rPr>
              <w:t>3.销售服务费</w:t>
            </w:r>
          </w:p>
        </w:tc>
        <w:tc>
          <w:tcPr>
            <w:tcW w:w="2768" w:type="dxa"/>
            <w:vAlign w:val="center"/>
          </w:tcPr>
          <w:p w14:paraId="6B20060D">
            <w:r>
              <w:rPr>
                <w:rFonts w:hint="eastAsia"/>
              </w:rPr>
              <w:t>7.4.10.2.3</w:t>
            </w:r>
          </w:p>
        </w:tc>
        <w:tc>
          <w:tcPr>
            <w:tcW w:w="2768" w:type="dxa"/>
            <w:vAlign w:val="center"/>
          </w:tcPr>
          <w:p w14:paraId="5EA3C794">
            <w:pPr>
              <w:jc w:val="right"/>
            </w:pPr>
            <w:r>
              <w:rPr>
                <w:rFonts w:hint="eastAsia"/>
              </w:rPr>
              <w:t>-</w:t>
            </w:r>
          </w:p>
        </w:tc>
      </w:tr>
      <w:tr w14:paraId="4703F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0F096C">
            <w:r>
              <w:rPr>
                <w:rFonts w:hint="eastAsia"/>
              </w:rPr>
              <w:t>4.投资顾问费</w:t>
            </w:r>
          </w:p>
        </w:tc>
        <w:tc>
          <w:tcPr>
            <w:tcW w:w="2768" w:type="dxa"/>
            <w:vAlign w:val="center"/>
          </w:tcPr>
          <w:p w14:paraId="2EE40F85"/>
        </w:tc>
        <w:tc>
          <w:tcPr>
            <w:tcW w:w="2768" w:type="dxa"/>
            <w:vAlign w:val="center"/>
          </w:tcPr>
          <w:p w14:paraId="27A97059">
            <w:pPr>
              <w:jc w:val="right"/>
            </w:pPr>
            <w:r>
              <w:rPr>
                <w:rFonts w:hint="eastAsia"/>
              </w:rPr>
              <w:t>-</w:t>
            </w:r>
          </w:p>
        </w:tc>
      </w:tr>
      <w:tr w14:paraId="16445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17E676">
            <w:r>
              <w:rPr>
                <w:rFonts w:hint="eastAsia"/>
              </w:rPr>
              <w:t>5.利息支出</w:t>
            </w:r>
          </w:p>
        </w:tc>
        <w:tc>
          <w:tcPr>
            <w:tcW w:w="2768" w:type="dxa"/>
            <w:vAlign w:val="center"/>
          </w:tcPr>
          <w:p w14:paraId="75CAF8E2"/>
        </w:tc>
        <w:tc>
          <w:tcPr>
            <w:tcW w:w="2768" w:type="dxa"/>
            <w:vAlign w:val="center"/>
          </w:tcPr>
          <w:p w14:paraId="316AEDAC">
            <w:pPr>
              <w:jc w:val="right"/>
            </w:pPr>
            <w:r>
              <w:rPr>
                <w:rFonts w:hint="eastAsia"/>
              </w:rPr>
              <w:t>-</w:t>
            </w:r>
          </w:p>
        </w:tc>
      </w:tr>
      <w:tr w14:paraId="05D60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F779F6">
            <w:r>
              <w:rPr>
                <w:rFonts w:hint="eastAsia"/>
              </w:rPr>
              <w:t>其中：卖出回购金融资产支出</w:t>
            </w:r>
          </w:p>
        </w:tc>
        <w:tc>
          <w:tcPr>
            <w:tcW w:w="2768" w:type="dxa"/>
            <w:vAlign w:val="center"/>
          </w:tcPr>
          <w:p w14:paraId="1B29450E"/>
        </w:tc>
        <w:tc>
          <w:tcPr>
            <w:tcW w:w="2768" w:type="dxa"/>
            <w:vAlign w:val="center"/>
          </w:tcPr>
          <w:p w14:paraId="0D190F29">
            <w:pPr>
              <w:jc w:val="right"/>
            </w:pPr>
            <w:r>
              <w:rPr>
                <w:rFonts w:hint="eastAsia"/>
              </w:rPr>
              <w:t>-</w:t>
            </w:r>
          </w:p>
        </w:tc>
      </w:tr>
      <w:tr w14:paraId="6A451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0EA9E8">
            <w:r>
              <w:rPr>
                <w:rFonts w:hint="eastAsia"/>
              </w:rPr>
              <w:t>6.信用减值损失</w:t>
            </w:r>
          </w:p>
        </w:tc>
        <w:tc>
          <w:tcPr>
            <w:tcW w:w="2768" w:type="dxa"/>
            <w:vAlign w:val="center"/>
          </w:tcPr>
          <w:p w14:paraId="146AA6EC"/>
        </w:tc>
        <w:tc>
          <w:tcPr>
            <w:tcW w:w="2768" w:type="dxa"/>
            <w:vAlign w:val="center"/>
          </w:tcPr>
          <w:p w14:paraId="7B5727D0">
            <w:pPr>
              <w:jc w:val="right"/>
            </w:pPr>
            <w:r>
              <w:rPr>
                <w:rFonts w:hint="eastAsia"/>
              </w:rPr>
              <w:t>-</w:t>
            </w:r>
          </w:p>
        </w:tc>
      </w:tr>
      <w:tr w14:paraId="45E78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05D52E">
            <w:r>
              <w:rPr>
                <w:rFonts w:hint="eastAsia"/>
              </w:rPr>
              <w:t>7.税金及附加</w:t>
            </w:r>
          </w:p>
        </w:tc>
        <w:tc>
          <w:tcPr>
            <w:tcW w:w="2768" w:type="dxa"/>
            <w:vAlign w:val="center"/>
          </w:tcPr>
          <w:p w14:paraId="51228A73"/>
        </w:tc>
        <w:tc>
          <w:tcPr>
            <w:tcW w:w="2768" w:type="dxa"/>
            <w:vAlign w:val="center"/>
          </w:tcPr>
          <w:p w14:paraId="6CF17392">
            <w:pPr>
              <w:jc w:val="right"/>
            </w:pPr>
            <w:r>
              <w:rPr>
                <w:rFonts w:hint="eastAsia"/>
              </w:rPr>
              <w:t>-</w:t>
            </w:r>
          </w:p>
        </w:tc>
      </w:tr>
      <w:tr w14:paraId="43564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32E7D3">
            <w:r>
              <w:rPr>
                <w:rFonts w:hint="eastAsia"/>
              </w:rPr>
              <w:t>8.其他费用</w:t>
            </w:r>
          </w:p>
        </w:tc>
        <w:tc>
          <w:tcPr>
            <w:tcW w:w="2768" w:type="dxa"/>
            <w:vAlign w:val="center"/>
          </w:tcPr>
          <w:p w14:paraId="65E40C7D">
            <w:r>
              <w:rPr>
                <w:rFonts w:hint="eastAsia"/>
              </w:rPr>
              <w:t>7.4.7.18</w:t>
            </w:r>
          </w:p>
        </w:tc>
        <w:tc>
          <w:tcPr>
            <w:tcW w:w="2768" w:type="dxa"/>
            <w:vAlign w:val="center"/>
          </w:tcPr>
          <w:p w14:paraId="17107F8C">
            <w:pPr>
              <w:jc w:val="right"/>
            </w:pPr>
            <w:r>
              <w:rPr>
                <w:rFonts w:hint="eastAsia"/>
              </w:rPr>
              <w:t>40,833.57</w:t>
            </w:r>
          </w:p>
        </w:tc>
      </w:tr>
      <w:tr w14:paraId="7B461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FA780A">
            <w:r>
              <w:rPr>
                <w:rFonts w:hint="eastAsia"/>
              </w:rPr>
              <w:t>三、利润总额（亏损总额以“-”号填列）</w:t>
            </w:r>
          </w:p>
        </w:tc>
        <w:tc>
          <w:tcPr>
            <w:tcW w:w="2768" w:type="dxa"/>
            <w:vAlign w:val="center"/>
          </w:tcPr>
          <w:p w14:paraId="38C99CBC"/>
        </w:tc>
        <w:tc>
          <w:tcPr>
            <w:tcW w:w="2768" w:type="dxa"/>
            <w:vAlign w:val="center"/>
          </w:tcPr>
          <w:p w14:paraId="098C1413">
            <w:pPr>
              <w:jc w:val="right"/>
            </w:pPr>
            <w:r>
              <w:rPr>
                <w:rFonts w:hint="eastAsia"/>
              </w:rPr>
              <w:t>-51,519,237.55</w:t>
            </w:r>
          </w:p>
        </w:tc>
      </w:tr>
      <w:tr w14:paraId="4040C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956BDF">
            <w:r>
              <w:rPr>
                <w:rFonts w:hint="eastAsia"/>
              </w:rPr>
              <w:t>减：所得税费用</w:t>
            </w:r>
          </w:p>
        </w:tc>
        <w:tc>
          <w:tcPr>
            <w:tcW w:w="2768" w:type="dxa"/>
            <w:vAlign w:val="center"/>
          </w:tcPr>
          <w:p w14:paraId="1D060839"/>
        </w:tc>
        <w:tc>
          <w:tcPr>
            <w:tcW w:w="2768" w:type="dxa"/>
            <w:vAlign w:val="center"/>
          </w:tcPr>
          <w:p w14:paraId="48D3EDDB">
            <w:pPr>
              <w:jc w:val="right"/>
            </w:pPr>
            <w:r>
              <w:rPr>
                <w:rFonts w:hint="eastAsia"/>
              </w:rPr>
              <w:t>-</w:t>
            </w:r>
          </w:p>
        </w:tc>
      </w:tr>
      <w:tr w14:paraId="557D1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3D477A">
            <w:r>
              <w:rPr>
                <w:rFonts w:hint="eastAsia"/>
              </w:rPr>
              <w:t>四、净利润（净亏损以“-”号填列）</w:t>
            </w:r>
          </w:p>
        </w:tc>
        <w:tc>
          <w:tcPr>
            <w:tcW w:w="2768" w:type="dxa"/>
            <w:vAlign w:val="center"/>
          </w:tcPr>
          <w:p w14:paraId="66E38286"/>
        </w:tc>
        <w:tc>
          <w:tcPr>
            <w:tcW w:w="2768" w:type="dxa"/>
            <w:vAlign w:val="center"/>
          </w:tcPr>
          <w:p w14:paraId="48C49288">
            <w:pPr>
              <w:jc w:val="right"/>
            </w:pPr>
            <w:r>
              <w:rPr>
                <w:rFonts w:hint="eastAsia"/>
              </w:rPr>
              <w:t>-51,519,237.55</w:t>
            </w:r>
          </w:p>
        </w:tc>
      </w:tr>
      <w:tr w14:paraId="5651E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7ABC6F">
            <w:r>
              <w:rPr>
                <w:rFonts w:hint="eastAsia"/>
              </w:rPr>
              <w:t>五、其他综合收益的税后净额</w:t>
            </w:r>
          </w:p>
        </w:tc>
        <w:tc>
          <w:tcPr>
            <w:tcW w:w="2768" w:type="dxa"/>
            <w:vAlign w:val="center"/>
          </w:tcPr>
          <w:p w14:paraId="3B7CF2F9"/>
        </w:tc>
        <w:tc>
          <w:tcPr>
            <w:tcW w:w="2768" w:type="dxa"/>
            <w:vAlign w:val="center"/>
          </w:tcPr>
          <w:p w14:paraId="555E3817">
            <w:pPr>
              <w:jc w:val="right"/>
            </w:pPr>
            <w:r>
              <w:rPr>
                <w:rFonts w:hint="eastAsia"/>
              </w:rPr>
              <w:t>-</w:t>
            </w:r>
          </w:p>
        </w:tc>
      </w:tr>
      <w:tr w14:paraId="4191D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9C38AE">
            <w:r>
              <w:rPr>
                <w:rFonts w:hint="eastAsia"/>
              </w:rPr>
              <w:t>六、综合收益总额</w:t>
            </w:r>
          </w:p>
        </w:tc>
        <w:tc>
          <w:tcPr>
            <w:tcW w:w="2768" w:type="dxa"/>
            <w:vAlign w:val="center"/>
          </w:tcPr>
          <w:p w14:paraId="3F0F6A13"/>
        </w:tc>
        <w:tc>
          <w:tcPr>
            <w:tcW w:w="2768" w:type="dxa"/>
            <w:vAlign w:val="center"/>
          </w:tcPr>
          <w:p w14:paraId="4D4E600B">
            <w:pPr>
              <w:jc w:val="right"/>
            </w:pPr>
            <w:r>
              <w:rPr>
                <w:rFonts w:hint="eastAsia"/>
              </w:rPr>
              <w:t>-51,519,237.55</w:t>
            </w:r>
          </w:p>
        </w:tc>
      </w:tr>
    </w:tbl>
    <w:p w14:paraId="29859EBF">
      <w:pPr>
        <w:pStyle w:val="23"/>
      </w:pPr>
      <w:bookmarkStart w:id="49" w:name="_Toc8847"/>
      <w:r>
        <w:t>净资产变动表</w:t>
      </w:r>
      <w:bookmarkEnd w:id="49"/>
    </w:p>
    <w:p w14:paraId="449CEDF7">
      <w:pPr>
        <w:pStyle w:val="18"/>
        <w:rPr>
          <w:rFonts w:hint="eastAsia"/>
        </w:rPr>
      </w:pPr>
      <w:r>
        <w:rPr>
          <w:rFonts w:hint="eastAsia"/>
        </w:rPr>
        <w:t>会计主体：南方恒生科技交易型开放式指数证券投资基金（QDII）</w:t>
      </w:r>
    </w:p>
    <w:p w14:paraId="7FEAABA3">
      <w:pPr>
        <w:pStyle w:val="18"/>
        <w:rPr>
          <w:rFonts w:hint="eastAsia"/>
        </w:rPr>
      </w:pPr>
      <w:r>
        <w:rPr>
          <w:rFonts w:hint="eastAsia"/>
        </w:rPr>
        <w:t>本报告期：2025年10月29日(基金合同生效日)至2025年12月31日</w:t>
      </w:r>
    </w:p>
    <w:p w14:paraId="59DED38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6279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ACC4DFA">
            <w:pPr>
              <w:jc w:val="center"/>
            </w:pPr>
            <w:r>
              <w:rPr>
                <w:rFonts w:hint="eastAsia"/>
                <w:b/>
              </w:rPr>
              <w:t>项目</w:t>
            </w:r>
          </w:p>
        </w:tc>
        <w:tc>
          <w:tcPr>
            <w:tcW w:w="1661" w:type="dxa"/>
            <w:gridSpan w:val="4"/>
            <w:shd w:val="clear" w:color="auto" w:fill="BFBFBF"/>
            <w:vAlign w:val="center"/>
          </w:tcPr>
          <w:p w14:paraId="71E2C1A9">
            <w:pPr>
              <w:jc w:val="center"/>
            </w:pPr>
            <w:r>
              <w:rPr>
                <w:rFonts w:hint="eastAsia"/>
                <w:b/>
              </w:rPr>
              <w:t>本期2025年10月29日（基金合同生效日）至2025年12月31日</w:t>
            </w:r>
          </w:p>
        </w:tc>
      </w:tr>
      <w:tr w14:paraId="1F7E1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3A7FE50"/>
        </w:tc>
        <w:tc>
          <w:tcPr>
            <w:tcW w:w="1661" w:type="dxa"/>
            <w:shd w:val="clear" w:color="auto" w:fill="BFBFBF"/>
            <w:vAlign w:val="center"/>
          </w:tcPr>
          <w:p w14:paraId="3D7C7DDA">
            <w:pPr>
              <w:jc w:val="center"/>
            </w:pPr>
            <w:r>
              <w:rPr>
                <w:rFonts w:hint="eastAsia"/>
                <w:b/>
              </w:rPr>
              <w:t>实收基金</w:t>
            </w:r>
          </w:p>
        </w:tc>
        <w:tc>
          <w:tcPr>
            <w:tcW w:w="1661" w:type="dxa"/>
            <w:shd w:val="clear" w:color="auto" w:fill="BFBFBF"/>
            <w:vAlign w:val="center"/>
          </w:tcPr>
          <w:p w14:paraId="68D774A8">
            <w:pPr>
              <w:jc w:val="center"/>
            </w:pPr>
            <w:r>
              <w:rPr>
                <w:rFonts w:hint="eastAsia"/>
                <w:b/>
              </w:rPr>
              <w:t>其他综合收益</w:t>
            </w:r>
          </w:p>
        </w:tc>
        <w:tc>
          <w:tcPr>
            <w:tcW w:w="1661" w:type="dxa"/>
            <w:shd w:val="clear" w:color="auto" w:fill="BFBFBF"/>
            <w:vAlign w:val="center"/>
          </w:tcPr>
          <w:p w14:paraId="139B8D69">
            <w:pPr>
              <w:jc w:val="center"/>
            </w:pPr>
            <w:r>
              <w:rPr>
                <w:rFonts w:hint="eastAsia"/>
                <w:b/>
              </w:rPr>
              <w:t>未分配利润</w:t>
            </w:r>
          </w:p>
        </w:tc>
        <w:tc>
          <w:tcPr>
            <w:tcW w:w="1661" w:type="dxa"/>
            <w:shd w:val="clear" w:color="auto" w:fill="BFBFBF"/>
            <w:vAlign w:val="center"/>
          </w:tcPr>
          <w:p w14:paraId="2F6F9337">
            <w:pPr>
              <w:jc w:val="center"/>
            </w:pPr>
            <w:r>
              <w:rPr>
                <w:rFonts w:hint="eastAsia"/>
                <w:b/>
              </w:rPr>
              <w:t>净资产合计</w:t>
            </w:r>
          </w:p>
        </w:tc>
      </w:tr>
      <w:tr w14:paraId="5138C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82A719">
            <w:r>
              <w:rPr>
                <w:rFonts w:hint="eastAsia"/>
              </w:rPr>
              <w:t>一、上期期末净资产</w:t>
            </w:r>
          </w:p>
        </w:tc>
        <w:tc>
          <w:tcPr>
            <w:tcW w:w="1661" w:type="dxa"/>
            <w:vAlign w:val="center"/>
          </w:tcPr>
          <w:p w14:paraId="72315292">
            <w:pPr>
              <w:jc w:val="right"/>
            </w:pPr>
            <w:r>
              <w:rPr>
                <w:rFonts w:hint="eastAsia"/>
              </w:rPr>
              <w:t>-</w:t>
            </w:r>
          </w:p>
        </w:tc>
        <w:tc>
          <w:tcPr>
            <w:tcW w:w="1661" w:type="dxa"/>
            <w:vAlign w:val="center"/>
          </w:tcPr>
          <w:p w14:paraId="6C01BE89">
            <w:pPr>
              <w:jc w:val="right"/>
            </w:pPr>
            <w:r>
              <w:rPr>
                <w:rFonts w:hint="eastAsia"/>
              </w:rPr>
              <w:t>-</w:t>
            </w:r>
          </w:p>
        </w:tc>
        <w:tc>
          <w:tcPr>
            <w:tcW w:w="1661" w:type="dxa"/>
            <w:vAlign w:val="center"/>
          </w:tcPr>
          <w:p w14:paraId="4D3A54D3">
            <w:pPr>
              <w:jc w:val="right"/>
            </w:pPr>
            <w:r>
              <w:rPr>
                <w:rFonts w:hint="eastAsia"/>
              </w:rPr>
              <w:t>-</w:t>
            </w:r>
          </w:p>
        </w:tc>
        <w:tc>
          <w:tcPr>
            <w:tcW w:w="1661" w:type="dxa"/>
            <w:vAlign w:val="center"/>
          </w:tcPr>
          <w:p w14:paraId="59F40612">
            <w:pPr>
              <w:jc w:val="right"/>
            </w:pPr>
            <w:r>
              <w:rPr>
                <w:rFonts w:hint="eastAsia"/>
              </w:rPr>
              <w:t>-</w:t>
            </w:r>
          </w:p>
        </w:tc>
      </w:tr>
      <w:tr w14:paraId="28211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41B315">
            <w:r>
              <w:rPr>
                <w:rFonts w:hint="eastAsia"/>
              </w:rPr>
              <w:t>加：会计政策变更</w:t>
            </w:r>
          </w:p>
        </w:tc>
        <w:tc>
          <w:tcPr>
            <w:tcW w:w="1661" w:type="dxa"/>
            <w:vAlign w:val="center"/>
          </w:tcPr>
          <w:p w14:paraId="77513BF7">
            <w:pPr>
              <w:jc w:val="right"/>
            </w:pPr>
            <w:r>
              <w:rPr>
                <w:rFonts w:hint="eastAsia"/>
              </w:rPr>
              <w:t>-</w:t>
            </w:r>
          </w:p>
        </w:tc>
        <w:tc>
          <w:tcPr>
            <w:tcW w:w="1661" w:type="dxa"/>
            <w:vAlign w:val="center"/>
          </w:tcPr>
          <w:p w14:paraId="224FA78B">
            <w:pPr>
              <w:jc w:val="right"/>
            </w:pPr>
            <w:r>
              <w:rPr>
                <w:rFonts w:hint="eastAsia"/>
              </w:rPr>
              <w:t>-</w:t>
            </w:r>
          </w:p>
        </w:tc>
        <w:tc>
          <w:tcPr>
            <w:tcW w:w="1661" w:type="dxa"/>
            <w:vAlign w:val="center"/>
          </w:tcPr>
          <w:p w14:paraId="6BFB1D3D">
            <w:pPr>
              <w:jc w:val="right"/>
            </w:pPr>
            <w:r>
              <w:rPr>
                <w:rFonts w:hint="eastAsia"/>
              </w:rPr>
              <w:t>-</w:t>
            </w:r>
          </w:p>
        </w:tc>
        <w:tc>
          <w:tcPr>
            <w:tcW w:w="1661" w:type="dxa"/>
            <w:vAlign w:val="center"/>
          </w:tcPr>
          <w:p w14:paraId="5CB845B7">
            <w:pPr>
              <w:jc w:val="right"/>
            </w:pPr>
            <w:r>
              <w:rPr>
                <w:rFonts w:hint="eastAsia"/>
              </w:rPr>
              <w:t>-</w:t>
            </w:r>
          </w:p>
        </w:tc>
      </w:tr>
      <w:tr w14:paraId="5C521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368A87">
            <w:r>
              <w:rPr>
                <w:rFonts w:hint="eastAsia"/>
              </w:rPr>
              <w:t xml:space="preserve">    前期差错更正</w:t>
            </w:r>
          </w:p>
        </w:tc>
        <w:tc>
          <w:tcPr>
            <w:tcW w:w="1661" w:type="dxa"/>
            <w:vAlign w:val="center"/>
          </w:tcPr>
          <w:p w14:paraId="2E061174">
            <w:pPr>
              <w:jc w:val="right"/>
            </w:pPr>
            <w:r>
              <w:rPr>
                <w:rFonts w:hint="eastAsia"/>
              </w:rPr>
              <w:t>-</w:t>
            </w:r>
          </w:p>
        </w:tc>
        <w:tc>
          <w:tcPr>
            <w:tcW w:w="1661" w:type="dxa"/>
            <w:vAlign w:val="center"/>
          </w:tcPr>
          <w:p w14:paraId="1DE3C6F2">
            <w:pPr>
              <w:jc w:val="right"/>
            </w:pPr>
            <w:r>
              <w:rPr>
                <w:rFonts w:hint="eastAsia"/>
              </w:rPr>
              <w:t>-</w:t>
            </w:r>
          </w:p>
        </w:tc>
        <w:tc>
          <w:tcPr>
            <w:tcW w:w="1661" w:type="dxa"/>
            <w:vAlign w:val="center"/>
          </w:tcPr>
          <w:p w14:paraId="1413AC99">
            <w:pPr>
              <w:jc w:val="right"/>
            </w:pPr>
            <w:r>
              <w:rPr>
                <w:rFonts w:hint="eastAsia"/>
              </w:rPr>
              <w:t>-</w:t>
            </w:r>
          </w:p>
        </w:tc>
        <w:tc>
          <w:tcPr>
            <w:tcW w:w="1661" w:type="dxa"/>
            <w:vAlign w:val="center"/>
          </w:tcPr>
          <w:p w14:paraId="1DAA040E">
            <w:pPr>
              <w:jc w:val="right"/>
            </w:pPr>
            <w:r>
              <w:rPr>
                <w:rFonts w:hint="eastAsia"/>
              </w:rPr>
              <w:t>-</w:t>
            </w:r>
          </w:p>
        </w:tc>
      </w:tr>
      <w:tr w14:paraId="0B8D4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42A340">
            <w:r>
              <w:rPr>
                <w:rFonts w:hint="eastAsia"/>
              </w:rPr>
              <w:t xml:space="preserve">    其他</w:t>
            </w:r>
          </w:p>
        </w:tc>
        <w:tc>
          <w:tcPr>
            <w:tcW w:w="1661" w:type="dxa"/>
            <w:vAlign w:val="center"/>
          </w:tcPr>
          <w:p w14:paraId="32D95C2E">
            <w:pPr>
              <w:jc w:val="right"/>
            </w:pPr>
            <w:r>
              <w:rPr>
                <w:rFonts w:hint="eastAsia"/>
              </w:rPr>
              <w:t>-</w:t>
            </w:r>
          </w:p>
        </w:tc>
        <w:tc>
          <w:tcPr>
            <w:tcW w:w="1661" w:type="dxa"/>
            <w:vAlign w:val="center"/>
          </w:tcPr>
          <w:p w14:paraId="58954061">
            <w:pPr>
              <w:jc w:val="right"/>
            </w:pPr>
            <w:r>
              <w:rPr>
                <w:rFonts w:hint="eastAsia"/>
              </w:rPr>
              <w:t>-</w:t>
            </w:r>
          </w:p>
        </w:tc>
        <w:tc>
          <w:tcPr>
            <w:tcW w:w="1661" w:type="dxa"/>
            <w:vAlign w:val="center"/>
          </w:tcPr>
          <w:p w14:paraId="3E52B805">
            <w:pPr>
              <w:jc w:val="right"/>
            </w:pPr>
            <w:r>
              <w:rPr>
                <w:rFonts w:hint="eastAsia"/>
              </w:rPr>
              <w:t>-</w:t>
            </w:r>
          </w:p>
        </w:tc>
        <w:tc>
          <w:tcPr>
            <w:tcW w:w="1661" w:type="dxa"/>
            <w:vAlign w:val="center"/>
          </w:tcPr>
          <w:p w14:paraId="299F6CA7">
            <w:pPr>
              <w:jc w:val="right"/>
            </w:pPr>
            <w:r>
              <w:rPr>
                <w:rFonts w:hint="eastAsia"/>
              </w:rPr>
              <w:t>-</w:t>
            </w:r>
          </w:p>
        </w:tc>
      </w:tr>
      <w:tr w14:paraId="53749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014F43">
            <w:r>
              <w:rPr>
                <w:rFonts w:hint="eastAsia"/>
              </w:rPr>
              <w:t>二、本期期初净资产</w:t>
            </w:r>
          </w:p>
        </w:tc>
        <w:tc>
          <w:tcPr>
            <w:tcW w:w="1661" w:type="dxa"/>
            <w:vAlign w:val="center"/>
          </w:tcPr>
          <w:p w14:paraId="3946702E">
            <w:pPr>
              <w:jc w:val="right"/>
            </w:pPr>
            <w:r>
              <w:rPr>
                <w:rFonts w:hint="eastAsia"/>
              </w:rPr>
              <w:t>451,876,000.00</w:t>
            </w:r>
          </w:p>
        </w:tc>
        <w:tc>
          <w:tcPr>
            <w:tcW w:w="1661" w:type="dxa"/>
            <w:vAlign w:val="center"/>
          </w:tcPr>
          <w:p w14:paraId="2D3DDC3F">
            <w:pPr>
              <w:jc w:val="right"/>
            </w:pPr>
            <w:r>
              <w:rPr>
                <w:rFonts w:hint="eastAsia"/>
              </w:rPr>
              <w:t>-</w:t>
            </w:r>
          </w:p>
        </w:tc>
        <w:tc>
          <w:tcPr>
            <w:tcW w:w="1661" w:type="dxa"/>
            <w:vAlign w:val="center"/>
          </w:tcPr>
          <w:p w14:paraId="70EF30A4">
            <w:pPr>
              <w:jc w:val="right"/>
            </w:pPr>
            <w:r>
              <w:rPr>
                <w:rFonts w:hint="eastAsia"/>
              </w:rPr>
              <w:t>-</w:t>
            </w:r>
          </w:p>
        </w:tc>
        <w:tc>
          <w:tcPr>
            <w:tcW w:w="1661" w:type="dxa"/>
            <w:vAlign w:val="center"/>
          </w:tcPr>
          <w:p w14:paraId="52131A61">
            <w:pPr>
              <w:jc w:val="right"/>
            </w:pPr>
            <w:r>
              <w:rPr>
                <w:rFonts w:hint="eastAsia"/>
              </w:rPr>
              <w:t>451,876,000.00</w:t>
            </w:r>
          </w:p>
        </w:tc>
      </w:tr>
      <w:tr w14:paraId="7EAE4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9A87E4">
            <w:r>
              <w:rPr>
                <w:rFonts w:hint="eastAsia"/>
              </w:rPr>
              <w:t>三、本期增减变动额（减少以“-”号填列）</w:t>
            </w:r>
          </w:p>
        </w:tc>
        <w:tc>
          <w:tcPr>
            <w:tcW w:w="1661" w:type="dxa"/>
            <w:vAlign w:val="center"/>
          </w:tcPr>
          <w:p w14:paraId="08E23FEE">
            <w:pPr>
              <w:jc w:val="right"/>
            </w:pPr>
            <w:r>
              <w:rPr>
                <w:rFonts w:hint="eastAsia"/>
              </w:rPr>
              <w:t>1,648,000,000.00</w:t>
            </w:r>
          </w:p>
        </w:tc>
        <w:tc>
          <w:tcPr>
            <w:tcW w:w="1661" w:type="dxa"/>
            <w:vAlign w:val="center"/>
          </w:tcPr>
          <w:p w14:paraId="54285550">
            <w:pPr>
              <w:jc w:val="right"/>
            </w:pPr>
            <w:r>
              <w:rPr>
                <w:rFonts w:hint="eastAsia"/>
              </w:rPr>
              <w:t>-</w:t>
            </w:r>
          </w:p>
        </w:tc>
        <w:tc>
          <w:tcPr>
            <w:tcW w:w="1661" w:type="dxa"/>
            <w:vAlign w:val="center"/>
          </w:tcPr>
          <w:p w14:paraId="27DAD299">
            <w:pPr>
              <w:jc w:val="right"/>
            </w:pPr>
            <w:r>
              <w:rPr>
                <w:rFonts w:hint="eastAsia"/>
              </w:rPr>
              <w:t>-163,856,635.96</w:t>
            </w:r>
          </w:p>
        </w:tc>
        <w:tc>
          <w:tcPr>
            <w:tcW w:w="1661" w:type="dxa"/>
            <w:vAlign w:val="center"/>
          </w:tcPr>
          <w:p w14:paraId="3468764C">
            <w:pPr>
              <w:jc w:val="right"/>
            </w:pPr>
            <w:r>
              <w:rPr>
                <w:rFonts w:hint="eastAsia"/>
              </w:rPr>
              <w:t>1,484,143,364.04</w:t>
            </w:r>
          </w:p>
        </w:tc>
      </w:tr>
      <w:tr w14:paraId="436C9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F7B358">
            <w:r>
              <w:rPr>
                <w:rFonts w:hint="eastAsia"/>
              </w:rPr>
              <w:t>（一）、综合收益总额</w:t>
            </w:r>
          </w:p>
        </w:tc>
        <w:tc>
          <w:tcPr>
            <w:tcW w:w="1661" w:type="dxa"/>
            <w:vAlign w:val="center"/>
          </w:tcPr>
          <w:p w14:paraId="7B4C714B">
            <w:pPr>
              <w:jc w:val="right"/>
            </w:pPr>
            <w:r>
              <w:rPr>
                <w:rFonts w:hint="eastAsia"/>
              </w:rPr>
              <w:t>-</w:t>
            </w:r>
          </w:p>
        </w:tc>
        <w:tc>
          <w:tcPr>
            <w:tcW w:w="1661" w:type="dxa"/>
            <w:vAlign w:val="center"/>
          </w:tcPr>
          <w:p w14:paraId="2CFEA49B">
            <w:pPr>
              <w:jc w:val="right"/>
            </w:pPr>
            <w:r>
              <w:rPr>
                <w:rFonts w:hint="eastAsia"/>
              </w:rPr>
              <w:t>-</w:t>
            </w:r>
          </w:p>
        </w:tc>
        <w:tc>
          <w:tcPr>
            <w:tcW w:w="1661" w:type="dxa"/>
            <w:vAlign w:val="center"/>
          </w:tcPr>
          <w:p w14:paraId="6CD343CD">
            <w:pPr>
              <w:jc w:val="right"/>
            </w:pPr>
            <w:r>
              <w:rPr>
                <w:rFonts w:hint="eastAsia"/>
              </w:rPr>
              <w:t>-51,519,237.55</w:t>
            </w:r>
          </w:p>
        </w:tc>
        <w:tc>
          <w:tcPr>
            <w:tcW w:w="1661" w:type="dxa"/>
            <w:vAlign w:val="center"/>
          </w:tcPr>
          <w:p w14:paraId="6D55F849">
            <w:pPr>
              <w:jc w:val="right"/>
            </w:pPr>
            <w:r>
              <w:rPr>
                <w:rFonts w:hint="eastAsia"/>
              </w:rPr>
              <w:t>-51,519,237.55</w:t>
            </w:r>
          </w:p>
        </w:tc>
      </w:tr>
      <w:tr w14:paraId="02841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023C64">
            <w:r>
              <w:rPr>
                <w:rFonts w:hint="eastAsia"/>
              </w:rPr>
              <w:t>（二）、本期基金份额交易产生的净资产变动数（净资产减少以“-”号填列）</w:t>
            </w:r>
          </w:p>
        </w:tc>
        <w:tc>
          <w:tcPr>
            <w:tcW w:w="1661" w:type="dxa"/>
            <w:vAlign w:val="center"/>
          </w:tcPr>
          <w:p w14:paraId="3F96FB1B">
            <w:pPr>
              <w:jc w:val="right"/>
            </w:pPr>
            <w:r>
              <w:rPr>
                <w:rFonts w:hint="eastAsia"/>
              </w:rPr>
              <w:t>1,648,000,000.00</w:t>
            </w:r>
          </w:p>
        </w:tc>
        <w:tc>
          <w:tcPr>
            <w:tcW w:w="1661" w:type="dxa"/>
            <w:vAlign w:val="center"/>
          </w:tcPr>
          <w:p w14:paraId="62CB95BF">
            <w:pPr>
              <w:jc w:val="right"/>
            </w:pPr>
            <w:r>
              <w:rPr>
                <w:rFonts w:hint="eastAsia"/>
              </w:rPr>
              <w:t>-</w:t>
            </w:r>
          </w:p>
        </w:tc>
        <w:tc>
          <w:tcPr>
            <w:tcW w:w="1661" w:type="dxa"/>
            <w:vAlign w:val="center"/>
          </w:tcPr>
          <w:p w14:paraId="56E07A33">
            <w:pPr>
              <w:jc w:val="right"/>
            </w:pPr>
            <w:r>
              <w:rPr>
                <w:rFonts w:hint="eastAsia"/>
              </w:rPr>
              <w:t>-112,337,398.41</w:t>
            </w:r>
          </w:p>
        </w:tc>
        <w:tc>
          <w:tcPr>
            <w:tcW w:w="1661" w:type="dxa"/>
            <w:vAlign w:val="center"/>
          </w:tcPr>
          <w:p w14:paraId="502A1850">
            <w:pPr>
              <w:jc w:val="right"/>
            </w:pPr>
            <w:r>
              <w:rPr>
                <w:rFonts w:hint="eastAsia"/>
              </w:rPr>
              <w:t>1,535,662,601.59</w:t>
            </w:r>
          </w:p>
        </w:tc>
      </w:tr>
      <w:tr w14:paraId="0CFBC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AF10B1">
            <w:r>
              <w:rPr>
                <w:rFonts w:hint="eastAsia"/>
              </w:rPr>
              <w:t>其中：1.基金申购款</w:t>
            </w:r>
          </w:p>
        </w:tc>
        <w:tc>
          <w:tcPr>
            <w:tcW w:w="1661" w:type="dxa"/>
            <w:vAlign w:val="center"/>
          </w:tcPr>
          <w:p w14:paraId="6A5F863F">
            <w:pPr>
              <w:jc w:val="right"/>
            </w:pPr>
            <w:r>
              <w:rPr>
                <w:rFonts w:hint="eastAsia"/>
              </w:rPr>
              <w:t>1,649,000,000.00</w:t>
            </w:r>
          </w:p>
        </w:tc>
        <w:tc>
          <w:tcPr>
            <w:tcW w:w="1661" w:type="dxa"/>
            <w:vAlign w:val="center"/>
          </w:tcPr>
          <w:p w14:paraId="0F6A3B8A">
            <w:pPr>
              <w:jc w:val="right"/>
            </w:pPr>
            <w:r>
              <w:rPr>
                <w:rFonts w:hint="eastAsia"/>
              </w:rPr>
              <w:t>-</w:t>
            </w:r>
          </w:p>
        </w:tc>
        <w:tc>
          <w:tcPr>
            <w:tcW w:w="1661" w:type="dxa"/>
            <w:vAlign w:val="center"/>
          </w:tcPr>
          <w:p w14:paraId="2493EC4B">
            <w:pPr>
              <w:jc w:val="right"/>
            </w:pPr>
            <w:r>
              <w:rPr>
                <w:rFonts w:hint="eastAsia"/>
              </w:rPr>
              <w:t>-112,392,536.55</w:t>
            </w:r>
          </w:p>
        </w:tc>
        <w:tc>
          <w:tcPr>
            <w:tcW w:w="1661" w:type="dxa"/>
            <w:vAlign w:val="center"/>
          </w:tcPr>
          <w:p w14:paraId="7669E1A3">
            <w:pPr>
              <w:jc w:val="right"/>
            </w:pPr>
            <w:r>
              <w:rPr>
                <w:rFonts w:hint="eastAsia"/>
              </w:rPr>
              <w:t>1,536,607,463.45</w:t>
            </w:r>
          </w:p>
        </w:tc>
      </w:tr>
      <w:tr w14:paraId="42A6B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8B9BDE">
            <w:r>
              <w:rPr>
                <w:rFonts w:hint="eastAsia"/>
              </w:rPr>
              <w:t xml:space="preserve">      2.基金赎回款</w:t>
            </w:r>
          </w:p>
        </w:tc>
        <w:tc>
          <w:tcPr>
            <w:tcW w:w="1661" w:type="dxa"/>
            <w:vAlign w:val="center"/>
          </w:tcPr>
          <w:p w14:paraId="4A6724CB">
            <w:pPr>
              <w:jc w:val="right"/>
            </w:pPr>
            <w:r>
              <w:rPr>
                <w:rFonts w:hint="eastAsia"/>
              </w:rPr>
              <w:t>-1,000,000.00</w:t>
            </w:r>
          </w:p>
        </w:tc>
        <w:tc>
          <w:tcPr>
            <w:tcW w:w="1661" w:type="dxa"/>
            <w:vAlign w:val="center"/>
          </w:tcPr>
          <w:p w14:paraId="77812048">
            <w:pPr>
              <w:jc w:val="right"/>
            </w:pPr>
            <w:r>
              <w:rPr>
                <w:rFonts w:hint="eastAsia"/>
              </w:rPr>
              <w:t>-</w:t>
            </w:r>
          </w:p>
        </w:tc>
        <w:tc>
          <w:tcPr>
            <w:tcW w:w="1661" w:type="dxa"/>
            <w:vAlign w:val="center"/>
          </w:tcPr>
          <w:p w14:paraId="45CA27B5">
            <w:pPr>
              <w:jc w:val="right"/>
            </w:pPr>
            <w:r>
              <w:rPr>
                <w:rFonts w:hint="eastAsia"/>
              </w:rPr>
              <w:t>55,138.14</w:t>
            </w:r>
          </w:p>
        </w:tc>
        <w:tc>
          <w:tcPr>
            <w:tcW w:w="1661" w:type="dxa"/>
            <w:vAlign w:val="center"/>
          </w:tcPr>
          <w:p w14:paraId="6D879802">
            <w:pPr>
              <w:jc w:val="right"/>
            </w:pPr>
            <w:r>
              <w:rPr>
                <w:rFonts w:hint="eastAsia"/>
              </w:rPr>
              <w:t>-944,861.86</w:t>
            </w:r>
          </w:p>
        </w:tc>
      </w:tr>
      <w:tr w14:paraId="27BFD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CE7F8A">
            <w:r>
              <w:rPr>
                <w:rFonts w:hint="eastAsia"/>
              </w:rPr>
              <w:t>（三）、本期向基金份额持有人分配利润产生的净资产变动（净资产减少以“-”号填列）</w:t>
            </w:r>
          </w:p>
        </w:tc>
        <w:tc>
          <w:tcPr>
            <w:tcW w:w="1661" w:type="dxa"/>
            <w:vAlign w:val="center"/>
          </w:tcPr>
          <w:p w14:paraId="64550EFD">
            <w:pPr>
              <w:jc w:val="right"/>
            </w:pPr>
            <w:r>
              <w:rPr>
                <w:rFonts w:hint="eastAsia"/>
              </w:rPr>
              <w:t>-</w:t>
            </w:r>
          </w:p>
        </w:tc>
        <w:tc>
          <w:tcPr>
            <w:tcW w:w="1661" w:type="dxa"/>
            <w:vAlign w:val="center"/>
          </w:tcPr>
          <w:p w14:paraId="60FB00F5">
            <w:pPr>
              <w:jc w:val="right"/>
            </w:pPr>
            <w:r>
              <w:rPr>
                <w:rFonts w:hint="eastAsia"/>
              </w:rPr>
              <w:t>-</w:t>
            </w:r>
          </w:p>
        </w:tc>
        <w:tc>
          <w:tcPr>
            <w:tcW w:w="1661" w:type="dxa"/>
            <w:vAlign w:val="center"/>
          </w:tcPr>
          <w:p w14:paraId="7E24610A">
            <w:pPr>
              <w:jc w:val="right"/>
            </w:pPr>
            <w:r>
              <w:rPr>
                <w:rFonts w:hint="eastAsia"/>
              </w:rPr>
              <w:t>-</w:t>
            </w:r>
          </w:p>
        </w:tc>
        <w:tc>
          <w:tcPr>
            <w:tcW w:w="1661" w:type="dxa"/>
            <w:vAlign w:val="center"/>
          </w:tcPr>
          <w:p w14:paraId="547963D2">
            <w:pPr>
              <w:jc w:val="right"/>
            </w:pPr>
            <w:r>
              <w:rPr>
                <w:rFonts w:hint="eastAsia"/>
              </w:rPr>
              <w:t>-</w:t>
            </w:r>
          </w:p>
        </w:tc>
      </w:tr>
      <w:tr w14:paraId="1BE55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4FDDF9">
            <w:r>
              <w:rPr>
                <w:rFonts w:hint="eastAsia"/>
              </w:rPr>
              <w:t>（四）、其他综合收益结转留存收益</w:t>
            </w:r>
          </w:p>
        </w:tc>
        <w:tc>
          <w:tcPr>
            <w:tcW w:w="1661" w:type="dxa"/>
            <w:vAlign w:val="center"/>
          </w:tcPr>
          <w:p w14:paraId="42D135F8">
            <w:pPr>
              <w:jc w:val="right"/>
            </w:pPr>
            <w:r>
              <w:rPr>
                <w:rFonts w:hint="eastAsia"/>
              </w:rPr>
              <w:t>-</w:t>
            </w:r>
          </w:p>
        </w:tc>
        <w:tc>
          <w:tcPr>
            <w:tcW w:w="1661" w:type="dxa"/>
            <w:vAlign w:val="center"/>
          </w:tcPr>
          <w:p w14:paraId="75D27844">
            <w:pPr>
              <w:jc w:val="right"/>
            </w:pPr>
            <w:r>
              <w:rPr>
                <w:rFonts w:hint="eastAsia"/>
              </w:rPr>
              <w:t>-</w:t>
            </w:r>
          </w:p>
        </w:tc>
        <w:tc>
          <w:tcPr>
            <w:tcW w:w="1661" w:type="dxa"/>
            <w:vAlign w:val="center"/>
          </w:tcPr>
          <w:p w14:paraId="753B96AB">
            <w:pPr>
              <w:jc w:val="right"/>
            </w:pPr>
            <w:r>
              <w:rPr>
                <w:rFonts w:hint="eastAsia"/>
              </w:rPr>
              <w:t>-</w:t>
            </w:r>
          </w:p>
        </w:tc>
        <w:tc>
          <w:tcPr>
            <w:tcW w:w="1661" w:type="dxa"/>
            <w:vAlign w:val="center"/>
          </w:tcPr>
          <w:p w14:paraId="61146A77">
            <w:pPr>
              <w:jc w:val="right"/>
            </w:pPr>
            <w:r>
              <w:rPr>
                <w:rFonts w:hint="eastAsia"/>
              </w:rPr>
              <w:t>-</w:t>
            </w:r>
          </w:p>
        </w:tc>
      </w:tr>
      <w:tr w14:paraId="20330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675C0D">
            <w:r>
              <w:rPr>
                <w:rFonts w:hint="eastAsia"/>
              </w:rPr>
              <w:t>四、本期期末净资产</w:t>
            </w:r>
          </w:p>
        </w:tc>
        <w:tc>
          <w:tcPr>
            <w:tcW w:w="1661" w:type="dxa"/>
            <w:vAlign w:val="center"/>
          </w:tcPr>
          <w:p w14:paraId="197F4C65">
            <w:pPr>
              <w:jc w:val="right"/>
            </w:pPr>
            <w:r>
              <w:rPr>
                <w:rFonts w:hint="eastAsia"/>
              </w:rPr>
              <w:t>2,099,876,000.00</w:t>
            </w:r>
          </w:p>
        </w:tc>
        <w:tc>
          <w:tcPr>
            <w:tcW w:w="1661" w:type="dxa"/>
            <w:vAlign w:val="center"/>
          </w:tcPr>
          <w:p w14:paraId="21D8C038">
            <w:pPr>
              <w:jc w:val="right"/>
            </w:pPr>
            <w:r>
              <w:rPr>
                <w:rFonts w:hint="eastAsia"/>
              </w:rPr>
              <w:t>-</w:t>
            </w:r>
          </w:p>
        </w:tc>
        <w:tc>
          <w:tcPr>
            <w:tcW w:w="1661" w:type="dxa"/>
            <w:vAlign w:val="center"/>
          </w:tcPr>
          <w:p w14:paraId="77CE07DD">
            <w:pPr>
              <w:jc w:val="right"/>
            </w:pPr>
            <w:r>
              <w:rPr>
                <w:rFonts w:hint="eastAsia"/>
              </w:rPr>
              <w:t>-163,856,635.96</w:t>
            </w:r>
          </w:p>
        </w:tc>
        <w:tc>
          <w:tcPr>
            <w:tcW w:w="1661" w:type="dxa"/>
            <w:vAlign w:val="center"/>
          </w:tcPr>
          <w:p w14:paraId="0250F143">
            <w:pPr>
              <w:jc w:val="right"/>
            </w:pPr>
            <w:r>
              <w:rPr>
                <w:rFonts w:hint="eastAsia"/>
              </w:rPr>
              <w:t>1,936,019,364.04</w:t>
            </w:r>
          </w:p>
        </w:tc>
      </w:tr>
    </w:tbl>
    <w:p w14:paraId="3442EEC6">
      <w:pPr>
        <w:pStyle w:val="18"/>
        <w:rPr>
          <w:rFonts w:hint="eastAsia"/>
        </w:rPr>
      </w:pPr>
      <w:r>
        <w:rPr>
          <w:rFonts w:hint="eastAsia"/>
        </w:rPr>
        <w:t>报表附注为财务报表的组成部分。</w:t>
      </w:r>
    </w:p>
    <w:p w14:paraId="41046CEA">
      <w:pPr>
        <w:pStyle w:val="18"/>
        <w:rPr>
          <w:rFonts w:hint="eastAsia"/>
        </w:rPr>
      </w:pPr>
      <w:r>
        <w:rPr>
          <w:rFonts w:hint="eastAsia"/>
        </w:rPr>
        <w:t>本报告 7.1 至 7.4 财务报表由下列负责人签署：</w:t>
      </w:r>
    </w:p>
    <w:p w14:paraId="4A64F3CB">
      <w:pPr>
        <w:pStyle w:val="18"/>
        <w:rPr>
          <w:rFonts w:hint="eastAsia"/>
        </w:rPr>
      </w:pPr>
      <w:r>
        <w:rPr>
          <w:rFonts w:hint="eastAsia"/>
        </w:rPr>
        <w:t>____杨小松___           ____蔡忠评______          ____徐超____</w:t>
      </w:r>
    </w:p>
    <w:p w14:paraId="7AF3360C">
      <w:pPr>
        <w:pStyle w:val="18"/>
        <w:rPr>
          <w:rFonts w:hint="eastAsia"/>
        </w:rPr>
      </w:pPr>
      <w:r>
        <w:rPr>
          <w:rFonts w:hint="eastAsia"/>
        </w:rPr>
        <w:t>基金管理人负责人     主管会计工作负责人         会计机构负责人</w:t>
      </w:r>
    </w:p>
    <w:p w14:paraId="26E148D1">
      <w:pPr>
        <w:pStyle w:val="23"/>
      </w:pPr>
      <w:bookmarkStart w:id="50" w:name="_Toc16925"/>
      <w:r>
        <w:t>报表附注</w:t>
      </w:r>
      <w:bookmarkEnd w:id="50"/>
    </w:p>
    <w:p w14:paraId="703F978D">
      <w:pPr>
        <w:pStyle w:val="28"/>
      </w:pPr>
      <w:bookmarkStart w:id="51" w:name="_Toc51"/>
      <w:r>
        <w:t>基金基本情况</w:t>
      </w:r>
      <w:bookmarkEnd w:id="51"/>
    </w:p>
    <w:p w14:paraId="7AED3CA2">
      <w:pPr>
        <w:pStyle w:val="18"/>
        <w:rPr>
          <w:rFonts w:hint="eastAsia"/>
        </w:rPr>
      </w:pPr>
      <w:r>
        <w:rPr>
          <w:rFonts w:hint="eastAsia"/>
        </w:rPr>
        <w:t>南方恒生科技交易型开放式指数证券投资基金（QDII）（以下简称“本基金”）经中国证券监督管理委员会（简称“中国证监会”）[2025]2155号文《关于准予南方恒生科技交易型开放式指数证券投资基金（QDII）注册的批复》注册，由南方基金管理股份有限公司依照《中华人民共和国证券投资基金法》和《南方恒生科技交易型开放式指数证券投资基金（QDII）基金合同》（以下简称“基金合同”）负责公开募集。本基金为契约型的交易型开放式基金，存续期限不定，募集期间为2025年10月20日至2025年10月24日，首次设立募集不包括认购资金利息共募集人民币451,876,000.00元，经安永华明会计师事务所（特殊普通合伙）安永华明（2025）验字第70027797_H09号验资报告予以验证。经向中国证监会备案，《南方恒生科技交易型开放式指数证券投资基金（QDII）基金合同》于2025年10月29日正式生效，基金合同生效日的基金份额总额为451,876,000.00份基金份额，其中认购资金利息折合0.00份基金份额。本基金的基金管理人为南方基金管理股份有限公司，基金托管人为交通银行股份有限公司。境外托管人为香港上海汇丰银行有限公司。</w:t>
      </w:r>
    </w:p>
    <w:p w14:paraId="025610FA">
      <w:pPr>
        <w:pStyle w:val="18"/>
        <w:rPr>
          <w:rFonts w:hint="eastAsia"/>
        </w:rPr>
      </w:pPr>
      <w:r>
        <w:rPr>
          <w:rFonts w:hint="eastAsia"/>
        </w:rPr>
        <w:t>经上海证券交易所(以下简称“上交所”)上海证券交易所自律监管决定书[2025]266号审核同意，本基金451,876,000.00份基金份额于2025年11月17日在上交所挂牌交易。</w:t>
      </w:r>
    </w:p>
    <w:p w14:paraId="5D7942C1">
      <w:pPr>
        <w:pStyle w:val="18"/>
        <w:rPr>
          <w:rFonts w:hint="eastAsia"/>
        </w:rPr>
      </w:pPr>
      <w:r>
        <w:rPr>
          <w:rFonts w:hint="eastAsia"/>
        </w:rPr>
        <w:t>根据《中华人民共和国证券投资基金法》、基金合同及招募说明书的有关规定，本基金紧密跟踪恒生科技指数，追求跟踪偏离度和跟踪误差最小化。本基金主要投资于标的指数成份股、备选成份股（包括内地与香港股票市场交易互联互通机制允许买卖的规定范围内的香港联合交易所上市的股票（简称“港股通股票”）、香港联合交易所上市的其他股票和存托凭证等）。为更好地实现投资目标，本基金可少量投资于非成份股（包含主板、创业板、科创板及其他经中国证监会核准或注册发行的股票、港股通股票、香港联合交易所上市的其他股票和存托凭证等）；政府债券、公司债券（包括公司发行的金融债券）、可转换债券、可交换债券、住房按揭支持证券、资产支持证券等，以及中国证监会认可的国际金融组织发行的证券；在已与中国证监会签署双边监管合作谅解备忘录的国家或地区证券市场挂牌交易的其他普通股、优先股、全球存托凭证和美国存托凭证、房地产信托凭证；在已与中国证监会签署双边监管合作谅解备忘录的国家或地区证券监管机构登记注册的公募基金（包括ETF）；银行存款、可转让存单、商业票据、回购协议、短期政府债券等货币市场工具；股指期货、股票期权、远期合约、互换及经中国证监会认可的境外交易所上市交易的权证、期权、期货等金融衍生产品；与固定收益、股权、信用、商品指数、基金等标的物挂钩的境外结构性投资产品；以及中国证监会允许基金投资的其他金融工具。其中在投资香港市场时，本基金可通过合格境内机构投资者(QDII)境外投资额度或内地与香港股票市场交易互联互通机制进行投资。本基金可以进行境外证券借贷交易、境外正回购交易、逆回购交易。有关证券借贷交易的内容以专门签署的三方或多方协议约定为准。本基金根据相关规定可参与融资、转融通证券出借业务。如法律法规或监管机构以后允许基金投资其他品种，基金管理人在履行适当程序后，可以将其纳入投资范围。在建仓完成后，本基金投资于标的指数成份股、备选成份股的资产比例不低于基金资产净值的90%，且不低于非现金基金资产的80%，因法律法规的规定而受限制的情形除外。如法律法规或监管机构变更投资品种的投资比例限制，基金管理人在履行适当程序后，可以调整上述投资品种的投资比例。本基金每个交易日日终，在扣除股指期货合约、股票期权合约需缴纳的交易保证金后，本基金应当保持不低于交易保证金一倍的现金，其中现金不包括结算备付金、存出保证金、应收申购款等。在正常市场情况下，本基金力争日均跟踪偏离度的绝对值不超过0.35%，年跟踪误差不超过4%。本基金的业绩比较基准为：经汇率调整后的恒生科技指数收益率。</w:t>
      </w:r>
    </w:p>
    <w:p w14:paraId="349BC847">
      <w:pPr>
        <w:pStyle w:val="18"/>
        <w:rPr>
          <w:rFonts w:hint="eastAsia"/>
        </w:rPr>
      </w:pPr>
      <w:r>
        <w:rPr>
          <w:rFonts w:hint="eastAsia"/>
        </w:rPr>
        <w:t>本财务报表由本基金的基金管理人南方基金管理股份有限公司于2026年3月27日批准报出。</w:t>
      </w:r>
    </w:p>
    <w:p w14:paraId="7E908EF3">
      <w:pPr>
        <w:pStyle w:val="28"/>
      </w:pPr>
      <w:bookmarkStart w:id="52" w:name="_Toc52"/>
      <w:r>
        <w:t>会计报表的编制基础</w:t>
      </w:r>
      <w:bookmarkEnd w:id="52"/>
    </w:p>
    <w:p w14:paraId="42CBEB9E">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6B2C3097">
      <w:pPr>
        <w:pStyle w:val="18"/>
        <w:rPr>
          <w:rFonts w:hint="eastAsia"/>
        </w:rPr>
      </w:pPr>
      <w:r>
        <w:rPr>
          <w:rFonts w:hint="eastAsia"/>
        </w:rPr>
        <w:t>本财务报表以本基金持续经营为基础列报。</w:t>
      </w:r>
    </w:p>
    <w:p w14:paraId="65A314ED">
      <w:pPr>
        <w:pStyle w:val="28"/>
      </w:pPr>
      <w:bookmarkStart w:id="53" w:name="_Toc53"/>
      <w:r>
        <w:t>遵循企业会计准则及其他有关规定的声明</w:t>
      </w:r>
      <w:bookmarkEnd w:id="53"/>
    </w:p>
    <w:p w14:paraId="44E6EC38">
      <w:pPr>
        <w:pStyle w:val="18"/>
        <w:rPr>
          <w:rFonts w:hint="eastAsia"/>
        </w:rPr>
      </w:pPr>
      <w:r>
        <w:rPr>
          <w:rFonts w:hint="eastAsia"/>
        </w:rPr>
        <w:t>本财务报表符合企业会计准则的要求，真实、完整地反映了本基金于2025年12月31日的财务状况以及2025年10月29日（基金合同生效日）至2025年12月31日止的经营成果和净资产变动情况。</w:t>
      </w:r>
    </w:p>
    <w:p w14:paraId="0FE8B7D6">
      <w:pPr>
        <w:pStyle w:val="28"/>
      </w:pPr>
      <w:bookmarkStart w:id="54" w:name="_Toc54"/>
      <w:r>
        <w:t>重要会计政策和会计估计</w:t>
      </w:r>
      <w:bookmarkEnd w:id="54"/>
    </w:p>
    <w:p w14:paraId="170B833F">
      <w:pPr>
        <w:pStyle w:val="35"/>
      </w:pPr>
      <w:bookmarkStart w:id="55" w:name="_Toc55"/>
      <w:r>
        <w:t>会计年度</w:t>
      </w:r>
      <w:bookmarkEnd w:id="55"/>
    </w:p>
    <w:p w14:paraId="675D8462">
      <w:pPr>
        <w:pStyle w:val="18"/>
        <w:rPr>
          <w:rFonts w:hint="eastAsia"/>
        </w:rPr>
      </w:pPr>
      <w:r>
        <w:rPr>
          <w:rFonts w:hint="eastAsia"/>
        </w:rPr>
        <w:t>本基金会计年度采用公历年度，即每年1月1日起至12月31日止。本期财务报表的实际编制期间系自2025年10月29日（基金合同生效日）至2025年12月31日止。</w:t>
      </w:r>
    </w:p>
    <w:p w14:paraId="30C58EB4">
      <w:pPr>
        <w:pStyle w:val="35"/>
      </w:pPr>
      <w:bookmarkStart w:id="56" w:name="_Toc56"/>
      <w:r>
        <w:t>记账本位币</w:t>
      </w:r>
      <w:bookmarkEnd w:id="56"/>
    </w:p>
    <w:p w14:paraId="18C4988A">
      <w:pPr>
        <w:pStyle w:val="18"/>
        <w:rPr>
          <w:rFonts w:hint="eastAsia"/>
        </w:rPr>
      </w:pPr>
      <w:r>
        <w:rPr>
          <w:rFonts w:hint="eastAsia"/>
        </w:rPr>
        <w:t>本基金记账本位币和编制本财务报表所采用的货币均为人民币。除有特别说明外，均以人民币元为单位表示。</w:t>
      </w:r>
    </w:p>
    <w:p w14:paraId="31EDC895">
      <w:pPr>
        <w:pStyle w:val="35"/>
      </w:pPr>
      <w:bookmarkStart w:id="57" w:name="_Toc57"/>
      <w:r>
        <w:t>金融资产和金融负债的分类</w:t>
      </w:r>
      <w:bookmarkEnd w:id="57"/>
    </w:p>
    <w:p w14:paraId="623E9313">
      <w:pPr>
        <w:pStyle w:val="18"/>
        <w:rPr>
          <w:rFonts w:hint="eastAsia"/>
        </w:rPr>
      </w:pPr>
      <w:r>
        <w:rPr>
          <w:rFonts w:hint="eastAsia"/>
        </w:rPr>
        <w:t>金融工具是指形成本基金的金融资产（或负债），并形成其他单位的金融负债（或资产）或权益工具的合同。</w:t>
      </w:r>
    </w:p>
    <w:p w14:paraId="2D8784C4">
      <w:pPr>
        <w:pStyle w:val="18"/>
        <w:rPr>
          <w:rFonts w:hint="eastAsia"/>
        </w:rPr>
      </w:pPr>
      <w:r>
        <w:rPr>
          <w:rFonts w:hint="eastAsia"/>
        </w:rPr>
        <w:t>（1）金融资产分类</w:t>
      </w:r>
    </w:p>
    <w:p w14:paraId="14F1B975">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2C703C39">
      <w:pPr>
        <w:pStyle w:val="18"/>
        <w:rPr>
          <w:rFonts w:hint="eastAsia"/>
        </w:rPr>
      </w:pPr>
      <w:r>
        <w:rPr>
          <w:rFonts w:hint="eastAsia"/>
        </w:rPr>
        <w:t>（2）金融负债分类</w:t>
      </w:r>
    </w:p>
    <w:p w14:paraId="411AA1CF">
      <w:pPr>
        <w:pStyle w:val="18"/>
        <w:rPr>
          <w:rFonts w:hint="eastAsia"/>
        </w:rPr>
      </w:pPr>
      <w:r>
        <w:rPr>
          <w:rFonts w:hint="eastAsia"/>
        </w:rPr>
        <w:t>本基金的金融负债于初始确认时分类为：以公允价值计量且其变动计入当期损益的金融负债、以摊余成本计量的金融负债。</w:t>
      </w:r>
    </w:p>
    <w:p w14:paraId="69C524F6">
      <w:pPr>
        <w:pStyle w:val="35"/>
      </w:pPr>
      <w:bookmarkStart w:id="58" w:name="_Toc58"/>
      <w:r>
        <w:t>金融资产和金融负债的初始确认、后续计量和终止确认</w:t>
      </w:r>
      <w:bookmarkEnd w:id="58"/>
    </w:p>
    <w:p w14:paraId="63D2B16C">
      <w:pPr>
        <w:pStyle w:val="18"/>
        <w:rPr>
          <w:rFonts w:hint="eastAsia"/>
        </w:rPr>
      </w:pPr>
      <w:r>
        <w:rPr>
          <w:rFonts w:hint="eastAsia"/>
        </w:rPr>
        <w:t>本基金于成为金融工具合同的一方时确认一项金融资产或金融负债。</w:t>
      </w:r>
    </w:p>
    <w:p w14:paraId="4D747F3B">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6782F1D0">
      <w:pPr>
        <w:pStyle w:val="18"/>
        <w:rPr>
          <w:rFonts w:hint="eastAsia"/>
        </w:rPr>
      </w:pPr>
      <w:r>
        <w:rPr>
          <w:rFonts w:hint="eastAsia"/>
        </w:rPr>
        <w:t>划分为以摊余成本计量的金融资产和金融负债，按照取得时的公允价值作为初始确认金额，相关交易费用计入其初始确认金额。</w:t>
      </w:r>
    </w:p>
    <w:p w14:paraId="37639307">
      <w:pPr>
        <w:pStyle w:val="18"/>
        <w:rPr>
          <w:rFonts w:hint="eastAsia"/>
        </w:rPr>
      </w:pPr>
      <w:r>
        <w:rPr>
          <w:rFonts w:hint="eastAsia"/>
        </w:rPr>
        <w:t>对于以公允价值计量且其变动计入当期损益的金融资产，采用公允价值进行后续计量，所有公允价值变动计入当期损益。</w:t>
      </w:r>
    </w:p>
    <w:p w14:paraId="5DE81955">
      <w:pPr>
        <w:pStyle w:val="18"/>
        <w:rPr>
          <w:rFonts w:hint="eastAsia"/>
        </w:rPr>
      </w:pPr>
      <w:r>
        <w:rPr>
          <w:rFonts w:hint="eastAsia"/>
        </w:rPr>
        <w:t>对于以摊余成本计量的金融资产，采用实际利率法确认利息收入，其终止确认、修改或减值产生的利得或损失，均计入当期损益。</w:t>
      </w:r>
    </w:p>
    <w:p w14:paraId="1D05F4C4">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10D31972">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4042FBA0">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70E04717">
      <w:pPr>
        <w:pStyle w:val="18"/>
        <w:rPr>
          <w:rFonts w:hint="eastAsia"/>
        </w:rPr>
      </w:pPr>
      <w:r>
        <w:rPr>
          <w:rFonts w:hint="eastAsia"/>
        </w:rPr>
        <w:t>当对金融资产预期未来现金流量具有不利影响的一项或多项事件发生时，该金融资产成为已发生信用减值的金融资产。</w:t>
      </w:r>
    </w:p>
    <w:p w14:paraId="207513BC">
      <w:pPr>
        <w:pStyle w:val="18"/>
        <w:rPr>
          <w:rFonts w:hint="eastAsia"/>
        </w:rPr>
      </w:pPr>
      <w:r>
        <w:rPr>
          <w:rFonts w:hint="eastAsia"/>
        </w:rPr>
        <w:t>当本基金不再合理预期能够全部或部分收回金融资产合同现金流量时，本基金直接减记该金融资产的账面余额。</w:t>
      </w:r>
    </w:p>
    <w:p w14:paraId="58068C97">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42791B1B">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31F8901D">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72FB1304">
      <w:pPr>
        <w:pStyle w:val="35"/>
      </w:pPr>
      <w:bookmarkStart w:id="59" w:name="_Toc59"/>
      <w:r>
        <w:t>金融资产和金融负债的估值原则</w:t>
      </w:r>
      <w:bookmarkEnd w:id="59"/>
    </w:p>
    <w:p w14:paraId="34D64F5C">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3F12B40B">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49441EE9">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7B6DD33B">
      <w:pPr>
        <w:pStyle w:val="18"/>
        <w:rPr>
          <w:rFonts w:hint="eastAsia"/>
        </w:rPr>
      </w:pPr>
      <w:r>
        <w:rPr>
          <w:rFonts w:hint="eastAsia"/>
        </w:rPr>
        <w:t>本基金持有的以公允价值计量且其变动计入当期损益的金融资产和金融负债按如下原则确定公允价值并进行估值：</w:t>
      </w:r>
    </w:p>
    <w:p w14:paraId="21DF78E2">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796F569A">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77402078">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131A9DCC">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47001A83">
      <w:pPr>
        <w:pStyle w:val="18"/>
        <w:rPr>
          <w:rFonts w:hint="eastAsia"/>
        </w:rPr>
      </w:pPr>
      <w:r>
        <w:rPr>
          <w:rFonts w:hint="eastAsia"/>
        </w:rPr>
        <w:t>（4）如有新增事项，按国家最新规定估值。</w:t>
      </w:r>
    </w:p>
    <w:p w14:paraId="0AB9BAF9">
      <w:pPr>
        <w:pStyle w:val="35"/>
      </w:pPr>
      <w:bookmarkStart w:id="60" w:name="_Toc60"/>
      <w:r>
        <w:t>金融资产和金融负债的抵销</w:t>
      </w:r>
      <w:bookmarkEnd w:id="60"/>
    </w:p>
    <w:p w14:paraId="505B579E">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72802DAD">
      <w:pPr>
        <w:pStyle w:val="35"/>
      </w:pPr>
      <w:bookmarkStart w:id="61" w:name="_Toc61"/>
      <w:r>
        <w:t>实收基金</w:t>
      </w:r>
      <w:bookmarkEnd w:id="61"/>
    </w:p>
    <w:p w14:paraId="17589726">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003CDA43">
      <w:pPr>
        <w:pStyle w:val="35"/>
      </w:pPr>
      <w:bookmarkStart w:id="62" w:name="_Toc62"/>
      <w:r>
        <w:t>损益平准金</w:t>
      </w:r>
      <w:bookmarkEnd w:id="62"/>
    </w:p>
    <w:p w14:paraId="6137240F">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1F2396A2">
      <w:pPr>
        <w:pStyle w:val="18"/>
        <w:rPr>
          <w:rFonts w:hint="eastAsia"/>
        </w:rPr>
      </w:pPr>
      <w:r>
        <w:rPr>
          <w:rFonts w:hint="eastAsia"/>
        </w:rPr>
        <w:t>未实现损益平准金与已实现损益平准金均在“损益平准金”科目中核算，并于期末全额转入“未分配利润/（累计亏损）”。</w:t>
      </w:r>
    </w:p>
    <w:p w14:paraId="1343DB1F">
      <w:pPr>
        <w:pStyle w:val="35"/>
      </w:pPr>
      <w:bookmarkStart w:id="63" w:name="_Toc63"/>
      <w:r>
        <w:t>收入/（损失）的确认和计量</w:t>
      </w:r>
      <w:bookmarkEnd w:id="63"/>
    </w:p>
    <w:p w14:paraId="3163C808">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6838F08B">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334FE761">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4EFF8265">
      <w:pPr>
        <w:pStyle w:val="18"/>
        <w:rPr>
          <w:rFonts w:hint="eastAsia"/>
        </w:rPr>
      </w:pPr>
      <w:r>
        <w:rPr>
          <w:rFonts w:hint="eastAsia"/>
        </w:rPr>
        <w:t>（3）其他收入在经济利益很可能流入从而导致资产增加或者负债减少、且经济利益的流入额能够可靠计量时确认。</w:t>
      </w:r>
    </w:p>
    <w:p w14:paraId="0CE3A862">
      <w:pPr>
        <w:pStyle w:val="35"/>
      </w:pPr>
      <w:bookmarkStart w:id="64" w:name="_Toc64"/>
      <w:r>
        <w:t>费用的确认和计量</w:t>
      </w:r>
      <w:bookmarkEnd w:id="64"/>
    </w:p>
    <w:p w14:paraId="1118F983">
      <w:pPr>
        <w:pStyle w:val="18"/>
        <w:rPr>
          <w:rFonts w:hint="eastAsia"/>
        </w:rPr>
      </w:pPr>
      <w:r>
        <w:rPr>
          <w:rFonts w:hint="eastAsia"/>
        </w:rPr>
        <w:t>本基金的管理人报酬和托管费等费用按照权责发生制原则，在本基金接受相关服务的期间计入当期损益。</w:t>
      </w:r>
    </w:p>
    <w:p w14:paraId="29D16F61">
      <w:pPr>
        <w:pStyle w:val="18"/>
        <w:rPr>
          <w:rFonts w:hint="eastAsia"/>
        </w:rPr>
      </w:pPr>
      <w:r>
        <w:rPr>
          <w:rFonts w:hint="eastAsia"/>
        </w:rPr>
        <w:t>以摊余成本计量的金融负债在持有期间确认的利息支出按实际利率法计算，实际利率法与直线法差异较小的则按直线法计算。</w:t>
      </w:r>
    </w:p>
    <w:p w14:paraId="674F355E">
      <w:pPr>
        <w:pStyle w:val="35"/>
      </w:pPr>
      <w:bookmarkStart w:id="65" w:name="_Toc65"/>
      <w:r>
        <w:t>基金的收益分配政策</w:t>
      </w:r>
      <w:bookmarkEnd w:id="65"/>
    </w:p>
    <w:p w14:paraId="37007DDE">
      <w:pPr>
        <w:pStyle w:val="18"/>
        <w:rPr>
          <w:rFonts w:hint="eastAsia"/>
        </w:rPr>
      </w:pPr>
      <w:r>
        <w:rPr>
          <w:rFonts w:hint="eastAsia"/>
        </w:rPr>
        <w:t>每一基金份额享有同等分配权。本基金收益以现金形式分配。基金管理人可每季度评估是否进行收益分配。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47EF81CE">
      <w:pPr>
        <w:pStyle w:val="18"/>
        <w:rPr>
          <w:rFonts w:hint="eastAsia"/>
        </w:rPr>
      </w:pPr>
      <w:r>
        <w:rPr>
          <w:rFonts w:hint="eastAsia"/>
        </w:rPr>
        <w:t>经宣告的拟分配基金收益于分红除权日从净资产转出。</w:t>
      </w:r>
    </w:p>
    <w:p w14:paraId="3D8F312D">
      <w:pPr>
        <w:pStyle w:val="35"/>
      </w:pPr>
      <w:bookmarkStart w:id="66" w:name="_Toc66"/>
      <w:r>
        <w:t>外币交易</w:t>
      </w:r>
      <w:bookmarkEnd w:id="66"/>
    </w:p>
    <w:p w14:paraId="03481686">
      <w:pPr>
        <w:pStyle w:val="18"/>
        <w:rPr>
          <w:rFonts w:hint="eastAsia"/>
        </w:rPr>
      </w:pPr>
      <w:r>
        <w:rPr>
          <w:rFonts w:hint="eastAsia"/>
        </w:rPr>
        <w:t>外币交易按交易发生日的即期汇率将外币金额折算为人民币金额。</w:t>
      </w:r>
    </w:p>
    <w:p w14:paraId="5AA1D146">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6FF2EDC3">
      <w:pPr>
        <w:pStyle w:val="35"/>
      </w:pPr>
      <w:bookmarkStart w:id="67" w:name="_Toc67"/>
      <w:r>
        <w:t>分部报告</w:t>
      </w:r>
      <w:bookmarkEnd w:id="67"/>
    </w:p>
    <w:p w14:paraId="4990FB13">
      <w:pPr>
        <w:pStyle w:val="18"/>
        <w:rPr>
          <w:rFonts w:hint="eastAsia"/>
        </w:rPr>
      </w:pPr>
      <w:r>
        <w:rPr>
          <w:rFonts w:hint="eastAsia"/>
        </w:rPr>
        <w:t>经营分部是指本基金内同时满足下列条件的组成部分：</w:t>
      </w:r>
    </w:p>
    <w:p w14:paraId="08313288">
      <w:pPr>
        <w:pStyle w:val="18"/>
        <w:rPr>
          <w:rFonts w:hint="eastAsia"/>
        </w:rPr>
      </w:pPr>
      <w:r>
        <w:rPr>
          <w:rFonts w:hint="eastAsia"/>
        </w:rPr>
        <w:t>（1）该组成部分能够在日常活动中产生收入、发生费用；</w:t>
      </w:r>
    </w:p>
    <w:p w14:paraId="02E25017">
      <w:pPr>
        <w:pStyle w:val="18"/>
        <w:rPr>
          <w:rFonts w:hint="eastAsia"/>
        </w:rPr>
      </w:pPr>
      <w:r>
        <w:rPr>
          <w:rFonts w:hint="eastAsia"/>
        </w:rPr>
        <w:t>（2）能够定期评价该组成部分的经营成果，以决定向其配置资源、评价其业绩；</w:t>
      </w:r>
    </w:p>
    <w:p w14:paraId="31A3F4E9">
      <w:pPr>
        <w:pStyle w:val="18"/>
        <w:rPr>
          <w:rFonts w:hint="eastAsia"/>
        </w:rPr>
      </w:pPr>
      <w:r>
        <w:rPr>
          <w:rFonts w:hint="eastAsia"/>
        </w:rPr>
        <w:t>（3）能够取得该组成部分的财务状况、经营成果和现金流量等有关会计信息。</w:t>
      </w:r>
    </w:p>
    <w:p w14:paraId="1CB57496">
      <w:pPr>
        <w:pStyle w:val="18"/>
        <w:rPr>
          <w:rFonts w:hint="eastAsia"/>
        </w:rPr>
      </w:pPr>
      <w:r>
        <w:rPr>
          <w:rFonts w:hint="eastAsia"/>
        </w:rPr>
        <w:t>如果两个或多个经营分部具有相似的经济特征，并且满足一定条件的，则合并为一个经营分部。</w:t>
      </w:r>
    </w:p>
    <w:p w14:paraId="271FE1F8">
      <w:pPr>
        <w:pStyle w:val="18"/>
        <w:rPr>
          <w:rFonts w:hint="eastAsia"/>
        </w:rPr>
      </w:pPr>
      <w:r>
        <w:rPr>
          <w:rFonts w:hint="eastAsia"/>
        </w:rPr>
        <w:t>本基金目前以一个经营分部运作，不需要进行分部报告的披露。</w:t>
      </w:r>
    </w:p>
    <w:p w14:paraId="68A2E8BE">
      <w:pPr>
        <w:pStyle w:val="35"/>
      </w:pPr>
      <w:bookmarkStart w:id="68" w:name="_Toc68"/>
      <w:r>
        <w:t>其他重要的会计政策和会计估计</w:t>
      </w:r>
      <w:bookmarkEnd w:id="68"/>
    </w:p>
    <w:p w14:paraId="7620B902">
      <w:pPr>
        <w:pStyle w:val="18"/>
        <w:rPr>
          <w:rFonts w:hint="eastAsia"/>
        </w:rPr>
      </w:pPr>
      <w:r>
        <w:rPr>
          <w:rFonts w:hint="eastAsia"/>
        </w:rPr>
        <w:t>无。</w:t>
      </w:r>
    </w:p>
    <w:p w14:paraId="4876D853">
      <w:pPr>
        <w:pStyle w:val="28"/>
      </w:pPr>
      <w:bookmarkStart w:id="69" w:name="_Toc69"/>
      <w:r>
        <w:t>会计政策和会计估计变更以及差错更正的说明</w:t>
      </w:r>
      <w:bookmarkEnd w:id="69"/>
    </w:p>
    <w:p w14:paraId="49F62D9B">
      <w:pPr>
        <w:pStyle w:val="35"/>
      </w:pPr>
      <w:bookmarkStart w:id="70" w:name="_Toc70"/>
      <w:r>
        <w:t>会计政策变更的说明</w:t>
      </w:r>
      <w:bookmarkEnd w:id="70"/>
    </w:p>
    <w:p w14:paraId="6F549399">
      <w:pPr>
        <w:pStyle w:val="18"/>
        <w:rPr>
          <w:rFonts w:hint="eastAsia"/>
        </w:rPr>
      </w:pPr>
      <w:r>
        <w:rPr>
          <w:rFonts w:hint="eastAsia"/>
        </w:rPr>
        <w:t>本基金本报告期未发生会计政策变更。</w:t>
      </w:r>
    </w:p>
    <w:p w14:paraId="0C3FEAED">
      <w:pPr>
        <w:pStyle w:val="35"/>
      </w:pPr>
      <w:bookmarkStart w:id="71" w:name="_Toc71"/>
      <w:r>
        <w:t>会计估计变更的说明</w:t>
      </w:r>
      <w:bookmarkEnd w:id="71"/>
    </w:p>
    <w:p w14:paraId="08B83618">
      <w:pPr>
        <w:pStyle w:val="18"/>
        <w:rPr>
          <w:rFonts w:hint="eastAsia"/>
        </w:rPr>
      </w:pPr>
      <w:r>
        <w:rPr>
          <w:rFonts w:hint="eastAsia"/>
        </w:rPr>
        <w:t>本基金本报告期未发生会计估计变更。</w:t>
      </w:r>
    </w:p>
    <w:p w14:paraId="28041684">
      <w:pPr>
        <w:pStyle w:val="35"/>
      </w:pPr>
      <w:bookmarkStart w:id="72" w:name="_Toc72"/>
      <w:r>
        <w:t>差错更正的说明</w:t>
      </w:r>
      <w:bookmarkEnd w:id="72"/>
    </w:p>
    <w:p w14:paraId="693313BA">
      <w:pPr>
        <w:pStyle w:val="18"/>
        <w:rPr>
          <w:rFonts w:hint="eastAsia"/>
        </w:rPr>
      </w:pPr>
      <w:r>
        <w:rPr>
          <w:rFonts w:hint="eastAsia"/>
        </w:rPr>
        <w:t>本基金在本报告期间无须说明的会计差错更正。</w:t>
      </w:r>
    </w:p>
    <w:p w14:paraId="6BC00EE7">
      <w:pPr>
        <w:pStyle w:val="28"/>
      </w:pPr>
      <w:bookmarkStart w:id="73" w:name="_Toc73"/>
      <w:r>
        <w:t>税项</w:t>
      </w:r>
      <w:bookmarkEnd w:id="73"/>
    </w:p>
    <w:p w14:paraId="3E53FF88">
      <w:pPr>
        <w:pStyle w:val="18"/>
        <w:rPr>
          <w:rFonts w:hint="eastAsia"/>
        </w:rPr>
      </w:pPr>
      <w:r>
        <w:rPr>
          <w:rFonts w:hint="eastAsia"/>
        </w:rPr>
        <w:t>（1）增值税及附加</w:t>
      </w:r>
    </w:p>
    <w:p w14:paraId="43AC2826">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56F9410A">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4C3E0B7C">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553867BB">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0A27C92A">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06DCE229">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76F269B7">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1AE99B2F">
      <w:pPr>
        <w:pStyle w:val="18"/>
        <w:rPr>
          <w:rFonts w:hint="eastAsia"/>
        </w:rPr>
      </w:pPr>
      <w:r>
        <w:rPr>
          <w:rFonts w:hint="eastAsia"/>
        </w:rPr>
        <w:t>（2）企业所得税</w:t>
      </w:r>
    </w:p>
    <w:p w14:paraId="147C3AE9">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67E77DB8">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48533258">
      <w:pPr>
        <w:pStyle w:val="18"/>
        <w:rPr>
          <w:rFonts w:hint="eastAsia"/>
        </w:rPr>
      </w:pPr>
      <w:r>
        <w:rPr>
          <w:rFonts w:hint="eastAsia"/>
        </w:rPr>
        <w:t>（3）个人所得税</w:t>
      </w:r>
    </w:p>
    <w:p w14:paraId="1A987E48">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71C53D6A">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72B797E1">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3D4E0A75">
      <w:pPr>
        <w:pStyle w:val="18"/>
        <w:rPr>
          <w:rFonts w:hint="eastAsia"/>
        </w:rPr>
      </w:pPr>
      <w:r>
        <w:rPr>
          <w:rFonts w:hint="eastAsia"/>
        </w:rPr>
        <w:t>（4）印花税（如适用）</w:t>
      </w:r>
    </w:p>
    <w:p w14:paraId="7AE3A3EB">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2DC5AFA6">
      <w:pPr>
        <w:pStyle w:val="18"/>
        <w:rPr>
          <w:rFonts w:hint="eastAsia"/>
        </w:rPr>
      </w:pPr>
      <w:r>
        <w:rPr>
          <w:rFonts w:hint="eastAsia"/>
        </w:rPr>
        <w:t>（5）境外投资</w:t>
      </w:r>
    </w:p>
    <w:p w14:paraId="02E42237">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235F1919">
      <w:pPr>
        <w:pStyle w:val="28"/>
      </w:pPr>
      <w:bookmarkStart w:id="74" w:name="_Toc74"/>
      <w:r>
        <w:t>重要财务报表项目的说明</w:t>
      </w:r>
      <w:bookmarkEnd w:id="74"/>
    </w:p>
    <w:p w14:paraId="4570C796">
      <w:pPr>
        <w:pStyle w:val="35"/>
      </w:pPr>
      <w:bookmarkStart w:id="75" w:name="_Toc75"/>
      <w:r>
        <w:t>货币资金</w:t>
      </w:r>
      <w:bookmarkEnd w:id="75"/>
    </w:p>
    <w:p w14:paraId="4511616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602E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09DD2C5">
            <w:pPr>
              <w:jc w:val="center"/>
            </w:pPr>
            <w:r>
              <w:rPr>
                <w:rFonts w:hint="eastAsia"/>
                <w:b/>
              </w:rPr>
              <w:t>项目</w:t>
            </w:r>
          </w:p>
        </w:tc>
        <w:tc>
          <w:tcPr>
            <w:tcW w:w="4153" w:type="dxa"/>
            <w:shd w:val="clear" w:color="auto" w:fill="BFBFBF"/>
            <w:vAlign w:val="center"/>
          </w:tcPr>
          <w:p w14:paraId="6E3100F1">
            <w:pPr>
              <w:jc w:val="center"/>
            </w:pPr>
            <w:r>
              <w:rPr>
                <w:rFonts w:hint="eastAsia"/>
                <w:b/>
              </w:rPr>
              <w:t>本期末2025年12月31日</w:t>
            </w:r>
          </w:p>
        </w:tc>
      </w:tr>
      <w:tr w14:paraId="27C64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8A53A6C">
            <w:r>
              <w:rPr>
                <w:rFonts w:hint="eastAsia"/>
              </w:rPr>
              <w:t>活期存款</w:t>
            </w:r>
          </w:p>
        </w:tc>
        <w:tc>
          <w:tcPr>
            <w:tcW w:w="4153" w:type="dxa"/>
            <w:vAlign w:val="center"/>
          </w:tcPr>
          <w:p w14:paraId="22186C78">
            <w:pPr>
              <w:jc w:val="right"/>
            </w:pPr>
            <w:r>
              <w:rPr>
                <w:rFonts w:hint="eastAsia"/>
              </w:rPr>
              <w:t>51,515,196.10</w:t>
            </w:r>
          </w:p>
        </w:tc>
      </w:tr>
      <w:tr w14:paraId="628E9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CAFE60A">
            <w:r>
              <w:rPr>
                <w:rFonts w:hint="eastAsia"/>
              </w:rPr>
              <w:t>等于：本金</w:t>
            </w:r>
          </w:p>
        </w:tc>
        <w:tc>
          <w:tcPr>
            <w:tcW w:w="4153" w:type="dxa"/>
            <w:vAlign w:val="center"/>
          </w:tcPr>
          <w:p w14:paraId="453EDCA4">
            <w:pPr>
              <w:jc w:val="right"/>
            </w:pPr>
            <w:r>
              <w:rPr>
                <w:rFonts w:hint="eastAsia"/>
              </w:rPr>
              <w:t>51,514,975.42</w:t>
            </w:r>
          </w:p>
        </w:tc>
      </w:tr>
      <w:tr w14:paraId="095C0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D2621A">
            <w:r>
              <w:rPr>
                <w:rFonts w:hint="eastAsia"/>
              </w:rPr>
              <w:t xml:space="preserve">      加：应计利息</w:t>
            </w:r>
          </w:p>
        </w:tc>
        <w:tc>
          <w:tcPr>
            <w:tcW w:w="4153" w:type="dxa"/>
            <w:vAlign w:val="center"/>
          </w:tcPr>
          <w:p w14:paraId="421AA2AF">
            <w:pPr>
              <w:jc w:val="right"/>
            </w:pPr>
            <w:r>
              <w:rPr>
                <w:rFonts w:hint="eastAsia"/>
              </w:rPr>
              <w:t>220.68</w:t>
            </w:r>
          </w:p>
        </w:tc>
      </w:tr>
      <w:tr w14:paraId="47DF9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2E3896">
            <w:r>
              <w:rPr>
                <w:rFonts w:hint="eastAsia"/>
              </w:rPr>
              <w:t xml:space="preserve">      减：坏账准备</w:t>
            </w:r>
          </w:p>
        </w:tc>
        <w:tc>
          <w:tcPr>
            <w:tcW w:w="4153" w:type="dxa"/>
            <w:vAlign w:val="center"/>
          </w:tcPr>
          <w:p w14:paraId="3CA901ED">
            <w:pPr>
              <w:jc w:val="right"/>
            </w:pPr>
            <w:r>
              <w:rPr>
                <w:rFonts w:hint="eastAsia"/>
              </w:rPr>
              <w:t>-</w:t>
            </w:r>
          </w:p>
        </w:tc>
      </w:tr>
      <w:tr w14:paraId="77C33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35C43E">
            <w:r>
              <w:rPr>
                <w:rFonts w:hint="eastAsia"/>
              </w:rPr>
              <w:t>定期存款</w:t>
            </w:r>
          </w:p>
        </w:tc>
        <w:tc>
          <w:tcPr>
            <w:tcW w:w="4153" w:type="dxa"/>
            <w:vAlign w:val="center"/>
          </w:tcPr>
          <w:p w14:paraId="0978881F">
            <w:pPr>
              <w:jc w:val="right"/>
            </w:pPr>
            <w:r>
              <w:rPr>
                <w:rFonts w:hint="eastAsia"/>
              </w:rPr>
              <w:t>-</w:t>
            </w:r>
          </w:p>
        </w:tc>
      </w:tr>
      <w:tr w14:paraId="53EB0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D8BEB1">
            <w:r>
              <w:rPr>
                <w:rFonts w:hint="eastAsia"/>
              </w:rPr>
              <w:t>等于：本金</w:t>
            </w:r>
          </w:p>
        </w:tc>
        <w:tc>
          <w:tcPr>
            <w:tcW w:w="4153" w:type="dxa"/>
            <w:vAlign w:val="center"/>
          </w:tcPr>
          <w:p w14:paraId="53EEC3DD">
            <w:pPr>
              <w:jc w:val="right"/>
            </w:pPr>
            <w:r>
              <w:rPr>
                <w:rFonts w:hint="eastAsia"/>
              </w:rPr>
              <w:t>-</w:t>
            </w:r>
          </w:p>
        </w:tc>
      </w:tr>
      <w:tr w14:paraId="1D5BC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B17FF0F">
            <w:r>
              <w:rPr>
                <w:rFonts w:hint="eastAsia"/>
              </w:rPr>
              <w:t xml:space="preserve">      加：应计利息</w:t>
            </w:r>
          </w:p>
        </w:tc>
        <w:tc>
          <w:tcPr>
            <w:tcW w:w="4153" w:type="dxa"/>
            <w:vAlign w:val="center"/>
          </w:tcPr>
          <w:p w14:paraId="58D5A2BA">
            <w:pPr>
              <w:jc w:val="right"/>
            </w:pPr>
            <w:r>
              <w:rPr>
                <w:rFonts w:hint="eastAsia"/>
              </w:rPr>
              <w:t>-</w:t>
            </w:r>
          </w:p>
        </w:tc>
      </w:tr>
      <w:tr w14:paraId="5BF62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2B2D0C">
            <w:r>
              <w:rPr>
                <w:rFonts w:hint="eastAsia"/>
              </w:rPr>
              <w:t xml:space="preserve">      减：坏账准备</w:t>
            </w:r>
          </w:p>
        </w:tc>
        <w:tc>
          <w:tcPr>
            <w:tcW w:w="4153" w:type="dxa"/>
            <w:vAlign w:val="center"/>
          </w:tcPr>
          <w:p w14:paraId="4162EBF3">
            <w:pPr>
              <w:jc w:val="right"/>
            </w:pPr>
            <w:r>
              <w:rPr>
                <w:rFonts w:hint="eastAsia"/>
              </w:rPr>
              <w:t>-</w:t>
            </w:r>
          </w:p>
        </w:tc>
      </w:tr>
      <w:tr w14:paraId="364EB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6CD00F0">
            <w:r>
              <w:rPr>
                <w:rFonts w:hint="eastAsia"/>
              </w:rPr>
              <w:t>其中：存款期限1个月以内</w:t>
            </w:r>
          </w:p>
        </w:tc>
        <w:tc>
          <w:tcPr>
            <w:tcW w:w="4153" w:type="dxa"/>
            <w:vAlign w:val="center"/>
          </w:tcPr>
          <w:p w14:paraId="13FA29B9">
            <w:pPr>
              <w:jc w:val="right"/>
            </w:pPr>
            <w:r>
              <w:rPr>
                <w:rFonts w:hint="eastAsia"/>
              </w:rPr>
              <w:t>-</w:t>
            </w:r>
          </w:p>
        </w:tc>
      </w:tr>
      <w:tr w14:paraId="3EE08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997E6D">
            <w:r>
              <w:rPr>
                <w:rFonts w:hint="eastAsia"/>
              </w:rPr>
              <w:t xml:space="preserve">      存款期限1-3个月</w:t>
            </w:r>
          </w:p>
        </w:tc>
        <w:tc>
          <w:tcPr>
            <w:tcW w:w="4153" w:type="dxa"/>
            <w:vAlign w:val="center"/>
          </w:tcPr>
          <w:p w14:paraId="698A9877">
            <w:pPr>
              <w:jc w:val="right"/>
            </w:pPr>
            <w:r>
              <w:rPr>
                <w:rFonts w:hint="eastAsia"/>
              </w:rPr>
              <w:t>-</w:t>
            </w:r>
          </w:p>
        </w:tc>
      </w:tr>
      <w:tr w14:paraId="650F8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889258">
            <w:r>
              <w:rPr>
                <w:rFonts w:hint="eastAsia"/>
              </w:rPr>
              <w:t xml:space="preserve">      存款期限3个月以上</w:t>
            </w:r>
          </w:p>
        </w:tc>
        <w:tc>
          <w:tcPr>
            <w:tcW w:w="4153" w:type="dxa"/>
            <w:vAlign w:val="center"/>
          </w:tcPr>
          <w:p w14:paraId="1BE9AC87">
            <w:pPr>
              <w:jc w:val="right"/>
            </w:pPr>
            <w:r>
              <w:rPr>
                <w:rFonts w:hint="eastAsia"/>
              </w:rPr>
              <w:t>-</w:t>
            </w:r>
          </w:p>
        </w:tc>
      </w:tr>
      <w:tr w14:paraId="63A50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EDC549">
            <w:r>
              <w:rPr>
                <w:rFonts w:hint="eastAsia"/>
              </w:rPr>
              <w:t>其他存款</w:t>
            </w:r>
          </w:p>
        </w:tc>
        <w:tc>
          <w:tcPr>
            <w:tcW w:w="4153" w:type="dxa"/>
            <w:vAlign w:val="center"/>
          </w:tcPr>
          <w:p w14:paraId="3027C013">
            <w:pPr>
              <w:jc w:val="right"/>
            </w:pPr>
            <w:r>
              <w:rPr>
                <w:rFonts w:hint="eastAsia"/>
              </w:rPr>
              <w:t>167,854,793.30</w:t>
            </w:r>
          </w:p>
        </w:tc>
      </w:tr>
      <w:tr w14:paraId="33EC4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8E9B6A">
            <w:r>
              <w:rPr>
                <w:rFonts w:hint="eastAsia"/>
              </w:rPr>
              <w:t>等于：本金</w:t>
            </w:r>
          </w:p>
        </w:tc>
        <w:tc>
          <w:tcPr>
            <w:tcW w:w="4153" w:type="dxa"/>
            <w:vAlign w:val="center"/>
          </w:tcPr>
          <w:p w14:paraId="77C32157">
            <w:pPr>
              <w:jc w:val="right"/>
            </w:pPr>
            <w:r>
              <w:rPr>
                <w:rFonts w:hint="eastAsia"/>
              </w:rPr>
              <w:t>167,851,367.37</w:t>
            </w:r>
          </w:p>
        </w:tc>
      </w:tr>
      <w:tr w14:paraId="13EB5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92C298A">
            <w:r>
              <w:rPr>
                <w:rFonts w:hint="eastAsia"/>
              </w:rPr>
              <w:t xml:space="preserve">      加：应计利息</w:t>
            </w:r>
          </w:p>
        </w:tc>
        <w:tc>
          <w:tcPr>
            <w:tcW w:w="4153" w:type="dxa"/>
            <w:vAlign w:val="center"/>
          </w:tcPr>
          <w:p w14:paraId="25BB12E2">
            <w:pPr>
              <w:jc w:val="right"/>
            </w:pPr>
            <w:r>
              <w:rPr>
                <w:rFonts w:hint="eastAsia"/>
              </w:rPr>
              <w:t>3,425.93</w:t>
            </w:r>
          </w:p>
        </w:tc>
      </w:tr>
      <w:tr w14:paraId="00133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3B71653">
            <w:r>
              <w:rPr>
                <w:rFonts w:hint="eastAsia"/>
              </w:rPr>
              <w:t xml:space="preserve">      减：坏账准备</w:t>
            </w:r>
          </w:p>
        </w:tc>
        <w:tc>
          <w:tcPr>
            <w:tcW w:w="4153" w:type="dxa"/>
            <w:vAlign w:val="center"/>
          </w:tcPr>
          <w:p w14:paraId="76BB7344">
            <w:pPr>
              <w:jc w:val="right"/>
            </w:pPr>
            <w:r>
              <w:rPr>
                <w:rFonts w:hint="eastAsia"/>
              </w:rPr>
              <w:t>-</w:t>
            </w:r>
          </w:p>
        </w:tc>
      </w:tr>
      <w:tr w14:paraId="199F9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B8A353A">
            <w:r>
              <w:rPr>
                <w:rFonts w:hint="eastAsia"/>
              </w:rPr>
              <w:t>合计</w:t>
            </w:r>
          </w:p>
        </w:tc>
        <w:tc>
          <w:tcPr>
            <w:tcW w:w="4153" w:type="dxa"/>
            <w:vAlign w:val="center"/>
          </w:tcPr>
          <w:p w14:paraId="05B354B2">
            <w:pPr>
              <w:jc w:val="right"/>
            </w:pPr>
            <w:r>
              <w:rPr>
                <w:rFonts w:hint="eastAsia"/>
              </w:rPr>
              <w:t>219,369,989.40</w:t>
            </w:r>
          </w:p>
        </w:tc>
      </w:tr>
    </w:tbl>
    <w:p w14:paraId="129D5504">
      <w:pPr>
        <w:pStyle w:val="47"/>
        <w:rPr>
          <w:rFonts w:hint="eastAsia"/>
        </w:rPr>
      </w:pPr>
      <w:r>
        <w:rPr>
          <w:rFonts w:hint="eastAsia"/>
        </w:rPr>
        <w:t>注：其他存款为存放在证券经纪商基金专用证券账户的证券交易结算资金。</w:t>
      </w:r>
    </w:p>
    <w:p w14:paraId="5DA1026E">
      <w:pPr>
        <w:pStyle w:val="35"/>
      </w:pPr>
      <w:bookmarkStart w:id="76" w:name="_Toc76"/>
      <w:r>
        <w:t>交易性金融资产</w:t>
      </w:r>
      <w:bookmarkEnd w:id="76"/>
    </w:p>
    <w:p w14:paraId="1099DDF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49866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shd w:val="clear" w:color="auto" w:fill="BFBFBF"/>
            <w:vAlign w:val="center"/>
          </w:tcPr>
          <w:p w14:paraId="044AAC18">
            <w:pPr>
              <w:jc w:val="center"/>
            </w:pPr>
            <w:r>
              <w:rPr>
                <w:rFonts w:hint="eastAsia"/>
                <w:b/>
              </w:rPr>
              <w:t>项目</w:t>
            </w:r>
          </w:p>
        </w:tc>
        <w:tc>
          <w:tcPr>
            <w:tcW w:w="1860" w:type="dxa"/>
            <w:gridSpan w:val="4"/>
            <w:shd w:val="clear" w:color="auto" w:fill="BFBFBF"/>
            <w:vAlign w:val="center"/>
          </w:tcPr>
          <w:p w14:paraId="69B5FA4B">
            <w:pPr>
              <w:jc w:val="center"/>
            </w:pPr>
            <w:r>
              <w:rPr>
                <w:rFonts w:hint="eastAsia"/>
                <w:b/>
              </w:rPr>
              <w:t>本期末2025年12月31日</w:t>
            </w:r>
          </w:p>
        </w:tc>
      </w:tr>
      <w:tr w14:paraId="44630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D293165"/>
        </w:tc>
        <w:tc>
          <w:tcPr>
            <w:tcW w:w="1860" w:type="dxa"/>
            <w:shd w:val="clear" w:color="auto" w:fill="BFBFBF"/>
            <w:vAlign w:val="center"/>
          </w:tcPr>
          <w:p w14:paraId="52D199E5">
            <w:pPr>
              <w:jc w:val="center"/>
            </w:pPr>
            <w:r>
              <w:rPr>
                <w:rFonts w:hint="eastAsia"/>
                <w:b/>
              </w:rPr>
              <w:t>成本</w:t>
            </w:r>
          </w:p>
        </w:tc>
        <w:tc>
          <w:tcPr>
            <w:tcW w:w="1517" w:type="dxa"/>
            <w:shd w:val="clear" w:color="auto" w:fill="BFBFBF"/>
            <w:vAlign w:val="center"/>
          </w:tcPr>
          <w:p w14:paraId="5825062D">
            <w:pPr>
              <w:jc w:val="center"/>
            </w:pPr>
            <w:r>
              <w:rPr>
                <w:rFonts w:hint="eastAsia"/>
                <w:b/>
              </w:rPr>
              <w:t>应计利息</w:t>
            </w:r>
          </w:p>
        </w:tc>
        <w:tc>
          <w:tcPr>
            <w:tcW w:w="1860" w:type="dxa"/>
            <w:shd w:val="clear" w:color="auto" w:fill="BFBFBF"/>
            <w:vAlign w:val="center"/>
          </w:tcPr>
          <w:p w14:paraId="29C73F47">
            <w:pPr>
              <w:jc w:val="center"/>
            </w:pPr>
            <w:r>
              <w:rPr>
                <w:rFonts w:hint="eastAsia"/>
                <w:b/>
              </w:rPr>
              <w:t>公允价值</w:t>
            </w:r>
          </w:p>
        </w:tc>
        <w:tc>
          <w:tcPr>
            <w:tcW w:w="1517" w:type="dxa"/>
            <w:shd w:val="clear" w:color="auto" w:fill="BFBFBF"/>
            <w:vAlign w:val="center"/>
          </w:tcPr>
          <w:p w14:paraId="39D2E05E">
            <w:pPr>
              <w:jc w:val="center"/>
            </w:pPr>
            <w:r>
              <w:rPr>
                <w:rFonts w:hint="eastAsia"/>
                <w:b/>
              </w:rPr>
              <w:t>公允价值变动</w:t>
            </w:r>
          </w:p>
        </w:tc>
      </w:tr>
      <w:tr w14:paraId="68F87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CF86006">
            <w:r>
              <w:rPr>
                <w:rFonts w:hint="eastAsia"/>
              </w:rPr>
              <w:t>股票</w:t>
            </w:r>
          </w:p>
        </w:tc>
        <w:tc>
          <w:tcPr>
            <w:tcW w:w="1860" w:type="dxa"/>
            <w:vAlign w:val="center"/>
          </w:tcPr>
          <w:p w14:paraId="6B3CAD79">
            <w:pPr>
              <w:jc w:val="right"/>
            </w:pPr>
            <w:r>
              <w:rPr>
                <w:rFonts w:hint="eastAsia"/>
              </w:rPr>
              <w:t>1,914,399,107.23</w:t>
            </w:r>
          </w:p>
        </w:tc>
        <w:tc>
          <w:tcPr>
            <w:tcW w:w="1517" w:type="dxa"/>
            <w:vAlign w:val="center"/>
          </w:tcPr>
          <w:p w14:paraId="1510A0C9">
            <w:pPr>
              <w:jc w:val="right"/>
            </w:pPr>
            <w:r>
              <w:rPr>
                <w:rFonts w:hint="eastAsia"/>
              </w:rPr>
              <w:t>-</w:t>
            </w:r>
          </w:p>
        </w:tc>
        <w:tc>
          <w:tcPr>
            <w:tcW w:w="1860" w:type="dxa"/>
            <w:vAlign w:val="center"/>
          </w:tcPr>
          <w:p w14:paraId="632B5653">
            <w:pPr>
              <w:jc w:val="right"/>
            </w:pPr>
            <w:r>
              <w:rPr>
                <w:rFonts w:hint="eastAsia"/>
              </w:rPr>
              <w:t>1,868,420,970.41</w:t>
            </w:r>
          </w:p>
        </w:tc>
        <w:tc>
          <w:tcPr>
            <w:tcW w:w="1517" w:type="dxa"/>
            <w:vAlign w:val="center"/>
          </w:tcPr>
          <w:p w14:paraId="64A818E0">
            <w:pPr>
              <w:jc w:val="right"/>
            </w:pPr>
            <w:r>
              <w:rPr>
                <w:rFonts w:hint="eastAsia"/>
              </w:rPr>
              <w:t>-45,978,136.82</w:t>
            </w:r>
          </w:p>
        </w:tc>
      </w:tr>
      <w:tr w14:paraId="5C3F6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8C9D02A">
            <w:r>
              <w:rPr>
                <w:rFonts w:hint="eastAsia"/>
              </w:rPr>
              <w:t>贵金属投资-金交所黄金合约</w:t>
            </w:r>
          </w:p>
        </w:tc>
        <w:tc>
          <w:tcPr>
            <w:tcW w:w="1860" w:type="dxa"/>
            <w:vAlign w:val="center"/>
          </w:tcPr>
          <w:p w14:paraId="107911B4">
            <w:pPr>
              <w:jc w:val="right"/>
            </w:pPr>
            <w:r>
              <w:rPr>
                <w:rFonts w:hint="eastAsia"/>
              </w:rPr>
              <w:t>-</w:t>
            </w:r>
          </w:p>
        </w:tc>
        <w:tc>
          <w:tcPr>
            <w:tcW w:w="1517" w:type="dxa"/>
            <w:vAlign w:val="center"/>
          </w:tcPr>
          <w:p w14:paraId="7AAA4DCE">
            <w:pPr>
              <w:jc w:val="right"/>
            </w:pPr>
            <w:r>
              <w:rPr>
                <w:rFonts w:hint="eastAsia"/>
              </w:rPr>
              <w:t>-</w:t>
            </w:r>
          </w:p>
        </w:tc>
        <w:tc>
          <w:tcPr>
            <w:tcW w:w="1860" w:type="dxa"/>
            <w:vAlign w:val="center"/>
          </w:tcPr>
          <w:p w14:paraId="63383616">
            <w:pPr>
              <w:jc w:val="right"/>
            </w:pPr>
            <w:r>
              <w:rPr>
                <w:rFonts w:hint="eastAsia"/>
              </w:rPr>
              <w:t>-</w:t>
            </w:r>
          </w:p>
        </w:tc>
        <w:tc>
          <w:tcPr>
            <w:tcW w:w="1517" w:type="dxa"/>
            <w:vAlign w:val="center"/>
          </w:tcPr>
          <w:p w14:paraId="14543A75">
            <w:pPr>
              <w:jc w:val="right"/>
            </w:pPr>
            <w:r>
              <w:rPr>
                <w:rFonts w:hint="eastAsia"/>
              </w:rPr>
              <w:t>-</w:t>
            </w:r>
          </w:p>
        </w:tc>
      </w:tr>
      <w:tr w14:paraId="1FF58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C62E8C8">
            <w:r>
              <w:rPr>
                <w:rFonts w:hint="eastAsia"/>
              </w:rPr>
              <w:t>债券</w:t>
            </w:r>
          </w:p>
        </w:tc>
        <w:tc>
          <w:tcPr>
            <w:tcW w:w="897" w:type="dxa"/>
            <w:vAlign w:val="center"/>
          </w:tcPr>
          <w:p w14:paraId="14D6188C">
            <w:r>
              <w:rPr>
                <w:rFonts w:hint="eastAsia"/>
              </w:rPr>
              <w:t>交易所市场</w:t>
            </w:r>
          </w:p>
        </w:tc>
        <w:tc>
          <w:tcPr>
            <w:tcW w:w="1860" w:type="dxa"/>
            <w:vAlign w:val="center"/>
          </w:tcPr>
          <w:p w14:paraId="4996D20B">
            <w:pPr>
              <w:jc w:val="right"/>
            </w:pPr>
            <w:r>
              <w:rPr>
                <w:rFonts w:hint="eastAsia"/>
              </w:rPr>
              <w:t>-</w:t>
            </w:r>
          </w:p>
        </w:tc>
        <w:tc>
          <w:tcPr>
            <w:tcW w:w="1517" w:type="dxa"/>
            <w:vAlign w:val="center"/>
          </w:tcPr>
          <w:p w14:paraId="64E677C2">
            <w:pPr>
              <w:jc w:val="right"/>
            </w:pPr>
            <w:r>
              <w:rPr>
                <w:rFonts w:hint="eastAsia"/>
              </w:rPr>
              <w:t>-</w:t>
            </w:r>
          </w:p>
        </w:tc>
        <w:tc>
          <w:tcPr>
            <w:tcW w:w="1860" w:type="dxa"/>
            <w:vAlign w:val="center"/>
          </w:tcPr>
          <w:p w14:paraId="54B74871">
            <w:pPr>
              <w:jc w:val="right"/>
            </w:pPr>
            <w:r>
              <w:rPr>
                <w:rFonts w:hint="eastAsia"/>
              </w:rPr>
              <w:t>-</w:t>
            </w:r>
          </w:p>
        </w:tc>
        <w:tc>
          <w:tcPr>
            <w:tcW w:w="1517" w:type="dxa"/>
            <w:vAlign w:val="center"/>
          </w:tcPr>
          <w:p w14:paraId="35F112F5">
            <w:pPr>
              <w:jc w:val="right"/>
            </w:pPr>
            <w:r>
              <w:rPr>
                <w:rFonts w:hint="eastAsia"/>
              </w:rPr>
              <w:t>-</w:t>
            </w:r>
          </w:p>
        </w:tc>
      </w:tr>
      <w:tr w14:paraId="1566F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393EFA7"/>
        </w:tc>
        <w:tc>
          <w:tcPr>
            <w:tcW w:w="897" w:type="dxa"/>
            <w:vAlign w:val="center"/>
          </w:tcPr>
          <w:p w14:paraId="65B89083">
            <w:r>
              <w:rPr>
                <w:rFonts w:hint="eastAsia"/>
              </w:rPr>
              <w:t>银行间市场</w:t>
            </w:r>
          </w:p>
        </w:tc>
        <w:tc>
          <w:tcPr>
            <w:tcW w:w="1860" w:type="dxa"/>
            <w:vAlign w:val="center"/>
          </w:tcPr>
          <w:p w14:paraId="697113C1">
            <w:pPr>
              <w:jc w:val="right"/>
            </w:pPr>
            <w:r>
              <w:rPr>
                <w:rFonts w:hint="eastAsia"/>
              </w:rPr>
              <w:t>-</w:t>
            </w:r>
          </w:p>
        </w:tc>
        <w:tc>
          <w:tcPr>
            <w:tcW w:w="1517" w:type="dxa"/>
            <w:vAlign w:val="center"/>
          </w:tcPr>
          <w:p w14:paraId="27F82AD2">
            <w:pPr>
              <w:jc w:val="right"/>
            </w:pPr>
            <w:r>
              <w:rPr>
                <w:rFonts w:hint="eastAsia"/>
              </w:rPr>
              <w:t>-</w:t>
            </w:r>
          </w:p>
        </w:tc>
        <w:tc>
          <w:tcPr>
            <w:tcW w:w="1860" w:type="dxa"/>
            <w:vAlign w:val="center"/>
          </w:tcPr>
          <w:p w14:paraId="4B9C782B">
            <w:pPr>
              <w:jc w:val="right"/>
            </w:pPr>
            <w:r>
              <w:rPr>
                <w:rFonts w:hint="eastAsia"/>
              </w:rPr>
              <w:t>-</w:t>
            </w:r>
          </w:p>
        </w:tc>
        <w:tc>
          <w:tcPr>
            <w:tcW w:w="1517" w:type="dxa"/>
            <w:vAlign w:val="center"/>
          </w:tcPr>
          <w:p w14:paraId="4E57ED00">
            <w:pPr>
              <w:jc w:val="right"/>
            </w:pPr>
            <w:r>
              <w:rPr>
                <w:rFonts w:hint="eastAsia"/>
              </w:rPr>
              <w:t>-</w:t>
            </w:r>
          </w:p>
        </w:tc>
      </w:tr>
      <w:tr w14:paraId="17DD9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195367B"/>
        </w:tc>
        <w:tc>
          <w:tcPr>
            <w:tcW w:w="897" w:type="dxa"/>
            <w:vAlign w:val="center"/>
          </w:tcPr>
          <w:p w14:paraId="059E3A52">
            <w:r>
              <w:rPr>
                <w:rFonts w:hint="eastAsia"/>
              </w:rPr>
              <w:t>合计</w:t>
            </w:r>
          </w:p>
        </w:tc>
        <w:tc>
          <w:tcPr>
            <w:tcW w:w="1860" w:type="dxa"/>
            <w:vAlign w:val="center"/>
          </w:tcPr>
          <w:p w14:paraId="452BA367">
            <w:pPr>
              <w:jc w:val="right"/>
            </w:pPr>
            <w:r>
              <w:rPr>
                <w:rFonts w:hint="eastAsia"/>
              </w:rPr>
              <w:t>-</w:t>
            </w:r>
          </w:p>
        </w:tc>
        <w:tc>
          <w:tcPr>
            <w:tcW w:w="1517" w:type="dxa"/>
            <w:vAlign w:val="center"/>
          </w:tcPr>
          <w:p w14:paraId="55B412BA">
            <w:pPr>
              <w:jc w:val="right"/>
            </w:pPr>
            <w:r>
              <w:rPr>
                <w:rFonts w:hint="eastAsia"/>
              </w:rPr>
              <w:t>-</w:t>
            </w:r>
          </w:p>
        </w:tc>
        <w:tc>
          <w:tcPr>
            <w:tcW w:w="1860" w:type="dxa"/>
            <w:vAlign w:val="center"/>
          </w:tcPr>
          <w:p w14:paraId="56C64F27">
            <w:pPr>
              <w:jc w:val="right"/>
            </w:pPr>
            <w:r>
              <w:rPr>
                <w:rFonts w:hint="eastAsia"/>
              </w:rPr>
              <w:t>-</w:t>
            </w:r>
          </w:p>
        </w:tc>
        <w:tc>
          <w:tcPr>
            <w:tcW w:w="1517" w:type="dxa"/>
            <w:vAlign w:val="center"/>
          </w:tcPr>
          <w:p w14:paraId="5E111297">
            <w:pPr>
              <w:jc w:val="right"/>
            </w:pPr>
            <w:r>
              <w:rPr>
                <w:rFonts w:hint="eastAsia"/>
              </w:rPr>
              <w:t>-</w:t>
            </w:r>
          </w:p>
        </w:tc>
      </w:tr>
      <w:tr w14:paraId="2334B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8FB406D">
            <w:r>
              <w:rPr>
                <w:rFonts w:hint="eastAsia"/>
              </w:rPr>
              <w:t>资产支持证券</w:t>
            </w:r>
          </w:p>
        </w:tc>
        <w:tc>
          <w:tcPr>
            <w:tcW w:w="1860" w:type="dxa"/>
            <w:vAlign w:val="center"/>
          </w:tcPr>
          <w:p w14:paraId="364DF308">
            <w:pPr>
              <w:jc w:val="right"/>
            </w:pPr>
            <w:r>
              <w:rPr>
                <w:rFonts w:hint="eastAsia"/>
              </w:rPr>
              <w:t>-</w:t>
            </w:r>
          </w:p>
        </w:tc>
        <w:tc>
          <w:tcPr>
            <w:tcW w:w="1517" w:type="dxa"/>
            <w:vAlign w:val="center"/>
          </w:tcPr>
          <w:p w14:paraId="0D6F5ED4">
            <w:pPr>
              <w:jc w:val="right"/>
            </w:pPr>
            <w:r>
              <w:rPr>
                <w:rFonts w:hint="eastAsia"/>
              </w:rPr>
              <w:t>-</w:t>
            </w:r>
          </w:p>
        </w:tc>
        <w:tc>
          <w:tcPr>
            <w:tcW w:w="1860" w:type="dxa"/>
            <w:vAlign w:val="center"/>
          </w:tcPr>
          <w:p w14:paraId="28ABB7E7">
            <w:pPr>
              <w:jc w:val="right"/>
            </w:pPr>
            <w:r>
              <w:rPr>
                <w:rFonts w:hint="eastAsia"/>
              </w:rPr>
              <w:t>-</w:t>
            </w:r>
          </w:p>
        </w:tc>
        <w:tc>
          <w:tcPr>
            <w:tcW w:w="1517" w:type="dxa"/>
            <w:vAlign w:val="center"/>
          </w:tcPr>
          <w:p w14:paraId="1D9F898B">
            <w:pPr>
              <w:jc w:val="right"/>
            </w:pPr>
            <w:r>
              <w:rPr>
                <w:rFonts w:hint="eastAsia"/>
              </w:rPr>
              <w:t>-</w:t>
            </w:r>
          </w:p>
        </w:tc>
      </w:tr>
      <w:tr w14:paraId="70C7D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32FEACF">
            <w:r>
              <w:rPr>
                <w:rFonts w:hint="eastAsia"/>
              </w:rPr>
              <w:t>基金</w:t>
            </w:r>
          </w:p>
        </w:tc>
        <w:tc>
          <w:tcPr>
            <w:tcW w:w="1860" w:type="dxa"/>
            <w:vAlign w:val="center"/>
          </w:tcPr>
          <w:p w14:paraId="126C209C">
            <w:pPr>
              <w:jc w:val="right"/>
            </w:pPr>
            <w:r>
              <w:rPr>
                <w:rFonts w:hint="eastAsia"/>
              </w:rPr>
              <w:t>-</w:t>
            </w:r>
          </w:p>
        </w:tc>
        <w:tc>
          <w:tcPr>
            <w:tcW w:w="1517" w:type="dxa"/>
            <w:vAlign w:val="center"/>
          </w:tcPr>
          <w:p w14:paraId="6A433433">
            <w:pPr>
              <w:jc w:val="right"/>
            </w:pPr>
            <w:r>
              <w:rPr>
                <w:rFonts w:hint="eastAsia"/>
              </w:rPr>
              <w:t>-</w:t>
            </w:r>
          </w:p>
        </w:tc>
        <w:tc>
          <w:tcPr>
            <w:tcW w:w="1860" w:type="dxa"/>
            <w:vAlign w:val="center"/>
          </w:tcPr>
          <w:p w14:paraId="3BB3E0CE">
            <w:pPr>
              <w:jc w:val="right"/>
            </w:pPr>
            <w:r>
              <w:rPr>
                <w:rFonts w:hint="eastAsia"/>
              </w:rPr>
              <w:t>-</w:t>
            </w:r>
          </w:p>
        </w:tc>
        <w:tc>
          <w:tcPr>
            <w:tcW w:w="1517" w:type="dxa"/>
            <w:vAlign w:val="center"/>
          </w:tcPr>
          <w:p w14:paraId="7FF6FD64">
            <w:pPr>
              <w:jc w:val="right"/>
            </w:pPr>
            <w:r>
              <w:rPr>
                <w:rFonts w:hint="eastAsia"/>
              </w:rPr>
              <w:t>-</w:t>
            </w:r>
          </w:p>
        </w:tc>
      </w:tr>
      <w:tr w14:paraId="5EA4C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B43DF13">
            <w:r>
              <w:rPr>
                <w:rFonts w:hint="eastAsia"/>
              </w:rPr>
              <w:t>其他</w:t>
            </w:r>
          </w:p>
        </w:tc>
        <w:tc>
          <w:tcPr>
            <w:tcW w:w="1860" w:type="dxa"/>
            <w:vAlign w:val="center"/>
          </w:tcPr>
          <w:p w14:paraId="2E1C0203">
            <w:pPr>
              <w:jc w:val="right"/>
            </w:pPr>
            <w:r>
              <w:rPr>
                <w:rFonts w:hint="eastAsia"/>
              </w:rPr>
              <w:t>-</w:t>
            </w:r>
          </w:p>
        </w:tc>
        <w:tc>
          <w:tcPr>
            <w:tcW w:w="1517" w:type="dxa"/>
            <w:vAlign w:val="center"/>
          </w:tcPr>
          <w:p w14:paraId="7E3998F9">
            <w:pPr>
              <w:jc w:val="right"/>
            </w:pPr>
            <w:r>
              <w:rPr>
                <w:rFonts w:hint="eastAsia"/>
              </w:rPr>
              <w:t>-</w:t>
            </w:r>
          </w:p>
        </w:tc>
        <w:tc>
          <w:tcPr>
            <w:tcW w:w="1860" w:type="dxa"/>
            <w:vAlign w:val="center"/>
          </w:tcPr>
          <w:p w14:paraId="7603AC57">
            <w:pPr>
              <w:jc w:val="right"/>
            </w:pPr>
            <w:r>
              <w:rPr>
                <w:rFonts w:hint="eastAsia"/>
              </w:rPr>
              <w:t>-</w:t>
            </w:r>
          </w:p>
        </w:tc>
        <w:tc>
          <w:tcPr>
            <w:tcW w:w="1517" w:type="dxa"/>
            <w:vAlign w:val="center"/>
          </w:tcPr>
          <w:p w14:paraId="7ACCEE11">
            <w:pPr>
              <w:jc w:val="right"/>
            </w:pPr>
            <w:r>
              <w:rPr>
                <w:rFonts w:hint="eastAsia"/>
              </w:rPr>
              <w:t>-</w:t>
            </w:r>
          </w:p>
        </w:tc>
      </w:tr>
      <w:tr w14:paraId="696EC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CA38438">
            <w:r>
              <w:rPr>
                <w:rFonts w:hint="eastAsia"/>
              </w:rPr>
              <w:t>合计</w:t>
            </w:r>
          </w:p>
        </w:tc>
        <w:tc>
          <w:tcPr>
            <w:tcW w:w="1860" w:type="dxa"/>
            <w:vAlign w:val="center"/>
          </w:tcPr>
          <w:p w14:paraId="2BF05511">
            <w:pPr>
              <w:jc w:val="right"/>
            </w:pPr>
            <w:r>
              <w:rPr>
                <w:rFonts w:hint="eastAsia"/>
              </w:rPr>
              <w:t>1,914,399,107.23</w:t>
            </w:r>
          </w:p>
        </w:tc>
        <w:tc>
          <w:tcPr>
            <w:tcW w:w="1517" w:type="dxa"/>
            <w:vAlign w:val="center"/>
          </w:tcPr>
          <w:p w14:paraId="5D65702C">
            <w:pPr>
              <w:jc w:val="right"/>
            </w:pPr>
            <w:r>
              <w:rPr>
                <w:rFonts w:hint="eastAsia"/>
              </w:rPr>
              <w:t>-</w:t>
            </w:r>
          </w:p>
        </w:tc>
        <w:tc>
          <w:tcPr>
            <w:tcW w:w="1860" w:type="dxa"/>
            <w:vAlign w:val="center"/>
          </w:tcPr>
          <w:p w14:paraId="48F983DD">
            <w:pPr>
              <w:jc w:val="right"/>
            </w:pPr>
            <w:r>
              <w:rPr>
                <w:rFonts w:hint="eastAsia"/>
              </w:rPr>
              <w:t>1,868,420,970.41</w:t>
            </w:r>
          </w:p>
        </w:tc>
        <w:tc>
          <w:tcPr>
            <w:tcW w:w="1517" w:type="dxa"/>
            <w:vAlign w:val="center"/>
          </w:tcPr>
          <w:p w14:paraId="6D814316">
            <w:pPr>
              <w:jc w:val="right"/>
            </w:pPr>
            <w:r>
              <w:rPr>
                <w:rFonts w:hint="eastAsia"/>
              </w:rPr>
              <w:t>-45,978,136.82</w:t>
            </w:r>
          </w:p>
        </w:tc>
      </w:tr>
    </w:tbl>
    <w:p w14:paraId="2CFCBFE9">
      <w:pPr>
        <w:pStyle w:val="35"/>
      </w:pPr>
      <w:bookmarkStart w:id="77" w:name="_Toc77"/>
      <w:r>
        <w:t>衍生金融资产/负债</w:t>
      </w:r>
      <w:bookmarkEnd w:id="77"/>
    </w:p>
    <w:p w14:paraId="68B49E77">
      <w:pPr>
        <w:pStyle w:val="36"/>
      </w:pPr>
      <w:bookmarkStart w:id="78" w:name="_Toc78"/>
      <w:r>
        <w:t xml:space="preserve"> 衍生金融资产/负债期末余额</w:t>
      </w:r>
      <w:bookmarkEnd w:id="78"/>
    </w:p>
    <w:p w14:paraId="04644CC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FD04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FC23FF1">
            <w:r>
              <w:rPr>
                <w:rFonts w:hint="eastAsia"/>
              </w:rPr>
              <w:t>项目</w:t>
            </w:r>
          </w:p>
        </w:tc>
        <w:tc>
          <w:tcPr>
            <w:tcW w:w="1661" w:type="dxa"/>
            <w:gridSpan w:val="4"/>
            <w:vAlign w:val="center"/>
          </w:tcPr>
          <w:p w14:paraId="2DAEE4BD">
            <w:r>
              <w:rPr>
                <w:rFonts w:hint="eastAsia"/>
              </w:rPr>
              <w:t>本期末2025年12月31日</w:t>
            </w:r>
          </w:p>
        </w:tc>
      </w:tr>
      <w:tr w14:paraId="3EA29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603B592"/>
        </w:tc>
        <w:tc>
          <w:tcPr>
            <w:tcW w:w="1661" w:type="dxa"/>
            <w:vMerge w:val="restart"/>
            <w:vAlign w:val="center"/>
          </w:tcPr>
          <w:p w14:paraId="60488903">
            <w:r>
              <w:rPr>
                <w:rFonts w:hint="eastAsia"/>
              </w:rPr>
              <w:t>合同/名义金额</w:t>
            </w:r>
          </w:p>
        </w:tc>
        <w:tc>
          <w:tcPr>
            <w:tcW w:w="1661" w:type="dxa"/>
            <w:gridSpan w:val="2"/>
            <w:vAlign w:val="center"/>
          </w:tcPr>
          <w:p w14:paraId="2564DC67">
            <w:r>
              <w:rPr>
                <w:rFonts w:hint="eastAsia"/>
              </w:rPr>
              <w:t>公允价值</w:t>
            </w:r>
          </w:p>
        </w:tc>
        <w:tc>
          <w:tcPr>
            <w:tcW w:w="1661" w:type="dxa"/>
            <w:vMerge w:val="restart"/>
            <w:vAlign w:val="center"/>
          </w:tcPr>
          <w:p w14:paraId="1F2FFE15">
            <w:r>
              <w:rPr>
                <w:rFonts w:hint="eastAsia"/>
              </w:rPr>
              <w:t>备注</w:t>
            </w:r>
          </w:p>
        </w:tc>
      </w:tr>
      <w:tr w14:paraId="3C00E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B55E57B"/>
        </w:tc>
        <w:tc>
          <w:tcPr>
            <w:tcW w:w="1661" w:type="dxa"/>
            <w:vMerge w:val="continue"/>
            <w:vAlign w:val="center"/>
          </w:tcPr>
          <w:p w14:paraId="022D61FB"/>
        </w:tc>
        <w:tc>
          <w:tcPr>
            <w:tcW w:w="1661" w:type="dxa"/>
            <w:vAlign w:val="center"/>
          </w:tcPr>
          <w:p w14:paraId="11CB3812">
            <w:r>
              <w:rPr>
                <w:rFonts w:hint="eastAsia"/>
              </w:rPr>
              <w:t>资产</w:t>
            </w:r>
          </w:p>
        </w:tc>
        <w:tc>
          <w:tcPr>
            <w:tcW w:w="1661" w:type="dxa"/>
            <w:vAlign w:val="center"/>
          </w:tcPr>
          <w:p w14:paraId="483E6233">
            <w:r>
              <w:rPr>
                <w:rFonts w:hint="eastAsia"/>
              </w:rPr>
              <w:t>负债</w:t>
            </w:r>
          </w:p>
        </w:tc>
        <w:tc>
          <w:tcPr>
            <w:tcW w:w="1661" w:type="dxa"/>
            <w:vMerge w:val="continue"/>
            <w:vAlign w:val="center"/>
          </w:tcPr>
          <w:p w14:paraId="55FD704A"/>
        </w:tc>
      </w:tr>
      <w:tr w14:paraId="53DC3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1AB87E">
            <w:r>
              <w:rPr>
                <w:rFonts w:hint="eastAsia"/>
              </w:rPr>
              <w:t>利率衍生工具</w:t>
            </w:r>
          </w:p>
        </w:tc>
        <w:tc>
          <w:tcPr>
            <w:tcW w:w="1661" w:type="dxa"/>
            <w:vAlign w:val="center"/>
          </w:tcPr>
          <w:p w14:paraId="00238B5A">
            <w:pPr>
              <w:jc w:val="right"/>
            </w:pPr>
            <w:r>
              <w:rPr>
                <w:rFonts w:hint="eastAsia"/>
              </w:rPr>
              <w:t>-</w:t>
            </w:r>
          </w:p>
        </w:tc>
        <w:tc>
          <w:tcPr>
            <w:tcW w:w="1661" w:type="dxa"/>
            <w:vAlign w:val="center"/>
          </w:tcPr>
          <w:p w14:paraId="386268A1">
            <w:pPr>
              <w:jc w:val="right"/>
            </w:pPr>
            <w:r>
              <w:rPr>
                <w:rFonts w:hint="eastAsia"/>
              </w:rPr>
              <w:t>-</w:t>
            </w:r>
          </w:p>
        </w:tc>
        <w:tc>
          <w:tcPr>
            <w:tcW w:w="1661" w:type="dxa"/>
            <w:vAlign w:val="center"/>
          </w:tcPr>
          <w:p w14:paraId="4DAEBE4C">
            <w:pPr>
              <w:jc w:val="right"/>
            </w:pPr>
            <w:r>
              <w:rPr>
                <w:rFonts w:hint="eastAsia"/>
              </w:rPr>
              <w:t>-</w:t>
            </w:r>
          </w:p>
        </w:tc>
        <w:tc>
          <w:tcPr>
            <w:tcW w:w="1661" w:type="dxa"/>
            <w:vAlign w:val="center"/>
          </w:tcPr>
          <w:p w14:paraId="251687A4">
            <w:pPr>
              <w:jc w:val="right"/>
            </w:pPr>
            <w:r>
              <w:rPr>
                <w:rFonts w:hint="eastAsia"/>
              </w:rPr>
              <w:t>-</w:t>
            </w:r>
          </w:p>
        </w:tc>
      </w:tr>
      <w:tr w14:paraId="248A1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F8AEDB">
            <w:r>
              <w:rPr>
                <w:rFonts w:hint="eastAsia"/>
              </w:rPr>
              <w:t>货币衍生工具</w:t>
            </w:r>
          </w:p>
        </w:tc>
        <w:tc>
          <w:tcPr>
            <w:tcW w:w="1661" w:type="dxa"/>
            <w:vAlign w:val="center"/>
          </w:tcPr>
          <w:p w14:paraId="4C0DDA5B">
            <w:pPr>
              <w:jc w:val="right"/>
            </w:pPr>
            <w:r>
              <w:rPr>
                <w:rFonts w:hint="eastAsia"/>
              </w:rPr>
              <w:t>-</w:t>
            </w:r>
          </w:p>
        </w:tc>
        <w:tc>
          <w:tcPr>
            <w:tcW w:w="1661" w:type="dxa"/>
            <w:vAlign w:val="center"/>
          </w:tcPr>
          <w:p w14:paraId="18C20F1E">
            <w:pPr>
              <w:jc w:val="right"/>
            </w:pPr>
            <w:r>
              <w:rPr>
                <w:rFonts w:hint="eastAsia"/>
              </w:rPr>
              <w:t>-</w:t>
            </w:r>
          </w:p>
        </w:tc>
        <w:tc>
          <w:tcPr>
            <w:tcW w:w="1661" w:type="dxa"/>
            <w:vAlign w:val="center"/>
          </w:tcPr>
          <w:p w14:paraId="5ABF00D5">
            <w:pPr>
              <w:jc w:val="right"/>
            </w:pPr>
            <w:r>
              <w:rPr>
                <w:rFonts w:hint="eastAsia"/>
              </w:rPr>
              <w:t>-</w:t>
            </w:r>
          </w:p>
        </w:tc>
        <w:tc>
          <w:tcPr>
            <w:tcW w:w="1661" w:type="dxa"/>
            <w:vAlign w:val="center"/>
          </w:tcPr>
          <w:p w14:paraId="58DF5908">
            <w:pPr>
              <w:jc w:val="right"/>
            </w:pPr>
            <w:r>
              <w:rPr>
                <w:rFonts w:hint="eastAsia"/>
              </w:rPr>
              <w:t>-</w:t>
            </w:r>
          </w:p>
        </w:tc>
      </w:tr>
      <w:tr w14:paraId="1DEB0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543A45">
            <w:r>
              <w:rPr>
                <w:rFonts w:hint="eastAsia"/>
              </w:rPr>
              <w:t>权益衍生工具</w:t>
            </w:r>
          </w:p>
        </w:tc>
        <w:tc>
          <w:tcPr>
            <w:tcW w:w="1661" w:type="dxa"/>
            <w:vAlign w:val="center"/>
          </w:tcPr>
          <w:p w14:paraId="00F504F9">
            <w:pPr>
              <w:jc w:val="right"/>
            </w:pPr>
            <w:r>
              <w:rPr>
                <w:rFonts w:hint="eastAsia"/>
              </w:rPr>
              <w:t>64,947,815.28</w:t>
            </w:r>
          </w:p>
        </w:tc>
        <w:tc>
          <w:tcPr>
            <w:tcW w:w="1661" w:type="dxa"/>
            <w:vAlign w:val="center"/>
          </w:tcPr>
          <w:p w14:paraId="537CE155">
            <w:pPr>
              <w:jc w:val="right"/>
            </w:pPr>
            <w:r>
              <w:rPr>
                <w:rFonts w:hint="eastAsia"/>
              </w:rPr>
              <w:t>-</w:t>
            </w:r>
          </w:p>
        </w:tc>
        <w:tc>
          <w:tcPr>
            <w:tcW w:w="1661" w:type="dxa"/>
            <w:vAlign w:val="center"/>
          </w:tcPr>
          <w:p w14:paraId="31F17969">
            <w:pPr>
              <w:jc w:val="right"/>
            </w:pPr>
            <w:r>
              <w:rPr>
                <w:rFonts w:hint="eastAsia"/>
              </w:rPr>
              <w:t>-</w:t>
            </w:r>
          </w:p>
        </w:tc>
        <w:tc>
          <w:tcPr>
            <w:tcW w:w="1661" w:type="dxa"/>
            <w:vAlign w:val="center"/>
          </w:tcPr>
          <w:p w14:paraId="0F871B81">
            <w:pPr>
              <w:jc w:val="right"/>
            </w:pPr>
            <w:r>
              <w:rPr>
                <w:rFonts w:hint="eastAsia"/>
              </w:rPr>
              <w:t>-</w:t>
            </w:r>
          </w:p>
        </w:tc>
      </w:tr>
      <w:tr w14:paraId="52102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9AA189">
            <w:r>
              <w:rPr>
                <w:rFonts w:hint="eastAsia"/>
              </w:rPr>
              <w:t>-股指期货</w:t>
            </w:r>
          </w:p>
        </w:tc>
        <w:tc>
          <w:tcPr>
            <w:tcW w:w="1661" w:type="dxa"/>
            <w:vAlign w:val="center"/>
          </w:tcPr>
          <w:p w14:paraId="2AA5AF98">
            <w:pPr>
              <w:jc w:val="right"/>
            </w:pPr>
            <w:r>
              <w:rPr>
                <w:rFonts w:hint="eastAsia"/>
              </w:rPr>
              <w:t>64,947,815.28</w:t>
            </w:r>
          </w:p>
        </w:tc>
        <w:tc>
          <w:tcPr>
            <w:tcW w:w="1661" w:type="dxa"/>
            <w:vAlign w:val="center"/>
          </w:tcPr>
          <w:p w14:paraId="0EE7573C">
            <w:pPr>
              <w:jc w:val="right"/>
            </w:pPr>
            <w:r>
              <w:rPr>
                <w:rFonts w:hint="eastAsia"/>
              </w:rPr>
              <w:t>-</w:t>
            </w:r>
          </w:p>
        </w:tc>
        <w:tc>
          <w:tcPr>
            <w:tcW w:w="1661" w:type="dxa"/>
            <w:vAlign w:val="center"/>
          </w:tcPr>
          <w:p w14:paraId="4F64542F">
            <w:pPr>
              <w:jc w:val="right"/>
            </w:pPr>
            <w:r>
              <w:rPr>
                <w:rFonts w:hint="eastAsia"/>
              </w:rPr>
              <w:t>-</w:t>
            </w:r>
          </w:p>
        </w:tc>
        <w:tc>
          <w:tcPr>
            <w:tcW w:w="1661" w:type="dxa"/>
            <w:vAlign w:val="center"/>
          </w:tcPr>
          <w:p w14:paraId="509E314B">
            <w:pPr>
              <w:jc w:val="right"/>
            </w:pPr>
            <w:r>
              <w:rPr>
                <w:rFonts w:hint="eastAsia"/>
              </w:rPr>
              <w:t>-</w:t>
            </w:r>
          </w:p>
        </w:tc>
      </w:tr>
      <w:tr w14:paraId="4B31F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587857">
            <w:r>
              <w:rPr>
                <w:rFonts w:hint="eastAsia"/>
              </w:rPr>
              <w:t>其他衍生工具</w:t>
            </w:r>
          </w:p>
        </w:tc>
        <w:tc>
          <w:tcPr>
            <w:tcW w:w="1661" w:type="dxa"/>
            <w:vAlign w:val="center"/>
          </w:tcPr>
          <w:p w14:paraId="18CCC81C">
            <w:pPr>
              <w:jc w:val="right"/>
            </w:pPr>
            <w:r>
              <w:rPr>
                <w:rFonts w:hint="eastAsia"/>
              </w:rPr>
              <w:t>-</w:t>
            </w:r>
          </w:p>
        </w:tc>
        <w:tc>
          <w:tcPr>
            <w:tcW w:w="1661" w:type="dxa"/>
            <w:vAlign w:val="center"/>
          </w:tcPr>
          <w:p w14:paraId="3C5C06D5">
            <w:pPr>
              <w:jc w:val="right"/>
            </w:pPr>
            <w:r>
              <w:rPr>
                <w:rFonts w:hint="eastAsia"/>
              </w:rPr>
              <w:t>-</w:t>
            </w:r>
          </w:p>
        </w:tc>
        <w:tc>
          <w:tcPr>
            <w:tcW w:w="1661" w:type="dxa"/>
            <w:vAlign w:val="center"/>
          </w:tcPr>
          <w:p w14:paraId="6FFF28FB">
            <w:pPr>
              <w:jc w:val="right"/>
            </w:pPr>
            <w:r>
              <w:rPr>
                <w:rFonts w:hint="eastAsia"/>
              </w:rPr>
              <w:t>-</w:t>
            </w:r>
          </w:p>
        </w:tc>
        <w:tc>
          <w:tcPr>
            <w:tcW w:w="1661" w:type="dxa"/>
            <w:vAlign w:val="center"/>
          </w:tcPr>
          <w:p w14:paraId="5ABD323E">
            <w:pPr>
              <w:jc w:val="right"/>
            </w:pPr>
            <w:r>
              <w:rPr>
                <w:rFonts w:hint="eastAsia"/>
              </w:rPr>
              <w:t>-</w:t>
            </w:r>
          </w:p>
        </w:tc>
      </w:tr>
      <w:tr w14:paraId="08C2A9C2">
        <w:tblPrEx>
          <w:tblCellMar>
            <w:top w:w="0" w:type="dxa"/>
            <w:left w:w="108" w:type="dxa"/>
            <w:bottom w:w="0" w:type="dxa"/>
            <w:right w:w="108" w:type="dxa"/>
          </w:tblCellMar>
        </w:tblPrEx>
        <w:trPr>
          <w:jc w:val="center"/>
        </w:trPr>
        <w:tc>
          <w:tcPr>
            <w:tcW w:w="1661" w:type="dxa"/>
            <w:vAlign w:val="center"/>
          </w:tcPr>
          <w:p w14:paraId="264930E8">
            <w:r>
              <w:rPr>
                <w:rFonts w:hint="eastAsia"/>
              </w:rPr>
              <w:t>合计</w:t>
            </w:r>
          </w:p>
        </w:tc>
        <w:tc>
          <w:tcPr>
            <w:tcW w:w="1661" w:type="dxa"/>
            <w:vAlign w:val="center"/>
          </w:tcPr>
          <w:p w14:paraId="788DAF74">
            <w:pPr>
              <w:jc w:val="right"/>
            </w:pPr>
            <w:r>
              <w:rPr>
                <w:rFonts w:hint="eastAsia"/>
              </w:rPr>
              <w:t>64,947,815.28</w:t>
            </w:r>
          </w:p>
        </w:tc>
        <w:tc>
          <w:tcPr>
            <w:tcW w:w="1661" w:type="dxa"/>
            <w:vAlign w:val="center"/>
          </w:tcPr>
          <w:p w14:paraId="608BB5AF">
            <w:pPr>
              <w:jc w:val="right"/>
            </w:pPr>
            <w:r>
              <w:rPr>
                <w:rFonts w:hint="eastAsia"/>
              </w:rPr>
              <w:t>-</w:t>
            </w:r>
          </w:p>
        </w:tc>
        <w:tc>
          <w:tcPr>
            <w:tcW w:w="1661" w:type="dxa"/>
            <w:vAlign w:val="center"/>
          </w:tcPr>
          <w:p w14:paraId="6C7388C0">
            <w:pPr>
              <w:jc w:val="right"/>
            </w:pPr>
            <w:r>
              <w:rPr>
                <w:rFonts w:hint="eastAsia"/>
              </w:rPr>
              <w:t>-</w:t>
            </w:r>
          </w:p>
        </w:tc>
        <w:tc>
          <w:tcPr>
            <w:tcW w:w="1661" w:type="dxa"/>
            <w:vAlign w:val="center"/>
          </w:tcPr>
          <w:p w14:paraId="481EA65E">
            <w:pPr>
              <w:jc w:val="right"/>
            </w:pPr>
            <w:r>
              <w:rPr>
                <w:rFonts w:hint="eastAsia"/>
              </w:rPr>
              <w:t>-</w:t>
            </w:r>
          </w:p>
        </w:tc>
      </w:tr>
    </w:tbl>
    <w:p w14:paraId="66C59536">
      <w:pPr>
        <w:pStyle w:val="36"/>
      </w:pPr>
      <w:bookmarkStart w:id="79" w:name="_Toc79"/>
      <w:r>
        <w:t>期末基金持有的期货合约情况</w:t>
      </w:r>
      <w:bookmarkEnd w:id="79"/>
    </w:p>
    <w:p w14:paraId="56E6068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3BB6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3A20BD">
            <w:r>
              <w:rPr>
                <w:rFonts w:hint="eastAsia"/>
              </w:rPr>
              <w:t>代码</w:t>
            </w:r>
          </w:p>
        </w:tc>
        <w:tc>
          <w:tcPr>
            <w:tcW w:w="1661" w:type="dxa"/>
            <w:vAlign w:val="center"/>
          </w:tcPr>
          <w:p w14:paraId="5FF31A46">
            <w:r>
              <w:rPr>
                <w:rFonts w:hint="eastAsia"/>
              </w:rPr>
              <w:t>名称</w:t>
            </w:r>
          </w:p>
        </w:tc>
        <w:tc>
          <w:tcPr>
            <w:tcW w:w="1661" w:type="dxa"/>
            <w:vAlign w:val="center"/>
          </w:tcPr>
          <w:p w14:paraId="5ED2DDFB">
            <w:r>
              <w:rPr>
                <w:rFonts w:hint="eastAsia"/>
              </w:rPr>
              <w:t>持仓量（买/卖）</w:t>
            </w:r>
          </w:p>
        </w:tc>
        <w:tc>
          <w:tcPr>
            <w:tcW w:w="1661" w:type="dxa"/>
            <w:vAlign w:val="center"/>
          </w:tcPr>
          <w:p w14:paraId="58052ADD">
            <w:r>
              <w:rPr>
                <w:rFonts w:hint="eastAsia"/>
              </w:rPr>
              <w:t>合约市值</w:t>
            </w:r>
          </w:p>
        </w:tc>
        <w:tc>
          <w:tcPr>
            <w:tcW w:w="1661" w:type="dxa"/>
            <w:vAlign w:val="center"/>
          </w:tcPr>
          <w:p w14:paraId="27BFAD03">
            <w:r>
              <w:rPr>
                <w:rFonts w:hint="eastAsia"/>
              </w:rPr>
              <w:t>公允价值变动</w:t>
            </w:r>
          </w:p>
        </w:tc>
      </w:tr>
      <w:tr w14:paraId="1A020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BA24F9">
            <w:r>
              <w:rPr>
                <w:rFonts w:hint="eastAsia"/>
              </w:rPr>
              <w:t>HTI2603</w:t>
            </w:r>
          </w:p>
        </w:tc>
        <w:tc>
          <w:tcPr>
            <w:tcW w:w="1661" w:type="dxa"/>
            <w:vAlign w:val="center"/>
          </w:tcPr>
          <w:p w14:paraId="05055816">
            <w:r>
              <w:rPr>
                <w:rFonts w:hint="eastAsia"/>
              </w:rPr>
              <w:t>HTI2603</w:t>
            </w:r>
          </w:p>
        </w:tc>
        <w:tc>
          <w:tcPr>
            <w:tcW w:w="1661" w:type="dxa"/>
            <w:vAlign w:val="center"/>
          </w:tcPr>
          <w:p w14:paraId="14BD7356">
            <w:pPr>
              <w:jc w:val="right"/>
            </w:pPr>
            <w:r>
              <w:rPr>
                <w:rFonts w:hint="eastAsia"/>
              </w:rPr>
              <w:t>254.00</w:t>
            </w:r>
          </w:p>
        </w:tc>
        <w:tc>
          <w:tcPr>
            <w:tcW w:w="1661" w:type="dxa"/>
            <w:vAlign w:val="center"/>
          </w:tcPr>
          <w:p w14:paraId="03083750">
            <w:pPr>
              <w:jc w:val="right"/>
            </w:pPr>
            <w:r>
              <w:rPr>
                <w:rFonts w:hint="eastAsia"/>
              </w:rPr>
              <w:t>63,606,107.23</w:t>
            </w:r>
          </w:p>
        </w:tc>
        <w:tc>
          <w:tcPr>
            <w:tcW w:w="1661" w:type="dxa"/>
            <w:vAlign w:val="center"/>
          </w:tcPr>
          <w:p w14:paraId="0C8EA184">
            <w:pPr>
              <w:jc w:val="right"/>
            </w:pPr>
            <w:r>
              <w:rPr>
                <w:rFonts w:hint="eastAsia"/>
              </w:rPr>
              <w:t>-1,341,708.05</w:t>
            </w:r>
          </w:p>
        </w:tc>
      </w:tr>
      <w:tr w14:paraId="4FF4E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4"/>
            <w:vAlign w:val="center"/>
          </w:tcPr>
          <w:p w14:paraId="19E79FA2">
            <w:r>
              <w:rPr>
                <w:rFonts w:hint="eastAsia"/>
              </w:rPr>
              <w:t>合计</w:t>
            </w:r>
          </w:p>
        </w:tc>
        <w:tc>
          <w:tcPr>
            <w:tcW w:w="1661" w:type="dxa"/>
            <w:vAlign w:val="center"/>
          </w:tcPr>
          <w:p w14:paraId="40AF55AE">
            <w:pPr>
              <w:jc w:val="right"/>
            </w:pPr>
            <w:r>
              <w:rPr>
                <w:rFonts w:hint="eastAsia"/>
              </w:rPr>
              <w:t>-1,341,708.05</w:t>
            </w:r>
          </w:p>
        </w:tc>
      </w:tr>
      <w:tr w14:paraId="1D34E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4"/>
            <w:vAlign w:val="center"/>
          </w:tcPr>
          <w:p w14:paraId="610AC3FB">
            <w:r>
              <w:rPr>
                <w:rFonts w:hint="eastAsia"/>
              </w:rPr>
              <w:t>减：可抵销期货暂收款</w:t>
            </w:r>
          </w:p>
        </w:tc>
        <w:tc>
          <w:tcPr>
            <w:tcW w:w="1661" w:type="dxa"/>
            <w:vAlign w:val="center"/>
          </w:tcPr>
          <w:p w14:paraId="4B1A90E5">
            <w:pPr>
              <w:jc w:val="right"/>
            </w:pPr>
            <w:r>
              <w:rPr>
                <w:rFonts w:hint="eastAsia"/>
              </w:rPr>
              <w:t>-1,341,708.05</w:t>
            </w:r>
          </w:p>
        </w:tc>
      </w:tr>
      <w:tr w14:paraId="6F065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4"/>
            <w:vAlign w:val="center"/>
          </w:tcPr>
          <w:p w14:paraId="5258D0DE">
            <w:r>
              <w:rPr>
                <w:rFonts w:hint="eastAsia"/>
              </w:rPr>
              <w:t>净额</w:t>
            </w:r>
          </w:p>
        </w:tc>
        <w:tc>
          <w:tcPr>
            <w:tcW w:w="1661" w:type="dxa"/>
            <w:vAlign w:val="center"/>
          </w:tcPr>
          <w:p w14:paraId="28FC1C71">
            <w:pPr>
              <w:jc w:val="right"/>
            </w:pPr>
            <w:r>
              <w:rPr>
                <w:rFonts w:hint="eastAsia"/>
              </w:rPr>
              <w:t>0.00</w:t>
            </w:r>
          </w:p>
        </w:tc>
      </w:tr>
    </w:tbl>
    <w:p w14:paraId="49B6AC62">
      <w:pPr>
        <w:pStyle w:val="47"/>
        <w:rPr>
          <w:rFonts w:hint="eastAsia"/>
        </w:rPr>
      </w:pPr>
      <w:r>
        <w:rPr>
          <w:rFonts w:hint="eastAsia"/>
        </w:rPr>
        <w:t>注：1、买入持仓量以正数表示，卖出持仓量以负数表示。</w:t>
      </w:r>
    </w:p>
    <w:p w14:paraId="0CF525B4">
      <w:pPr>
        <w:pStyle w:val="47"/>
        <w:rPr>
          <w:rFonts w:hint="eastAsia"/>
        </w:rPr>
      </w:pPr>
      <w:r>
        <w:tab/>
      </w:r>
      <w:r>
        <w:rPr>
          <w:rFonts w:hint="eastAsia"/>
        </w:rPr>
        <w:t>2、衍生金融资产项下的利率/货币/权益/其他衍生工具为国债/外汇/股指/商品期货投资，净额为0。在当日无负债结算制度下，结算准备金已包括所持国债/外汇/股指/商品期货投资合约产生的持仓损益，则衍生金融资产项下的国债/外汇/股指/商品期货投资与相关的期货暂收款(结算所得的持仓损益)之间按抵销后的净额为0。</w:t>
      </w:r>
    </w:p>
    <w:p w14:paraId="1A18936A">
      <w:pPr>
        <w:pStyle w:val="35"/>
      </w:pPr>
      <w:bookmarkStart w:id="80" w:name="_Toc80"/>
      <w:r>
        <w:t>买入返售金融资产</w:t>
      </w:r>
      <w:bookmarkEnd w:id="80"/>
    </w:p>
    <w:p w14:paraId="7D28FECE">
      <w:pPr>
        <w:pStyle w:val="36"/>
      </w:pPr>
      <w:bookmarkStart w:id="81" w:name="_Toc81"/>
      <w:r>
        <w:t>各项买入返售金融资产期末余额</w:t>
      </w:r>
      <w:bookmarkEnd w:id="81"/>
    </w:p>
    <w:p w14:paraId="03ACD8B7">
      <w:pPr>
        <w:pStyle w:val="18"/>
        <w:rPr>
          <w:rFonts w:hint="eastAsia"/>
        </w:rPr>
      </w:pPr>
      <w:r>
        <w:rPr>
          <w:rFonts w:hint="eastAsia"/>
        </w:rPr>
        <w:t>无。</w:t>
      </w:r>
    </w:p>
    <w:p w14:paraId="74089F11">
      <w:pPr>
        <w:pStyle w:val="36"/>
      </w:pPr>
      <w:bookmarkStart w:id="82" w:name="_Toc82"/>
      <w:r>
        <w:t>期末买断式逆回购交易中取得的债券</w:t>
      </w:r>
      <w:bookmarkEnd w:id="82"/>
    </w:p>
    <w:p w14:paraId="3083952F">
      <w:pPr>
        <w:pStyle w:val="18"/>
        <w:rPr>
          <w:rFonts w:hint="eastAsia"/>
        </w:rPr>
      </w:pPr>
      <w:r>
        <w:rPr>
          <w:rFonts w:hint="eastAsia"/>
        </w:rPr>
        <w:t>无。</w:t>
      </w:r>
    </w:p>
    <w:p w14:paraId="5F74D61B">
      <w:pPr>
        <w:pStyle w:val="35"/>
      </w:pPr>
      <w:bookmarkStart w:id="83" w:name="_Toc83"/>
      <w:r>
        <w:t>其他资产</w:t>
      </w:r>
      <w:bookmarkEnd w:id="83"/>
    </w:p>
    <w:p w14:paraId="30CEB27E">
      <w:pPr>
        <w:pStyle w:val="18"/>
        <w:rPr>
          <w:rFonts w:hint="eastAsia"/>
        </w:rPr>
      </w:pPr>
      <w:r>
        <w:rPr>
          <w:rFonts w:hint="eastAsia"/>
        </w:rPr>
        <w:t>无。</w:t>
      </w:r>
    </w:p>
    <w:p w14:paraId="1B79C31A">
      <w:pPr>
        <w:pStyle w:val="35"/>
      </w:pPr>
      <w:bookmarkStart w:id="84" w:name="_Toc84"/>
      <w:r>
        <w:t>其他负债</w:t>
      </w:r>
      <w:bookmarkEnd w:id="84"/>
    </w:p>
    <w:p w14:paraId="6AA464F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99"/>
        <w:gridCol w:w="4706"/>
      </w:tblGrid>
      <w:tr w14:paraId="1AE28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shd w:val="clear" w:color="auto" w:fill="BFBFBF"/>
            <w:vAlign w:val="center"/>
          </w:tcPr>
          <w:p w14:paraId="7E0702A4">
            <w:pPr>
              <w:jc w:val="center"/>
            </w:pPr>
            <w:r>
              <w:rPr>
                <w:rFonts w:hint="eastAsia"/>
                <w:b/>
              </w:rPr>
              <w:t>项目</w:t>
            </w:r>
          </w:p>
        </w:tc>
        <w:tc>
          <w:tcPr>
            <w:tcW w:w="4706" w:type="dxa"/>
            <w:shd w:val="clear" w:color="auto" w:fill="BFBFBF"/>
            <w:vAlign w:val="center"/>
          </w:tcPr>
          <w:p w14:paraId="3FFDA5B8">
            <w:pPr>
              <w:jc w:val="center"/>
            </w:pPr>
            <w:r>
              <w:rPr>
                <w:rFonts w:hint="eastAsia"/>
                <w:b/>
              </w:rPr>
              <w:t>本期末2025年12月31日</w:t>
            </w:r>
          </w:p>
        </w:tc>
      </w:tr>
      <w:tr w14:paraId="7FC93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2D8E76F4">
            <w:r>
              <w:rPr>
                <w:rFonts w:hint="eastAsia"/>
              </w:rPr>
              <w:t>应付券商交易单元保证金</w:t>
            </w:r>
          </w:p>
        </w:tc>
        <w:tc>
          <w:tcPr>
            <w:tcW w:w="4706" w:type="dxa"/>
            <w:vAlign w:val="center"/>
          </w:tcPr>
          <w:p w14:paraId="76B71B7E">
            <w:pPr>
              <w:jc w:val="right"/>
            </w:pPr>
            <w:r>
              <w:rPr>
                <w:rFonts w:hint="eastAsia"/>
              </w:rPr>
              <w:t>-</w:t>
            </w:r>
          </w:p>
        </w:tc>
      </w:tr>
      <w:tr w14:paraId="24F82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1DD1A93B">
            <w:r>
              <w:rPr>
                <w:rFonts w:hint="eastAsia"/>
              </w:rPr>
              <w:t>应付赎回费</w:t>
            </w:r>
          </w:p>
        </w:tc>
        <w:tc>
          <w:tcPr>
            <w:tcW w:w="4706" w:type="dxa"/>
            <w:vAlign w:val="center"/>
          </w:tcPr>
          <w:p w14:paraId="08FCE3F4">
            <w:pPr>
              <w:jc w:val="right"/>
            </w:pPr>
            <w:r>
              <w:rPr>
                <w:rFonts w:hint="eastAsia"/>
              </w:rPr>
              <w:t>-</w:t>
            </w:r>
          </w:p>
        </w:tc>
      </w:tr>
      <w:tr w14:paraId="73F19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475368E1">
            <w:r>
              <w:rPr>
                <w:rFonts w:hint="eastAsia"/>
              </w:rPr>
              <w:t>应付证券出借违约金</w:t>
            </w:r>
          </w:p>
        </w:tc>
        <w:tc>
          <w:tcPr>
            <w:tcW w:w="4706" w:type="dxa"/>
            <w:vAlign w:val="center"/>
          </w:tcPr>
          <w:p w14:paraId="3067D9EC">
            <w:pPr>
              <w:jc w:val="right"/>
            </w:pPr>
            <w:r>
              <w:rPr>
                <w:rFonts w:hint="eastAsia"/>
              </w:rPr>
              <w:t>-</w:t>
            </w:r>
          </w:p>
        </w:tc>
      </w:tr>
      <w:tr w14:paraId="5B61A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29F540DD">
            <w:r>
              <w:rPr>
                <w:rFonts w:hint="eastAsia"/>
              </w:rPr>
              <w:t>应付交易费用</w:t>
            </w:r>
          </w:p>
        </w:tc>
        <w:tc>
          <w:tcPr>
            <w:tcW w:w="4706" w:type="dxa"/>
            <w:vAlign w:val="center"/>
          </w:tcPr>
          <w:p w14:paraId="1AE0E85F">
            <w:pPr>
              <w:jc w:val="right"/>
            </w:pPr>
            <w:r>
              <w:rPr>
                <w:rFonts w:hint="eastAsia"/>
              </w:rPr>
              <w:t>-</w:t>
            </w:r>
          </w:p>
        </w:tc>
      </w:tr>
      <w:tr w14:paraId="631C6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4FCAFC44">
            <w:r>
              <w:rPr>
                <w:rFonts w:hint="eastAsia"/>
              </w:rPr>
              <w:t>其中：交易所市场</w:t>
            </w:r>
          </w:p>
        </w:tc>
        <w:tc>
          <w:tcPr>
            <w:tcW w:w="4706" w:type="dxa"/>
            <w:vAlign w:val="center"/>
          </w:tcPr>
          <w:p w14:paraId="2D133374">
            <w:pPr>
              <w:jc w:val="right"/>
            </w:pPr>
            <w:r>
              <w:rPr>
                <w:rFonts w:hint="eastAsia"/>
              </w:rPr>
              <w:t>-</w:t>
            </w:r>
          </w:p>
        </w:tc>
      </w:tr>
      <w:tr w14:paraId="55913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6D6E1738">
            <w:r>
              <w:rPr>
                <w:rFonts w:hint="eastAsia"/>
              </w:rPr>
              <w:t xml:space="preserve">      银行间市场</w:t>
            </w:r>
          </w:p>
        </w:tc>
        <w:tc>
          <w:tcPr>
            <w:tcW w:w="4706" w:type="dxa"/>
            <w:vAlign w:val="center"/>
          </w:tcPr>
          <w:p w14:paraId="439B9379">
            <w:pPr>
              <w:jc w:val="right"/>
            </w:pPr>
            <w:r>
              <w:rPr>
                <w:rFonts w:hint="eastAsia"/>
              </w:rPr>
              <w:t>-</w:t>
            </w:r>
          </w:p>
        </w:tc>
      </w:tr>
      <w:tr w14:paraId="0339E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092366B9">
            <w:r>
              <w:rPr>
                <w:rFonts w:hint="eastAsia"/>
              </w:rPr>
              <w:t>应付利息</w:t>
            </w:r>
          </w:p>
        </w:tc>
        <w:tc>
          <w:tcPr>
            <w:tcW w:w="4706" w:type="dxa"/>
            <w:vAlign w:val="center"/>
          </w:tcPr>
          <w:p w14:paraId="3DB9EC67">
            <w:pPr>
              <w:jc w:val="right"/>
            </w:pPr>
            <w:r>
              <w:rPr>
                <w:rFonts w:hint="eastAsia"/>
              </w:rPr>
              <w:t>-</w:t>
            </w:r>
          </w:p>
        </w:tc>
      </w:tr>
      <w:tr w14:paraId="1D2B8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6DBF1818">
            <w:r>
              <w:rPr>
                <w:rFonts w:hint="eastAsia"/>
              </w:rPr>
              <w:t>应退退补款</w:t>
            </w:r>
          </w:p>
        </w:tc>
        <w:tc>
          <w:tcPr>
            <w:tcW w:w="4706" w:type="dxa"/>
            <w:vAlign w:val="center"/>
          </w:tcPr>
          <w:p w14:paraId="128AC1E2">
            <w:pPr>
              <w:jc w:val="right"/>
            </w:pPr>
            <w:r>
              <w:rPr>
                <w:rFonts w:hint="eastAsia"/>
              </w:rPr>
              <w:t>23,095,252.72</w:t>
            </w:r>
          </w:p>
        </w:tc>
      </w:tr>
      <w:tr w14:paraId="69300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633B8B51">
            <w:r>
              <w:rPr>
                <w:rFonts w:hint="eastAsia"/>
              </w:rPr>
              <w:t>预提费用</w:t>
            </w:r>
          </w:p>
        </w:tc>
        <w:tc>
          <w:tcPr>
            <w:tcW w:w="4706" w:type="dxa"/>
            <w:vAlign w:val="center"/>
          </w:tcPr>
          <w:p w14:paraId="599639D9">
            <w:pPr>
              <w:jc w:val="right"/>
            </w:pPr>
            <w:r>
              <w:rPr>
                <w:rFonts w:hint="eastAsia"/>
              </w:rPr>
              <w:t>32,000.00</w:t>
            </w:r>
          </w:p>
        </w:tc>
      </w:tr>
      <w:tr w14:paraId="07B9F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2E40BC8D">
            <w:r>
              <w:rPr>
                <w:rFonts w:hint="eastAsia"/>
              </w:rPr>
              <w:t>应付指数使用费</w:t>
            </w:r>
          </w:p>
        </w:tc>
        <w:tc>
          <w:tcPr>
            <w:tcW w:w="4706" w:type="dxa"/>
            <w:vAlign w:val="center"/>
          </w:tcPr>
          <w:p w14:paraId="274311B7">
            <w:pPr>
              <w:jc w:val="right"/>
            </w:pPr>
            <w:r>
              <w:rPr>
                <w:rFonts w:hint="eastAsia"/>
              </w:rPr>
              <w:t>-</w:t>
            </w:r>
          </w:p>
        </w:tc>
      </w:tr>
      <w:tr w14:paraId="3D893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5C32BFF2">
            <w:r>
              <w:rPr>
                <w:rFonts w:hint="eastAsia"/>
              </w:rPr>
              <w:t>可退替代款</w:t>
            </w:r>
          </w:p>
        </w:tc>
        <w:tc>
          <w:tcPr>
            <w:tcW w:w="4706" w:type="dxa"/>
            <w:vAlign w:val="center"/>
          </w:tcPr>
          <w:p w14:paraId="7CC74B43">
            <w:pPr>
              <w:jc w:val="right"/>
            </w:pPr>
            <w:r>
              <w:rPr>
                <w:rFonts w:hint="eastAsia"/>
              </w:rPr>
              <w:t>-</w:t>
            </w:r>
          </w:p>
        </w:tc>
      </w:tr>
      <w:tr w14:paraId="6AAF5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1FD24B17">
            <w:r>
              <w:rPr>
                <w:rFonts w:hint="eastAsia"/>
              </w:rPr>
              <w:t>合计</w:t>
            </w:r>
          </w:p>
        </w:tc>
        <w:tc>
          <w:tcPr>
            <w:tcW w:w="4706" w:type="dxa"/>
            <w:vAlign w:val="center"/>
          </w:tcPr>
          <w:p w14:paraId="0183C078">
            <w:pPr>
              <w:jc w:val="right"/>
            </w:pPr>
            <w:r>
              <w:rPr>
                <w:rFonts w:hint="eastAsia"/>
              </w:rPr>
              <w:t>23,127,252.72</w:t>
            </w:r>
          </w:p>
        </w:tc>
      </w:tr>
    </w:tbl>
    <w:p w14:paraId="755A2151">
      <w:pPr>
        <w:pStyle w:val="35"/>
      </w:pPr>
      <w:bookmarkStart w:id="85" w:name="_Toc85"/>
      <w:r>
        <w:t>实收基金</w:t>
      </w:r>
      <w:bookmarkEnd w:id="85"/>
    </w:p>
    <w:p w14:paraId="46549E0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3A15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5EF2E09">
            <w:pPr>
              <w:jc w:val="center"/>
            </w:pPr>
            <w:r>
              <w:rPr>
                <w:rFonts w:hint="eastAsia"/>
                <w:b/>
              </w:rPr>
              <w:t>项目</w:t>
            </w:r>
          </w:p>
        </w:tc>
        <w:tc>
          <w:tcPr>
            <w:tcW w:w="2491" w:type="dxa"/>
            <w:gridSpan w:val="2"/>
            <w:shd w:val="clear" w:color="auto" w:fill="BFBFBF"/>
            <w:vAlign w:val="center"/>
          </w:tcPr>
          <w:p w14:paraId="14A21373">
            <w:pPr>
              <w:jc w:val="center"/>
            </w:pPr>
            <w:r>
              <w:rPr>
                <w:rFonts w:hint="eastAsia"/>
                <w:b/>
              </w:rPr>
              <w:t>本期2025年10月29日（基金合同生效日）至2025年12月31日</w:t>
            </w:r>
          </w:p>
        </w:tc>
      </w:tr>
      <w:tr w14:paraId="7E45F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5568DD2"/>
        </w:tc>
        <w:tc>
          <w:tcPr>
            <w:tcW w:w="2491" w:type="dxa"/>
            <w:shd w:val="clear" w:color="auto" w:fill="BFBFBF"/>
            <w:vAlign w:val="center"/>
          </w:tcPr>
          <w:p w14:paraId="1D9591D1">
            <w:pPr>
              <w:jc w:val="center"/>
            </w:pPr>
            <w:r>
              <w:rPr>
                <w:rFonts w:hint="eastAsia"/>
                <w:b/>
              </w:rPr>
              <w:t>基金份额（份）</w:t>
            </w:r>
          </w:p>
        </w:tc>
        <w:tc>
          <w:tcPr>
            <w:tcW w:w="2907" w:type="dxa"/>
            <w:shd w:val="clear" w:color="auto" w:fill="BFBFBF"/>
            <w:vAlign w:val="center"/>
          </w:tcPr>
          <w:p w14:paraId="70D4B1AE">
            <w:pPr>
              <w:jc w:val="center"/>
            </w:pPr>
            <w:r>
              <w:rPr>
                <w:rFonts w:hint="eastAsia"/>
                <w:b/>
              </w:rPr>
              <w:t>账面金额</w:t>
            </w:r>
          </w:p>
        </w:tc>
      </w:tr>
      <w:tr w14:paraId="18D01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4B389FB">
            <w:r>
              <w:rPr>
                <w:rFonts w:hint="eastAsia"/>
              </w:rPr>
              <w:t>基金合同生效日</w:t>
            </w:r>
          </w:p>
        </w:tc>
        <w:tc>
          <w:tcPr>
            <w:tcW w:w="2491" w:type="dxa"/>
            <w:vAlign w:val="center"/>
          </w:tcPr>
          <w:p w14:paraId="73255528">
            <w:pPr>
              <w:jc w:val="right"/>
            </w:pPr>
            <w:r>
              <w:rPr>
                <w:rFonts w:hint="eastAsia"/>
              </w:rPr>
              <w:t>451,876,000.00</w:t>
            </w:r>
          </w:p>
        </w:tc>
        <w:tc>
          <w:tcPr>
            <w:tcW w:w="2907" w:type="dxa"/>
            <w:vAlign w:val="center"/>
          </w:tcPr>
          <w:p w14:paraId="23E16C27">
            <w:pPr>
              <w:jc w:val="right"/>
            </w:pPr>
            <w:r>
              <w:rPr>
                <w:rFonts w:hint="eastAsia"/>
              </w:rPr>
              <w:t>451,876,000.00</w:t>
            </w:r>
          </w:p>
        </w:tc>
      </w:tr>
      <w:tr w14:paraId="33F57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7F9D18C">
            <w:r>
              <w:rPr>
                <w:rFonts w:hint="eastAsia"/>
              </w:rPr>
              <w:t>本期申购</w:t>
            </w:r>
          </w:p>
        </w:tc>
        <w:tc>
          <w:tcPr>
            <w:tcW w:w="2491" w:type="dxa"/>
            <w:vAlign w:val="center"/>
          </w:tcPr>
          <w:p w14:paraId="450872BD">
            <w:pPr>
              <w:jc w:val="right"/>
            </w:pPr>
            <w:r>
              <w:rPr>
                <w:rFonts w:hint="eastAsia"/>
              </w:rPr>
              <w:t>1,649,000,000.00</w:t>
            </w:r>
          </w:p>
        </w:tc>
        <w:tc>
          <w:tcPr>
            <w:tcW w:w="2907" w:type="dxa"/>
            <w:vAlign w:val="center"/>
          </w:tcPr>
          <w:p w14:paraId="5A0794A2">
            <w:pPr>
              <w:jc w:val="right"/>
            </w:pPr>
            <w:r>
              <w:rPr>
                <w:rFonts w:hint="eastAsia"/>
              </w:rPr>
              <w:t>1,649,000,000.00</w:t>
            </w:r>
          </w:p>
        </w:tc>
      </w:tr>
      <w:tr w14:paraId="620D6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D0C771F">
            <w:r>
              <w:rPr>
                <w:rFonts w:hint="eastAsia"/>
              </w:rPr>
              <w:t>本期赎回（以“-”号填列）</w:t>
            </w:r>
          </w:p>
        </w:tc>
        <w:tc>
          <w:tcPr>
            <w:tcW w:w="2491" w:type="dxa"/>
            <w:vAlign w:val="center"/>
          </w:tcPr>
          <w:p w14:paraId="6958FD6C">
            <w:pPr>
              <w:jc w:val="right"/>
            </w:pPr>
            <w:r>
              <w:rPr>
                <w:rFonts w:hint="eastAsia"/>
              </w:rPr>
              <w:t>-1,000,000.00</w:t>
            </w:r>
          </w:p>
        </w:tc>
        <w:tc>
          <w:tcPr>
            <w:tcW w:w="2907" w:type="dxa"/>
            <w:vAlign w:val="center"/>
          </w:tcPr>
          <w:p w14:paraId="48A644BC">
            <w:pPr>
              <w:jc w:val="right"/>
            </w:pPr>
            <w:r>
              <w:rPr>
                <w:rFonts w:hint="eastAsia"/>
              </w:rPr>
              <w:t>-1,000,000.00</w:t>
            </w:r>
          </w:p>
        </w:tc>
      </w:tr>
      <w:tr w14:paraId="373CD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0E9E3DA">
            <w:r>
              <w:rPr>
                <w:rFonts w:hint="eastAsia"/>
              </w:rPr>
              <w:t>基金拆分/份额折算前</w:t>
            </w:r>
          </w:p>
        </w:tc>
        <w:tc>
          <w:tcPr>
            <w:tcW w:w="2491" w:type="dxa"/>
            <w:vAlign w:val="center"/>
          </w:tcPr>
          <w:p w14:paraId="7BAC77A9">
            <w:pPr>
              <w:jc w:val="right"/>
            </w:pPr>
            <w:r>
              <w:rPr>
                <w:rFonts w:hint="eastAsia"/>
              </w:rPr>
              <w:t>-</w:t>
            </w:r>
          </w:p>
        </w:tc>
        <w:tc>
          <w:tcPr>
            <w:tcW w:w="2907" w:type="dxa"/>
            <w:vAlign w:val="center"/>
          </w:tcPr>
          <w:p w14:paraId="58B7A964">
            <w:pPr>
              <w:jc w:val="right"/>
            </w:pPr>
            <w:r>
              <w:rPr>
                <w:rFonts w:hint="eastAsia"/>
              </w:rPr>
              <w:t>-</w:t>
            </w:r>
          </w:p>
        </w:tc>
      </w:tr>
      <w:tr w14:paraId="599AD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20CF394">
            <w:r>
              <w:rPr>
                <w:rFonts w:hint="eastAsia"/>
              </w:rPr>
              <w:t>基金拆分/份额折算调整</w:t>
            </w:r>
          </w:p>
        </w:tc>
        <w:tc>
          <w:tcPr>
            <w:tcW w:w="2491" w:type="dxa"/>
            <w:vAlign w:val="center"/>
          </w:tcPr>
          <w:p w14:paraId="428647E2">
            <w:pPr>
              <w:jc w:val="right"/>
            </w:pPr>
            <w:r>
              <w:rPr>
                <w:rFonts w:hint="eastAsia"/>
              </w:rPr>
              <w:t>-</w:t>
            </w:r>
          </w:p>
        </w:tc>
        <w:tc>
          <w:tcPr>
            <w:tcW w:w="2907" w:type="dxa"/>
            <w:vAlign w:val="center"/>
          </w:tcPr>
          <w:p w14:paraId="1C6E0C88">
            <w:pPr>
              <w:jc w:val="right"/>
            </w:pPr>
            <w:r>
              <w:rPr>
                <w:rFonts w:hint="eastAsia"/>
              </w:rPr>
              <w:t>-</w:t>
            </w:r>
          </w:p>
        </w:tc>
      </w:tr>
      <w:tr w14:paraId="702CC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B5F28B9">
            <w:r>
              <w:rPr>
                <w:rFonts w:hint="eastAsia"/>
              </w:rPr>
              <w:t>本期申购</w:t>
            </w:r>
          </w:p>
        </w:tc>
        <w:tc>
          <w:tcPr>
            <w:tcW w:w="2491" w:type="dxa"/>
            <w:vAlign w:val="center"/>
          </w:tcPr>
          <w:p w14:paraId="32BCBF6A">
            <w:pPr>
              <w:jc w:val="right"/>
            </w:pPr>
            <w:r>
              <w:rPr>
                <w:rFonts w:hint="eastAsia"/>
              </w:rPr>
              <w:t>-</w:t>
            </w:r>
          </w:p>
        </w:tc>
        <w:tc>
          <w:tcPr>
            <w:tcW w:w="2907" w:type="dxa"/>
            <w:vAlign w:val="center"/>
          </w:tcPr>
          <w:p w14:paraId="1640BAC7">
            <w:pPr>
              <w:jc w:val="right"/>
            </w:pPr>
            <w:r>
              <w:rPr>
                <w:rFonts w:hint="eastAsia"/>
              </w:rPr>
              <w:t>-</w:t>
            </w:r>
          </w:p>
        </w:tc>
      </w:tr>
      <w:tr w14:paraId="24F7B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794AE0A">
            <w:r>
              <w:rPr>
                <w:rFonts w:hint="eastAsia"/>
              </w:rPr>
              <w:t>本期赎回（以“-”号填列）</w:t>
            </w:r>
          </w:p>
        </w:tc>
        <w:tc>
          <w:tcPr>
            <w:tcW w:w="2491" w:type="dxa"/>
            <w:vAlign w:val="center"/>
          </w:tcPr>
          <w:p w14:paraId="30D4E959">
            <w:pPr>
              <w:jc w:val="right"/>
            </w:pPr>
            <w:r>
              <w:rPr>
                <w:rFonts w:hint="eastAsia"/>
              </w:rPr>
              <w:t>-</w:t>
            </w:r>
          </w:p>
        </w:tc>
        <w:tc>
          <w:tcPr>
            <w:tcW w:w="2907" w:type="dxa"/>
            <w:vAlign w:val="center"/>
          </w:tcPr>
          <w:p w14:paraId="226829F7">
            <w:pPr>
              <w:jc w:val="right"/>
            </w:pPr>
            <w:r>
              <w:rPr>
                <w:rFonts w:hint="eastAsia"/>
              </w:rPr>
              <w:t>-</w:t>
            </w:r>
          </w:p>
        </w:tc>
      </w:tr>
      <w:tr w14:paraId="7A778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21F124D">
            <w:r>
              <w:rPr>
                <w:rFonts w:hint="eastAsia"/>
              </w:rPr>
              <w:t>本期末</w:t>
            </w:r>
          </w:p>
        </w:tc>
        <w:tc>
          <w:tcPr>
            <w:tcW w:w="2491" w:type="dxa"/>
            <w:vAlign w:val="center"/>
          </w:tcPr>
          <w:p w14:paraId="42CD9165">
            <w:pPr>
              <w:jc w:val="right"/>
            </w:pPr>
            <w:r>
              <w:rPr>
                <w:rFonts w:hint="eastAsia"/>
              </w:rPr>
              <w:t>2,099,876,000.00</w:t>
            </w:r>
          </w:p>
        </w:tc>
        <w:tc>
          <w:tcPr>
            <w:tcW w:w="2907" w:type="dxa"/>
            <w:vAlign w:val="center"/>
          </w:tcPr>
          <w:p w14:paraId="5280BDFC">
            <w:pPr>
              <w:jc w:val="right"/>
            </w:pPr>
            <w:r>
              <w:rPr>
                <w:rFonts w:hint="eastAsia"/>
              </w:rPr>
              <w:t>2,099,876,000.00</w:t>
            </w:r>
          </w:p>
        </w:tc>
      </w:tr>
    </w:tbl>
    <w:p w14:paraId="6A32562A">
      <w:pPr>
        <w:pStyle w:val="47"/>
        <w:rPr>
          <w:rFonts w:hint="eastAsia"/>
        </w:rPr>
      </w:pPr>
      <w:r>
        <w:rPr>
          <w:rFonts w:hint="eastAsia"/>
        </w:rPr>
        <w:t>注：（1）本基金申购含红利再投份额（如有）、转换入份额（如有）；赎回含转出份额（如有）。</w:t>
      </w:r>
    </w:p>
    <w:p w14:paraId="66B6D8B3">
      <w:pPr>
        <w:pStyle w:val="47"/>
        <w:rPr>
          <w:rFonts w:hint="eastAsia"/>
        </w:rPr>
      </w:pPr>
      <w:r>
        <w:tab/>
      </w:r>
      <w:r>
        <w:rPr>
          <w:rFonts w:hint="eastAsia"/>
        </w:rPr>
        <w:t>（2）本基金合同于2025年10月29日生效，基金合同生效日的基金份额总额为451,876,000.00份基金份额，其中认购资金利息折合0.00份基金份额。</w:t>
      </w:r>
    </w:p>
    <w:p w14:paraId="73B2CF7E">
      <w:pPr>
        <w:pStyle w:val="35"/>
      </w:pPr>
      <w:bookmarkStart w:id="86" w:name="_Toc86"/>
      <w:r>
        <w:t>未分配利润</w:t>
      </w:r>
      <w:bookmarkEnd w:id="86"/>
    </w:p>
    <w:p w14:paraId="22E2D79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9041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45B7023">
            <w:pPr>
              <w:jc w:val="center"/>
            </w:pPr>
            <w:r>
              <w:rPr>
                <w:rFonts w:hint="eastAsia"/>
                <w:b/>
              </w:rPr>
              <w:t>项目</w:t>
            </w:r>
          </w:p>
        </w:tc>
        <w:tc>
          <w:tcPr>
            <w:tcW w:w="2076" w:type="dxa"/>
            <w:shd w:val="clear" w:color="auto" w:fill="BFBFBF"/>
            <w:vAlign w:val="center"/>
          </w:tcPr>
          <w:p w14:paraId="2D9E51A0">
            <w:pPr>
              <w:jc w:val="center"/>
            </w:pPr>
            <w:r>
              <w:rPr>
                <w:rFonts w:hint="eastAsia"/>
                <w:b/>
              </w:rPr>
              <w:t>已实现部分</w:t>
            </w:r>
          </w:p>
        </w:tc>
        <w:tc>
          <w:tcPr>
            <w:tcW w:w="2076" w:type="dxa"/>
            <w:shd w:val="clear" w:color="auto" w:fill="BFBFBF"/>
            <w:vAlign w:val="center"/>
          </w:tcPr>
          <w:p w14:paraId="15AA8DC4">
            <w:pPr>
              <w:jc w:val="center"/>
            </w:pPr>
            <w:r>
              <w:rPr>
                <w:rFonts w:hint="eastAsia"/>
                <w:b/>
              </w:rPr>
              <w:t>未实现部分</w:t>
            </w:r>
          </w:p>
        </w:tc>
        <w:tc>
          <w:tcPr>
            <w:tcW w:w="2076" w:type="dxa"/>
            <w:shd w:val="clear" w:color="auto" w:fill="BFBFBF"/>
            <w:vAlign w:val="center"/>
          </w:tcPr>
          <w:p w14:paraId="2A479A57">
            <w:pPr>
              <w:jc w:val="center"/>
            </w:pPr>
            <w:r>
              <w:rPr>
                <w:rFonts w:hint="eastAsia"/>
                <w:b/>
              </w:rPr>
              <w:t>未分配利润合计</w:t>
            </w:r>
          </w:p>
        </w:tc>
      </w:tr>
      <w:tr w14:paraId="4BECE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D36F6C">
            <w:r>
              <w:rPr>
                <w:rFonts w:hint="eastAsia"/>
              </w:rPr>
              <w:t>基金合同生效日</w:t>
            </w:r>
          </w:p>
        </w:tc>
        <w:tc>
          <w:tcPr>
            <w:tcW w:w="2076" w:type="dxa"/>
            <w:vAlign w:val="center"/>
          </w:tcPr>
          <w:p w14:paraId="3122E3BF">
            <w:pPr>
              <w:jc w:val="right"/>
            </w:pPr>
            <w:r>
              <w:rPr>
                <w:rFonts w:hint="eastAsia"/>
              </w:rPr>
              <w:t>-</w:t>
            </w:r>
          </w:p>
        </w:tc>
        <w:tc>
          <w:tcPr>
            <w:tcW w:w="2076" w:type="dxa"/>
            <w:vAlign w:val="center"/>
          </w:tcPr>
          <w:p w14:paraId="087B772C">
            <w:pPr>
              <w:jc w:val="right"/>
            </w:pPr>
            <w:r>
              <w:rPr>
                <w:rFonts w:hint="eastAsia"/>
              </w:rPr>
              <w:t>-</w:t>
            </w:r>
          </w:p>
        </w:tc>
        <w:tc>
          <w:tcPr>
            <w:tcW w:w="2076" w:type="dxa"/>
            <w:vAlign w:val="center"/>
          </w:tcPr>
          <w:p w14:paraId="1EC3FA31">
            <w:pPr>
              <w:jc w:val="right"/>
            </w:pPr>
            <w:r>
              <w:rPr>
                <w:rFonts w:hint="eastAsia"/>
              </w:rPr>
              <w:t>-</w:t>
            </w:r>
          </w:p>
        </w:tc>
      </w:tr>
      <w:tr w14:paraId="3A7B0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682B5C">
            <w:r>
              <w:rPr>
                <w:rFonts w:hint="eastAsia"/>
              </w:rPr>
              <w:t>加：会计政策变更</w:t>
            </w:r>
          </w:p>
        </w:tc>
        <w:tc>
          <w:tcPr>
            <w:tcW w:w="2076" w:type="dxa"/>
            <w:vAlign w:val="center"/>
          </w:tcPr>
          <w:p w14:paraId="0F822AE3">
            <w:pPr>
              <w:jc w:val="right"/>
            </w:pPr>
            <w:r>
              <w:rPr>
                <w:rFonts w:hint="eastAsia"/>
              </w:rPr>
              <w:t>-</w:t>
            </w:r>
          </w:p>
        </w:tc>
        <w:tc>
          <w:tcPr>
            <w:tcW w:w="2076" w:type="dxa"/>
            <w:vAlign w:val="center"/>
          </w:tcPr>
          <w:p w14:paraId="7BA34237">
            <w:pPr>
              <w:jc w:val="right"/>
            </w:pPr>
            <w:r>
              <w:rPr>
                <w:rFonts w:hint="eastAsia"/>
              </w:rPr>
              <w:t>-</w:t>
            </w:r>
          </w:p>
        </w:tc>
        <w:tc>
          <w:tcPr>
            <w:tcW w:w="2076" w:type="dxa"/>
            <w:vAlign w:val="center"/>
          </w:tcPr>
          <w:p w14:paraId="29EDBEA8">
            <w:pPr>
              <w:jc w:val="right"/>
            </w:pPr>
            <w:r>
              <w:rPr>
                <w:rFonts w:hint="eastAsia"/>
              </w:rPr>
              <w:t>-</w:t>
            </w:r>
          </w:p>
        </w:tc>
      </w:tr>
      <w:tr w14:paraId="04454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F55ACF">
            <w:r>
              <w:rPr>
                <w:rFonts w:hint="eastAsia"/>
              </w:rPr>
              <w:t xml:space="preserve">      前期差错更正</w:t>
            </w:r>
          </w:p>
        </w:tc>
        <w:tc>
          <w:tcPr>
            <w:tcW w:w="2076" w:type="dxa"/>
            <w:vAlign w:val="center"/>
          </w:tcPr>
          <w:p w14:paraId="527E9EF5">
            <w:pPr>
              <w:jc w:val="right"/>
            </w:pPr>
            <w:r>
              <w:rPr>
                <w:rFonts w:hint="eastAsia"/>
              </w:rPr>
              <w:t>-</w:t>
            </w:r>
          </w:p>
        </w:tc>
        <w:tc>
          <w:tcPr>
            <w:tcW w:w="2076" w:type="dxa"/>
            <w:vAlign w:val="center"/>
          </w:tcPr>
          <w:p w14:paraId="290C5E66">
            <w:pPr>
              <w:jc w:val="right"/>
            </w:pPr>
            <w:r>
              <w:rPr>
                <w:rFonts w:hint="eastAsia"/>
              </w:rPr>
              <w:t>-</w:t>
            </w:r>
          </w:p>
        </w:tc>
        <w:tc>
          <w:tcPr>
            <w:tcW w:w="2076" w:type="dxa"/>
            <w:vAlign w:val="center"/>
          </w:tcPr>
          <w:p w14:paraId="3DDF8892">
            <w:pPr>
              <w:jc w:val="right"/>
            </w:pPr>
            <w:r>
              <w:rPr>
                <w:rFonts w:hint="eastAsia"/>
              </w:rPr>
              <w:t>-</w:t>
            </w:r>
          </w:p>
        </w:tc>
      </w:tr>
      <w:tr w14:paraId="5FF2A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7CE1552">
            <w:r>
              <w:rPr>
                <w:rFonts w:hint="eastAsia"/>
              </w:rPr>
              <w:t xml:space="preserve">      其他</w:t>
            </w:r>
          </w:p>
        </w:tc>
        <w:tc>
          <w:tcPr>
            <w:tcW w:w="2076" w:type="dxa"/>
            <w:vAlign w:val="center"/>
          </w:tcPr>
          <w:p w14:paraId="4D78956E">
            <w:pPr>
              <w:jc w:val="right"/>
            </w:pPr>
            <w:r>
              <w:rPr>
                <w:rFonts w:hint="eastAsia"/>
              </w:rPr>
              <w:t>-</w:t>
            </w:r>
          </w:p>
        </w:tc>
        <w:tc>
          <w:tcPr>
            <w:tcW w:w="2076" w:type="dxa"/>
            <w:vAlign w:val="center"/>
          </w:tcPr>
          <w:p w14:paraId="44348546">
            <w:pPr>
              <w:jc w:val="right"/>
            </w:pPr>
            <w:r>
              <w:rPr>
                <w:rFonts w:hint="eastAsia"/>
              </w:rPr>
              <w:t>-</w:t>
            </w:r>
          </w:p>
        </w:tc>
        <w:tc>
          <w:tcPr>
            <w:tcW w:w="2076" w:type="dxa"/>
            <w:vAlign w:val="center"/>
          </w:tcPr>
          <w:p w14:paraId="1A9671E6">
            <w:pPr>
              <w:jc w:val="right"/>
            </w:pPr>
            <w:r>
              <w:rPr>
                <w:rFonts w:hint="eastAsia"/>
              </w:rPr>
              <w:t>-</w:t>
            </w:r>
          </w:p>
        </w:tc>
      </w:tr>
      <w:tr w14:paraId="5935F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4241AB">
            <w:r>
              <w:rPr>
                <w:rFonts w:hint="eastAsia"/>
              </w:rPr>
              <w:t>本期期初</w:t>
            </w:r>
          </w:p>
        </w:tc>
        <w:tc>
          <w:tcPr>
            <w:tcW w:w="2076" w:type="dxa"/>
            <w:vAlign w:val="center"/>
          </w:tcPr>
          <w:p w14:paraId="451D6ADA">
            <w:pPr>
              <w:jc w:val="right"/>
            </w:pPr>
            <w:r>
              <w:rPr>
                <w:rFonts w:hint="eastAsia"/>
              </w:rPr>
              <w:t>-</w:t>
            </w:r>
          </w:p>
        </w:tc>
        <w:tc>
          <w:tcPr>
            <w:tcW w:w="2076" w:type="dxa"/>
            <w:vAlign w:val="center"/>
          </w:tcPr>
          <w:p w14:paraId="35B0BFDF">
            <w:pPr>
              <w:jc w:val="right"/>
            </w:pPr>
            <w:r>
              <w:rPr>
                <w:rFonts w:hint="eastAsia"/>
              </w:rPr>
              <w:t>-</w:t>
            </w:r>
          </w:p>
        </w:tc>
        <w:tc>
          <w:tcPr>
            <w:tcW w:w="2076" w:type="dxa"/>
            <w:vAlign w:val="center"/>
          </w:tcPr>
          <w:p w14:paraId="44D0F245">
            <w:pPr>
              <w:jc w:val="right"/>
            </w:pPr>
            <w:r>
              <w:rPr>
                <w:rFonts w:hint="eastAsia"/>
              </w:rPr>
              <w:t>-</w:t>
            </w:r>
          </w:p>
        </w:tc>
      </w:tr>
      <w:tr w14:paraId="72DE1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445C3D">
            <w:r>
              <w:rPr>
                <w:rFonts w:hint="eastAsia"/>
              </w:rPr>
              <w:t>本期利润</w:t>
            </w:r>
          </w:p>
        </w:tc>
        <w:tc>
          <w:tcPr>
            <w:tcW w:w="2076" w:type="dxa"/>
            <w:vAlign w:val="center"/>
          </w:tcPr>
          <w:p w14:paraId="639429E7">
            <w:pPr>
              <w:jc w:val="right"/>
            </w:pPr>
            <w:r>
              <w:rPr>
                <w:rFonts w:hint="eastAsia"/>
              </w:rPr>
              <w:t>-4,199,392.68</w:t>
            </w:r>
          </w:p>
        </w:tc>
        <w:tc>
          <w:tcPr>
            <w:tcW w:w="2076" w:type="dxa"/>
            <w:vAlign w:val="center"/>
          </w:tcPr>
          <w:p w14:paraId="66408E0F">
            <w:pPr>
              <w:jc w:val="right"/>
            </w:pPr>
            <w:r>
              <w:rPr>
                <w:rFonts w:hint="eastAsia"/>
              </w:rPr>
              <w:t>-47,319,844.87</w:t>
            </w:r>
          </w:p>
        </w:tc>
        <w:tc>
          <w:tcPr>
            <w:tcW w:w="2076" w:type="dxa"/>
            <w:vAlign w:val="center"/>
          </w:tcPr>
          <w:p w14:paraId="630F8614">
            <w:pPr>
              <w:jc w:val="right"/>
            </w:pPr>
            <w:r>
              <w:rPr>
                <w:rFonts w:hint="eastAsia"/>
              </w:rPr>
              <w:t>-51,519,237.55</w:t>
            </w:r>
          </w:p>
        </w:tc>
      </w:tr>
      <w:tr w14:paraId="62135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639997">
            <w:r>
              <w:rPr>
                <w:rFonts w:hint="eastAsia"/>
              </w:rPr>
              <w:t>本期基金份额交易产生的变动数</w:t>
            </w:r>
          </w:p>
        </w:tc>
        <w:tc>
          <w:tcPr>
            <w:tcW w:w="2076" w:type="dxa"/>
            <w:vAlign w:val="center"/>
          </w:tcPr>
          <w:p w14:paraId="2A77850C">
            <w:pPr>
              <w:jc w:val="right"/>
            </w:pPr>
            <w:r>
              <w:rPr>
                <w:rFonts w:hint="eastAsia"/>
              </w:rPr>
              <w:t>-12,777,150.24</w:t>
            </w:r>
          </w:p>
        </w:tc>
        <w:tc>
          <w:tcPr>
            <w:tcW w:w="2076" w:type="dxa"/>
            <w:vAlign w:val="center"/>
          </w:tcPr>
          <w:p w14:paraId="1BCDAAB0">
            <w:pPr>
              <w:jc w:val="right"/>
            </w:pPr>
            <w:r>
              <w:rPr>
                <w:rFonts w:hint="eastAsia"/>
              </w:rPr>
              <w:t>-99,560,248.17</w:t>
            </w:r>
          </w:p>
        </w:tc>
        <w:tc>
          <w:tcPr>
            <w:tcW w:w="2076" w:type="dxa"/>
            <w:vAlign w:val="center"/>
          </w:tcPr>
          <w:p w14:paraId="1E9B6AF6">
            <w:pPr>
              <w:jc w:val="right"/>
            </w:pPr>
            <w:r>
              <w:rPr>
                <w:rFonts w:hint="eastAsia"/>
              </w:rPr>
              <w:t>-112,337,398.41</w:t>
            </w:r>
          </w:p>
        </w:tc>
      </w:tr>
      <w:tr w14:paraId="480EB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371CB6">
            <w:r>
              <w:rPr>
                <w:rFonts w:hint="eastAsia"/>
              </w:rPr>
              <w:t>其中：基金申购款</w:t>
            </w:r>
          </w:p>
        </w:tc>
        <w:tc>
          <w:tcPr>
            <w:tcW w:w="2076" w:type="dxa"/>
            <w:vAlign w:val="center"/>
          </w:tcPr>
          <w:p w14:paraId="483C3BA7">
            <w:pPr>
              <w:jc w:val="right"/>
            </w:pPr>
            <w:r>
              <w:rPr>
                <w:rFonts w:hint="eastAsia"/>
              </w:rPr>
              <w:t>-12,782,633.02</w:t>
            </w:r>
          </w:p>
        </w:tc>
        <w:tc>
          <w:tcPr>
            <w:tcW w:w="2076" w:type="dxa"/>
            <w:vAlign w:val="center"/>
          </w:tcPr>
          <w:p w14:paraId="6B95D2B5">
            <w:pPr>
              <w:jc w:val="right"/>
            </w:pPr>
            <w:r>
              <w:rPr>
                <w:rFonts w:hint="eastAsia"/>
              </w:rPr>
              <w:t>-99,609,903.53</w:t>
            </w:r>
          </w:p>
        </w:tc>
        <w:tc>
          <w:tcPr>
            <w:tcW w:w="2076" w:type="dxa"/>
            <w:vAlign w:val="center"/>
          </w:tcPr>
          <w:p w14:paraId="3442A470">
            <w:pPr>
              <w:jc w:val="right"/>
            </w:pPr>
            <w:r>
              <w:rPr>
                <w:rFonts w:hint="eastAsia"/>
              </w:rPr>
              <w:t>-112,392,536.55</w:t>
            </w:r>
          </w:p>
        </w:tc>
      </w:tr>
      <w:tr w14:paraId="364EF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2F12F5">
            <w:r>
              <w:rPr>
                <w:rFonts w:hint="eastAsia"/>
              </w:rPr>
              <w:t xml:space="preserve">      基金赎回款</w:t>
            </w:r>
          </w:p>
        </w:tc>
        <w:tc>
          <w:tcPr>
            <w:tcW w:w="2076" w:type="dxa"/>
            <w:vAlign w:val="center"/>
          </w:tcPr>
          <w:p w14:paraId="47E5A382">
            <w:pPr>
              <w:jc w:val="right"/>
            </w:pPr>
            <w:r>
              <w:rPr>
                <w:rFonts w:hint="eastAsia"/>
              </w:rPr>
              <w:t>5,482.78</w:t>
            </w:r>
          </w:p>
        </w:tc>
        <w:tc>
          <w:tcPr>
            <w:tcW w:w="2076" w:type="dxa"/>
            <w:vAlign w:val="center"/>
          </w:tcPr>
          <w:p w14:paraId="3F37D8BA">
            <w:pPr>
              <w:jc w:val="right"/>
            </w:pPr>
            <w:r>
              <w:rPr>
                <w:rFonts w:hint="eastAsia"/>
              </w:rPr>
              <w:t>49,655.36</w:t>
            </w:r>
          </w:p>
        </w:tc>
        <w:tc>
          <w:tcPr>
            <w:tcW w:w="2076" w:type="dxa"/>
            <w:vAlign w:val="center"/>
          </w:tcPr>
          <w:p w14:paraId="16EA16D5">
            <w:pPr>
              <w:jc w:val="right"/>
            </w:pPr>
            <w:r>
              <w:rPr>
                <w:rFonts w:hint="eastAsia"/>
              </w:rPr>
              <w:t>55,138.14</w:t>
            </w:r>
          </w:p>
        </w:tc>
      </w:tr>
      <w:tr w14:paraId="4A501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16A8E8">
            <w:r>
              <w:rPr>
                <w:rFonts w:hint="eastAsia"/>
              </w:rPr>
              <w:t>本期已分配利润</w:t>
            </w:r>
          </w:p>
        </w:tc>
        <w:tc>
          <w:tcPr>
            <w:tcW w:w="2076" w:type="dxa"/>
            <w:vAlign w:val="center"/>
          </w:tcPr>
          <w:p w14:paraId="06412E38">
            <w:pPr>
              <w:jc w:val="right"/>
            </w:pPr>
            <w:r>
              <w:rPr>
                <w:rFonts w:hint="eastAsia"/>
              </w:rPr>
              <w:t>-</w:t>
            </w:r>
          </w:p>
        </w:tc>
        <w:tc>
          <w:tcPr>
            <w:tcW w:w="2076" w:type="dxa"/>
            <w:vAlign w:val="center"/>
          </w:tcPr>
          <w:p w14:paraId="60B93E5A">
            <w:pPr>
              <w:jc w:val="right"/>
            </w:pPr>
            <w:r>
              <w:rPr>
                <w:rFonts w:hint="eastAsia"/>
              </w:rPr>
              <w:t>-</w:t>
            </w:r>
          </w:p>
        </w:tc>
        <w:tc>
          <w:tcPr>
            <w:tcW w:w="2076" w:type="dxa"/>
            <w:vAlign w:val="center"/>
          </w:tcPr>
          <w:p w14:paraId="6BA95385">
            <w:pPr>
              <w:jc w:val="right"/>
            </w:pPr>
            <w:r>
              <w:rPr>
                <w:rFonts w:hint="eastAsia"/>
              </w:rPr>
              <w:t>-</w:t>
            </w:r>
          </w:p>
        </w:tc>
      </w:tr>
      <w:tr w14:paraId="152FB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E70F47">
            <w:r>
              <w:rPr>
                <w:rFonts w:hint="eastAsia"/>
              </w:rPr>
              <w:t>本期末</w:t>
            </w:r>
          </w:p>
        </w:tc>
        <w:tc>
          <w:tcPr>
            <w:tcW w:w="2076" w:type="dxa"/>
            <w:vAlign w:val="center"/>
          </w:tcPr>
          <w:p w14:paraId="29E6C0F8">
            <w:pPr>
              <w:jc w:val="right"/>
            </w:pPr>
            <w:r>
              <w:rPr>
                <w:rFonts w:hint="eastAsia"/>
              </w:rPr>
              <w:t>-16,976,542.92</w:t>
            </w:r>
          </w:p>
        </w:tc>
        <w:tc>
          <w:tcPr>
            <w:tcW w:w="2076" w:type="dxa"/>
            <w:vAlign w:val="center"/>
          </w:tcPr>
          <w:p w14:paraId="0BD2F55A">
            <w:pPr>
              <w:jc w:val="right"/>
            </w:pPr>
            <w:r>
              <w:rPr>
                <w:rFonts w:hint="eastAsia"/>
              </w:rPr>
              <w:t>-146,880,093.04</w:t>
            </w:r>
          </w:p>
        </w:tc>
        <w:tc>
          <w:tcPr>
            <w:tcW w:w="2076" w:type="dxa"/>
            <w:vAlign w:val="center"/>
          </w:tcPr>
          <w:p w14:paraId="10A5CB81">
            <w:pPr>
              <w:jc w:val="right"/>
            </w:pPr>
            <w:r>
              <w:rPr>
                <w:rFonts w:hint="eastAsia"/>
              </w:rPr>
              <w:t>-163,856,635.96</w:t>
            </w:r>
          </w:p>
        </w:tc>
      </w:tr>
    </w:tbl>
    <w:p w14:paraId="2BB3EA82">
      <w:pPr>
        <w:pStyle w:val="35"/>
      </w:pPr>
      <w:bookmarkStart w:id="87" w:name="_Toc87"/>
      <w:r>
        <w:t>存款利息收入</w:t>
      </w:r>
      <w:bookmarkEnd w:id="87"/>
    </w:p>
    <w:p w14:paraId="3DBA6E6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91"/>
        <w:gridCol w:w="5814"/>
      </w:tblGrid>
      <w:tr w14:paraId="1C57A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shd w:val="clear" w:color="auto" w:fill="BFBFBF"/>
            <w:vAlign w:val="center"/>
          </w:tcPr>
          <w:p w14:paraId="5DD6A160">
            <w:pPr>
              <w:jc w:val="center"/>
            </w:pPr>
            <w:r>
              <w:rPr>
                <w:rFonts w:hint="eastAsia"/>
                <w:b/>
              </w:rPr>
              <w:t>项目</w:t>
            </w:r>
          </w:p>
        </w:tc>
        <w:tc>
          <w:tcPr>
            <w:tcW w:w="5814" w:type="dxa"/>
            <w:shd w:val="clear" w:color="auto" w:fill="BFBFBF"/>
            <w:vAlign w:val="center"/>
          </w:tcPr>
          <w:p w14:paraId="515BCACF">
            <w:pPr>
              <w:jc w:val="center"/>
            </w:pPr>
            <w:r>
              <w:rPr>
                <w:rFonts w:hint="eastAsia"/>
                <w:b/>
              </w:rPr>
              <w:t>本期2025年10月29日（基金合同生效日）至2025年12月31日</w:t>
            </w:r>
          </w:p>
        </w:tc>
      </w:tr>
      <w:tr w14:paraId="342A9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1E816093">
            <w:r>
              <w:rPr>
                <w:rFonts w:hint="eastAsia"/>
              </w:rPr>
              <w:t>活期存款利息收入</w:t>
            </w:r>
          </w:p>
        </w:tc>
        <w:tc>
          <w:tcPr>
            <w:tcW w:w="5814" w:type="dxa"/>
            <w:vAlign w:val="center"/>
          </w:tcPr>
          <w:p w14:paraId="33C5A1DC">
            <w:pPr>
              <w:jc w:val="right"/>
            </w:pPr>
            <w:r>
              <w:rPr>
                <w:rFonts w:hint="eastAsia"/>
              </w:rPr>
              <w:t>3,325.92</w:t>
            </w:r>
          </w:p>
        </w:tc>
      </w:tr>
      <w:tr w14:paraId="2CDAD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5F60A10C">
            <w:r>
              <w:rPr>
                <w:rFonts w:hint="eastAsia"/>
              </w:rPr>
              <w:t>定期存款利息收入</w:t>
            </w:r>
          </w:p>
        </w:tc>
        <w:tc>
          <w:tcPr>
            <w:tcW w:w="5814" w:type="dxa"/>
            <w:vAlign w:val="center"/>
          </w:tcPr>
          <w:p w14:paraId="71CB8E95">
            <w:pPr>
              <w:jc w:val="right"/>
            </w:pPr>
            <w:r>
              <w:rPr>
                <w:rFonts w:hint="eastAsia"/>
              </w:rPr>
              <w:t>-</w:t>
            </w:r>
          </w:p>
        </w:tc>
      </w:tr>
      <w:tr w14:paraId="0F4D4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51A7AADD">
            <w:r>
              <w:rPr>
                <w:rFonts w:hint="eastAsia"/>
              </w:rPr>
              <w:t>其他存款利息收入</w:t>
            </w:r>
          </w:p>
        </w:tc>
        <w:tc>
          <w:tcPr>
            <w:tcW w:w="5814" w:type="dxa"/>
            <w:vAlign w:val="center"/>
          </w:tcPr>
          <w:p w14:paraId="683FCF9A">
            <w:pPr>
              <w:jc w:val="right"/>
            </w:pPr>
            <w:r>
              <w:rPr>
                <w:rFonts w:hint="eastAsia"/>
              </w:rPr>
              <w:t>13,039.28</w:t>
            </w:r>
          </w:p>
        </w:tc>
      </w:tr>
      <w:tr w14:paraId="0FA66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1A4FCF0E">
            <w:r>
              <w:rPr>
                <w:rFonts w:hint="eastAsia"/>
              </w:rPr>
              <w:t>结算备付金利息收入</w:t>
            </w:r>
          </w:p>
        </w:tc>
        <w:tc>
          <w:tcPr>
            <w:tcW w:w="5814" w:type="dxa"/>
            <w:vAlign w:val="center"/>
          </w:tcPr>
          <w:p w14:paraId="2E0976C6">
            <w:pPr>
              <w:jc w:val="right"/>
            </w:pPr>
            <w:r>
              <w:rPr>
                <w:rFonts w:hint="eastAsia"/>
              </w:rPr>
              <w:t>-</w:t>
            </w:r>
          </w:p>
        </w:tc>
      </w:tr>
      <w:tr w14:paraId="4A734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5B466B7B">
            <w:r>
              <w:rPr>
                <w:rFonts w:hint="eastAsia"/>
              </w:rPr>
              <w:t>其他</w:t>
            </w:r>
          </w:p>
        </w:tc>
        <w:tc>
          <w:tcPr>
            <w:tcW w:w="5814" w:type="dxa"/>
            <w:vAlign w:val="center"/>
          </w:tcPr>
          <w:p w14:paraId="2DF1EB30">
            <w:pPr>
              <w:jc w:val="right"/>
            </w:pPr>
            <w:r>
              <w:rPr>
                <w:rFonts w:hint="eastAsia"/>
              </w:rPr>
              <w:t>-</w:t>
            </w:r>
          </w:p>
        </w:tc>
      </w:tr>
      <w:tr w14:paraId="66A30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3BDFBBB0">
            <w:r>
              <w:rPr>
                <w:rFonts w:hint="eastAsia"/>
              </w:rPr>
              <w:t>合计</w:t>
            </w:r>
          </w:p>
        </w:tc>
        <w:tc>
          <w:tcPr>
            <w:tcW w:w="5814" w:type="dxa"/>
            <w:vAlign w:val="center"/>
          </w:tcPr>
          <w:p w14:paraId="5BF2F1D9">
            <w:pPr>
              <w:jc w:val="right"/>
            </w:pPr>
            <w:r>
              <w:rPr>
                <w:rFonts w:hint="eastAsia"/>
              </w:rPr>
              <w:t>16,365.20</w:t>
            </w:r>
          </w:p>
        </w:tc>
      </w:tr>
    </w:tbl>
    <w:p w14:paraId="6269FD8E">
      <w:pPr>
        <w:pStyle w:val="47"/>
        <w:rPr>
          <w:rFonts w:hint="eastAsia"/>
        </w:rPr>
      </w:pPr>
      <w:r>
        <w:rPr>
          <w:rFonts w:hint="eastAsia"/>
        </w:rPr>
        <w:t>注：其他存款利息收入为存放在证券经纪商基金专用证券账户的证券交易结算资金产生的利息收入。</w:t>
      </w:r>
    </w:p>
    <w:p w14:paraId="45A50692">
      <w:pPr>
        <w:pStyle w:val="35"/>
      </w:pPr>
      <w:bookmarkStart w:id="88" w:name="_Toc88"/>
      <w:r>
        <w:t>股票投资收益</w:t>
      </w:r>
      <w:bookmarkEnd w:id="88"/>
    </w:p>
    <w:p w14:paraId="36573610">
      <w:pPr>
        <w:pStyle w:val="36"/>
      </w:pPr>
      <w:bookmarkStart w:id="89" w:name="_Toc89"/>
      <w:r>
        <w:t>股票投资收益项目构成</w:t>
      </w:r>
      <w:bookmarkEnd w:id="89"/>
    </w:p>
    <w:p w14:paraId="7DF69ED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6F40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7D9C878">
            <w:pPr>
              <w:jc w:val="center"/>
            </w:pPr>
            <w:r>
              <w:rPr>
                <w:rFonts w:hint="eastAsia"/>
                <w:b/>
              </w:rPr>
              <w:t>项目</w:t>
            </w:r>
          </w:p>
        </w:tc>
        <w:tc>
          <w:tcPr>
            <w:tcW w:w="4153" w:type="dxa"/>
            <w:shd w:val="clear" w:color="auto" w:fill="BFBFBF"/>
            <w:vAlign w:val="center"/>
          </w:tcPr>
          <w:p w14:paraId="03C00CED">
            <w:pPr>
              <w:jc w:val="center"/>
            </w:pPr>
            <w:r>
              <w:rPr>
                <w:rFonts w:hint="eastAsia"/>
                <w:b/>
              </w:rPr>
              <w:t>本期2025年10月29日（基金合同生效日）至2025年12月31日</w:t>
            </w:r>
          </w:p>
        </w:tc>
      </w:tr>
      <w:tr w14:paraId="19E09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A05A6F">
            <w:r>
              <w:rPr>
                <w:rFonts w:hint="eastAsia"/>
              </w:rPr>
              <w:t>股票投资收益——买卖股票差价收入</w:t>
            </w:r>
          </w:p>
        </w:tc>
        <w:tc>
          <w:tcPr>
            <w:tcW w:w="4153" w:type="dxa"/>
            <w:vAlign w:val="center"/>
          </w:tcPr>
          <w:p w14:paraId="0E0D018A">
            <w:pPr>
              <w:jc w:val="right"/>
            </w:pPr>
            <w:r>
              <w:rPr>
                <w:rFonts w:hint="eastAsia"/>
              </w:rPr>
              <w:t>-3,102,056.18</w:t>
            </w:r>
          </w:p>
        </w:tc>
      </w:tr>
      <w:tr w14:paraId="3BB69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59C4A3">
            <w:r>
              <w:rPr>
                <w:rFonts w:hint="eastAsia"/>
              </w:rPr>
              <w:t>股票投资收益——赎回差价收入</w:t>
            </w:r>
          </w:p>
        </w:tc>
        <w:tc>
          <w:tcPr>
            <w:tcW w:w="4153" w:type="dxa"/>
            <w:vAlign w:val="center"/>
          </w:tcPr>
          <w:p w14:paraId="57CF2CCC">
            <w:pPr>
              <w:jc w:val="right"/>
            </w:pPr>
            <w:r>
              <w:rPr>
                <w:rFonts w:hint="eastAsia"/>
              </w:rPr>
              <w:t>-</w:t>
            </w:r>
          </w:p>
        </w:tc>
      </w:tr>
      <w:tr w14:paraId="029E0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B59EBE">
            <w:r>
              <w:rPr>
                <w:rFonts w:hint="eastAsia"/>
              </w:rPr>
              <w:t>股票投资收益——申购差价收入</w:t>
            </w:r>
          </w:p>
        </w:tc>
        <w:tc>
          <w:tcPr>
            <w:tcW w:w="4153" w:type="dxa"/>
            <w:vAlign w:val="center"/>
          </w:tcPr>
          <w:p w14:paraId="3A4575AE">
            <w:pPr>
              <w:jc w:val="right"/>
            </w:pPr>
            <w:r>
              <w:rPr>
                <w:rFonts w:hint="eastAsia"/>
              </w:rPr>
              <w:t>-</w:t>
            </w:r>
          </w:p>
        </w:tc>
      </w:tr>
      <w:tr w14:paraId="471FF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754155">
            <w:r>
              <w:rPr>
                <w:rFonts w:hint="eastAsia"/>
              </w:rPr>
              <w:t>股票投资收益——证券出借差价收入</w:t>
            </w:r>
          </w:p>
        </w:tc>
        <w:tc>
          <w:tcPr>
            <w:tcW w:w="4153" w:type="dxa"/>
            <w:vAlign w:val="center"/>
          </w:tcPr>
          <w:p w14:paraId="42567267">
            <w:pPr>
              <w:jc w:val="right"/>
            </w:pPr>
            <w:r>
              <w:rPr>
                <w:rFonts w:hint="eastAsia"/>
              </w:rPr>
              <w:t>-</w:t>
            </w:r>
          </w:p>
        </w:tc>
      </w:tr>
      <w:tr w14:paraId="57AA4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B1F2EA9">
            <w:r>
              <w:rPr>
                <w:rFonts w:hint="eastAsia"/>
              </w:rPr>
              <w:t>合计</w:t>
            </w:r>
          </w:p>
        </w:tc>
        <w:tc>
          <w:tcPr>
            <w:tcW w:w="4153" w:type="dxa"/>
            <w:vAlign w:val="center"/>
          </w:tcPr>
          <w:p w14:paraId="202C0D03">
            <w:pPr>
              <w:jc w:val="right"/>
            </w:pPr>
            <w:r>
              <w:rPr>
                <w:rFonts w:hint="eastAsia"/>
              </w:rPr>
              <w:t>-3,102,056.18</w:t>
            </w:r>
          </w:p>
        </w:tc>
      </w:tr>
    </w:tbl>
    <w:p w14:paraId="5BAADFD3">
      <w:pPr>
        <w:pStyle w:val="36"/>
      </w:pPr>
      <w:bookmarkStart w:id="90" w:name="_Toc90"/>
      <w:r>
        <w:t>股票投资收益——买卖股票差价收入</w:t>
      </w:r>
      <w:bookmarkEnd w:id="90"/>
    </w:p>
    <w:p w14:paraId="554A31B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1F27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ED131A9">
            <w:pPr>
              <w:jc w:val="center"/>
            </w:pPr>
            <w:r>
              <w:rPr>
                <w:rFonts w:hint="eastAsia"/>
                <w:b/>
              </w:rPr>
              <w:t>项目</w:t>
            </w:r>
          </w:p>
        </w:tc>
        <w:tc>
          <w:tcPr>
            <w:tcW w:w="4153" w:type="dxa"/>
            <w:shd w:val="clear" w:color="auto" w:fill="BFBFBF"/>
            <w:vAlign w:val="center"/>
          </w:tcPr>
          <w:p w14:paraId="32937BCE">
            <w:pPr>
              <w:jc w:val="center"/>
            </w:pPr>
            <w:r>
              <w:rPr>
                <w:rFonts w:hint="eastAsia"/>
                <w:b/>
              </w:rPr>
              <w:t>本期2025年10月29日（基金合同生效日）至2025年12月31日</w:t>
            </w:r>
          </w:p>
        </w:tc>
      </w:tr>
      <w:tr w14:paraId="0D3FB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24B094">
            <w:r>
              <w:rPr>
                <w:rFonts w:hint="eastAsia"/>
              </w:rPr>
              <w:t>卖出股票成交总额</w:t>
            </w:r>
          </w:p>
        </w:tc>
        <w:tc>
          <w:tcPr>
            <w:tcW w:w="4153" w:type="dxa"/>
            <w:vAlign w:val="center"/>
          </w:tcPr>
          <w:p w14:paraId="582289D1">
            <w:pPr>
              <w:jc w:val="right"/>
            </w:pPr>
            <w:r>
              <w:rPr>
                <w:rFonts w:hint="eastAsia"/>
              </w:rPr>
              <w:t>19,872,852.47</w:t>
            </w:r>
          </w:p>
        </w:tc>
      </w:tr>
      <w:tr w14:paraId="7CC26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A163D6">
            <w:r>
              <w:rPr>
                <w:rFonts w:hint="eastAsia"/>
              </w:rPr>
              <w:t>减：卖出股票成本总额</w:t>
            </w:r>
          </w:p>
        </w:tc>
        <w:tc>
          <w:tcPr>
            <w:tcW w:w="4153" w:type="dxa"/>
            <w:vAlign w:val="center"/>
          </w:tcPr>
          <w:p w14:paraId="68AABFE9">
            <w:pPr>
              <w:jc w:val="right"/>
            </w:pPr>
            <w:r>
              <w:rPr>
                <w:rFonts w:hint="eastAsia"/>
              </w:rPr>
              <w:t>20,184,813.49</w:t>
            </w:r>
          </w:p>
        </w:tc>
      </w:tr>
      <w:tr w14:paraId="08098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57B1677">
            <w:r>
              <w:rPr>
                <w:rFonts w:hint="eastAsia"/>
              </w:rPr>
              <w:t>减：交易费用</w:t>
            </w:r>
          </w:p>
        </w:tc>
        <w:tc>
          <w:tcPr>
            <w:tcW w:w="4153" w:type="dxa"/>
            <w:vAlign w:val="center"/>
          </w:tcPr>
          <w:p w14:paraId="6CDA5BEE">
            <w:pPr>
              <w:jc w:val="right"/>
            </w:pPr>
            <w:r>
              <w:rPr>
                <w:rFonts w:hint="eastAsia"/>
              </w:rPr>
              <w:t>2,790,095.16</w:t>
            </w:r>
          </w:p>
        </w:tc>
      </w:tr>
      <w:tr w14:paraId="11A84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8C037A">
            <w:r>
              <w:rPr>
                <w:rFonts w:hint="eastAsia"/>
              </w:rPr>
              <w:t>买卖股票差价收入</w:t>
            </w:r>
          </w:p>
        </w:tc>
        <w:tc>
          <w:tcPr>
            <w:tcW w:w="4153" w:type="dxa"/>
            <w:vAlign w:val="center"/>
          </w:tcPr>
          <w:p w14:paraId="6B47BA35">
            <w:pPr>
              <w:jc w:val="right"/>
            </w:pPr>
            <w:r>
              <w:rPr>
                <w:rFonts w:hint="eastAsia"/>
              </w:rPr>
              <w:t>-3,102,056.18</w:t>
            </w:r>
          </w:p>
        </w:tc>
      </w:tr>
    </w:tbl>
    <w:p w14:paraId="0A2B589E">
      <w:pPr>
        <w:pStyle w:val="47"/>
        <w:rPr>
          <w:rFonts w:hint="eastAsia"/>
        </w:rPr>
      </w:pPr>
      <w:r>
        <w:rPr>
          <w:rFonts w:hint="eastAsia"/>
        </w:rPr>
        <w:t>注：上述交易费用（如有）包含股票买卖产生的交易费用。</w:t>
      </w:r>
    </w:p>
    <w:p w14:paraId="67056F63">
      <w:pPr>
        <w:pStyle w:val="36"/>
      </w:pPr>
      <w:bookmarkStart w:id="91" w:name="_Toc91"/>
      <w:r>
        <w:t>股票投资收益——赎回差价收入</w:t>
      </w:r>
      <w:bookmarkEnd w:id="91"/>
    </w:p>
    <w:p w14:paraId="0BE2F05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1485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1681E4C">
            <w:pPr>
              <w:jc w:val="center"/>
            </w:pPr>
            <w:r>
              <w:rPr>
                <w:rFonts w:hint="eastAsia"/>
                <w:b/>
              </w:rPr>
              <w:t>项目</w:t>
            </w:r>
          </w:p>
        </w:tc>
        <w:tc>
          <w:tcPr>
            <w:tcW w:w="4153" w:type="dxa"/>
            <w:shd w:val="clear" w:color="auto" w:fill="BFBFBF"/>
            <w:vAlign w:val="center"/>
          </w:tcPr>
          <w:p w14:paraId="562641D2">
            <w:pPr>
              <w:jc w:val="center"/>
            </w:pPr>
            <w:r>
              <w:rPr>
                <w:rFonts w:hint="eastAsia"/>
                <w:b/>
              </w:rPr>
              <w:t>本期2025年10月29日（基金合同生效日）至2025年12月31日</w:t>
            </w:r>
          </w:p>
        </w:tc>
      </w:tr>
      <w:tr w14:paraId="32502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427BEA">
            <w:r>
              <w:rPr>
                <w:rFonts w:hint="eastAsia"/>
              </w:rPr>
              <w:t>赎回基金份额对价总额</w:t>
            </w:r>
          </w:p>
        </w:tc>
        <w:tc>
          <w:tcPr>
            <w:tcW w:w="4153" w:type="dxa"/>
            <w:vAlign w:val="center"/>
          </w:tcPr>
          <w:p w14:paraId="3843BC4C">
            <w:pPr>
              <w:jc w:val="right"/>
            </w:pPr>
            <w:r>
              <w:rPr>
                <w:rFonts w:hint="eastAsia"/>
              </w:rPr>
              <w:t>944,861.86</w:t>
            </w:r>
          </w:p>
        </w:tc>
      </w:tr>
      <w:tr w14:paraId="684DB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BC8DA2">
            <w:r>
              <w:rPr>
                <w:rFonts w:hint="eastAsia"/>
              </w:rPr>
              <w:t>减：现金支付赎回款总额</w:t>
            </w:r>
          </w:p>
        </w:tc>
        <w:tc>
          <w:tcPr>
            <w:tcW w:w="4153" w:type="dxa"/>
            <w:vAlign w:val="center"/>
          </w:tcPr>
          <w:p w14:paraId="170EA41B">
            <w:pPr>
              <w:jc w:val="right"/>
            </w:pPr>
            <w:r>
              <w:rPr>
                <w:rFonts w:hint="eastAsia"/>
              </w:rPr>
              <w:t>944,861.86</w:t>
            </w:r>
          </w:p>
        </w:tc>
      </w:tr>
      <w:tr w14:paraId="3ACD4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DD4EBE">
            <w:r>
              <w:rPr>
                <w:rFonts w:hint="eastAsia"/>
              </w:rPr>
              <w:t>减：赎回股票成本总额</w:t>
            </w:r>
          </w:p>
        </w:tc>
        <w:tc>
          <w:tcPr>
            <w:tcW w:w="4153" w:type="dxa"/>
            <w:vAlign w:val="center"/>
          </w:tcPr>
          <w:p w14:paraId="15CE2B9C">
            <w:pPr>
              <w:jc w:val="right"/>
            </w:pPr>
            <w:r>
              <w:rPr>
                <w:rFonts w:hint="eastAsia"/>
              </w:rPr>
              <w:t>-</w:t>
            </w:r>
          </w:p>
        </w:tc>
      </w:tr>
      <w:tr w14:paraId="25354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377E47">
            <w:r>
              <w:rPr>
                <w:rFonts w:hint="eastAsia"/>
              </w:rPr>
              <w:t>减：交易费用</w:t>
            </w:r>
          </w:p>
        </w:tc>
        <w:tc>
          <w:tcPr>
            <w:tcW w:w="4153" w:type="dxa"/>
            <w:vAlign w:val="center"/>
          </w:tcPr>
          <w:p w14:paraId="1D694A9C">
            <w:pPr>
              <w:jc w:val="right"/>
            </w:pPr>
            <w:r>
              <w:rPr>
                <w:rFonts w:hint="eastAsia"/>
              </w:rPr>
              <w:t>-</w:t>
            </w:r>
          </w:p>
        </w:tc>
      </w:tr>
      <w:tr w14:paraId="30051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6E41C76">
            <w:r>
              <w:rPr>
                <w:rFonts w:hint="eastAsia"/>
              </w:rPr>
              <w:t>赎回差价收入</w:t>
            </w:r>
          </w:p>
        </w:tc>
        <w:tc>
          <w:tcPr>
            <w:tcW w:w="4153" w:type="dxa"/>
            <w:vAlign w:val="center"/>
          </w:tcPr>
          <w:p w14:paraId="491AF45B">
            <w:pPr>
              <w:jc w:val="right"/>
            </w:pPr>
            <w:r>
              <w:rPr>
                <w:rFonts w:hint="eastAsia"/>
              </w:rPr>
              <w:t>-</w:t>
            </w:r>
          </w:p>
        </w:tc>
      </w:tr>
    </w:tbl>
    <w:p w14:paraId="2D575C66">
      <w:pPr>
        <w:pStyle w:val="35"/>
      </w:pPr>
      <w:bookmarkStart w:id="92" w:name="_Toc92"/>
      <w:r>
        <w:t>基金投资收益</w:t>
      </w:r>
      <w:bookmarkEnd w:id="92"/>
    </w:p>
    <w:p w14:paraId="02712095">
      <w:pPr>
        <w:pStyle w:val="18"/>
        <w:rPr>
          <w:rFonts w:hint="eastAsia"/>
        </w:rPr>
      </w:pPr>
      <w:r>
        <w:rPr>
          <w:rFonts w:hint="eastAsia"/>
        </w:rPr>
        <w:t>无。</w:t>
      </w:r>
    </w:p>
    <w:p w14:paraId="55EB7E0E">
      <w:pPr>
        <w:pStyle w:val="35"/>
      </w:pPr>
      <w:bookmarkStart w:id="93" w:name="_Toc93"/>
      <w:r>
        <w:t>债券投资收益</w:t>
      </w:r>
      <w:bookmarkEnd w:id="93"/>
    </w:p>
    <w:p w14:paraId="0A86F10D">
      <w:pPr>
        <w:pStyle w:val="36"/>
      </w:pPr>
      <w:bookmarkStart w:id="94" w:name="_Toc94"/>
      <w:r>
        <w:t>债券投资收益项目构成</w:t>
      </w:r>
      <w:bookmarkEnd w:id="94"/>
    </w:p>
    <w:p w14:paraId="26539984">
      <w:pPr>
        <w:pStyle w:val="18"/>
        <w:rPr>
          <w:rFonts w:hint="eastAsia"/>
        </w:rPr>
      </w:pPr>
      <w:r>
        <w:rPr>
          <w:rFonts w:hint="eastAsia"/>
        </w:rPr>
        <w:t>无。</w:t>
      </w:r>
    </w:p>
    <w:p w14:paraId="4E79173D">
      <w:pPr>
        <w:pStyle w:val="36"/>
      </w:pPr>
      <w:bookmarkStart w:id="95" w:name="_Toc95"/>
      <w:r>
        <w:t>债券投资收益——买卖债券差价收入</w:t>
      </w:r>
      <w:bookmarkEnd w:id="95"/>
    </w:p>
    <w:p w14:paraId="35A812D1">
      <w:pPr>
        <w:pStyle w:val="18"/>
        <w:rPr>
          <w:rFonts w:hint="eastAsia"/>
        </w:rPr>
      </w:pPr>
      <w:r>
        <w:rPr>
          <w:rFonts w:hint="eastAsia"/>
        </w:rPr>
        <w:t>无。</w:t>
      </w:r>
    </w:p>
    <w:p w14:paraId="359AD2BB">
      <w:pPr>
        <w:pStyle w:val="35"/>
      </w:pPr>
      <w:bookmarkStart w:id="96" w:name="_Toc96"/>
      <w:r>
        <w:t>资产支持证券投资收益</w:t>
      </w:r>
      <w:bookmarkEnd w:id="96"/>
    </w:p>
    <w:p w14:paraId="0529A6D7">
      <w:pPr>
        <w:pStyle w:val="36"/>
      </w:pPr>
      <w:bookmarkStart w:id="97" w:name="_Toc97"/>
      <w:r>
        <w:t>资产支持证券投资收益——买卖资产支持证券差价收入</w:t>
      </w:r>
      <w:bookmarkEnd w:id="97"/>
    </w:p>
    <w:p w14:paraId="61B274C7">
      <w:pPr>
        <w:pStyle w:val="18"/>
        <w:rPr>
          <w:rFonts w:hint="eastAsia"/>
        </w:rPr>
      </w:pPr>
      <w:r>
        <w:rPr>
          <w:rFonts w:hint="eastAsia"/>
        </w:rPr>
        <w:t>无。</w:t>
      </w:r>
    </w:p>
    <w:p w14:paraId="2C0255A3">
      <w:pPr>
        <w:pStyle w:val="35"/>
      </w:pPr>
      <w:bookmarkStart w:id="98" w:name="_Toc98"/>
      <w:r>
        <w:t>衍生工具收益</w:t>
      </w:r>
      <w:bookmarkEnd w:id="98"/>
    </w:p>
    <w:p w14:paraId="430FAE27">
      <w:pPr>
        <w:pStyle w:val="36"/>
      </w:pPr>
      <w:bookmarkStart w:id="99" w:name="_Toc99"/>
      <w:r>
        <w:t>衍生工具收益——买卖权证差价收入</w:t>
      </w:r>
      <w:bookmarkEnd w:id="99"/>
    </w:p>
    <w:p w14:paraId="5B524C13">
      <w:pPr>
        <w:pStyle w:val="18"/>
        <w:rPr>
          <w:rFonts w:hint="eastAsia"/>
        </w:rPr>
      </w:pPr>
      <w:r>
        <w:rPr>
          <w:rFonts w:hint="eastAsia"/>
        </w:rPr>
        <w:t>无。</w:t>
      </w:r>
    </w:p>
    <w:p w14:paraId="18D50A8B">
      <w:pPr>
        <w:pStyle w:val="36"/>
      </w:pPr>
      <w:bookmarkStart w:id="100" w:name="_Toc100"/>
      <w:r>
        <w:t>衍生工具收益——其他投资收益</w:t>
      </w:r>
      <w:bookmarkEnd w:id="100"/>
    </w:p>
    <w:p w14:paraId="1FE90CF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07F3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0EB11DF">
            <w:pPr>
              <w:jc w:val="center"/>
            </w:pPr>
            <w:r>
              <w:rPr>
                <w:rFonts w:hint="eastAsia"/>
                <w:b/>
              </w:rPr>
              <w:t>项目</w:t>
            </w:r>
          </w:p>
        </w:tc>
        <w:tc>
          <w:tcPr>
            <w:tcW w:w="4153" w:type="dxa"/>
            <w:shd w:val="clear" w:color="auto" w:fill="BFBFBF"/>
            <w:vAlign w:val="center"/>
          </w:tcPr>
          <w:p w14:paraId="0D916191">
            <w:pPr>
              <w:jc w:val="center"/>
            </w:pPr>
            <w:r>
              <w:rPr>
                <w:rFonts w:hint="eastAsia"/>
                <w:b/>
              </w:rPr>
              <w:t>本期2025年10月29日（基金合同生效日）至2025年12月31日</w:t>
            </w:r>
          </w:p>
        </w:tc>
      </w:tr>
      <w:tr w14:paraId="6E590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C7E3DB3">
            <w:r>
              <w:rPr>
                <w:rFonts w:hint="eastAsia"/>
              </w:rPr>
              <w:t>股指期货-投资收益</w:t>
            </w:r>
          </w:p>
        </w:tc>
        <w:tc>
          <w:tcPr>
            <w:tcW w:w="4153" w:type="dxa"/>
            <w:vAlign w:val="center"/>
          </w:tcPr>
          <w:p w14:paraId="4551EA9C">
            <w:pPr>
              <w:jc w:val="right"/>
            </w:pPr>
            <w:r>
              <w:rPr>
                <w:rFonts w:hint="eastAsia"/>
              </w:rPr>
              <w:t>-405,645.74</w:t>
            </w:r>
          </w:p>
        </w:tc>
      </w:tr>
    </w:tbl>
    <w:p w14:paraId="58093CD4">
      <w:pPr>
        <w:pStyle w:val="35"/>
      </w:pPr>
      <w:bookmarkStart w:id="101" w:name="_Toc101"/>
      <w:r>
        <w:t>股利收益</w:t>
      </w:r>
      <w:bookmarkEnd w:id="101"/>
    </w:p>
    <w:p w14:paraId="353FF76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FA41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20D56D9">
            <w:pPr>
              <w:jc w:val="center"/>
            </w:pPr>
            <w:r>
              <w:rPr>
                <w:rFonts w:hint="eastAsia"/>
                <w:b/>
              </w:rPr>
              <w:t>项目</w:t>
            </w:r>
          </w:p>
        </w:tc>
        <w:tc>
          <w:tcPr>
            <w:tcW w:w="4153" w:type="dxa"/>
            <w:shd w:val="clear" w:color="auto" w:fill="BFBFBF"/>
            <w:vAlign w:val="center"/>
          </w:tcPr>
          <w:p w14:paraId="0DBC8401">
            <w:pPr>
              <w:jc w:val="center"/>
            </w:pPr>
            <w:r>
              <w:rPr>
                <w:rFonts w:hint="eastAsia"/>
                <w:b/>
              </w:rPr>
              <w:t>本期2025年10月29日（基金合同生效日）至2025年12月31日</w:t>
            </w:r>
          </w:p>
        </w:tc>
      </w:tr>
      <w:tr w14:paraId="3C83D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EEB977A">
            <w:r>
              <w:rPr>
                <w:rFonts w:hint="eastAsia"/>
              </w:rPr>
              <w:t>股票投资产生的股利收益</w:t>
            </w:r>
          </w:p>
        </w:tc>
        <w:tc>
          <w:tcPr>
            <w:tcW w:w="4153" w:type="dxa"/>
            <w:vAlign w:val="center"/>
          </w:tcPr>
          <w:p w14:paraId="19E1D69E">
            <w:pPr>
              <w:jc w:val="right"/>
            </w:pPr>
            <w:r>
              <w:rPr>
                <w:rFonts w:hint="eastAsia"/>
              </w:rPr>
              <w:t>458,779.31</w:t>
            </w:r>
          </w:p>
        </w:tc>
      </w:tr>
      <w:tr w14:paraId="7AC83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0D7061">
            <w:r>
              <w:rPr>
                <w:rFonts w:hint="eastAsia"/>
              </w:rPr>
              <w:t>其中：证券出借权益补偿收入</w:t>
            </w:r>
          </w:p>
        </w:tc>
        <w:tc>
          <w:tcPr>
            <w:tcW w:w="4153" w:type="dxa"/>
            <w:vAlign w:val="center"/>
          </w:tcPr>
          <w:p w14:paraId="73F19C03">
            <w:pPr>
              <w:jc w:val="right"/>
            </w:pPr>
            <w:r>
              <w:rPr>
                <w:rFonts w:hint="eastAsia"/>
              </w:rPr>
              <w:t>-</w:t>
            </w:r>
          </w:p>
        </w:tc>
      </w:tr>
      <w:tr w14:paraId="657F9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3A9A6D">
            <w:r>
              <w:rPr>
                <w:rFonts w:hint="eastAsia"/>
              </w:rPr>
              <w:t>基金投资产生的股利收益</w:t>
            </w:r>
          </w:p>
        </w:tc>
        <w:tc>
          <w:tcPr>
            <w:tcW w:w="4153" w:type="dxa"/>
            <w:vAlign w:val="center"/>
          </w:tcPr>
          <w:p w14:paraId="382E9881">
            <w:pPr>
              <w:jc w:val="right"/>
            </w:pPr>
            <w:r>
              <w:rPr>
                <w:rFonts w:hint="eastAsia"/>
              </w:rPr>
              <w:t>-</w:t>
            </w:r>
          </w:p>
        </w:tc>
      </w:tr>
      <w:tr w14:paraId="7551F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F0809FC">
            <w:r>
              <w:rPr>
                <w:rFonts w:hint="eastAsia"/>
              </w:rPr>
              <w:t>合计</w:t>
            </w:r>
          </w:p>
        </w:tc>
        <w:tc>
          <w:tcPr>
            <w:tcW w:w="4153" w:type="dxa"/>
            <w:vAlign w:val="center"/>
          </w:tcPr>
          <w:p w14:paraId="5E7930E5">
            <w:pPr>
              <w:jc w:val="right"/>
            </w:pPr>
            <w:r>
              <w:rPr>
                <w:rFonts w:hint="eastAsia"/>
              </w:rPr>
              <w:t>458,779.31</w:t>
            </w:r>
          </w:p>
        </w:tc>
      </w:tr>
    </w:tbl>
    <w:p w14:paraId="6FAE865F">
      <w:pPr>
        <w:pStyle w:val="35"/>
      </w:pPr>
      <w:bookmarkStart w:id="102" w:name="_Toc102"/>
      <w:r>
        <w:t>公允价值变动收益</w:t>
      </w:r>
      <w:bookmarkEnd w:id="102"/>
    </w:p>
    <w:p w14:paraId="1F1D234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BF57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893071F">
            <w:pPr>
              <w:jc w:val="center"/>
            </w:pPr>
            <w:r>
              <w:rPr>
                <w:rFonts w:hint="eastAsia"/>
                <w:b/>
              </w:rPr>
              <w:t>项目名称</w:t>
            </w:r>
          </w:p>
        </w:tc>
        <w:tc>
          <w:tcPr>
            <w:tcW w:w="4153" w:type="dxa"/>
            <w:shd w:val="clear" w:color="auto" w:fill="BFBFBF"/>
            <w:vAlign w:val="center"/>
          </w:tcPr>
          <w:p w14:paraId="357BE736">
            <w:pPr>
              <w:jc w:val="center"/>
            </w:pPr>
            <w:r>
              <w:rPr>
                <w:rFonts w:hint="eastAsia"/>
                <w:b/>
              </w:rPr>
              <w:t>本期2025年10月29日（基金合同生效日）至2025年12月31日</w:t>
            </w:r>
          </w:p>
        </w:tc>
      </w:tr>
      <w:tr w14:paraId="6EDFC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274675">
            <w:r>
              <w:rPr>
                <w:rFonts w:hint="eastAsia"/>
              </w:rPr>
              <w:t>1.交易性金融资产</w:t>
            </w:r>
          </w:p>
        </w:tc>
        <w:tc>
          <w:tcPr>
            <w:tcW w:w="4153" w:type="dxa"/>
            <w:vAlign w:val="center"/>
          </w:tcPr>
          <w:p w14:paraId="410942F6">
            <w:pPr>
              <w:jc w:val="right"/>
            </w:pPr>
            <w:r>
              <w:rPr>
                <w:rFonts w:hint="eastAsia"/>
              </w:rPr>
              <w:t>-45,978,136.82</w:t>
            </w:r>
          </w:p>
        </w:tc>
      </w:tr>
      <w:tr w14:paraId="089CB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C84D24">
            <w:r>
              <w:rPr>
                <w:rFonts w:hint="eastAsia"/>
              </w:rPr>
              <w:t>——股票投资</w:t>
            </w:r>
          </w:p>
        </w:tc>
        <w:tc>
          <w:tcPr>
            <w:tcW w:w="4153" w:type="dxa"/>
            <w:vAlign w:val="center"/>
          </w:tcPr>
          <w:p w14:paraId="4748E66C">
            <w:pPr>
              <w:jc w:val="right"/>
            </w:pPr>
            <w:r>
              <w:rPr>
                <w:rFonts w:hint="eastAsia"/>
              </w:rPr>
              <w:t>-45,978,136.82</w:t>
            </w:r>
          </w:p>
        </w:tc>
      </w:tr>
      <w:tr w14:paraId="1D7FD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3EAF06">
            <w:r>
              <w:rPr>
                <w:rFonts w:hint="eastAsia"/>
              </w:rPr>
              <w:t>——债券投资</w:t>
            </w:r>
          </w:p>
        </w:tc>
        <w:tc>
          <w:tcPr>
            <w:tcW w:w="4153" w:type="dxa"/>
            <w:vAlign w:val="center"/>
          </w:tcPr>
          <w:p w14:paraId="416C6ACE">
            <w:pPr>
              <w:jc w:val="right"/>
            </w:pPr>
            <w:r>
              <w:rPr>
                <w:rFonts w:hint="eastAsia"/>
              </w:rPr>
              <w:t>-</w:t>
            </w:r>
          </w:p>
        </w:tc>
      </w:tr>
      <w:tr w14:paraId="3524F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51C072">
            <w:r>
              <w:rPr>
                <w:rFonts w:hint="eastAsia"/>
              </w:rPr>
              <w:t>——资产支持证券投资</w:t>
            </w:r>
          </w:p>
        </w:tc>
        <w:tc>
          <w:tcPr>
            <w:tcW w:w="4153" w:type="dxa"/>
            <w:vAlign w:val="center"/>
          </w:tcPr>
          <w:p w14:paraId="6AD5578F">
            <w:pPr>
              <w:jc w:val="right"/>
            </w:pPr>
            <w:r>
              <w:rPr>
                <w:rFonts w:hint="eastAsia"/>
              </w:rPr>
              <w:t>-</w:t>
            </w:r>
          </w:p>
        </w:tc>
      </w:tr>
      <w:tr w14:paraId="407A8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CCA19BC">
            <w:r>
              <w:rPr>
                <w:rFonts w:hint="eastAsia"/>
              </w:rPr>
              <w:t>——基金投资</w:t>
            </w:r>
          </w:p>
        </w:tc>
        <w:tc>
          <w:tcPr>
            <w:tcW w:w="4153" w:type="dxa"/>
            <w:vAlign w:val="center"/>
          </w:tcPr>
          <w:p w14:paraId="48BD9F4A">
            <w:pPr>
              <w:jc w:val="right"/>
            </w:pPr>
            <w:r>
              <w:rPr>
                <w:rFonts w:hint="eastAsia"/>
              </w:rPr>
              <w:t>-</w:t>
            </w:r>
          </w:p>
        </w:tc>
      </w:tr>
      <w:tr w14:paraId="42D63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956DAD4">
            <w:r>
              <w:rPr>
                <w:rFonts w:hint="eastAsia"/>
              </w:rPr>
              <w:t>——贵金属投资</w:t>
            </w:r>
          </w:p>
        </w:tc>
        <w:tc>
          <w:tcPr>
            <w:tcW w:w="4153" w:type="dxa"/>
            <w:vAlign w:val="center"/>
          </w:tcPr>
          <w:p w14:paraId="19A46840">
            <w:pPr>
              <w:jc w:val="right"/>
            </w:pPr>
            <w:r>
              <w:rPr>
                <w:rFonts w:hint="eastAsia"/>
              </w:rPr>
              <w:t>-</w:t>
            </w:r>
          </w:p>
        </w:tc>
      </w:tr>
      <w:tr w14:paraId="1F7E0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AFDA20A">
            <w:r>
              <w:rPr>
                <w:rFonts w:hint="eastAsia"/>
              </w:rPr>
              <w:t>——其他</w:t>
            </w:r>
          </w:p>
        </w:tc>
        <w:tc>
          <w:tcPr>
            <w:tcW w:w="4153" w:type="dxa"/>
            <w:vAlign w:val="center"/>
          </w:tcPr>
          <w:p w14:paraId="4B7F8264">
            <w:pPr>
              <w:jc w:val="right"/>
            </w:pPr>
            <w:r>
              <w:rPr>
                <w:rFonts w:hint="eastAsia"/>
              </w:rPr>
              <w:t>-</w:t>
            </w:r>
          </w:p>
        </w:tc>
      </w:tr>
      <w:tr w14:paraId="5FBE9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664A636">
            <w:r>
              <w:rPr>
                <w:rFonts w:hint="eastAsia"/>
              </w:rPr>
              <w:t>2.衍生工具</w:t>
            </w:r>
          </w:p>
        </w:tc>
        <w:tc>
          <w:tcPr>
            <w:tcW w:w="4153" w:type="dxa"/>
            <w:vAlign w:val="center"/>
          </w:tcPr>
          <w:p w14:paraId="72900D40">
            <w:pPr>
              <w:jc w:val="right"/>
            </w:pPr>
            <w:r>
              <w:rPr>
                <w:rFonts w:hint="eastAsia"/>
              </w:rPr>
              <w:t>-1,341,708.05</w:t>
            </w:r>
          </w:p>
        </w:tc>
      </w:tr>
      <w:tr w14:paraId="6A249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C9D112">
            <w:r>
              <w:rPr>
                <w:rFonts w:hint="eastAsia"/>
              </w:rPr>
              <w:t>——权证投资</w:t>
            </w:r>
          </w:p>
        </w:tc>
        <w:tc>
          <w:tcPr>
            <w:tcW w:w="4153" w:type="dxa"/>
            <w:vAlign w:val="center"/>
          </w:tcPr>
          <w:p w14:paraId="19F80232">
            <w:pPr>
              <w:jc w:val="right"/>
            </w:pPr>
            <w:r>
              <w:rPr>
                <w:rFonts w:hint="eastAsia"/>
              </w:rPr>
              <w:t>-</w:t>
            </w:r>
          </w:p>
        </w:tc>
      </w:tr>
      <w:tr w14:paraId="4003E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28488F">
            <w:r>
              <w:rPr>
                <w:rFonts w:hint="eastAsia"/>
              </w:rPr>
              <w:t>——期货投资</w:t>
            </w:r>
          </w:p>
        </w:tc>
        <w:tc>
          <w:tcPr>
            <w:tcW w:w="4153" w:type="dxa"/>
            <w:vAlign w:val="center"/>
          </w:tcPr>
          <w:p w14:paraId="2F4122A7">
            <w:pPr>
              <w:jc w:val="right"/>
            </w:pPr>
            <w:r>
              <w:rPr>
                <w:rFonts w:hint="eastAsia"/>
              </w:rPr>
              <w:t>-1,341,708.05</w:t>
            </w:r>
          </w:p>
        </w:tc>
      </w:tr>
      <w:tr w14:paraId="53C4D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567BD7F">
            <w:r>
              <w:rPr>
                <w:rFonts w:hint="eastAsia"/>
              </w:rPr>
              <w:t>3.其他</w:t>
            </w:r>
          </w:p>
        </w:tc>
        <w:tc>
          <w:tcPr>
            <w:tcW w:w="4153" w:type="dxa"/>
            <w:vAlign w:val="center"/>
          </w:tcPr>
          <w:p w14:paraId="442A2ABC">
            <w:pPr>
              <w:jc w:val="right"/>
            </w:pPr>
            <w:r>
              <w:rPr>
                <w:rFonts w:hint="eastAsia"/>
              </w:rPr>
              <w:t>-</w:t>
            </w:r>
          </w:p>
        </w:tc>
      </w:tr>
      <w:tr w14:paraId="4679B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F1E262">
            <w:r>
              <w:rPr>
                <w:rFonts w:hint="eastAsia"/>
              </w:rPr>
              <w:t>减：应税金融商品公允价值变动产生的预估增值税</w:t>
            </w:r>
          </w:p>
        </w:tc>
        <w:tc>
          <w:tcPr>
            <w:tcW w:w="4153" w:type="dxa"/>
            <w:vAlign w:val="center"/>
          </w:tcPr>
          <w:p w14:paraId="702B6289">
            <w:pPr>
              <w:jc w:val="right"/>
            </w:pPr>
            <w:r>
              <w:rPr>
                <w:rFonts w:hint="eastAsia"/>
              </w:rPr>
              <w:t>-</w:t>
            </w:r>
          </w:p>
        </w:tc>
      </w:tr>
      <w:tr w14:paraId="2CBA1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D8359E">
            <w:r>
              <w:rPr>
                <w:rFonts w:hint="eastAsia"/>
              </w:rPr>
              <w:t>合计</w:t>
            </w:r>
          </w:p>
        </w:tc>
        <w:tc>
          <w:tcPr>
            <w:tcW w:w="4153" w:type="dxa"/>
            <w:vAlign w:val="center"/>
          </w:tcPr>
          <w:p w14:paraId="2646281B">
            <w:pPr>
              <w:jc w:val="right"/>
            </w:pPr>
            <w:r>
              <w:rPr>
                <w:rFonts w:hint="eastAsia"/>
              </w:rPr>
              <w:t>-47,319,844.87</w:t>
            </w:r>
          </w:p>
        </w:tc>
      </w:tr>
    </w:tbl>
    <w:p w14:paraId="2EC2D34B">
      <w:pPr>
        <w:pStyle w:val="35"/>
      </w:pPr>
      <w:bookmarkStart w:id="103" w:name="_Toc103"/>
      <w:r>
        <w:t>其他收入</w:t>
      </w:r>
      <w:bookmarkEnd w:id="103"/>
    </w:p>
    <w:p w14:paraId="5FF2683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8D85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B8EFA62">
            <w:pPr>
              <w:jc w:val="center"/>
            </w:pPr>
            <w:r>
              <w:rPr>
                <w:rFonts w:hint="eastAsia"/>
                <w:b/>
              </w:rPr>
              <w:t>项目</w:t>
            </w:r>
          </w:p>
        </w:tc>
        <w:tc>
          <w:tcPr>
            <w:tcW w:w="4153" w:type="dxa"/>
            <w:shd w:val="clear" w:color="auto" w:fill="BFBFBF"/>
            <w:vAlign w:val="center"/>
          </w:tcPr>
          <w:p w14:paraId="316758EA">
            <w:pPr>
              <w:jc w:val="center"/>
            </w:pPr>
            <w:r>
              <w:rPr>
                <w:rFonts w:hint="eastAsia"/>
                <w:b/>
              </w:rPr>
              <w:t>本期2025年10月29日（基金合同生效日）至2025年12月31日</w:t>
            </w:r>
          </w:p>
        </w:tc>
      </w:tr>
      <w:tr w14:paraId="6AE94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50D939">
            <w:r>
              <w:rPr>
                <w:rFonts w:hint="eastAsia"/>
              </w:rPr>
              <w:t>基金赎回费收入</w:t>
            </w:r>
          </w:p>
        </w:tc>
        <w:tc>
          <w:tcPr>
            <w:tcW w:w="4153" w:type="dxa"/>
            <w:vAlign w:val="center"/>
          </w:tcPr>
          <w:p w14:paraId="713C6C20">
            <w:pPr>
              <w:jc w:val="right"/>
            </w:pPr>
            <w:r>
              <w:rPr>
                <w:rFonts w:hint="eastAsia"/>
              </w:rPr>
              <w:t>-</w:t>
            </w:r>
          </w:p>
        </w:tc>
      </w:tr>
      <w:tr w14:paraId="05775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F11B0B">
            <w:r>
              <w:rPr>
                <w:rFonts w:hint="eastAsia"/>
              </w:rPr>
              <w:t>替代损益</w:t>
            </w:r>
          </w:p>
        </w:tc>
        <w:tc>
          <w:tcPr>
            <w:tcW w:w="4153" w:type="dxa"/>
            <w:vAlign w:val="center"/>
          </w:tcPr>
          <w:p w14:paraId="56F09BB5">
            <w:pPr>
              <w:jc w:val="right"/>
            </w:pPr>
            <w:r>
              <w:rPr>
                <w:rFonts w:hint="eastAsia"/>
              </w:rPr>
              <w:t>296,616.92</w:t>
            </w:r>
          </w:p>
        </w:tc>
      </w:tr>
      <w:tr w14:paraId="1F906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E44DD0">
            <w:r>
              <w:rPr>
                <w:rFonts w:hint="eastAsia"/>
              </w:rPr>
              <w:t>其他</w:t>
            </w:r>
          </w:p>
        </w:tc>
        <w:tc>
          <w:tcPr>
            <w:tcW w:w="4153" w:type="dxa"/>
            <w:vAlign w:val="center"/>
          </w:tcPr>
          <w:p w14:paraId="5409F0E6">
            <w:pPr>
              <w:jc w:val="right"/>
            </w:pPr>
            <w:r>
              <w:rPr>
                <w:rFonts w:hint="eastAsia"/>
              </w:rPr>
              <w:t>26,780.56</w:t>
            </w:r>
          </w:p>
        </w:tc>
      </w:tr>
      <w:tr w14:paraId="795EB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8A07D63">
            <w:r>
              <w:rPr>
                <w:rFonts w:hint="eastAsia"/>
              </w:rPr>
              <w:t>合计</w:t>
            </w:r>
          </w:p>
        </w:tc>
        <w:tc>
          <w:tcPr>
            <w:tcW w:w="4153" w:type="dxa"/>
            <w:vAlign w:val="center"/>
          </w:tcPr>
          <w:p w14:paraId="62A2A55F">
            <w:pPr>
              <w:jc w:val="right"/>
            </w:pPr>
            <w:r>
              <w:rPr>
                <w:rFonts w:hint="eastAsia"/>
              </w:rPr>
              <w:t>323,397.48</w:t>
            </w:r>
          </w:p>
        </w:tc>
      </w:tr>
    </w:tbl>
    <w:p w14:paraId="7403F57C">
      <w:pPr>
        <w:pStyle w:val="47"/>
        <w:rPr>
          <w:rFonts w:hint="eastAsia"/>
        </w:rPr>
      </w:pPr>
      <w:r>
        <w:rPr>
          <w:rFonts w:hint="eastAsia"/>
        </w:rPr>
        <w:t>注：替代损益收入是指投资者采用可以现金替代或退补现金替代方式申购（赎回）本基金时，补入（卖出）被替代证券的实际买入成本（实际卖出金额）与申购（赎回）确认日估值的差额，或强制退款的被替代证券在强制退款计算日与申购（赎回）确认日估值的差额。</w:t>
      </w:r>
    </w:p>
    <w:p w14:paraId="4DD36F87">
      <w:pPr>
        <w:pStyle w:val="35"/>
      </w:pPr>
      <w:bookmarkStart w:id="104" w:name="_Toc104"/>
      <w:r>
        <w:t>其他费用</w:t>
      </w:r>
      <w:bookmarkEnd w:id="104"/>
    </w:p>
    <w:p w14:paraId="5EA89B5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5537"/>
      </w:tblGrid>
      <w:tr w14:paraId="5785A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BB9E371">
            <w:pPr>
              <w:jc w:val="center"/>
            </w:pPr>
            <w:r>
              <w:rPr>
                <w:rFonts w:hint="eastAsia"/>
                <w:b/>
              </w:rPr>
              <w:t>项目</w:t>
            </w:r>
          </w:p>
        </w:tc>
        <w:tc>
          <w:tcPr>
            <w:tcW w:w="5537" w:type="dxa"/>
            <w:shd w:val="clear" w:color="auto" w:fill="BFBFBF"/>
            <w:vAlign w:val="center"/>
          </w:tcPr>
          <w:p w14:paraId="50B07566">
            <w:pPr>
              <w:jc w:val="center"/>
            </w:pPr>
            <w:r>
              <w:rPr>
                <w:rFonts w:hint="eastAsia"/>
                <w:b/>
              </w:rPr>
              <w:t>本期2025年10月29日（基金合同生效日）至2025年12月31日</w:t>
            </w:r>
          </w:p>
        </w:tc>
      </w:tr>
      <w:tr w14:paraId="4BECC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C7A87D">
            <w:r>
              <w:rPr>
                <w:rFonts w:hint="eastAsia"/>
              </w:rPr>
              <w:t>审计费用</w:t>
            </w:r>
          </w:p>
        </w:tc>
        <w:tc>
          <w:tcPr>
            <w:tcW w:w="5537" w:type="dxa"/>
            <w:vAlign w:val="center"/>
          </w:tcPr>
          <w:p w14:paraId="1FC35C4A">
            <w:pPr>
              <w:jc w:val="right"/>
            </w:pPr>
            <w:r>
              <w:rPr>
                <w:rFonts w:hint="eastAsia"/>
              </w:rPr>
              <w:t>32,000.00</w:t>
            </w:r>
          </w:p>
        </w:tc>
      </w:tr>
      <w:tr w14:paraId="52476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858B9B">
            <w:r>
              <w:rPr>
                <w:rFonts w:hint="eastAsia"/>
              </w:rPr>
              <w:t>信息披露费</w:t>
            </w:r>
          </w:p>
        </w:tc>
        <w:tc>
          <w:tcPr>
            <w:tcW w:w="5537" w:type="dxa"/>
            <w:vAlign w:val="center"/>
          </w:tcPr>
          <w:p w14:paraId="64BDF238">
            <w:pPr>
              <w:jc w:val="right"/>
            </w:pPr>
            <w:r>
              <w:rPr>
                <w:rFonts w:hint="eastAsia"/>
              </w:rPr>
              <w:t>-</w:t>
            </w:r>
          </w:p>
        </w:tc>
      </w:tr>
      <w:tr w14:paraId="49A0F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1E1234">
            <w:r>
              <w:rPr>
                <w:rFonts w:hint="eastAsia"/>
              </w:rPr>
              <w:t>证券出借违约金</w:t>
            </w:r>
          </w:p>
        </w:tc>
        <w:tc>
          <w:tcPr>
            <w:tcW w:w="5537" w:type="dxa"/>
            <w:vAlign w:val="center"/>
          </w:tcPr>
          <w:p w14:paraId="6D323C72">
            <w:pPr>
              <w:jc w:val="right"/>
            </w:pPr>
            <w:r>
              <w:rPr>
                <w:rFonts w:hint="eastAsia"/>
              </w:rPr>
              <w:t>-</w:t>
            </w:r>
          </w:p>
        </w:tc>
      </w:tr>
      <w:tr w14:paraId="5EEC3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A59371">
            <w:r>
              <w:rPr>
                <w:rFonts w:hint="eastAsia"/>
              </w:rPr>
              <w:t>其他</w:t>
            </w:r>
          </w:p>
        </w:tc>
        <w:tc>
          <w:tcPr>
            <w:tcW w:w="5537" w:type="dxa"/>
            <w:vAlign w:val="center"/>
          </w:tcPr>
          <w:p w14:paraId="2825436A">
            <w:pPr>
              <w:jc w:val="right"/>
            </w:pPr>
            <w:r>
              <w:rPr>
                <w:rFonts w:hint="eastAsia"/>
              </w:rPr>
              <w:t>8,833.57</w:t>
            </w:r>
          </w:p>
        </w:tc>
      </w:tr>
      <w:tr w14:paraId="011B5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A5CF3B">
            <w:r>
              <w:rPr>
                <w:rFonts w:hint="eastAsia"/>
              </w:rPr>
              <w:t>合计</w:t>
            </w:r>
          </w:p>
        </w:tc>
        <w:tc>
          <w:tcPr>
            <w:tcW w:w="5537" w:type="dxa"/>
            <w:vAlign w:val="center"/>
          </w:tcPr>
          <w:p w14:paraId="7308EA2B">
            <w:pPr>
              <w:jc w:val="right"/>
            </w:pPr>
            <w:r>
              <w:rPr>
                <w:rFonts w:hint="eastAsia"/>
              </w:rPr>
              <w:t>40,833.57</w:t>
            </w:r>
          </w:p>
        </w:tc>
      </w:tr>
    </w:tbl>
    <w:p w14:paraId="2A42B2BC">
      <w:pPr>
        <w:pStyle w:val="28"/>
      </w:pPr>
      <w:bookmarkStart w:id="105" w:name="_Toc105"/>
      <w:r>
        <w:t>或有事项、资产负债表日后事项的说明</w:t>
      </w:r>
      <w:bookmarkEnd w:id="105"/>
    </w:p>
    <w:p w14:paraId="52EE5B37">
      <w:pPr>
        <w:pStyle w:val="35"/>
      </w:pPr>
      <w:bookmarkStart w:id="106" w:name="_Toc106"/>
      <w:r>
        <w:t>或有事项</w:t>
      </w:r>
      <w:bookmarkEnd w:id="106"/>
    </w:p>
    <w:p w14:paraId="4CB69407">
      <w:pPr>
        <w:pStyle w:val="18"/>
        <w:rPr>
          <w:rFonts w:hint="eastAsia"/>
        </w:rPr>
      </w:pPr>
      <w:r>
        <w:rPr>
          <w:rFonts w:hint="eastAsia"/>
        </w:rPr>
        <w:t>无。</w:t>
      </w:r>
    </w:p>
    <w:p w14:paraId="6EF37343">
      <w:pPr>
        <w:pStyle w:val="35"/>
      </w:pPr>
      <w:bookmarkStart w:id="107" w:name="_Toc107"/>
      <w:r>
        <w:t>资产负债表日后事项</w:t>
      </w:r>
      <w:bookmarkEnd w:id="107"/>
    </w:p>
    <w:p w14:paraId="4853BCC0">
      <w:pPr>
        <w:pStyle w:val="18"/>
        <w:rPr>
          <w:rFonts w:hint="eastAsia"/>
        </w:rPr>
      </w:pPr>
      <w:r>
        <w:rPr>
          <w:rFonts w:hint="eastAsia"/>
        </w:rPr>
        <w:t>截至财务报告批准报出日，本基金无需要披露的资产负债表日后事项。</w:t>
      </w:r>
    </w:p>
    <w:p w14:paraId="157E1E23">
      <w:pPr>
        <w:pStyle w:val="28"/>
      </w:pPr>
      <w:bookmarkStart w:id="108" w:name="_Toc108"/>
      <w:r>
        <w:t>关联方关系</w:t>
      </w:r>
      <w:bookmarkEnd w:id="10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EA5A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26F1B1E8">
            <w:pPr>
              <w:jc w:val="center"/>
            </w:pPr>
            <w:r>
              <w:rPr>
                <w:rFonts w:hint="eastAsia"/>
                <w:b/>
              </w:rPr>
              <w:t>关联方名称</w:t>
            </w:r>
          </w:p>
        </w:tc>
        <w:tc>
          <w:tcPr>
            <w:tcW w:w="3322" w:type="dxa"/>
            <w:shd w:val="clear" w:color="auto" w:fill="BFBFBF"/>
            <w:vAlign w:val="center"/>
          </w:tcPr>
          <w:p w14:paraId="3AE70C75">
            <w:pPr>
              <w:jc w:val="center"/>
            </w:pPr>
            <w:r>
              <w:rPr>
                <w:rFonts w:hint="eastAsia"/>
                <w:b/>
              </w:rPr>
              <w:t>与本基金的关系</w:t>
            </w:r>
          </w:p>
        </w:tc>
      </w:tr>
      <w:tr w14:paraId="00B91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C1BE30D">
            <w:r>
              <w:rPr>
                <w:rFonts w:hint="eastAsia"/>
              </w:rPr>
              <w:t>南方基金管理股份有限公司(“南方基金”)</w:t>
            </w:r>
          </w:p>
        </w:tc>
        <w:tc>
          <w:tcPr>
            <w:tcW w:w="3322" w:type="dxa"/>
            <w:vAlign w:val="center"/>
          </w:tcPr>
          <w:p w14:paraId="0DACFDCE">
            <w:r>
              <w:rPr>
                <w:rFonts w:hint="eastAsia"/>
              </w:rPr>
              <w:t>基金管理人</w:t>
            </w:r>
          </w:p>
        </w:tc>
      </w:tr>
      <w:tr w14:paraId="61275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F3EEA2E">
            <w:r>
              <w:rPr>
                <w:rFonts w:hint="eastAsia"/>
              </w:rPr>
              <w:t>交通银行股份有限公司("交通银行")</w:t>
            </w:r>
          </w:p>
        </w:tc>
        <w:tc>
          <w:tcPr>
            <w:tcW w:w="3322" w:type="dxa"/>
            <w:vAlign w:val="center"/>
          </w:tcPr>
          <w:p w14:paraId="103D1672">
            <w:r>
              <w:rPr>
                <w:rFonts w:hint="eastAsia"/>
              </w:rPr>
              <w:t>基金托管人</w:t>
            </w:r>
          </w:p>
        </w:tc>
      </w:tr>
      <w:tr w14:paraId="185EA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E0FBF6C">
            <w:r>
              <w:rPr>
                <w:rFonts w:hint="eastAsia"/>
              </w:rPr>
              <w:t>华泰证券股份有限公司(“华泰证券”)</w:t>
            </w:r>
          </w:p>
        </w:tc>
        <w:tc>
          <w:tcPr>
            <w:tcW w:w="3322" w:type="dxa"/>
            <w:vAlign w:val="center"/>
          </w:tcPr>
          <w:p w14:paraId="45E994E7">
            <w:r>
              <w:rPr>
                <w:rFonts w:hint="eastAsia"/>
              </w:rPr>
              <w:t>基金管理人的股东、基金销售机构</w:t>
            </w:r>
          </w:p>
        </w:tc>
      </w:tr>
      <w:tr w14:paraId="1001A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D4EB631">
            <w:r>
              <w:rPr>
                <w:rFonts w:hint="eastAsia"/>
              </w:rPr>
              <w:t>兴业证券股份有限公司(“兴业证券”)</w:t>
            </w:r>
          </w:p>
        </w:tc>
        <w:tc>
          <w:tcPr>
            <w:tcW w:w="3322" w:type="dxa"/>
            <w:vAlign w:val="center"/>
          </w:tcPr>
          <w:p w14:paraId="0062B922">
            <w:r>
              <w:rPr>
                <w:rFonts w:hint="eastAsia"/>
              </w:rPr>
              <w:t>基金管理人的股东、基金销售机构</w:t>
            </w:r>
          </w:p>
        </w:tc>
      </w:tr>
      <w:tr w14:paraId="30FED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3FD69FB">
            <w:r>
              <w:rPr>
                <w:rFonts w:hint="eastAsia"/>
              </w:rPr>
              <w:t>厦门国际信托有限公司(“厦门国际信托”)</w:t>
            </w:r>
          </w:p>
        </w:tc>
        <w:tc>
          <w:tcPr>
            <w:tcW w:w="3322" w:type="dxa"/>
            <w:vAlign w:val="center"/>
          </w:tcPr>
          <w:p w14:paraId="26C2FDFB">
            <w:r>
              <w:rPr>
                <w:rFonts w:hint="eastAsia"/>
              </w:rPr>
              <w:t>基金管理人的股东</w:t>
            </w:r>
          </w:p>
        </w:tc>
      </w:tr>
      <w:tr w14:paraId="7268C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3F18871">
            <w:r>
              <w:rPr>
                <w:rFonts w:hint="eastAsia"/>
              </w:rPr>
              <w:t>深圳市投资控股有限公司(“深圳投资控股”)</w:t>
            </w:r>
          </w:p>
        </w:tc>
        <w:tc>
          <w:tcPr>
            <w:tcW w:w="3322" w:type="dxa"/>
            <w:vAlign w:val="center"/>
          </w:tcPr>
          <w:p w14:paraId="55701C99">
            <w:r>
              <w:rPr>
                <w:rFonts w:hint="eastAsia"/>
              </w:rPr>
              <w:t>基金管理人的股东</w:t>
            </w:r>
          </w:p>
        </w:tc>
      </w:tr>
      <w:tr w14:paraId="5E0EF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67785EB">
            <w:r>
              <w:rPr>
                <w:rFonts w:hint="eastAsia"/>
              </w:rPr>
              <w:t>厦门合泽吉企业管理合伙企业(有限合伙)</w:t>
            </w:r>
          </w:p>
        </w:tc>
        <w:tc>
          <w:tcPr>
            <w:tcW w:w="3322" w:type="dxa"/>
            <w:vAlign w:val="center"/>
          </w:tcPr>
          <w:p w14:paraId="7855F0F6">
            <w:r>
              <w:rPr>
                <w:rFonts w:hint="eastAsia"/>
              </w:rPr>
              <w:t>基金管理人的股东</w:t>
            </w:r>
          </w:p>
        </w:tc>
      </w:tr>
      <w:tr w14:paraId="54A85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6F8FA59">
            <w:r>
              <w:rPr>
                <w:rFonts w:hint="eastAsia"/>
              </w:rPr>
              <w:t>厦门合泽祥企业管理合伙企业(有限合伙)</w:t>
            </w:r>
          </w:p>
        </w:tc>
        <w:tc>
          <w:tcPr>
            <w:tcW w:w="3322" w:type="dxa"/>
            <w:vAlign w:val="center"/>
          </w:tcPr>
          <w:p w14:paraId="63D1E2E1">
            <w:r>
              <w:rPr>
                <w:rFonts w:hint="eastAsia"/>
              </w:rPr>
              <w:t>基金管理人的股东</w:t>
            </w:r>
          </w:p>
        </w:tc>
      </w:tr>
      <w:tr w14:paraId="12EB1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35239D3">
            <w:r>
              <w:rPr>
                <w:rFonts w:hint="eastAsia"/>
              </w:rPr>
              <w:t>厦门合泽益企业管理合伙企业(有限合伙)</w:t>
            </w:r>
          </w:p>
        </w:tc>
        <w:tc>
          <w:tcPr>
            <w:tcW w:w="3322" w:type="dxa"/>
            <w:vAlign w:val="center"/>
          </w:tcPr>
          <w:p w14:paraId="71CF5FA6">
            <w:r>
              <w:rPr>
                <w:rFonts w:hint="eastAsia"/>
              </w:rPr>
              <w:t>基金管理人的股东</w:t>
            </w:r>
          </w:p>
        </w:tc>
      </w:tr>
      <w:tr w14:paraId="5A1BD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092C61B">
            <w:r>
              <w:rPr>
                <w:rFonts w:hint="eastAsia"/>
              </w:rPr>
              <w:t>厦门合泽盈企业管理合伙企业(有限合伙)</w:t>
            </w:r>
          </w:p>
        </w:tc>
        <w:tc>
          <w:tcPr>
            <w:tcW w:w="3322" w:type="dxa"/>
            <w:vAlign w:val="center"/>
          </w:tcPr>
          <w:p w14:paraId="009C8C52">
            <w:r>
              <w:rPr>
                <w:rFonts w:hint="eastAsia"/>
              </w:rPr>
              <w:t>基金管理人的股东</w:t>
            </w:r>
          </w:p>
        </w:tc>
      </w:tr>
      <w:tr w14:paraId="20256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58422B9">
            <w:r>
              <w:rPr>
                <w:rFonts w:hint="eastAsia"/>
              </w:rPr>
              <w:t>南方资本管理有限公司(“南方资本”)</w:t>
            </w:r>
          </w:p>
        </w:tc>
        <w:tc>
          <w:tcPr>
            <w:tcW w:w="3322" w:type="dxa"/>
            <w:vAlign w:val="center"/>
          </w:tcPr>
          <w:p w14:paraId="370FE370">
            <w:r>
              <w:rPr>
                <w:rFonts w:hint="eastAsia"/>
              </w:rPr>
              <w:t>基金管理人的子公司</w:t>
            </w:r>
          </w:p>
        </w:tc>
      </w:tr>
      <w:tr w14:paraId="00541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89ABBF5">
            <w:r>
              <w:rPr>
                <w:rFonts w:hint="eastAsia"/>
              </w:rPr>
              <w:t>南方东英资产管理有限公司(“南方东英”)</w:t>
            </w:r>
          </w:p>
        </w:tc>
        <w:tc>
          <w:tcPr>
            <w:tcW w:w="3322" w:type="dxa"/>
            <w:vAlign w:val="center"/>
          </w:tcPr>
          <w:p w14:paraId="28BE0A96">
            <w:r>
              <w:rPr>
                <w:rFonts w:hint="eastAsia"/>
              </w:rPr>
              <w:t>基金管理人的子公司</w:t>
            </w:r>
          </w:p>
        </w:tc>
      </w:tr>
      <w:tr w14:paraId="6658E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E558DCE">
            <w:r>
              <w:rPr>
                <w:rFonts w:hint="eastAsia"/>
              </w:rPr>
              <w:t>南方恒生科技交易型开放式指数证券投资基金发起式联接基金（QDII）（南方恒生科技ETF发起联接（QDII））</w:t>
            </w:r>
          </w:p>
        </w:tc>
        <w:tc>
          <w:tcPr>
            <w:tcW w:w="3322" w:type="dxa"/>
            <w:vAlign w:val="center"/>
          </w:tcPr>
          <w:p w14:paraId="3E5FFFA9">
            <w:r>
              <w:rPr>
                <w:rFonts w:hint="eastAsia"/>
              </w:rPr>
              <w:t>本基金的基金管理人管理的其他基金</w:t>
            </w:r>
          </w:p>
        </w:tc>
      </w:tr>
      <w:tr w14:paraId="41082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DAA082B">
            <w:r>
              <w:rPr>
                <w:rFonts w:hint="eastAsia"/>
              </w:rPr>
              <w:t>香港上海汇丰银行有限公司("香港上海汇丰银行")</w:t>
            </w:r>
          </w:p>
        </w:tc>
        <w:tc>
          <w:tcPr>
            <w:tcW w:w="3322" w:type="dxa"/>
            <w:vAlign w:val="center"/>
          </w:tcPr>
          <w:p w14:paraId="378B4D89">
            <w:r>
              <w:rPr>
                <w:rFonts w:hint="eastAsia"/>
              </w:rPr>
              <w:t>境外资产托管人</w:t>
            </w:r>
          </w:p>
        </w:tc>
      </w:tr>
    </w:tbl>
    <w:p w14:paraId="637D1D49">
      <w:pPr>
        <w:pStyle w:val="47"/>
        <w:rPr>
          <w:rFonts w:hint="eastAsia"/>
        </w:rPr>
      </w:pPr>
      <w:r>
        <w:rPr>
          <w:rFonts w:hint="eastAsia"/>
        </w:rPr>
        <w:t>注：下述关联交易均在正常业务范围内按一般商业条款订立。</w:t>
      </w:r>
    </w:p>
    <w:p w14:paraId="751FC99A">
      <w:pPr>
        <w:pStyle w:val="28"/>
      </w:pPr>
      <w:bookmarkStart w:id="109" w:name="_Toc109"/>
      <w:r>
        <w:t>本报告期及上年度可比期间的关联方交易</w:t>
      </w:r>
      <w:bookmarkEnd w:id="109"/>
    </w:p>
    <w:p w14:paraId="43CC9206">
      <w:pPr>
        <w:pStyle w:val="35"/>
      </w:pPr>
      <w:bookmarkStart w:id="110" w:name="_Toc110"/>
      <w:r>
        <w:t>通过关联方交易单元进行的交易</w:t>
      </w:r>
      <w:bookmarkEnd w:id="110"/>
    </w:p>
    <w:p w14:paraId="1DFEDC40">
      <w:pPr>
        <w:pStyle w:val="36"/>
      </w:pPr>
      <w:bookmarkStart w:id="111" w:name="_Toc111"/>
      <w:r>
        <w:t>股票交易</w:t>
      </w:r>
      <w:bookmarkEnd w:id="111"/>
    </w:p>
    <w:p w14:paraId="49B1E35C">
      <w:pPr>
        <w:pStyle w:val="18"/>
        <w:rPr>
          <w:rFonts w:hint="eastAsia"/>
        </w:rPr>
      </w:pPr>
      <w:r>
        <w:rPr>
          <w:rFonts w:hint="eastAsia"/>
        </w:rPr>
        <w:t>无。</w:t>
      </w:r>
    </w:p>
    <w:p w14:paraId="0A84B3D1">
      <w:pPr>
        <w:pStyle w:val="36"/>
      </w:pPr>
      <w:bookmarkStart w:id="112" w:name="_Toc112"/>
      <w:r>
        <w:t>债券交易</w:t>
      </w:r>
      <w:bookmarkEnd w:id="112"/>
    </w:p>
    <w:p w14:paraId="2D0B4590">
      <w:pPr>
        <w:pStyle w:val="18"/>
        <w:rPr>
          <w:rFonts w:hint="eastAsia"/>
        </w:rPr>
      </w:pPr>
      <w:r>
        <w:rPr>
          <w:rFonts w:hint="eastAsia"/>
        </w:rPr>
        <w:t>无。</w:t>
      </w:r>
    </w:p>
    <w:p w14:paraId="2DEDF610">
      <w:pPr>
        <w:pStyle w:val="36"/>
      </w:pPr>
      <w:bookmarkStart w:id="113" w:name="_Toc113"/>
      <w:r>
        <w:t>债券回购交易</w:t>
      </w:r>
      <w:bookmarkEnd w:id="113"/>
    </w:p>
    <w:p w14:paraId="6C0D42FE">
      <w:pPr>
        <w:pStyle w:val="18"/>
        <w:rPr>
          <w:rFonts w:hint="eastAsia"/>
        </w:rPr>
      </w:pPr>
      <w:r>
        <w:rPr>
          <w:rFonts w:hint="eastAsia"/>
        </w:rPr>
        <w:t>无。</w:t>
      </w:r>
    </w:p>
    <w:p w14:paraId="5C90C656">
      <w:pPr>
        <w:pStyle w:val="36"/>
      </w:pPr>
      <w:bookmarkStart w:id="114" w:name="_Toc114"/>
      <w:r>
        <w:t>基金交易</w:t>
      </w:r>
      <w:bookmarkEnd w:id="114"/>
    </w:p>
    <w:p w14:paraId="13A5D37C">
      <w:pPr>
        <w:pStyle w:val="18"/>
        <w:rPr>
          <w:rFonts w:hint="eastAsia"/>
        </w:rPr>
      </w:pPr>
      <w:r>
        <w:rPr>
          <w:rFonts w:hint="eastAsia"/>
        </w:rPr>
        <w:t>无。</w:t>
      </w:r>
    </w:p>
    <w:p w14:paraId="7031954A">
      <w:pPr>
        <w:pStyle w:val="36"/>
      </w:pPr>
      <w:bookmarkStart w:id="115" w:name="_Toc115"/>
      <w:r>
        <w:t>权证交易</w:t>
      </w:r>
      <w:bookmarkEnd w:id="115"/>
    </w:p>
    <w:p w14:paraId="733F7D9D">
      <w:pPr>
        <w:pStyle w:val="18"/>
        <w:rPr>
          <w:rFonts w:hint="eastAsia"/>
        </w:rPr>
      </w:pPr>
      <w:r>
        <w:rPr>
          <w:rFonts w:hint="eastAsia"/>
        </w:rPr>
        <w:t>无。</w:t>
      </w:r>
    </w:p>
    <w:p w14:paraId="38FBD415">
      <w:pPr>
        <w:pStyle w:val="36"/>
      </w:pPr>
      <w:bookmarkStart w:id="116" w:name="_Toc116"/>
      <w:r>
        <w:t>应支付关联方的佣金</w:t>
      </w:r>
      <w:bookmarkEnd w:id="116"/>
    </w:p>
    <w:p w14:paraId="7ED37F4A">
      <w:pPr>
        <w:pStyle w:val="18"/>
        <w:rPr>
          <w:rFonts w:hint="eastAsia"/>
        </w:rPr>
      </w:pPr>
      <w:r>
        <w:rPr>
          <w:rFonts w:hint="eastAsia"/>
        </w:rPr>
        <w:t>无。</w:t>
      </w:r>
    </w:p>
    <w:p w14:paraId="306CA18E">
      <w:pPr>
        <w:pStyle w:val="35"/>
      </w:pPr>
      <w:bookmarkStart w:id="117" w:name="_Toc117"/>
      <w:r>
        <w:t>关联方报酬</w:t>
      </w:r>
      <w:bookmarkEnd w:id="117"/>
    </w:p>
    <w:p w14:paraId="5A7893A3">
      <w:pPr>
        <w:pStyle w:val="36"/>
      </w:pPr>
      <w:bookmarkStart w:id="118" w:name="_Toc118"/>
      <w:r>
        <w:t>基金管理费</w:t>
      </w:r>
      <w:bookmarkEnd w:id="118"/>
    </w:p>
    <w:p w14:paraId="2CBCC3A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6"/>
        <w:gridCol w:w="3599"/>
      </w:tblGrid>
      <w:tr w14:paraId="5732E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shd w:val="clear" w:color="auto" w:fill="BFBFBF"/>
            <w:vAlign w:val="center"/>
          </w:tcPr>
          <w:p w14:paraId="62912367">
            <w:pPr>
              <w:jc w:val="center"/>
            </w:pPr>
            <w:r>
              <w:rPr>
                <w:rFonts w:hint="eastAsia"/>
                <w:b/>
              </w:rPr>
              <w:t>项目</w:t>
            </w:r>
          </w:p>
        </w:tc>
        <w:tc>
          <w:tcPr>
            <w:tcW w:w="3599" w:type="dxa"/>
            <w:shd w:val="clear" w:color="auto" w:fill="BFBFBF"/>
            <w:vAlign w:val="center"/>
          </w:tcPr>
          <w:p w14:paraId="247E3D64">
            <w:pPr>
              <w:jc w:val="center"/>
            </w:pPr>
            <w:r>
              <w:rPr>
                <w:rFonts w:hint="eastAsia"/>
                <w:b/>
              </w:rPr>
              <w:t>本期2025年10月29日（基金合同生效日）至2025年12月31日</w:t>
            </w:r>
          </w:p>
        </w:tc>
      </w:tr>
      <w:tr w14:paraId="04972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0D442091">
            <w:r>
              <w:rPr>
                <w:rFonts w:hint="eastAsia"/>
              </w:rPr>
              <w:t>当期发生的基金应支付的管理费</w:t>
            </w:r>
          </w:p>
        </w:tc>
        <w:tc>
          <w:tcPr>
            <w:tcW w:w="3599" w:type="dxa"/>
            <w:vAlign w:val="center"/>
          </w:tcPr>
          <w:p w14:paraId="5B804207">
            <w:pPr>
              <w:jc w:val="right"/>
            </w:pPr>
            <w:r>
              <w:rPr>
                <w:rFonts w:hint="eastAsia"/>
              </w:rPr>
              <w:t>254,685.16</w:t>
            </w:r>
          </w:p>
        </w:tc>
      </w:tr>
      <w:tr w14:paraId="2FC76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1DA9F0B4">
            <w:r>
              <w:rPr>
                <w:rFonts w:hint="eastAsia"/>
              </w:rPr>
              <w:t>其中：应支付销售机构的客户维护费</w:t>
            </w:r>
          </w:p>
        </w:tc>
        <w:tc>
          <w:tcPr>
            <w:tcW w:w="3599" w:type="dxa"/>
            <w:vAlign w:val="center"/>
          </w:tcPr>
          <w:p w14:paraId="7C0DF1EC">
            <w:pPr>
              <w:jc w:val="right"/>
            </w:pPr>
            <w:r>
              <w:rPr>
                <w:rFonts w:hint="eastAsia"/>
              </w:rPr>
              <w:t>52,353.29</w:t>
            </w:r>
          </w:p>
        </w:tc>
      </w:tr>
      <w:tr w14:paraId="4CBA0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0B65554E">
            <w:r>
              <w:rPr>
                <w:rFonts w:hint="eastAsia"/>
              </w:rPr>
              <w:t xml:space="preserve">      应支付基金管理人的净管理费</w:t>
            </w:r>
          </w:p>
        </w:tc>
        <w:tc>
          <w:tcPr>
            <w:tcW w:w="3599" w:type="dxa"/>
            <w:vAlign w:val="center"/>
          </w:tcPr>
          <w:p w14:paraId="0BFF4608">
            <w:pPr>
              <w:jc w:val="right"/>
            </w:pPr>
            <w:r>
              <w:rPr>
                <w:rFonts w:hint="eastAsia"/>
              </w:rPr>
              <w:t>202,331.87</w:t>
            </w:r>
          </w:p>
        </w:tc>
      </w:tr>
    </w:tbl>
    <w:p w14:paraId="11CEE935">
      <w:pPr>
        <w:pStyle w:val="47"/>
        <w:rPr>
          <w:rFonts w:hint="eastAsia"/>
        </w:rPr>
      </w:pPr>
      <w:r>
        <w:rPr>
          <w:rFonts w:hint="eastAsia"/>
        </w:rPr>
        <w:t>注：支付基金管理人南方基金的管理人报酬按前一日基金资产净值0.15%的年费率计提，逐日累计至每月月底，按月支付。其计算公式为：</w:t>
      </w:r>
    </w:p>
    <w:p w14:paraId="578C3F8A">
      <w:pPr>
        <w:pStyle w:val="47"/>
        <w:rPr>
          <w:rFonts w:hint="eastAsia"/>
        </w:rPr>
      </w:pPr>
      <w:r>
        <w:tab/>
      </w:r>
      <w:r>
        <w:rPr>
          <w:rFonts w:hint="eastAsia"/>
        </w:rPr>
        <w:t>日管理人报酬＝前一日基金资产净值×0.15%÷当年天数。</w:t>
      </w:r>
    </w:p>
    <w:p w14:paraId="0BB79807">
      <w:pPr>
        <w:pStyle w:val="36"/>
      </w:pPr>
      <w:bookmarkStart w:id="119" w:name="_Toc119"/>
      <w:r>
        <w:t>基金托管费</w:t>
      </w:r>
      <w:bookmarkEnd w:id="119"/>
    </w:p>
    <w:p w14:paraId="3F994CD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6"/>
        <w:gridCol w:w="3599"/>
      </w:tblGrid>
      <w:tr w14:paraId="46940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shd w:val="clear" w:color="auto" w:fill="BFBFBF"/>
            <w:vAlign w:val="center"/>
          </w:tcPr>
          <w:p w14:paraId="28A43233">
            <w:pPr>
              <w:jc w:val="center"/>
            </w:pPr>
            <w:r>
              <w:rPr>
                <w:rFonts w:hint="eastAsia"/>
                <w:b/>
              </w:rPr>
              <w:t>项目</w:t>
            </w:r>
          </w:p>
        </w:tc>
        <w:tc>
          <w:tcPr>
            <w:tcW w:w="3599" w:type="dxa"/>
            <w:shd w:val="clear" w:color="auto" w:fill="BFBFBF"/>
            <w:vAlign w:val="center"/>
          </w:tcPr>
          <w:p w14:paraId="109C292B">
            <w:pPr>
              <w:jc w:val="center"/>
            </w:pPr>
            <w:r>
              <w:rPr>
                <w:rFonts w:hint="eastAsia"/>
                <w:b/>
              </w:rPr>
              <w:t>本期2025年10月29日（基金合同生效日）至2025年12月31日</w:t>
            </w:r>
          </w:p>
        </w:tc>
      </w:tr>
      <w:tr w14:paraId="6E734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7E56011A">
            <w:r>
              <w:rPr>
                <w:rFonts w:hint="eastAsia"/>
              </w:rPr>
              <w:t>当期发生的基金应支付的托管费</w:t>
            </w:r>
          </w:p>
        </w:tc>
        <w:tc>
          <w:tcPr>
            <w:tcW w:w="3599" w:type="dxa"/>
            <w:vAlign w:val="center"/>
          </w:tcPr>
          <w:p w14:paraId="43382D73">
            <w:pPr>
              <w:jc w:val="right"/>
            </w:pPr>
            <w:r>
              <w:rPr>
                <w:rFonts w:hint="eastAsia"/>
              </w:rPr>
              <w:t>84,895.05</w:t>
            </w:r>
          </w:p>
        </w:tc>
      </w:tr>
    </w:tbl>
    <w:p w14:paraId="6D65F355">
      <w:pPr>
        <w:pStyle w:val="47"/>
        <w:rPr>
          <w:rFonts w:hint="eastAsia"/>
        </w:rPr>
      </w:pPr>
      <w:r>
        <w:rPr>
          <w:rFonts w:hint="eastAsia"/>
        </w:rPr>
        <w:t>注：支付基金托管人的托管费按前一日基金资产净值0.05%的年费率计提，逐日累计至每月月底，按月支付。其计算公式为：</w:t>
      </w:r>
    </w:p>
    <w:p w14:paraId="4820C5ED">
      <w:pPr>
        <w:pStyle w:val="47"/>
        <w:rPr>
          <w:rFonts w:hint="eastAsia"/>
        </w:rPr>
      </w:pPr>
      <w:r>
        <w:tab/>
      </w:r>
      <w:r>
        <w:rPr>
          <w:rFonts w:hint="eastAsia"/>
        </w:rPr>
        <w:t>日托管费＝前一日基金资产净值×0.05%÷当年天数。</w:t>
      </w:r>
    </w:p>
    <w:p w14:paraId="697FAF14">
      <w:pPr>
        <w:pStyle w:val="36"/>
      </w:pPr>
      <w:bookmarkStart w:id="120" w:name="_Toc120"/>
      <w:r>
        <w:t>销售服务费</w:t>
      </w:r>
      <w:bookmarkEnd w:id="120"/>
    </w:p>
    <w:p w14:paraId="48E18FC9">
      <w:pPr>
        <w:pStyle w:val="18"/>
        <w:rPr>
          <w:rFonts w:hint="eastAsia"/>
        </w:rPr>
      </w:pPr>
      <w:r>
        <w:rPr>
          <w:rFonts w:hint="eastAsia"/>
        </w:rPr>
        <w:t>无。</w:t>
      </w:r>
    </w:p>
    <w:p w14:paraId="2D235CE5">
      <w:pPr>
        <w:pStyle w:val="35"/>
      </w:pPr>
      <w:bookmarkStart w:id="121" w:name="_Toc121"/>
      <w:r>
        <w:t>与关联方进行银行间同业市场的债券（含回购）交易</w:t>
      </w:r>
      <w:bookmarkEnd w:id="121"/>
    </w:p>
    <w:p w14:paraId="18F14774">
      <w:pPr>
        <w:pStyle w:val="18"/>
        <w:rPr>
          <w:rFonts w:hint="eastAsia"/>
        </w:rPr>
      </w:pPr>
      <w:r>
        <w:rPr>
          <w:rFonts w:hint="eastAsia"/>
        </w:rPr>
        <w:t>无。</w:t>
      </w:r>
    </w:p>
    <w:p w14:paraId="220E0C03">
      <w:pPr>
        <w:pStyle w:val="35"/>
      </w:pPr>
      <w:bookmarkStart w:id="122" w:name="_Toc122"/>
      <w:r>
        <w:t>报告期内转融通证券出借业务发生重大关联交易事项的说明</w:t>
      </w:r>
      <w:bookmarkEnd w:id="122"/>
    </w:p>
    <w:p w14:paraId="3FD4FCC4">
      <w:pPr>
        <w:pStyle w:val="36"/>
      </w:pPr>
      <w:bookmarkStart w:id="123" w:name="_Toc123"/>
      <w:r>
        <w:t>与关联方通过约定申报方式进行的适用固定期限费率的证券出借业务的情况</w:t>
      </w:r>
      <w:bookmarkEnd w:id="123"/>
    </w:p>
    <w:p w14:paraId="7642ED37">
      <w:pPr>
        <w:pStyle w:val="18"/>
        <w:rPr>
          <w:rFonts w:hint="eastAsia"/>
        </w:rPr>
      </w:pPr>
      <w:r>
        <w:rPr>
          <w:rFonts w:hint="eastAsia"/>
        </w:rPr>
        <w:t>无。</w:t>
      </w:r>
    </w:p>
    <w:p w14:paraId="3E8765FF">
      <w:pPr>
        <w:pStyle w:val="36"/>
      </w:pPr>
      <w:bookmarkStart w:id="124" w:name="_Toc124"/>
      <w:r>
        <w:t>与关联方通过约定申报方式进行的适用市场化期限费率的证券出借业务的情况</w:t>
      </w:r>
      <w:bookmarkEnd w:id="124"/>
    </w:p>
    <w:p w14:paraId="678E7838">
      <w:pPr>
        <w:pStyle w:val="18"/>
        <w:rPr>
          <w:rFonts w:hint="eastAsia"/>
        </w:rPr>
      </w:pPr>
      <w:r>
        <w:rPr>
          <w:rFonts w:hint="eastAsia"/>
        </w:rPr>
        <w:t>无。</w:t>
      </w:r>
    </w:p>
    <w:p w14:paraId="0C87C807">
      <w:pPr>
        <w:pStyle w:val="35"/>
      </w:pPr>
      <w:bookmarkStart w:id="125" w:name="_Toc125"/>
      <w:r>
        <w:t>各关联方投资本基金的情况</w:t>
      </w:r>
      <w:bookmarkEnd w:id="125"/>
    </w:p>
    <w:p w14:paraId="3EA2FA7D">
      <w:pPr>
        <w:pStyle w:val="36"/>
      </w:pPr>
      <w:bookmarkStart w:id="126" w:name="_Toc126"/>
      <w:r>
        <w:t>报告期内基金管理人运用固有资金投资本基金的情况</w:t>
      </w:r>
      <w:bookmarkEnd w:id="126"/>
    </w:p>
    <w:p w14:paraId="2BAD27F9">
      <w:pPr>
        <w:pStyle w:val="18"/>
        <w:rPr>
          <w:rFonts w:hint="eastAsia"/>
        </w:rPr>
      </w:pPr>
      <w:r>
        <w:rPr>
          <w:rFonts w:hint="eastAsia"/>
        </w:rPr>
        <w:t>无。</w:t>
      </w:r>
    </w:p>
    <w:p w14:paraId="3801DBE4">
      <w:pPr>
        <w:pStyle w:val="36"/>
      </w:pPr>
      <w:bookmarkStart w:id="127" w:name="_Toc127"/>
      <w:r>
        <w:t>报告期末除基金管理人之外的其他关联方投资本基金的情况</w:t>
      </w:r>
      <w:bookmarkEnd w:id="127"/>
    </w:p>
    <w:p w14:paraId="65EB4E4B">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0253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7C3E4C4B">
            <w:pPr>
              <w:jc w:val="center"/>
            </w:pPr>
            <w:r>
              <w:rPr>
                <w:rFonts w:hint="eastAsia"/>
                <w:b/>
              </w:rPr>
              <w:t>关联方名称</w:t>
            </w:r>
          </w:p>
        </w:tc>
        <w:tc>
          <w:tcPr>
            <w:tcW w:w="2768" w:type="dxa"/>
            <w:gridSpan w:val="2"/>
            <w:shd w:val="clear" w:color="auto" w:fill="BFBFBF"/>
            <w:vAlign w:val="center"/>
          </w:tcPr>
          <w:p w14:paraId="79B8BE0D">
            <w:pPr>
              <w:jc w:val="center"/>
            </w:pPr>
            <w:r>
              <w:rPr>
                <w:rFonts w:hint="eastAsia"/>
                <w:b/>
              </w:rPr>
              <w:t>本期末2025年12月31日</w:t>
            </w:r>
          </w:p>
        </w:tc>
      </w:tr>
      <w:tr w14:paraId="206AA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C97FE39"/>
        </w:tc>
        <w:tc>
          <w:tcPr>
            <w:tcW w:w="2768" w:type="dxa"/>
            <w:shd w:val="clear" w:color="auto" w:fill="BFBFBF"/>
            <w:vAlign w:val="center"/>
          </w:tcPr>
          <w:p w14:paraId="3FA4C612">
            <w:pPr>
              <w:jc w:val="center"/>
            </w:pPr>
            <w:r>
              <w:rPr>
                <w:rFonts w:hint="eastAsia"/>
                <w:b/>
              </w:rPr>
              <w:t>持有的基金份额</w:t>
            </w:r>
          </w:p>
        </w:tc>
        <w:tc>
          <w:tcPr>
            <w:tcW w:w="2768" w:type="dxa"/>
            <w:shd w:val="clear" w:color="auto" w:fill="BFBFBF"/>
            <w:vAlign w:val="center"/>
          </w:tcPr>
          <w:p w14:paraId="5BB495DA">
            <w:pPr>
              <w:jc w:val="center"/>
            </w:pPr>
            <w:r>
              <w:rPr>
                <w:rFonts w:hint="eastAsia"/>
                <w:b/>
              </w:rPr>
              <w:t>持有的基金份额占基金总份额的比例</w:t>
            </w:r>
          </w:p>
        </w:tc>
      </w:tr>
      <w:tr w14:paraId="2D3FF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441B7B">
            <w:r>
              <w:rPr>
                <w:rFonts w:hint="eastAsia"/>
              </w:rPr>
              <w:t>华泰证券股份有限公司</w:t>
            </w:r>
          </w:p>
        </w:tc>
        <w:tc>
          <w:tcPr>
            <w:tcW w:w="2768" w:type="dxa"/>
            <w:vAlign w:val="center"/>
          </w:tcPr>
          <w:p w14:paraId="54D4BB3D">
            <w:pPr>
              <w:jc w:val="right"/>
            </w:pPr>
            <w:r>
              <w:rPr>
                <w:rFonts w:hint="eastAsia"/>
              </w:rPr>
              <w:t>1,000,000.00</w:t>
            </w:r>
          </w:p>
        </w:tc>
        <w:tc>
          <w:tcPr>
            <w:tcW w:w="2768" w:type="dxa"/>
            <w:vAlign w:val="center"/>
          </w:tcPr>
          <w:p w14:paraId="3143D0A5">
            <w:pPr>
              <w:jc w:val="right"/>
            </w:pPr>
            <w:r>
              <w:rPr>
                <w:rFonts w:hint="eastAsia"/>
              </w:rPr>
              <w:t>0.05%</w:t>
            </w:r>
          </w:p>
        </w:tc>
      </w:tr>
      <w:tr w14:paraId="76B95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23E17A">
            <w:r>
              <w:rPr>
                <w:rFonts w:hint="eastAsia"/>
              </w:rPr>
              <w:t>交通银行股份有限公司－南方恒生科技交易型开放式指数证券投资基金发起式联接基金（QDII）</w:t>
            </w:r>
          </w:p>
        </w:tc>
        <w:tc>
          <w:tcPr>
            <w:tcW w:w="2768" w:type="dxa"/>
            <w:vAlign w:val="center"/>
          </w:tcPr>
          <w:p w14:paraId="147337A3">
            <w:pPr>
              <w:jc w:val="right"/>
            </w:pPr>
            <w:r>
              <w:rPr>
                <w:rFonts w:hint="eastAsia"/>
              </w:rPr>
              <w:t>1,594,530,000.00</w:t>
            </w:r>
          </w:p>
        </w:tc>
        <w:tc>
          <w:tcPr>
            <w:tcW w:w="2768" w:type="dxa"/>
            <w:vAlign w:val="center"/>
          </w:tcPr>
          <w:p w14:paraId="0C11C4DF">
            <w:pPr>
              <w:jc w:val="right"/>
            </w:pPr>
            <w:r>
              <w:rPr>
                <w:rFonts w:hint="eastAsia"/>
              </w:rPr>
              <w:t>75.93%</w:t>
            </w:r>
          </w:p>
        </w:tc>
      </w:tr>
    </w:tbl>
    <w:p w14:paraId="47E8806B">
      <w:pPr>
        <w:pStyle w:val="35"/>
      </w:pPr>
      <w:bookmarkStart w:id="128" w:name="_Toc128"/>
      <w:r>
        <w:t>由关联方保管的银行存款余额及当期产生的利息收入</w:t>
      </w:r>
      <w:bookmarkEnd w:id="128"/>
    </w:p>
    <w:p w14:paraId="35754F4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6"/>
        <w:gridCol w:w="3294"/>
        <w:gridCol w:w="3294"/>
      </w:tblGrid>
      <w:tr w14:paraId="6ECDA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restart"/>
            <w:shd w:val="clear" w:color="auto" w:fill="BFBFBF"/>
            <w:vAlign w:val="center"/>
          </w:tcPr>
          <w:p w14:paraId="1F32D694">
            <w:pPr>
              <w:jc w:val="center"/>
            </w:pPr>
            <w:r>
              <w:rPr>
                <w:rFonts w:hint="eastAsia"/>
                <w:b/>
              </w:rPr>
              <w:t>关联方名称</w:t>
            </w:r>
          </w:p>
        </w:tc>
        <w:tc>
          <w:tcPr>
            <w:tcW w:w="3294" w:type="dxa"/>
            <w:gridSpan w:val="2"/>
            <w:shd w:val="clear" w:color="auto" w:fill="BFBFBF"/>
            <w:vAlign w:val="center"/>
          </w:tcPr>
          <w:p w14:paraId="56567425">
            <w:pPr>
              <w:jc w:val="center"/>
            </w:pPr>
            <w:r>
              <w:rPr>
                <w:rFonts w:hint="eastAsia"/>
                <w:b/>
              </w:rPr>
              <w:t>本期2025年10月29日（基金合同生效日）至2025年12月31日</w:t>
            </w:r>
          </w:p>
        </w:tc>
      </w:tr>
      <w:tr w14:paraId="31012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continue"/>
            <w:vAlign w:val="center"/>
          </w:tcPr>
          <w:p w14:paraId="1A4E5490"/>
        </w:tc>
        <w:tc>
          <w:tcPr>
            <w:tcW w:w="3294" w:type="dxa"/>
            <w:shd w:val="clear" w:color="auto" w:fill="BFBFBF"/>
            <w:vAlign w:val="center"/>
          </w:tcPr>
          <w:p w14:paraId="071BCD8C">
            <w:pPr>
              <w:jc w:val="center"/>
            </w:pPr>
            <w:r>
              <w:rPr>
                <w:rFonts w:hint="eastAsia"/>
                <w:b/>
              </w:rPr>
              <w:t>期末余额</w:t>
            </w:r>
          </w:p>
        </w:tc>
        <w:tc>
          <w:tcPr>
            <w:tcW w:w="3294" w:type="dxa"/>
            <w:shd w:val="clear" w:color="auto" w:fill="BFBFBF"/>
            <w:vAlign w:val="center"/>
          </w:tcPr>
          <w:p w14:paraId="18CB2BB9">
            <w:pPr>
              <w:jc w:val="center"/>
            </w:pPr>
            <w:r>
              <w:rPr>
                <w:rFonts w:hint="eastAsia"/>
                <w:b/>
              </w:rPr>
              <w:t>当期利息收入</w:t>
            </w:r>
          </w:p>
        </w:tc>
      </w:tr>
      <w:tr w14:paraId="0FCF6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Align w:val="center"/>
          </w:tcPr>
          <w:p w14:paraId="50F5B228">
            <w:r>
              <w:rPr>
                <w:rFonts w:hint="eastAsia"/>
              </w:rPr>
              <w:t>交通银行</w:t>
            </w:r>
          </w:p>
        </w:tc>
        <w:tc>
          <w:tcPr>
            <w:tcW w:w="3294" w:type="dxa"/>
            <w:vAlign w:val="center"/>
          </w:tcPr>
          <w:p w14:paraId="688F92A9">
            <w:pPr>
              <w:jc w:val="right"/>
            </w:pPr>
            <w:r>
              <w:rPr>
                <w:rFonts w:hint="eastAsia"/>
              </w:rPr>
              <w:t>266,034.32</w:t>
            </w:r>
          </w:p>
        </w:tc>
        <w:tc>
          <w:tcPr>
            <w:tcW w:w="3294" w:type="dxa"/>
            <w:vAlign w:val="center"/>
          </w:tcPr>
          <w:p w14:paraId="44ABE05E">
            <w:pPr>
              <w:jc w:val="right"/>
            </w:pPr>
            <w:r>
              <w:rPr>
                <w:rFonts w:hint="eastAsia"/>
              </w:rPr>
              <w:t>3,154.63</w:t>
            </w:r>
          </w:p>
        </w:tc>
      </w:tr>
      <w:tr w14:paraId="4919E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Align w:val="center"/>
          </w:tcPr>
          <w:p w14:paraId="7DF447B1">
            <w:r>
              <w:rPr>
                <w:rFonts w:hint="eastAsia"/>
              </w:rPr>
              <w:t>香港上海汇丰银行</w:t>
            </w:r>
          </w:p>
        </w:tc>
        <w:tc>
          <w:tcPr>
            <w:tcW w:w="3294" w:type="dxa"/>
            <w:vAlign w:val="center"/>
          </w:tcPr>
          <w:p w14:paraId="5002057D">
            <w:pPr>
              <w:jc w:val="right"/>
            </w:pPr>
            <w:r>
              <w:rPr>
                <w:rFonts w:hint="eastAsia"/>
              </w:rPr>
              <w:t>51,249,161.78</w:t>
            </w:r>
          </w:p>
        </w:tc>
        <w:tc>
          <w:tcPr>
            <w:tcW w:w="3294" w:type="dxa"/>
            <w:vAlign w:val="center"/>
          </w:tcPr>
          <w:p w14:paraId="551FF29A">
            <w:pPr>
              <w:jc w:val="right"/>
            </w:pPr>
            <w:r>
              <w:rPr>
                <w:rFonts w:hint="eastAsia"/>
              </w:rPr>
              <w:t>171.29</w:t>
            </w:r>
          </w:p>
        </w:tc>
      </w:tr>
    </w:tbl>
    <w:p w14:paraId="3BF5891B">
      <w:pPr>
        <w:pStyle w:val="47"/>
        <w:rPr>
          <w:rFonts w:hint="eastAsia"/>
        </w:rPr>
      </w:pPr>
      <w:r>
        <w:rPr>
          <w:rFonts w:hint="eastAsia"/>
        </w:rPr>
        <w:t>注：本基金的银行存款由基金托管人和境外资产托管人保管，按银行约定利率计息。</w:t>
      </w:r>
    </w:p>
    <w:p w14:paraId="7C1488F3">
      <w:pPr>
        <w:pStyle w:val="35"/>
      </w:pPr>
      <w:bookmarkStart w:id="129" w:name="_Toc129"/>
      <w:r>
        <w:t>本基金在承销期内参与关联方承销证券的情况</w:t>
      </w:r>
      <w:bookmarkEnd w:id="129"/>
    </w:p>
    <w:p w14:paraId="2BD77AB7">
      <w:pPr>
        <w:pStyle w:val="18"/>
        <w:rPr>
          <w:rFonts w:hint="eastAsia"/>
        </w:rPr>
      </w:pPr>
      <w:r>
        <w:rPr>
          <w:rFonts w:hint="eastAsia"/>
        </w:rPr>
        <w:t>无。</w:t>
      </w:r>
    </w:p>
    <w:p w14:paraId="52C3F792">
      <w:pPr>
        <w:pStyle w:val="35"/>
      </w:pPr>
      <w:bookmarkStart w:id="130" w:name="_Toc130"/>
      <w:r>
        <w:t>其他关联交易事项的说明</w:t>
      </w:r>
      <w:bookmarkEnd w:id="130"/>
    </w:p>
    <w:p w14:paraId="53356D42">
      <w:pPr>
        <w:pStyle w:val="18"/>
        <w:rPr>
          <w:rFonts w:hint="eastAsia"/>
        </w:rPr>
      </w:pPr>
      <w:r>
        <w:rPr>
          <w:rFonts w:hint="eastAsia"/>
        </w:rPr>
        <w:t>无。</w:t>
      </w:r>
    </w:p>
    <w:p w14:paraId="0AC8094A">
      <w:pPr>
        <w:pStyle w:val="28"/>
      </w:pPr>
      <w:bookmarkStart w:id="131" w:name="_Toc131"/>
      <w:r>
        <w:t>利润分配情况——固定净值型货币市场基金之外的基金</w:t>
      </w:r>
      <w:bookmarkEnd w:id="131"/>
    </w:p>
    <w:p w14:paraId="34BFAD62">
      <w:pPr>
        <w:pStyle w:val="47"/>
        <w:rPr>
          <w:rFonts w:hint="eastAsia"/>
        </w:rPr>
      </w:pPr>
      <w:r>
        <w:rPr>
          <w:rFonts w:hint="eastAsia"/>
        </w:rPr>
        <w:t>注：本期无。本基金报告期后分红情况（如有）详见本报告“资产负债表日后事项”部分内容。</w:t>
      </w:r>
    </w:p>
    <w:p w14:paraId="7E3C266F">
      <w:pPr>
        <w:pStyle w:val="28"/>
      </w:pPr>
      <w:bookmarkStart w:id="132" w:name="_Toc132"/>
      <w:r>
        <w:t>期末（2025年12月31日）本基金持有的流通受限证券</w:t>
      </w:r>
      <w:bookmarkEnd w:id="132"/>
    </w:p>
    <w:p w14:paraId="5B855470">
      <w:pPr>
        <w:pStyle w:val="35"/>
      </w:pPr>
      <w:bookmarkStart w:id="133" w:name="_Toc133"/>
      <w:r>
        <w:t>因认购新发/增发证券而于期末持有的流通受限证券</w:t>
      </w:r>
      <w:bookmarkEnd w:id="133"/>
    </w:p>
    <w:p w14:paraId="1040D2EE">
      <w:pPr>
        <w:pStyle w:val="18"/>
        <w:rPr>
          <w:rFonts w:hint="eastAsia"/>
        </w:rPr>
      </w:pPr>
      <w:r>
        <w:rPr>
          <w:rFonts w:hint="eastAsia"/>
        </w:rPr>
        <w:t>无。</w:t>
      </w:r>
    </w:p>
    <w:p w14:paraId="41AE6296">
      <w:pPr>
        <w:pStyle w:val="35"/>
      </w:pPr>
      <w:bookmarkStart w:id="134" w:name="_Toc134"/>
      <w:r>
        <w:t>期末持有的暂时停牌等流通受限股票</w:t>
      </w:r>
      <w:bookmarkEnd w:id="134"/>
    </w:p>
    <w:p w14:paraId="2D770439">
      <w:pPr>
        <w:pStyle w:val="18"/>
        <w:rPr>
          <w:rFonts w:hint="eastAsia"/>
        </w:rPr>
      </w:pPr>
      <w:r>
        <w:rPr>
          <w:rFonts w:hint="eastAsia"/>
        </w:rPr>
        <w:t>无。</w:t>
      </w:r>
    </w:p>
    <w:p w14:paraId="79611F82">
      <w:pPr>
        <w:pStyle w:val="35"/>
      </w:pPr>
      <w:bookmarkStart w:id="135" w:name="_Toc135"/>
      <w:r>
        <w:t>期末债券正回购交易中作为抵押的债券</w:t>
      </w:r>
      <w:bookmarkEnd w:id="135"/>
    </w:p>
    <w:p w14:paraId="2486391C">
      <w:pPr>
        <w:pStyle w:val="36"/>
      </w:pPr>
      <w:bookmarkStart w:id="136" w:name="_Toc136"/>
      <w:r>
        <w:t>银行间市场债券正回购</w:t>
      </w:r>
      <w:bookmarkEnd w:id="136"/>
    </w:p>
    <w:p w14:paraId="6D198F1A">
      <w:pPr>
        <w:pStyle w:val="18"/>
        <w:rPr>
          <w:rFonts w:hint="eastAsia"/>
        </w:rPr>
      </w:pPr>
      <w:r>
        <w:rPr>
          <w:rFonts w:hint="eastAsia"/>
        </w:rPr>
        <w:t>无。</w:t>
      </w:r>
    </w:p>
    <w:p w14:paraId="62F74086">
      <w:pPr>
        <w:pStyle w:val="36"/>
      </w:pPr>
      <w:bookmarkStart w:id="137" w:name="_Toc137"/>
      <w:r>
        <w:t>交易所市场债券正回购</w:t>
      </w:r>
      <w:bookmarkEnd w:id="137"/>
    </w:p>
    <w:p w14:paraId="7115FF8F">
      <w:pPr>
        <w:pStyle w:val="18"/>
        <w:rPr>
          <w:rFonts w:hint="eastAsia"/>
        </w:rPr>
      </w:pPr>
      <w:r>
        <w:rPr>
          <w:rFonts w:hint="eastAsia"/>
        </w:rPr>
        <w:t>无。</w:t>
      </w:r>
    </w:p>
    <w:p w14:paraId="793E042F">
      <w:pPr>
        <w:pStyle w:val="35"/>
      </w:pPr>
      <w:bookmarkStart w:id="138" w:name="_Toc138"/>
      <w:r>
        <w:t>期末参与转融通证券出借业务的证券</w:t>
      </w:r>
      <w:bookmarkEnd w:id="138"/>
    </w:p>
    <w:p w14:paraId="45FCEF9B">
      <w:pPr>
        <w:pStyle w:val="18"/>
        <w:rPr>
          <w:rFonts w:hint="eastAsia"/>
        </w:rPr>
      </w:pPr>
      <w:r>
        <w:rPr>
          <w:rFonts w:hint="eastAsia"/>
        </w:rPr>
        <w:t>无。</w:t>
      </w:r>
    </w:p>
    <w:p w14:paraId="03C89063">
      <w:pPr>
        <w:pStyle w:val="28"/>
      </w:pPr>
      <w:bookmarkStart w:id="139" w:name="_Toc139"/>
      <w:r>
        <w:t>金融工具风险及管理</w:t>
      </w:r>
      <w:bookmarkEnd w:id="139"/>
    </w:p>
    <w:p w14:paraId="1B5BF2FB">
      <w:pPr>
        <w:pStyle w:val="35"/>
      </w:pPr>
      <w:bookmarkStart w:id="140" w:name="_Toc140"/>
      <w:r>
        <w:t>风险管理政策和组织架构</w:t>
      </w:r>
      <w:bookmarkEnd w:id="140"/>
    </w:p>
    <w:p w14:paraId="408F0729">
      <w:pPr>
        <w:pStyle w:val="18"/>
        <w:rPr>
          <w:rFonts w:hint="eastAsia"/>
        </w:rPr>
      </w:pPr>
      <w:r>
        <w:rPr>
          <w:rFonts w:hint="eastAsia"/>
        </w:rPr>
        <w:t>本基金是被动式指数基金，其长期平均风险和预期收益水平高于混合型基金、债券型基金与货币市场基金。紧密跟踪恒生科技指数，具有与标的指数以及标的指数所代表的股票市场相似的风险收益特征。本基金以标的指数成份股、备选成份股为主要投资对象。本基金主要投资香港证券市场上市的股票，需承担汇率风险以及境外市场的风险。本基金可投资港股通股票，除了需要承担与境内证券投资基金类似的市场波动风险等一般投资风险之外，本基金还面临汇率风险、香港市场风险等境外证券市场投资所面临的特别投资风险。本基金采用完全复制法，跟踪恒生科技指数，以完全按照标的指数成份股组成及其权重构建基金股票投资组合为原则，进行被动式指数化投资。股票在投资组合中的权重原则上根据标的指数成份股及其权重的变动而进行相应调整。但在因特殊情况(如流动性不足等)导致无法获得足够数量的股票时，基金管理人将搭配使用其他合理方法进行适当的替代，力求与标的指数的跟踪偏离度与跟踪误差的最小化。</w:t>
      </w:r>
    </w:p>
    <w:p w14:paraId="70CCE773">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28A81E69">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4D33D731">
      <w:pPr>
        <w:pStyle w:val="35"/>
      </w:pPr>
      <w:bookmarkStart w:id="141" w:name="_Toc141"/>
      <w:r>
        <w:t>信用风险</w:t>
      </w:r>
      <w:bookmarkEnd w:id="141"/>
    </w:p>
    <w:p w14:paraId="6A340424">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281B4605">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境外交易所进行的交易均通过有资格的经纪商进行证券交收和款项清算，在境内交易所进行的交易均以中国证券登记结算有限责任公司为交易对手完成证券交收和款项清算，违约风险发生的可能性很小；在场外交易市场进行交易前均对交易对手进行信用评估并对证券交割方式进行限制以控制相应的信用风险。</w:t>
      </w:r>
    </w:p>
    <w:p w14:paraId="395D4967">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489EE696">
      <w:pPr>
        <w:pStyle w:val="18"/>
        <w:rPr>
          <w:rFonts w:hint="eastAsia"/>
        </w:rPr>
      </w:pPr>
      <w:r>
        <w:rPr>
          <w:rFonts w:hint="eastAsia"/>
        </w:rPr>
        <w:t>于本期末，本基金无债券投资。</w:t>
      </w:r>
    </w:p>
    <w:p w14:paraId="4D5C7198">
      <w:pPr>
        <w:pStyle w:val="35"/>
      </w:pPr>
      <w:bookmarkStart w:id="142" w:name="_Toc142"/>
      <w:r>
        <w:t>流动性风险</w:t>
      </w:r>
      <w:bookmarkEnd w:id="142"/>
    </w:p>
    <w:p w14:paraId="182F1127">
      <w:pPr>
        <w:pStyle w:val="18"/>
        <w:rPr>
          <w:rFonts w:hint="eastAsia"/>
        </w:rPr>
      </w:pPr>
      <w:r>
        <w:rPr>
          <w:rFonts w:hint="eastAsia"/>
        </w:rPr>
        <w:t>流动性风险是指基金在履行与金融负债有关的义务时遇到资金短缺的风险。本基金为履行与金融负债有关的义务而调整基金投资组合时，由于部分成份股流动性差，导致本基金难以及时完成组合调整，或承受较大市场冲击成本，可能产生基金投资组合收益偏离标的指数收益的风险。</w:t>
      </w:r>
    </w:p>
    <w:p w14:paraId="09389B70">
      <w:pPr>
        <w:pStyle w:val="18"/>
        <w:rPr>
          <w:rFonts w:hint="eastAsia"/>
        </w:rPr>
      </w:pPr>
      <w:r>
        <w:rPr>
          <w:rFonts w:hint="eastAsia"/>
        </w:rPr>
        <w:t>本基金将根据风险管理的原则，以套期保值为目的进行期货投资，以对冲系统性风险和某些特殊情况下的流动性风险等，主要采用流动性好、交易活跃的期货合约，通过多头或空头套期保值等策略进行套期保值操作。本基金力争利用期货的杠杆作用，降低股票仓位频繁调整的交易成本和跟踪误差，达到有效跟踪标的指数的目的。</w:t>
      </w:r>
    </w:p>
    <w:p w14:paraId="10088492">
      <w:pPr>
        <w:pStyle w:val="18"/>
        <w:rPr>
          <w:rFonts w:hint="eastAsia"/>
        </w:rPr>
      </w:pPr>
      <w:r>
        <w:rPr>
          <w:rFonts w:hint="eastAsia"/>
        </w:rPr>
        <w:t>于本期末，本基金所承担的全部金融负债的合约约定到期日均为一个月以内且不计息。本基金赎回基金份额采用一篮子股票形式，流动性风险相对较低。</w:t>
      </w:r>
    </w:p>
    <w:p w14:paraId="68AB4251">
      <w:pPr>
        <w:pStyle w:val="36"/>
      </w:pPr>
      <w:bookmarkStart w:id="143" w:name="_Toc143"/>
      <w:r>
        <w:t>报告期内本基金组合资产的流动性风险分析</w:t>
      </w:r>
      <w:bookmarkEnd w:id="143"/>
    </w:p>
    <w:p w14:paraId="584F49BB">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58E68E0D">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15DD21FA">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5454D734">
      <w:pPr>
        <w:pStyle w:val="35"/>
      </w:pPr>
      <w:bookmarkStart w:id="144" w:name="_Toc144"/>
      <w:r>
        <w:t>市场风险</w:t>
      </w:r>
      <w:bookmarkEnd w:id="144"/>
    </w:p>
    <w:p w14:paraId="03108654">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7E98B39E">
      <w:pPr>
        <w:pStyle w:val="36"/>
      </w:pPr>
      <w:bookmarkStart w:id="145" w:name="_Toc145"/>
      <w:r>
        <w:t>利率风险</w:t>
      </w:r>
      <w:bookmarkEnd w:id="145"/>
    </w:p>
    <w:p w14:paraId="57560E88">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7E0AEF61">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5685FACB">
      <w:pPr>
        <w:pStyle w:val="37"/>
      </w:pPr>
      <w:bookmarkStart w:id="146" w:name="_Toc146"/>
      <w:r>
        <w:t>利率风险敞口</w:t>
      </w:r>
      <w:bookmarkEnd w:id="146"/>
    </w:p>
    <w:p w14:paraId="77C4691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795E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09CBF1">
            <w:r>
              <w:rPr>
                <w:rFonts w:hint="eastAsia"/>
              </w:rPr>
              <w:t>本期末2025年12月31日</w:t>
            </w:r>
          </w:p>
        </w:tc>
        <w:tc>
          <w:tcPr>
            <w:tcW w:w="1384" w:type="dxa"/>
            <w:vAlign w:val="center"/>
          </w:tcPr>
          <w:p w14:paraId="0F069947">
            <w:r>
              <w:rPr>
                <w:rFonts w:hint="eastAsia"/>
              </w:rPr>
              <w:t>1年以内</w:t>
            </w:r>
          </w:p>
        </w:tc>
        <w:tc>
          <w:tcPr>
            <w:tcW w:w="1384" w:type="dxa"/>
            <w:vAlign w:val="center"/>
          </w:tcPr>
          <w:p w14:paraId="750024C7">
            <w:r>
              <w:rPr>
                <w:rFonts w:hint="eastAsia"/>
              </w:rPr>
              <w:t>1-5年</w:t>
            </w:r>
          </w:p>
        </w:tc>
        <w:tc>
          <w:tcPr>
            <w:tcW w:w="1384" w:type="dxa"/>
            <w:vAlign w:val="center"/>
          </w:tcPr>
          <w:p w14:paraId="7FFDCB28">
            <w:r>
              <w:rPr>
                <w:rFonts w:hint="eastAsia"/>
              </w:rPr>
              <w:t>5年以上</w:t>
            </w:r>
          </w:p>
        </w:tc>
        <w:tc>
          <w:tcPr>
            <w:tcW w:w="1384" w:type="dxa"/>
            <w:vAlign w:val="center"/>
          </w:tcPr>
          <w:p w14:paraId="0821BA2A">
            <w:r>
              <w:rPr>
                <w:rFonts w:hint="eastAsia"/>
              </w:rPr>
              <w:t>不计息</w:t>
            </w:r>
          </w:p>
        </w:tc>
        <w:tc>
          <w:tcPr>
            <w:tcW w:w="1384" w:type="dxa"/>
            <w:vAlign w:val="center"/>
          </w:tcPr>
          <w:p w14:paraId="5D26FFA0">
            <w:r>
              <w:rPr>
                <w:rFonts w:hint="eastAsia"/>
              </w:rPr>
              <w:t>合计</w:t>
            </w:r>
          </w:p>
        </w:tc>
      </w:tr>
      <w:tr w14:paraId="425F3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FE6417">
            <w:r>
              <w:rPr>
                <w:rFonts w:hint="eastAsia"/>
              </w:rPr>
              <w:t>资产</w:t>
            </w:r>
          </w:p>
        </w:tc>
        <w:tc>
          <w:tcPr>
            <w:tcW w:w="1384" w:type="dxa"/>
            <w:vAlign w:val="center"/>
          </w:tcPr>
          <w:p w14:paraId="21824C12"/>
        </w:tc>
        <w:tc>
          <w:tcPr>
            <w:tcW w:w="1384" w:type="dxa"/>
            <w:vAlign w:val="center"/>
          </w:tcPr>
          <w:p w14:paraId="073B6E6C"/>
        </w:tc>
        <w:tc>
          <w:tcPr>
            <w:tcW w:w="1384" w:type="dxa"/>
            <w:vAlign w:val="center"/>
          </w:tcPr>
          <w:p w14:paraId="4CB2B75A"/>
        </w:tc>
        <w:tc>
          <w:tcPr>
            <w:tcW w:w="1384" w:type="dxa"/>
            <w:vAlign w:val="center"/>
          </w:tcPr>
          <w:p w14:paraId="28F7C1D5"/>
        </w:tc>
        <w:tc>
          <w:tcPr>
            <w:tcW w:w="1384" w:type="dxa"/>
            <w:vAlign w:val="center"/>
          </w:tcPr>
          <w:p w14:paraId="27AD4A2C"/>
        </w:tc>
      </w:tr>
      <w:tr w14:paraId="4BF0B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CAD80D">
            <w:r>
              <w:rPr>
                <w:rFonts w:hint="eastAsia"/>
              </w:rPr>
              <w:t>货币资金</w:t>
            </w:r>
          </w:p>
        </w:tc>
        <w:tc>
          <w:tcPr>
            <w:tcW w:w="1384" w:type="dxa"/>
            <w:vAlign w:val="center"/>
          </w:tcPr>
          <w:p w14:paraId="02A0D288">
            <w:pPr>
              <w:jc w:val="right"/>
            </w:pPr>
            <w:r>
              <w:rPr>
                <w:rFonts w:hint="eastAsia"/>
              </w:rPr>
              <w:t>219,369,989.40</w:t>
            </w:r>
          </w:p>
        </w:tc>
        <w:tc>
          <w:tcPr>
            <w:tcW w:w="1384" w:type="dxa"/>
            <w:vAlign w:val="center"/>
          </w:tcPr>
          <w:p w14:paraId="5C5B684D">
            <w:pPr>
              <w:jc w:val="right"/>
            </w:pPr>
            <w:r>
              <w:rPr>
                <w:rFonts w:hint="eastAsia"/>
              </w:rPr>
              <w:t>-</w:t>
            </w:r>
          </w:p>
        </w:tc>
        <w:tc>
          <w:tcPr>
            <w:tcW w:w="1384" w:type="dxa"/>
            <w:vAlign w:val="center"/>
          </w:tcPr>
          <w:p w14:paraId="52C5A365">
            <w:pPr>
              <w:jc w:val="right"/>
            </w:pPr>
            <w:r>
              <w:rPr>
                <w:rFonts w:hint="eastAsia"/>
              </w:rPr>
              <w:t>-</w:t>
            </w:r>
          </w:p>
        </w:tc>
        <w:tc>
          <w:tcPr>
            <w:tcW w:w="1384" w:type="dxa"/>
            <w:vAlign w:val="center"/>
          </w:tcPr>
          <w:p w14:paraId="30803CF4">
            <w:pPr>
              <w:jc w:val="right"/>
            </w:pPr>
            <w:r>
              <w:rPr>
                <w:rFonts w:hint="eastAsia"/>
              </w:rPr>
              <w:t>-</w:t>
            </w:r>
          </w:p>
        </w:tc>
        <w:tc>
          <w:tcPr>
            <w:tcW w:w="1384" w:type="dxa"/>
            <w:vAlign w:val="center"/>
          </w:tcPr>
          <w:p w14:paraId="72BBB528">
            <w:pPr>
              <w:jc w:val="right"/>
            </w:pPr>
            <w:r>
              <w:rPr>
                <w:rFonts w:hint="eastAsia"/>
              </w:rPr>
              <w:t>219,369,989.40</w:t>
            </w:r>
          </w:p>
        </w:tc>
      </w:tr>
      <w:tr w14:paraId="64F56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27F273">
            <w:r>
              <w:rPr>
                <w:rFonts w:hint="eastAsia"/>
              </w:rPr>
              <w:t>结算备付金</w:t>
            </w:r>
          </w:p>
        </w:tc>
        <w:tc>
          <w:tcPr>
            <w:tcW w:w="1384" w:type="dxa"/>
            <w:vAlign w:val="center"/>
          </w:tcPr>
          <w:p w14:paraId="29B75898">
            <w:pPr>
              <w:jc w:val="right"/>
            </w:pPr>
            <w:r>
              <w:rPr>
                <w:rFonts w:hint="eastAsia"/>
              </w:rPr>
              <w:t>8,232,375.84</w:t>
            </w:r>
          </w:p>
        </w:tc>
        <w:tc>
          <w:tcPr>
            <w:tcW w:w="1384" w:type="dxa"/>
            <w:vAlign w:val="center"/>
          </w:tcPr>
          <w:p w14:paraId="0479E642">
            <w:pPr>
              <w:jc w:val="right"/>
            </w:pPr>
            <w:r>
              <w:rPr>
                <w:rFonts w:hint="eastAsia"/>
              </w:rPr>
              <w:t>-</w:t>
            </w:r>
          </w:p>
        </w:tc>
        <w:tc>
          <w:tcPr>
            <w:tcW w:w="1384" w:type="dxa"/>
            <w:vAlign w:val="center"/>
          </w:tcPr>
          <w:p w14:paraId="0130E230">
            <w:pPr>
              <w:jc w:val="right"/>
            </w:pPr>
            <w:r>
              <w:rPr>
                <w:rFonts w:hint="eastAsia"/>
              </w:rPr>
              <w:t>-</w:t>
            </w:r>
          </w:p>
        </w:tc>
        <w:tc>
          <w:tcPr>
            <w:tcW w:w="1384" w:type="dxa"/>
            <w:vAlign w:val="center"/>
          </w:tcPr>
          <w:p w14:paraId="337F77DE">
            <w:pPr>
              <w:jc w:val="right"/>
            </w:pPr>
            <w:r>
              <w:rPr>
                <w:rFonts w:hint="eastAsia"/>
              </w:rPr>
              <w:t>-</w:t>
            </w:r>
          </w:p>
        </w:tc>
        <w:tc>
          <w:tcPr>
            <w:tcW w:w="1384" w:type="dxa"/>
            <w:vAlign w:val="center"/>
          </w:tcPr>
          <w:p w14:paraId="63DAC51A">
            <w:pPr>
              <w:jc w:val="right"/>
            </w:pPr>
            <w:r>
              <w:rPr>
                <w:rFonts w:hint="eastAsia"/>
              </w:rPr>
              <w:t>8,232,375.84</w:t>
            </w:r>
          </w:p>
        </w:tc>
      </w:tr>
      <w:tr w14:paraId="3A9BE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9614FD">
            <w:r>
              <w:rPr>
                <w:rFonts w:hint="eastAsia"/>
              </w:rPr>
              <w:t>存出保证金</w:t>
            </w:r>
          </w:p>
        </w:tc>
        <w:tc>
          <w:tcPr>
            <w:tcW w:w="1384" w:type="dxa"/>
            <w:vAlign w:val="center"/>
          </w:tcPr>
          <w:p w14:paraId="48E35E2B">
            <w:pPr>
              <w:jc w:val="right"/>
            </w:pPr>
            <w:r>
              <w:rPr>
                <w:rFonts w:hint="eastAsia"/>
              </w:rPr>
              <w:t>-</w:t>
            </w:r>
          </w:p>
        </w:tc>
        <w:tc>
          <w:tcPr>
            <w:tcW w:w="1384" w:type="dxa"/>
            <w:vAlign w:val="center"/>
          </w:tcPr>
          <w:p w14:paraId="395DB582">
            <w:pPr>
              <w:jc w:val="right"/>
            </w:pPr>
            <w:r>
              <w:rPr>
                <w:rFonts w:hint="eastAsia"/>
              </w:rPr>
              <w:t>-</w:t>
            </w:r>
          </w:p>
        </w:tc>
        <w:tc>
          <w:tcPr>
            <w:tcW w:w="1384" w:type="dxa"/>
            <w:vAlign w:val="center"/>
          </w:tcPr>
          <w:p w14:paraId="6821E16A">
            <w:pPr>
              <w:jc w:val="right"/>
            </w:pPr>
            <w:r>
              <w:rPr>
                <w:rFonts w:hint="eastAsia"/>
              </w:rPr>
              <w:t>-</w:t>
            </w:r>
          </w:p>
        </w:tc>
        <w:tc>
          <w:tcPr>
            <w:tcW w:w="1384" w:type="dxa"/>
            <w:vAlign w:val="center"/>
          </w:tcPr>
          <w:p w14:paraId="255FD4C6">
            <w:pPr>
              <w:jc w:val="right"/>
            </w:pPr>
            <w:r>
              <w:rPr>
                <w:rFonts w:hint="eastAsia"/>
              </w:rPr>
              <w:t>10,466,949.89</w:t>
            </w:r>
          </w:p>
        </w:tc>
        <w:tc>
          <w:tcPr>
            <w:tcW w:w="1384" w:type="dxa"/>
            <w:vAlign w:val="center"/>
          </w:tcPr>
          <w:p w14:paraId="0BB05770">
            <w:pPr>
              <w:jc w:val="right"/>
            </w:pPr>
            <w:r>
              <w:rPr>
                <w:rFonts w:hint="eastAsia"/>
              </w:rPr>
              <w:t>10,466,949.89</w:t>
            </w:r>
          </w:p>
        </w:tc>
      </w:tr>
      <w:tr w14:paraId="4C417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C9B24B">
            <w:r>
              <w:rPr>
                <w:rFonts w:hint="eastAsia"/>
              </w:rPr>
              <w:t>交易性金融资产</w:t>
            </w:r>
          </w:p>
        </w:tc>
        <w:tc>
          <w:tcPr>
            <w:tcW w:w="1384" w:type="dxa"/>
            <w:vAlign w:val="center"/>
          </w:tcPr>
          <w:p w14:paraId="3BBBA2F0">
            <w:pPr>
              <w:jc w:val="right"/>
            </w:pPr>
            <w:r>
              <w:rPr>
                <w:rFonts w:hint="eastAsia"/>
              </w:rPr>
              <w:t>-</w:t>
            </w:r>
          </w:p>
        </w:tc>
        <w:tc>
          <w:tcPr>
            <w:tcW w:w="1384" w:type="dxa"/>
            <w:vAlign w:val="center"/>
          </w:tcPr>
          <w:p w14:paraId="0A4E5FC1">
            <w:pPr>
              <w:jc w:val="right"/>
            </w:pPr>
            <w:r>
              <w:rPr>
                <w:rFonts w:hint="eastAsia"/>
              </w:rPr>
              <w:t>-</w:t>
            </w:r>
          </w:p>
        </w:tc>
        <w:tc>
          <w:tcPr>
            <w:tcW w:w="1384" w:type="dxa"/>
            <w:vAlign w:val="center"/>
          </w:tcPr>
          <w:p w14:paraId="39AE9451">
            <w:pPr>
              <w:jc w:val="right"/>
            </w:pPr>
            <w:r>
              <w:rPr>
                <w:rFonts w:hint="eastAsia"/>
              </w:rPr>
              <w:t>-</w:t>
            </w:r>
          </w:p>
        </w:tc>
        <w:tc>
          <w:tcPr>
            <w:tcW w:w="1384" w:type="dxa"/>
            <w:vAlign w:val="center"/>
          </w:tcPr>
          <w:p w14:paraId="35C0A4F7">
            <w:pPr>
              <w:jc w:val="right"/>
            </w:pPr>
            <w:r>
              <w:rPr>
                <w:rFonts w:hint="eastAsia"/>
              </w:rPr>
              <w:t>1,868,420,970.41</w:t>
            </w:r>
          </w:p>
        </w:tc>
        <w:tc>
          <w:tcPr>
            <w:tcW w:w="1384" w:type="dxa"/>
            <w:vAlign w:val="center"/>
          </w:tcPr>
          <w:p w14:paraId="303F4D4D">
            <w:pPr>
              <w:jc w:val="right"/>
            </w:pPr>
            <w:r>
              <w:rPr>
                <w:rFonts w:hint="eastAsia"/>
              </w:rPr>
              <w:t>1,868,420,970.41</w:t>
            </w:r>
          </w:p>
        </w:tc>
      </w:tr>
      <w:tr w14:paraId="2DEA0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364968">
            <w:r>
              <w:rPr>
                <w:rFonts w:hint="eastAsia"/>
              </w:rPr>
              <w:t>衍生金融资产</w:t>
            </w:r>
          </w:p>
        </w:tc>
        <w:tc>
          <w:tcPr>
            <w:tcW w:w="1384" w:type="dxa"/>
            <w:vAlign w:val="center"/>
          </w:tcPr>
          <w:p w14:paraId="2C2F5D2D">
            <w:pPr>
              <w:jc w:val="right"/>
            </w:pPr>
            <w:r>
              <w:rPr>
                <w:rFonts w:hint="eastAsia"/>
              </w:rPr>
              <w:t>-</w:t>
            </w:r>
          </w:p>
        </w:tc>
        <w:tc>
          <w:tcPr>
            <w:tcW w:w="1384" w:type="dxa"/>
            <w:vAlign w:val="center"/>
          </w:tcPr>
          <w:p w14:paraId="7F4D8F6E">
            <w:pPr>
              <w:jc w:val="right"/>
            </w:pPr>
            <w:r>
              <w:rPr>
                <w:rFonts w:hint="eastAsia"/>
              </w:rPr>
              <w:t>-</w:t>
            </w:r>
          </w:p>
        </w:tc>
        <w:tc>
          <w:tcPr>
            <w:tcW w:w="1384" w:type="dxa"/>
            <w:vAlign w:val="center"/>
          </w:tcPr>
          <w:p w14:paraId="23BCE151">
            <w:pPr>
              <w:jc w:val="right"/>
            </w:pPr>
            <w:r>
              <w:rPr>
                <w:rFonts w:hint="eastAsia"/>
              </w:rPr>
              <w:t>-</w:t>
            </w:r>
          </w:p>
        </w:tc>
        <w:tc>
          <w:tcPr>
            <w:tcW w:w="1384" w:type="dxa"/>
            <w:vAlign w:val="center"/>
          </w:tcPr>
          <w:p w14:paraId="7E3D5240">
            <w:pPr>
              <w:jc w:val="right"/>
            </w:pPr>
            <w:r>
              <w:rPr>
                <w:rFonts w:hint="eastAsia"/>
              </w:rPr>
              <w:t>-</w:t>
            </w:r>
          </w:p>
        </w:tc>
        <w:tc>
          <w:tcPr>
            <w:tcW w:w="1384" w:type="dxa"/>
            <w:vAlign w:val="center"/>
          </w:tcPr>
          <w:p w14:paraId="645582AE">
            <w:pPr>
              <w:jc w:val="right"/>
            </w:pPr>
            <w:r>
              <w:rPr>
                <w:rFonts w:hint="eastAsia"/>
              </w:rPr>
              <w:t>-</w:t>
            </w:r>
          </w:p>
        </w:tc>
      </w:tr>
      <w:tr w14:paraId="1A67E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0CE327">
            <w:r>
              <w:rPr>
                <w:rFonts w:hint="eastAsia"/>
              </w:rPr>
              <w:t>买入返售金融资产</w:t>
            </w:r>
          </w:p>
        </w:tc>
        <w:tc>
          <w:tcPr>
            <w:tcW w:w="1384" w:type="dxa"/>
            <w:vAlign w:val="center"/>
          </w:tcPr>
          <w:p w14:paraId="0CF756CD">
            <w:pPr>
              <w:jc w:val="right"/>
            </w:pPr>
            <w:r>
              <w:rPr>
                <w:rFonts w:hint="eastAsia"/>
              </w:rPr>
              <w:t>-</w:t>
            </w:r>
          </w:p>
        </w:tc>
        <w:tc>
          <w:tcPr>
            <w:tcW w:w="1384" w:type="dxa"/>
            <w:vAlign w:val="center"/>
          </w:tcPr>
          <w:p w14:paraId="1EC0AA1D">
            <w:pPr>
              <w:jc w:val="right"/>
            </w:pPr>
            <w:r>
              <w:rPr>
                <w:rFonts w:hint="eastAsia"/>
              </w:rPr>
              <w:t>-</w:t>
            </w:r>
          </w:p>
        </w:tc>
        <w:tc>
          <w:tcPr>
            <w:tcW w:w="1384" w:type="dxa"/>
            <w:vAlign w:val="center"/>
          </w:tcPr>
          <w:p w14:paraId="1ACFA1BC">
            <w:pPr>
              <w:jc w:val="right"/>
            </w:pPr>
            <w:r>
              <w:rPr>
                <w:rFonts w:hint="eastAsia"/>
              </w:rPr>
              <w:t>-</w:t>
            </w:r>
          </w:p>
        </w:tc>
        <w:tc>
          <w:tcPr>
            <w:tcW w:w="1384" w:type="dxa"/>
            <w:vAlign w:val="center"/>
          </w:tcPr>
          <w:p w14:paraId="5808272A">
            <w:pPr>
              <w:jc w:val="right"/>
            </w:pPr>
            <w:r>
              <w:rPr>
                <w:rFonts w:hint="eastAsia"/>
              </w:rPr>
              <w:t>-</w:t>
            </w:r>
          </w:p>
        </w:tc>
        <w:tc>
          <w:tcPr>
            <w:tcW w:w="1384" w:type="dxa"/>
            <w:vAlign w:val="center"/>
          </w:tcPr>
          <w:p w14:paraId="49CD1E10">
            <w:pPr>
              <w:jc w:val="right"/>
            </w:pPr>
            <w:r>
              <w:rPr>
                <w:rFonts w:hint="eastAsia"/>
              </w:rPr>
              <w:t>-</w:t>
            </w:r>
          </w:p>
        </w:tc>
      </w:tr>
      <w:tr w14:paraId="69A3A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569BC6">
            <w:r>
              <w:rPr>
                <w:rFonts w:hint="eastAsia"/>
              </w:rPr>
              <w:t>债权投资</w:t>
            </w:r>
          </w:p>
        </w:tc>
        <w:tc>
          <w:tcPr>
            <w:tcW w:w="1384" w:type="dxa"/>
            <w:vAlign w:val="center"/>
          </w:tcPr>
          <w:p w14:paraId="1FA387D4">
            <w:pPr>
              <w:jc w:val="right"/>
            </w:pPr>
            <w:r>
              <w:rPr>
                <w:rFonts w:hint="eastAsia"/>
              </w:rPr>
              <w:t>-</w:t>
            </w:r>
          </w:p>
        </w:tc>
        <w:tc>
          <w:tcPr>
            <w:tcW w:w="1384" w:type="dxa"/>
            <w:vAlign w:val="center"/>
          </w:tcPr>
          <w:p w14:paraId="16470AC3">
            <w:pPr>
              <w:jc w:val="right"/>
            </w:pPr>
            <w:r>
              <w:rPr>
                <w:rFonts w:hint="eastAsia"/>
              </w:rPr>
              <w:t>-</w:t>
            </w:r>
          </w:p>
        </w:tc>
        <w:tc>
          <w:tcPr>
            <w:tcW w:w="1384" w:type="dxa"/>
            <w:vAlign w:val="center"/>
          </w:tcPr>
          <w:p w14:paraId="724D5457">
            <w:pPr>
              <w:jc w:val="right"/>
            </w:pPr>
            <w:r>
              <w:rPr>
                <w:rFonts w:hint="eastAsia"/>
              </w:rPr>
              <w:t>-</w:t>
            </w:r>
          </w:p>
        </w:tc>
        <w:tc>
          <w:tcPr>
            <w:tcW w:w="1384" w:type="dxa"/>
            <w:vAlign w:val="center"/>
          </w:tcPr>
          <w:p w14:paraId="524C5197">
            <w:pPr>
              <w:jc w:val="right"/>
            </w:pPr>
            <w:r>
              <w:rPr>
                <w:rFonts w:hint="eastAsia"/>
              </w:rPr>
              <w:t>-</w:t>
            </w:r>
          </w:p>
        </w:tc>
        <w:tc>
          <w:tcPr>
            <w:tcW w:w="1384" w:type="dxa"/>
            <w:vAlign w:val="center"/>
          </w:tcPr>
          <w:p w14:paraId="0A836313">
            <w:pPr>
              <w:jc w:val="right"/>
            </w:pPr>
            <w:r>
              <w:rPr>
                <w:rFonts w:hint="eastAsia"/>
              </w:rPr>
              <w:t>-</w:t>
            </w:r>
          </w:p>
        </w:tc>
      </w:tr>
      <w:tr w14:paraId="39852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CBB8A3">
            <w:r>
              <w:rPr>
                <w:rFonts w:hint="eastAsia"/>
              </w:rPr>
              <w:t>其他债权投资</w:t>
            </w:r>
          </w:p>
        </w:tc>
        <w:tc>
          <w:tcPr>
            <w:tcW w:w="1384" w:type="dxa"/>
            <w:vAlign w:val="center"/>
          </w:tcPr>
          <w:p w14:paraId="33BC44C1">
            <w:pPr>
              <w:jc w:val="right"/>
            </w:pPr>
            <w:r>
              <w:rPr>
                <w:rFonts w:hint="eastAsia"/>
              </w:rPr>
              <w:t>-</w:t>
            </w:r>
          </w:p>
        </w:tc>
        <w:tc>
          <w:tcPr>
            <w:tcW w:w="1384" w:type="dxa"/>
            <w:vAlign w:val="center"/>
          </w:tcPr>
          <w:p w14:paraId="44908F34">
            <w:pPr>
              <w:jc w:val="right"/>
            </w:pPr>
            <w:r>
              <w:rPr>
                <w:rFonts w:hint="eastAsia"/>
              </w:rPr>
              <w:t>-</w:t>
            </w:r>
          </w:p>
        </w:tc>
        <w:tc>
          <w:tcPr>
            <w:tcW w:w="1384" w:type="dxa"/>
            <w:vAlign w:val="center"/>
          </w:tcPr>
          <w:p w14:paraId="74037208">
            <w:pPr>
              <w:jc w:val="right"/>
            </w:pPr>
            <w:r>
              <w:rPr>
                <w:rFonts w:hint="eastAsia"/>
              </w:rPr>
              <w:t>-</w:t>
            </w:r>
          </w:p>
        </w:tc>
        <w:tc>
          <w:tcPr>
            <w:tcW w:w="1384" w:type="dxa"/>
            <w:vAlign w:val="center"/>
          </w:tcPr>
          <w:p w14:paraId="5F866CDE">
            <w:pPr>
              <w:jc w:val="right"/>
            </w:pPr>
            <w:r>
              <w:rPr>
                <w:rFonts w:hint="eastAsia"/>
              </w:rPr>
              <w:t>-</w:t>
            </w:r>
          </w:p>
        </w:tc>
        <w:tc>
          <w:tcPr>
            <w:tcW w:w="1384" w:type="dxa"/>
            <w:vAlign w:val="center"/>
          </w:tcPr>
          <w:p w14:paraId="15C9D129">
            <w:pPr>
              <w:jc w:val="right"/>
            </w:pPr>
            <w:r>
              <w:rPr>
                <w:rFonts w:hint="eastAsia"/>
              </w:rPr>
              <w:t>-</w:t>
            </w:r>
          </w:p>
        </w:tc>
      </w:tr>
      <w:tr w14:paraId="313E1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082C01">
            <w:r>
              <w:rPr>
                <w:rFonts w:hint="eastAsia"/>
              </w:rPr>
              <w:t>其他权益工具投资</w:t>
            </w:r>
          </w:p>
        </w:tc>
        <w:tc>
          <w:tcPr>
            <w:tcW w:w="1384" w:type="dxa"/>
            <w:vAlign w:val="center"/>
          </w:tcPr>
          <w:p w14:paraId="66861F83">
            <w:pPr>
              <w:jc w:val="right"/>
            </w:pPr>
            <w:r>
              <w:rPr>
                <w:rFonts w:hint="eastAsia"/>
              </w:rPr>
              <w:t>-</w:t>
            </w:r>
          </w:p>
        </w:tc>
        <w:tc>
          <w:tcPr>
            <w:tcW w:w="1384" w:type="dxa"/>
            <w:vAlign w:val="center"/>
          </w:tcPr>
          <w:p w14:paraId="6A3B7C7C">
            <w:pPr>
              <w:jc w:val="right"/>
            </w:pPr>
            <w:r>
              <w:rPr>
                <w:rFonts w:hint="eastAsia"/>
              </w:rPr>
              <w:t>-</w:t>
            </w:r>
          </w:p>
        </w:tc>
        <w:tc>
          <w:tcPr>
            <w:tcW w:w="1384" w:type="dxa"/>
            <w:vAlign w:val="center"/>
          </w:tcPr>
          <w:p w14:paraId="4D78EB87">
            <w:pPr>
              <w:jc w:val="right"/>
            </w:pPr>
            <w:r>
              <w:rPr>
                <w:rFonts w:hint="eastAsia"/>
              </w:rPr>
              <w:t>-</w:t>
            </w:r>
          </w:p>
        </w:tc>
        <w:tc>
          <w:tcPr>
            <w:tcW w:w="1384" w:type="dxa"/>
            <w:vAlign w:val="center"/>
          </w:tcPr>
          <w:p w14:paraId="49585928">
            <w:pPr>
              <w:jc w:val="right"/>
            </w:pPr>
            <w:r>
              <w:rPr>
                <w:rFonts w:hint="eastAsia"/>
              </w:rPr>
              <w:t>-</w:t>
            </w:r>
          </w:p>
        </w:tc>
        <w:tc>
          <w:tcPr>
            <w:tcW w:w="1384" w:type="dxa"/>
            <w:vAlign w:val="center"/>
          </w:tcPr>
          <w:p w14:paraId="0F8DEA7C">
            <w:pPr>
              <w:jc w:val="right"/>
            </w:pPr>
            <w:r>
              <w:rPr>
                <w:rFonts w:hint="eastAsia"/>
              </w:rPr>
              <w:t>-</w:t>
            </w:r>
          </w:p>
        </w:tc>
      </w:tr>
      <w:tr w14:paraId="69410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04A02B">
            <w:r>
              <w:rPr>
                <w:rFonts w:hint="eastAsia"/>
              </w:rPr>
              <w:t>应收清算款</w:t>
            </w:r>
          </w:p>
        </w:tc>
        <w:tc>
          <w:tcPr>
            <w:tcW w:w="1384" w:type="dxa"/>
            <w:vAlign w:val="center"/>
          </w:tcPr>
          <w:p w14:paraId="675A7DD7">
            <w:pPr>
              <w:jc w:val="right"/>
            </w:pPr>
            <w:r>
              <w:rPr>
                <w:rFonts w:hint="eastAsia"/>
              </w:rPr>
              <w:t>-</w:t>
            </w:r>
          </w:p>
        </w:tc>
        <w:tc>
          <w:tcPr>
            <w:tcW w:w="1384" w:type="dxa"/>
            <w:vAlign w:val="center"/>
          </w:tcPr>
          <w:p w14:paraId="580E916E">
            <w:pPr>
              <w:jc w:val="right"/>
            </w:pPr>
            <w:r>
              <w:rPr>
                <w:rFonts w:hint="eastAsia"/>
              </w:rPr>
              <w:t>-</w:t>
            </w:r>
          </w:p>
        </w:tc>
        <w:tc>
          <w:tcPr>
            <w:tcW w:w="1384" w:type="dxa"/>
            <w:vAlign w:val="center"/>
          </w:tcPr>
          <w:p w14:paraId="09815752">
            <w:pPr>
              <w:jc w:val="right"/>
            </w:pPr>
            <w:r>
              <w:rPr>
                <w:rFonts w:hint="eastAsia"/>
              </w:rPr>
              <w:t>-</w:t>
            </w:r>
          </w:p>
        </w:tc>
        <w:tc>
          <w:tcPr>
            <w:tcW w:w="1384" w:type="dxa"/>
            <w:vAlign w:val="center"/>
          </w:tcPr>
          <w:p w14:paraId="58DCC8A5">
            <w:pPr>
              <w:jc w:val="right"/>
            </w:pPr>
            <w:r>
              <w:rPr>
                <w:rFonts w:hint="eastAsia"/>
              </w:rPr>
              <w:t>1,734.30</w:t>
            </w:r>
          </w:p>
        </w:tc>
        <w:tc>
          <w:tcPr>
            <w:tcW w:w="1384" w:type="dxa"/>
            <w:vAlign w:val="center"/>
          </w:tcPr>
          <w:p w14:paraId="68FC968C">
            <w:pPr>
              <w:jc w:val="right"/>
            </w:pPr>
            <w:r>
              <w:rPr>
                <w:rFonts w:hint="eastAsia"/>
              </w:rPr>
              <w:t>1,734.30</w:t>
            </w:r>
          </w:p>
        </w:tc>
      </w:tr>
      <w:tr w14:paraId="4AA1C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4511E1">
            <w:r>
              <w:rPr>
                <w:rFonts w:hint="eastAsia"/>
              </w:rPr>
              <w:t>应收股利</w:t>
            </w:r>
          </w:p>
        </w:tc>
        <w:tc>
          <w:tcPr>
            <w:tcW w:w="1384" w:type="dxa"/>
            <w:vAlign w:val="center"/>
          </w:tcPr>
          <w:p w14:paraId="32DB604F">
            <w:pPr>
              <w:jc w:val="right"/>
            </w:pPr>
            <w:r>
              <w:rPr>
                <w:rFonts w:hint="eastAsia"/>
              </w:rPr>
              <w:t>-</w:t>
            </w:r>
          </w:p>
        </w:tc>
        <w:tc>
          <w:tcPr>
            <w:tcW w:w="1384" w:type="dxa"/>
            <w:vAlign w:val="center"/>
          </w:tcPr>
          <w:p w14:paraId="23CF3E93">
            <w:pPr>
              <w:jc w:val="right"/>
            </w:pPr>
            <w:r>
              <w:rPr>
                <w:rFonts w:hint="eastAsia"/>
              </w:rPr>
              <w:t>-</w:t>
            </w:r>
          </w:p>
        </w:tc>
        <w:tc>
          <w:tcPr>
            <w:tcW w:w="1384" w:type="dxa"/>
            <w:vAlign w:val="center"/>
          </w:tcPr>
          <w:p w14:paraId="7BFAD3FE">
            <w:pPr>
              <w:jc w:val="right"/>
            </w:pPr>
            <w:r>
              <w:rPr>
                <w:rFonts w:hint="eastAsia"/>
              </w:rPr>
              <w:t>-</w:t>
            </w:r>
          </w:p>
        </w:tc>
        <w:tc>
          <w:tcPr>
            <w:tcW w:w="1384" w:type="dxa"/>
            <w:vAlign w:val="center"/>
          </w:tcPr>
          <w:p w14:paraId="45A7193C">
            <w:pPr>
              <w:jc w:val="right"/>
            </w:pPr>
            <w:r>
              <w:rPr>
                <w:rFonts w:hint="eastAsia"/>
              </w:rPr>
              <w:t>-</w:t>
            </w:r>
          </w:p>
        </w:tc>
        <w:tc>
          <w:tcPr>
            <w:tcW w:w="1384" w:type="dxa"/>
            <w:vAlign w:val="center"/>
          </w:tcPr>
          <w:p w14:paraId="6474E1D5">
            <w:pPr>
              <w:jc w:val="right"/>
            </w:pPr>
            <w:r>
              <w:rPr>
                <w:rFonts w:hint="eastAsia"/>
              </w:rPr>
              <w:t>-</w:t>
            </w:r>
          </w:p>
        </w:tc>
      </w:tr>
      <w:tr w14:paraId="411F7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64B958">
            <w:r>
              <w:rPr>
                <w:rFonts w:hint="eastAsia"/>
              </w:rPr>
              <w:t>应收申购款</w:t>
            </w:r>
          </w:p>
        </w:tc>
        <w:tc>
          <w:tcPr>
            <w:tcW w:w="1384" w:type="dxa"/>
            <w:vAlign w:val="center"/>
          </w:tcPr>
          <w:p w14:paraId="4B0DBA89">
            <w:pPr>
              <w:jc w:val="right"/>
            </w:pPr>
            <w:r>
              <w:rPr>
                <w:rFonts w:hint="eastAsia"/>
              </w:rPr>
              <w:t>-</w:t>
            </w:r>
          </w:p>
        </w:tc>
        <w:tc>
          <w:tcPr>
            <w:tcW w:w="1384" w:type="dxa"/>
            <w:vAlign w:val="center"/>
          </w:tcPr>
          <w:p w14:paraId="001BC9B8">
            <w:pPr>
              <w:jc w:val="right"/>
            </w:pPr>
            <w:r>
              <w:rPr>
                <w:rFonts w:hint="eastAsia"/>
              </w:rPr>
              <w:t>-</w:t>
            </w:r>
          </w:p>
        </w:tc>
        <w:tc>
          <w:tcPr>
            <w:tcW w:w="1384" w:type="dxa"/>
            <w:vAlign w:val="center"/>
          </w:tcPr>
          <w:p w14:paraId="3DCBEBBA">
            <w:pPr>
              <w:jc w:val="right"/>
            </w:pPr>
            <w:r>
              <w:rPr>
                <w:rFonts w:hint="eastAsia"/>
              </w:rPr>
              <w:t>-</w:t>
            </w:r>
          </w:p>
        </w:tc>
        <w:tc>
          <w:tcPr>
            <w:tcW w:w="1384" w:type="dxa"/>
            <w:vAlign w:val="center"/>
          </w:tcPr>
          <w:p w14:paraId="44C9D9A6">
            <w:pPr>
              <w:jc w:val="right"/>
            </w:pPr>
            <w:r>
              <w:rPr>
                <w:rFonts w:hint="eastAsia"/>
              </w:rPr>
              <w:t>-</w:t>
            </w:r>
          </w:p>
        </w:tc>
        <w:tc>
          <w:tcPr>
            <w:tcW w:w="1384" w:type="dxa"/>
            <w:vAlign w:val="center"/>
          </w:tcPr>
          <w:p w14:paraId="5BE5820B">
            <w:pPr>
              <w:jc w:val="right"/>
            </w:pPr>
            <w:r>
              <w:rPr>
                <w:rFonts w:hint="eastAsia"/>
              </w:rPr>
              <w:t>-</w:t>
            </w:r>
          </w:p>
        </w:tc>
      </w:tr>
      <w:tr w14:paraId="7FA8D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61B488">
            <w:r>
              <w:rPr>
                <w:rFonts w:hint="eastAsia"/>
              </w:rPr>
              <w:t>递延所得税资产</w:t>
            </w:r>
          </w:p>
        </w:tc>
        <w:tc>
          <w:tcPr>
            <w:tcW w:w="1384" w:type="dxa"/>
            <w:vAlign w:val="center"/>
          </w:tcPr>
          <w:p w14:paraId="6FC43441">
            <w:pPr>
              <w:jc w:val="right"/>
            </w:pPr>
            <w:r>
              <w:rPr>
                <w:rFonts w:hint="eastAsia"/>
              </w:rPr>
              <w:t>-</w:t>
            </w:r>
          </w:p>
        </w:tc>
        <w:tc>
          <w:tcPr>
            <w:tcW w:w="1384" w:type="dxa"/>
            <w:vAlign w:val="center"/>
          </w:tcPr>
          <w:p w14:paraId="31B58553">
            <w:pPr>
              <w:jc w:val="right"/>
            </w:pPr>
            <w:r>
              <w:rPr>
                <w:rFonts w:hint="eastAsia"/>
              </w:rPr>
              <w:t>-</w:t>
            </w:r>
          </w:p>
        </w:tc>
        <w:tc>
          <w:tcPr>
            <w:tcW w:w="1384" w:type="dxa"/>
            <w:vAlign w:val="center"/>
          </w:tcPr>
          <w:p w14:paraId="4183944C">
            <w:pPr>
              <w:jc w:val="right"/>
            </w:pPr>
            <w:r>
              <w:rPr>
                <w:rFonts w:hint="eastAsia"/>
              </w:rPr>
              <w:t>-</w:t>
            </w:r>
          </w:p>
        </w:tc>
        <w:tc>
          <w:tcPr>
            <w:tcW w:w="1384" w:type="dxa"/>
            <w:vAlign w:val="center"/>
          </w:tcPr>
          <w:p w14:paraId="0BFB8303">
            <w:pPr>
              <w:jc w:val="right"/>
            </w:pPr>
            <w:r>
              <w:rPr>
                <w:rFonts w:hint="eastAsia"/>
              </w:rPr>
              <w:t>-</w:t>
            </w:r>
          </w:p>
        </w:tc>
        <w:tc>
          <w:tcPr>
            <w:tcW w:w="1384" w:type="dxa"/>
            <w:vAlign w:val="center"/>
          </w:tcPr>
          <w:p w14:paraId="1F4B848F">
            <w:pPr>
              <w:jc w:val="right"/>
            </w:pPr>
            <w:r>
              <w:rPr>
                <w:rFonts w:hint="eastAsia"/>
              </w:rPr>
              <w:t>-</w:t>
            </w:r>
          </w:p>
        </w:tc>
      </w:tr>
      <w:tr w14:paraId="2FA27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0F90B9">
            <w:r>
              <w:rPr>
                <w:rFonts w:hint="eastAsia"/>
              </w:rPr>
              <w:t>其他资产</w:t>
            </w:r>
          </w:p>
        </w:tc>
        <w:tc>
          <w:tcPr>
            <w:tcW w:w="1384" w:type="dxa"/>
            <w:vAlign w:val="center"/>
          </w:tcPr>
          <w:p w14:paraId="76D9030D">
            <w:pPr>
              <w:jc w:val="right"/>
            </w:pPr>
            <w:r>
              <w:rPr>
                <w:rFonts w:hint="eastAsia"/>
              </w:rPr>
              <w:t>-</w:t>
            </w:r>
          </w:p>
        </w:tc>
        <w:tc>
          <w:tcPr>
            <w:tcW w:w="1384" w:type="dxa"/>
            <w:vAlign w:val="center"/>
          </w:tcPr>
          <w:p w14:paraId="35FAA77C">
            <w:pPr>
              <w:jc w:val="right"/>
            </w:pPr>
            <w:r>
              <w:rPr>
                <w:rFonts w:hint="eastAsia"/>
              </w:rPr>
              <w:t>-</w:t>
            </w:r>
          </w:p>
        </w:tc>
        <w:tc>
          <w:tcPr>
            <w:tcW w:w="1384" w:type="dxa"/>
            <w:vAlign w:val="center"/>
          </w:tcPr>
          <w:p w14:paraId="0FE29040">
            <w:pPr>
              <w:jc w:val="right"/>
            </w:pPr>
            <w:r>
              <w:rPr>
                <w:rFonts w:hint="eastAsia"/>
              </w:rPr>
              <w:t>-</w:t>
            </w:r>
          </w:p>
        </w:tc>
        <w:tc>
          <w:tcPr>
            <w:tcW w:w="1384" w:type="dxa"/>
            <w:vAlign w:val="center"/>
          </w:tcPr>
          <w:p w14:paraId="79FB00A7">
            <w:pPr>
              <w:jc w:val="right"/>
            </w:pPr>
            <w:r>
              <w:rPr>
                <w:rFonts w:hint="eastAsia"/>
              </w:rPr>
              <w:t>-</w:t>
            </w:r>
          </w:p>
        </w:tc>
        <w:tc>
          <w:tcPr>
            <w:tcW w:w="1384" w:type="dxa"/>
            <w:vAlign w:val="center"/>
          </w:tcPr>
          <w:p w14:paraId="18387D6D">
            <w:pPr>
              <w:jc w:val="right"/>
            </w:pPr>
            <w:r>
              <w:rPr>
                <w:rFonts w:hint="eastAsia"/>
              </w:rPr>
              <w:t>-</w:t>
            </w:r>
          </w:p>
        </w:tc>
      </w:tr>
      <w:tr w14:paraId="3ADCE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9A63CE">
            <w:r>
              <w:rPr>
                <w:rFonts w:hint="eastAsia"/>
              </w:rPr>
              <w:t>资产总计</w:t>
            </w:r>
          </w:p>
        </w:tc>
        <w:tc>
          <w:tcPr>
            <w:tcW w:w="1384" w:type="dxa"/>
            <w:vAlign w:val="center"/>
          </w:tcPr>
          <w:p w14:paraId="0AFEF0EE">
            <w:pPr>
              <w:jc w:val="right"/>
            </w:pPr>
            <w:r>
              <w:rPr>
                <w:rFonts w:hint="eastAsia"/>
              </w:rPr>
              <w:t>227,602,365.24</w:t>
            </w:r>
          </w:p>
        </w:tc>
        <w:tc>
          <w:tcPr>
            <w:tcW w:w="1384" w:type="dxa"/>
            <w:vAlign w:val="center"/>
          </w:tcPr>
          <w:p w14:paraId="7FBCE035">
            <w:pPr>
              <w:jc w:val="right"/>
            </w:pPr>
            <w:r>
              <w:rPr>
                <w:rFonts w:hint="eastAsia"/>
              </w:rPr>
              <w:t>-</w:t>
            </w:r>
          </w:p>
        </w:tc>
        <w:tc>
          <w:tcPr>
            <w:tcW w:w="1384" w:type="dxa"/>
            <w:vAlign w:val="center"/>
          </w:tcPr>
          <w:p w14:paraId="2B65BC0C">
            <w:pPr>
              <w:jc w:val="right"/>
            </w:pPr>
            <w:r>
              <w:rPr>
                <w:rFonts w:hint="eastAsia"/>
              </w:rPr>
              <w:t>-</w:t>
            </w:r>
          </w:p>
        </w:tc>
        <w:tc>
          <w:tcPr>
            <w:tcW w:w="1384" w:type="dxa"/>
            <w:vAlign w:val="center"/>
          </w:tcPr>
          <w:p w14:paraId="726CDE9A">
            <w:pPr>
              <w:jc w:val="right"/>
            </w:pPr>
            <w:r>
              <w:rPr>
                <w:rFonts w:hint="eastAsia"/>
              </w:rPr>
              <w:t>1,878,889,654.60</w:t>
            </w:r>
          </w:p>
        </w:tc>
        <w:tc>
          <w:tcPr>
            <w:tcW w:w="1384" w:type="dxa"/>
            <w:vAlign w:val="center"/>
          </w:tcPr>
          <w:p w14:paraId="3EB3F5BA">
            <w:pPr>
              <w:jc w:val="right"/>
            </w:pPr>
            <w:r>
              <w:rPr>
                <w:rFonts w:hint="eastAsia"/>
              </w:rPr>
              <w:t>2,106,492,019.84</w:t>
            </w:r>
          </w:p>
        </w:tc>
      </w:tr>
      <w:tr w14:paraId="37F31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1B7125">
            <w:r>
              <w:rPr>
                <w:rFonts w:hint="eastAsia"/>
              </w:rPr>
              <w:t>负债</w:t>
            </w:r>
          </w:p>
        </w:tc>
        <w:tc>
          <w:tcPr>
            <w:tcW w:w="1384" w:type="dxa"/>
            <w:vAlign w:val="center"/>
          </w:tcPr>
          <w:p w14:paraId="74D906B3"/>
        </w:tc>
        <w:tc>
          <w:tcPr>
            <w:tcW w:w="1384" w:type="dxa"/>
            <w:vAlign w:val="center"/>
          </w:tcPr>
          <w:p w14:paraId="16C81D33"/>
        </w:tc>
        <w:tc>
          <w:tcPr>
            <w:tcW w:w="1384" w:type="dxa"/>
            <w:vAlign w:val="center"/>
          </w:tcPr>
          <w:p w14:paraId="030631B1"/>
        </w:tc>
        <w:tc>
          <w:tcPr>
            <w:tcW w:w="1384" w:type="dxa"/>
            <w:vAlign w:val="center"/>
          </w:tcPr>
          <w:p w14:paraId="1AA09049"/>
        </w:tc>
        <w:tc>
          <w:tcPr>
            <w:tcW w:w="1384" w:type="dxa"/>
            <w:vAlign w:val="center"/>
          </w:tcPr>
          <w:p w14:paraId="16621772"/>
        </w:tc>
      </w:tr>
      <w:tr w14:paraId="1CF48AE4">
        <w:tblPrEx>
          <w:tblCellMar>
            <w:top w:w="0" w:type="dxa"/>
            <w:left w:w="108" w:type="dxa"/>
            <w:bottom w:w="0" w:type="dxa"/>
            <w:right w:w="108" w:type="dxa"/>
          </w:tblCellMar>
        </w:tblPrEx>
        <w:trPr>
          <w:jc w:val="center"/>
        </w:trPr>
        <w:tc>
          <w:tcPr>
            <w:tcW w:w="1384" w:type="dxa"/>
            <w:vAlign w:val="center"/>
          </w:tcPr>
          <w:p w14:paraId="749211F2">
            <w:r>
              <w:rPr>
                <w:rFonts w:hint="eastAsia"/>
              </w:rPr>
              <w:t>短期借款</w:t>
            </w:r>
          </w:p>
        </w:tc>
        <w:tc>
          <w:tcPr>
            <w:tcW w:w="1384" w:type="dxa"/>
            <w:vAlign w:val="center"/>
          </w:tcPr>
          <w:p w14:paraId="0396C1CD">
            <w:pPr>
              <w:jc w:val="right"/>
            </w:pPr>
            <w:r>
              <w:rPr>
                <w:rFonts w:hint="eastAsia"/>
              </w:rPr>
              <w:t>-</w:t>
            </w:r>
          </w:p>
        </w:tc>
        <w:tc>
          <w:tcPr>
            <w:tcW w:w="1384" w:type="dxa"/>
            <w:vAlign w:val="center"/>
          </w:tcPr>
          <w:p w14:paraId="5DD2ACCA">
            <w:pPr>
              <w:jc w:val="right"/>
            </w:pPr>
            <w:r>
              <w:rPr>
                <w:rFonts w:hint="eastAsia"/>
              </w:rPr>
              <w:t>-</w:t>
            </w:r>
          </w:p>
        </w:tc>
        <w:tc>
          <w:tcPr>
            <w:tcW w:w="1384" w:type="dxa"/>
            <w:vAlign w:val="center"/>
          </w:tcPr>
          <w:p w14:paraId="79FE6B8A">
            <w:pPr>
              <w:jc w:val="right"/>
            </w:pPr>
            <w:r>
              <w:rPr>
                <w:rFonts w:hint="eastAsia"/>
              </w:rPr>
              <w:t>-</w:t>
            </w:r>
          </w:p>
        </w:tc>
        <w:tc>
          <w:tcPr>
            <w:tcW w:w="1384" w:type="dxa"/>
            <w:vAlign w:val="center"/>
          </w:tcPr>
          <w:p w14:paraId="27A3D6CD">
            <w:pPr>
              <w:jc w:val="right"/>
            </w:pPr>
            <w:r>
              <w:rPr>
                <w:rFonts w:hint="eastAsia"/>
              </w:rPr>
              <w:t>-</w:t>
            </w:r>
          </w:p>
        </w:tc>
        <w:tc>
          <w:tcPr>
            <w:tcW w:w="1384" w:type="dxa"/>
            <w:vAlign w:val="center"/>
          </w:tcPr>
          <w:p w14:paraId="480CBE6A">
            <w:pPr>
              <w:jc w:val="right"/>
            </w:pPr>
            <w:r>
              <w:rPr>
                <w:rFonts w:hint="eastAsia"/>
              </w:rPr>
              <w:t>-</w:t>
            </w:r>
          </w:p>
        </w:tc>
      </w:tr>
      <w:tr w14:paraId="5B040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D8AAFB">
            <w:r>
              <w:rPr>
                <w:rFonts w:hint="eastAsia"/>
              </w:rPr>
              <w:t>交易性金融负债</w:t>
            </w:r>
          </w:p>
        </w:tc>
        <w:tc>
          <w:tcPr>
            <w:tcW w:w="1384" w:type="dxa"/>
            <w:vAlign w:val="center"/>
          </w:tcPr>
          <w:p w14:paraId="5C498964">
            <w:pPr>
              <w:jc w:val="right"/>
            </w:pPr>
            <w:r>
              <w:rPr>
                <w:rFonts w:hint="eastAsia"/>
              </w:rPr>
              <w:t>-</w:t>
            </w:r>
          </w:p>
        </w:tc>
        <w:tc>
          <w:tcPr>
            <w:tcW w:w="1384" w:type="dxa"/>
            <w:vAlign w:val="center"/>
          </w:tcPr>
          <w:p w14:paraId="67259DB4">
            <w:pPr>
              <w:jc w:val="right"/>
            </w:pPr>
            <w:r>
              <w:rPr>
                <w:rFonts w:hint="eastAsia"/>
              </w:rPr>
              <w:t>-</w:t>
            </w:r>
          </w:p>
        </w:tc>
        <w:tc>
          <w:tcPr>
            <w:tcW w:w="1384" w:type="dxa"/>
            <w:vAlign w:val="center"/>
          </w:tcPr>
          <w:p w14:paraId="46218C0E">
            <w:pPr>
              <w:jc w:val="right"/>
            </w:pPr>
            <w:r>
              <w:rPr>
                <w:rFonts w:hint="eastAsia"/>
              </w:rPr>
              <w:t>-</w:t>
            </w:r>
          </w:p>
        </w:tc>
        <w:tc>
          <w:tcPr>
            <w:tcW w:w="1384" w:type="dxa"/>
            <w:vAlign w:val="center"/>
          </w:tcPr>
          <w:p w14:paraId="51841AAB">
            <w:pPr>
              <w:jc w:val="right"/>
            </w:pPr>
            <w:r>
              <w:rPr>
                <w:rFonts w:hint="eastAsia"/>
              </w:rPr>
              <w:t>-</w:t>
            </w:r>
          </w:p>
        </w:tc>
        <w:tc>
          <w:tcPr>
            <w:tcW w:w="1384" w:type="dxa"/>
            <w:vAlign w:val="center"/>
          </w:tcPr>
          <w:p w14:paraId="58952854">
            <w:pPr>
              <w:jc w:val="right"/>
            </w:pPr>
            <w:r>
              <w:rPr>
                <w:rFonts w:hint="eastAsia"/>
              </w:rPr>
              <w:t>-</w:t>
            </w:r>
          </w:p>
        </w:tc>
      </w:tr>
      <w:tr w14:paraId="3BBCA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8E0520">
            <w:r>
              <w:rPr>
                <w:rFonts w:hint="eastAsia"/>
              </w:rPr>
              <w:t>衍生金融负债</w:t>
            </w:r>
          </w:p>
        </w:tc>
        <w:tc>
          <w:tcPr>
            <w:tcW w:w="1384" w:type="dxa"/>
            <w:vAlign w:val="center"/>
          </w:tcPr>
          <w:p w14:paraId="641F7152">
            <w:pPr>
              <w:jc w:val="right"/>
            </w:pPr>
            <w:r>
              <w:rPr>
                <w:rFonts w:hint="eastAsia"/>
              </w:rPr>
              <w:t>-</w:t>
            </w:r>
          </w:p>
        </w:tc>
        <w:tc>
          <w:tcPr>
            <w:tcW w:w="1384" w:type="dxa"/>
            <w:vAlign w:val="center"/>
          </w:tcPr>
          <w:p w14:paraId="2A6A3EB5">
            <w:pPr>
              <w:jc w:val="right"/>
            </w:pPr>
            <w:r>
              <w:rPr>
                <w:rFonts w:hint="eastAsia"/>
              </w:rPr>
              <w:t>-</w:t>
            </w:r>
          </w:p>
        </w:tc>
        <w:tc>
          <w:tcPr>
            <w:tcW w:w="1384" w:type="dxa"/>
            <w:vAlign w:val="center"/>
          </w:tcPr>
          <w:p w14:paraId="778C5AC4">
            <w:pPr>
              <w:jc w:val="right"/>
            </w:pPr>
            <w:r>
              <w:rPr>
                <w:rFonts w:hint="eastAsia"/>
              </w:rPr>
              <w:t>-</w:t>
            </w:r>
          </w:p>
        </w:tc>
        <w:tc>
          <w:tcPr>
            <w:tcW w:w="1384" w:type="dxa"/>
            <w:vAlign w:val="center"/>
          </w:tcPr>
          <w:p w14:paraId="4E3678F9">
            <w:pPr>
              <w:jc w:val="right"/>
            </w:pPr>
            <w:r>
              <w:rPr>
                <w:rFonts w:hint="eastAsia"/>
              </w:rPr>
              <w:t>-</w:t>
            </w:r>
          </w:p>
        </w:tc>
        <w:tc>
          <w:tcPr>
            <w:tcW w:w="1384" w:type="dxa"/>
            <w:vAlign w:val="center"/>
          </w:tcPr>
          <w:p w14:paraId="1DAB7896">
            <w:pPr>
              <w:jc w:val="right"/>
            </w:pPr>
            <w:r>
              <w:rPr>
                <w:rFonts w:hint="eastAsia"/>
              </w:rPr>
              <w:t>-</w:t>
            </w:r>
          </w:p>
        </w:tc>
      </w:tr>
      <w:tr w14:paraId="32B3B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32D866">
            <w:r>
              <w:rPr>
                <w:rFonts w:hint="eastAsia"/>
              </w:rPr>
              <w:t>卖出回购金融资产款</w:t>
            </w:r>
          </w:p>
        </w:tc>
        <w:tc>
          <w:tcPr>
            <w:tcW w:w="1384" w:type="dxa"/>
            <w:vAlign w:val="center"/>
          </w:tcPr>
          <w:p w14:paraId="3B4D6083">
            <w:pPr>
              <w:jc w:val="right"/>
            </w:pPr>
            <w:r>
              <w:rPr>
                <w:rFonts w:hint="eastAsia"/>
              </w:rPr>
              <w:t>-</w:t>
            </w:r>
          </w:p>
        </w:tc>
        <w:tc>
          <w:tcPr>
            <w:tcW w:w="1384" w:type="dxa"/>
            <w:vAlign w:val="center"/>
          </w:tcPr>
          <w:p w14:paraId="15463F75">
            <w:pPr>
              <w:jc w:val="right"/>
            </w:pPr>
            <w:r>
              <w:rPr>
                <w:rFonts w:hint="eastAsia"/>
              </w:rPr>
              <w:t>-</w:t>
            </w:r>
          </w:p>
        </w:tc>
        <w:tc>
          <w:tcPr>
            <w:tcW w:w="1384" w:type="dxa"/>
            <w:vAlign w:val="center"/>
          </w:tcPr>
          <w:p w14:paraId="2D947654">
            <w:pPr>
              <w:jc w:val="right"/>
            </w:pPr>
            <w:r>
              <w:rPr>
                <w:rFonts w:hint="eastAsia"/>
              </w:rPr>
              <w:t>-</w:t>
            </w:r>
          </w:p>
        </w:tc>
        <w:tc>
          <w:tcPr>
            <w:tcW w:w="1384" w:type="dxa"/>
            <w:vAlign w:val="center"/>
          </w:tcPr>
          <w:p w14:paraId="73D21830">
            <w:pPr>
              <w:jc w:val="right"/>
            </w:pPr>
            <w:r>
              <w:rPr>
                <w:rFonts w:hint="eastAsia"/>
              </w:rPr>
              <w:t>-</w:t>
            </w:r>
          </w:p>
        </w:tc>
        <w:tc>
          <w:tcPr>
            <w:tcW w:w="1384" w:type="dxa"/>
            <w:vAlign w:val="center"/>
          </w:tcPr>
          <w:p w14:paraId="7919EFD3">
            <w:pPr>
              <w:jc w:val="right"/>
            </w:pPr>
            <w:r>
              <w:rPr>
                <w:rFonts w:hint="eastAsia"/>
              </w:rPr>
              <w:t>-</w:t>
            </w:r>
          </w:p>
        </w:tc>
      </w:tr>
      <w:tr w14:paraId="455AD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4F2202">
            <w:r>
              <w:rPr>
                <w:rFonts w:hint="eastAsia"/>
              </w:rPr>
              <w:t>应付清算款</w:t>
            </w:r>
          </w:p>
        </w:tc>
        <w:tc>
          <w:tcPr>
            <w:tcW w:w="1384" w:type="dxa"/>
            <w:vAlign w:val="center"/>
          </w:tcPr>
          <w:p w14:paraId="00744135">
            <w:pPr>
              <w:jc w:val="right"/>
            </w:pPr>
            <w:r>
              <w:rPr>
                <w:rFonts w:hint="eastAsia"/>
              </w:rPr>
              <w:t>-</w:t>
            </w:r>
          </w:p>
        </w:tc>
        <w:tc>
          <w:tcPr>
            <w:tcW w:w="1384" w:type="dxa"/>
            <w:vAlign w:val="center"/>
          </w:tcPr>
          <w:p w14:paraId="6A8F2B81">
            <w:pPr>
              <w:jc w:val="right"/>
            </w:pPr>
            <w:r>
              <w:rPr>
                <w:rFonts w:hint="eastAsia"/>
              </w:rPr>
              <w:t>-</w:t>
            </w:r>
          </w:p>
        </w:tc>
        <w:tc>
          <w:tcPr>
            <w:tcW w:w="1384" w:type="dxa"/>
            <w:vAlign w:val="center"/>
          </w:tcPr>
          <w:p w14:paraId="17BD3D98">
            <w:pPr>
              <w:jc w:val="right"/>
            </w:pPr>
            <w:r>
              <w:rPr>
                <w:rFonts w:hint="eastAsia"/>
              </w:rPr>
              <w:t>-</w:t>
            </w:r>
          </w:p>
        </w:tc>
        <w:tc>
          <w:tcPr>
            <w:tcW w:w="1384" w:type="dxa"/>
            <w:vAlign w:val="center"/>
          </w:tcPr>
          <w:p w14:paraId="6BB00CFB">
            <w:pPr>
              <w:jc w:val="right"/>
            </w:pPr>
            <w:r>
              <w:rPr>
                <w:rFonts w:hint="eastAsia"/>
              </w:rPr>
              <w:t>147,107,041.94</w:t>
            </w:r>
          </w:p>
        </w:tc>
        <w:tc>
          <w:tcPr>
            <w:tcW w:w="1384" w:type="dxa"/>
            <w:vAlign w:val="center"/>
          </w:tcPr>
          <w:p w14:paraId="156594F2">
            <w:pPr>
              <w:jc w:val="right"/>
            </w:pPr>
            <w:r>
              <w:rPr>
                <w:rFonts w:hint="eastAsia"/>
              </w:rPr>
              <w:t>147,107,041.94</w:t>
            </w:r>
          </w:p>
        </w:tc>
      </w:tr>
      <w:tr w14:paraId="315A4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9FBE87">
            <w:r>
              <w:rPr>
                <w:rFonts w:hint="eastAsia"/>
              </w:rPr>
              <w:t>应付赎回款</w:t>
            </w:r>
          </w:p>
        </w:tc>
        <w:tc>
          <w:tcPr>
            <w:tcW w:w="1384" w:type="dxa"/>
            <w:vAlign w:val="center"/>
          </w:tcPr>
          <w:p w14:paraId="6916F67E">
            <w:pPr>
              <w:jc w:val="right"/>
            </w:pPr>
            <w:r>
              <w:rPr>
                <w:rFonts w:hint="eastAsia"/>
              </w:rPr>
              <w:t>-</w:t>
            </w:r>
          </w:p>
        </w:tc>
        <w:tc>
          <w:tcPr>
            <w:tcW w:w="1384" w:type="dxa"/>
            <w:vAlign w:val="center"/>
          </w:tcPr>
          <w:p w14:paraId="18BA8944">
            <w:pPr>
              <w:jc w:val="right"/>
            </w:pPr>
            <w:r>
              <w:rPr>
                <w:rFonts w:hint="eastAsia"/>
              </w:rPr>
              <w:t>-</w:t>
            </w:r>
          </w:p>
        </w:tc>
        <w:tc>
          <w:tcPr>
            <w:tcW w:w="1384" w:type="dxa"/>
            <w:vAlign w:val="center"/>
          </w:tcPr>
          <w:p w14:paraId="0D6D9C4F">
            <w:pPr>
              <w:jc w:val="right"/>
            </w:pPr>
            <w:r>
              <w:rPr>
                <w:rFonts w:hint="eastAsia"/>
              </w:rPr>
              <w:t>-</w:t>
            </w:r>
          </w:p>
        </w:tc>
        <w:tc>
          <w:tcPr>
            <w:tcW w:w="1384" w:type="dxa"/>
            <w:vAlign w:val="center"/>
          </w:tcPr>
          <w:p w14:paraId="2C6129D9">
            <w:pPr>
              <w:jc w:val="right"/>
            </w:pPr>
            <w:r>
              <w:rPr>
                <w:rFonts w:hint="eastAsia"/>
              </w:rPr>
              <w:t>-</w:t>
            </w:r>
          </w:p>
        </w:tc>
        <w:tc>
          <w:tcPr>
            <w:tcW w:w="1384" w:type="dxa"/>
            <w:vAlign w:val="center"/>
          </w:tcPr>
          <w:p w14:paraId="6B03E2B7">
            <w:pPr>
              <w:jc w:val="right"/>
            </w:pPr>
            <w:r>
              <w:rPr>
                <w:rFonts w:hint="eastAsia"/>
              </w:rPr>
              <w:t>-</w:t>
            </w:r>
          </w:p>
        </w:tc>
      </w:tr>
      <w:tr w14:paraId="47C4A8E0">
        <w:tblPrEx>
          <w:tblCellMar>
            <w:top w:w="0" w:type="dxa"/>
            <w:left w:w="108" w:type="dxa"/>
            <w:bottom w:w="0" w:type="dxa"/>
            <w:right w:w="108" w:type="dxa"/>
          </w:tblCellMar>
        </w:tblPrEx>
        <w:trPr>
          <w:jc w:val="center"/>
        </w:trPr>
        <w:tc>
          <w:tcPr>
            <w:tcW w:w="1384" w:type="dxa"/>
            <w:vAlign w:val="center"/>
          </w:tcPr>
          <w:p w14:paraId="37293D64">
            <w:r>
              <w:rPr>
                <w:rFonts w:hint="eastAsia"/>
              </w:rPr>
              <w:t>应付管理人报酬</w:t>
            </w:r>
          </w:p>
        </w:tc>
        <w:tc>
          <w:tcPr>
            <w:tcW w:w="1384" w:type="dxa"/>
            <w:vAlign w:val="center"/>
          </w:tcPr>
          <w:p w14:paraId="03BE0A08">
            <w:pPr>
              <w:jc w:val="right"/>
            </w:pPr>
            <w:r>
              <w:rPr>
                <w:rFonts w:hint="eastAsia"/>
              </w:rPr>
              <w:t>-</w:t>
            </w:r>
          </w:p>
        </w:tc>
        <w:tc>
          <w:tcPr>
            <w:tcW w:w="1384" w:type="dxa"/>
            <w:vAlign w:val="center"/>
          </w:tcPr>
          <w:p w14:paraId="35BDA02B">
            <w:pPr>
              <w:jc w:val="right"/>
            </w:pPr>
            <w:r>
              <w:rPr>
                <w:rFonts w:hint="eastAsia"/>
              </w:rPr>
              <w:t>-</w:t>
            </w:r>
          </w:p>
        </w:tc>
        <w:tc>
          <w:tcPr>
            <w:tcW w:w="1384" w:type="dxa"/>
            <w:vAlign w:val="center"/>
          </w:tcPr>
          <w:p w14:paraId="7D9AEFB2">
            <w:pPr>
              <w:jc w:val="right"/>
            </w:pPr>
            <w:r>
              <w:rPr>
                <w:rFonts w:hint="eastAsia"/>
              </w:rPr>
              <w:t>-</w:t>
            </w:r>
          </w:p>
        </w:tc>
        <w:tc>
          <w:tcPr>
            <w:tcW w:w="1384" w:type="dxa"/>
            <w:vAlign w:val="center"/>
          </w:tcPr>
          <w:p w14:paraId="38B017A4">
            <w:pPr>
              <w:jc w:val="right"/>
            </w:pPr>
            <w:r>
              <w:rPr>
                <w:rFonts w:hint="eastAsia"/>
              </w:rPr>
              <w:t>178,770.86</w:t>
            </w:r>
          </w:p>
        </w:tc>
        <w:tc>
          <w:tcPr>
            <w:tcW w:w="1384" w:type="dxa"/>
            <w:vAlign w:val="center"/>
          </w:tcPr>
          <w:p w14:paraId="69270AB6">
            <w:pPr>
              <w:jc w:val="right"/>
            </w:pPr>
            <w:r>
              <w:rPr>
                <w:rFonts w:hint="eastAsia"/>
              </w:rPr>
              <w:t>178,770.86</w:t>
            </w:r>
          </w:p>
        </w:tc>
      </w:tr>
      <w:tr w14:paraId="1229D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CD3118">
            <w:r>
              <w:rPr>
                <w:rFonts w:hint="eastAsia"/>
              </w:rPr>
              <w:t>应付托管费</w:t>
            </w:r>
          </w:p>
        </w:tc>
        <w:tc>
          <w:tcPr>
            <w:tcW w:w="1384" w:type="dxa"/>
            <w:vAlign w:val="center"/>
          </w:tcPr>
          <w:p w14:paraId="2E92A8F1">
            <w:pPr>
              <w:jc w:val="right"/>
            </w:pPr>
            <w:r>
              <w:rPr>
                <w:rFonts w:hint="eastAsia"/>
              </w:rPr>
              <w:t>-</w:t>
            </w:r>
          </w:p>
        </w:tc>
        <w:tc>
          <w:tcPr>
            <w:tcW w:w="1384" w:type="dxa"/>
            <w:vAlign w:val="center"/>
          </w:tcPr>
          <w:p w14:paraId="43641E30">
            <w:pPr>
              <w:jc w:val="right"/>
            </w:pPr>
            <w:r>
              <w:rPr>
                <w:rFonts w:hint="eastAsia"/>
              </w:rPr>
              <w:t>-</w:t>
            </w:r>
          </w:p>
        </w:tc>
        <w:tc>
          <w:tcPr>
            <w:tcW w:w="1384" w:type="dxa"/>
            <w:vAlign w:val="center"/>
          </w:tcPr>
          <w:p w14:paraId="63B31301">
            <w:pPr>
              <w:jc w:val="right"/>
            </w:pPr>
            <w:r>
              <w:rPr>
                <w:rFonts w:hint="eastAsia"/>
              </w:rPr>
              <w:t>-</w:t>
            </w:r>
          </w:p>
        </w:tc>
        <w:tc>
          <w:tcPr>
            <w:tcW w:w="1384" w:type="dxa"/>
            <w:vAlign w:val="center"/>
          </w:tcPr>
          <w:p w14:paraId="378B1B11">
            <w:pPr>
              <w:jc w:val="right"/>
            </w:pPr>
            <w:r>
              <w:rPr>
                <w:rFonts w:hint="eastAsia"/>
              </w:rPr>
              <w:t>59,590.28</w:t>
            </w:r>
          </w:p>
        </w:tc>
        <w:tc>
          <w:tcPr>
            <w:tcW w:w="1384" w:type="dxa"/>
            <w:vAlign w:val="center"/>
          </w:tcPr>
          <w:p w14:paraId="4364FB3B">
            <w:pPr>
              <w:jc w:val="right"/>
            </w:pPr>
            <w:r>
              <w:rPr>
                <w:rFonts w:hint="eastAsia"/>
              </w:rPr>
              <w:t>59,590.28</w:t>
            </w:r>
          </w:p>
        </w:tc>
      </w:tr>
      <w:tr w14:paraId="2D5A6C8D">
        <w:tblPrEx>
          <w:tblCellMar>
            <w:top w:w="0" w:type="dxa"/>
            <w:left w:w="108" w:type="dxa"/>
            <w:bottom w:w="0" w:type="dxa"/>
            <w:right w:w="108" w:type="dxa"/>
          </w:tblCellMar>
        </w:tblPrEx>
        <w:trPr>
          <w:jc w:val="center"/>
        </w:trPr>
        <w:tc>
          <w:tcPr>
            <w:tcW w:w="1384" w:type="dxa"/>
            <w:vAlign w:val="center"/>
          </w:tcPr>
          <w:p w14:paraId="0F92EB53">
            <w:r>
              <w:rPr>
                <w:rFonts w:hint="eastAsia"/>
              </w:rPr>
              <w:t>应付销售服务费</w:t>
            </w:r>
          </w:p>
        </w:tc>
        <w:tc>
          <w:tcPr>
            <w:tcW w:w="1384" w:type="dxa"/>
            <w:vAlign w:val="center"/>
          </w:tcPr>
          <w:p w14:paraId="5F6F33B4">
            <w:pPr>
              <w:jc w:val="right"/>
            </w:pPr>
            <w:r>
              <w:rPr>
                <w:rFonts w:hint="eastAsia"/>
              </w:rPr>
              <w:t>-</w:t>
            </w:r>
          </w:p>
        </w:tc>
        <w:tc>
          <w:tcPr>
            <w:tcW w:w="1384" w:type="dxa"/>
            <w:vAlign w:val="center"/>
          </w:tcPr>
          <w:p w14:paraId="30516946">
            <w:pPr>
              <w:jc w:val="right"/>
            </w:pPr>
            <w:r>
              <w:rPr>
                <w:rFonts w:hint="eastAsia"/>
              </w:rPr>
              <w:t>-</w:t>
            </w:r>
          </w:p>
        </w:tc>
        <w:tc>
          <w:tcPr>
            <w:tcW w:w="1384" w:type="dxa"/>
            <w:vAlign w:val="center"/>
          </w:tcPr>
          <w:p w14:paraId="1A4B38E1">
            <w:pPr>
              <w:jc w:val="right"/>
            </w:pPr>
            <w:r>
              <w:rPr>
                <w:rFonts w:hint="eastAsia"/>
              </w:rPr>
              <w:t>-</w:t>
            </w:r>
          </w:p>
        </w:tc>
        <w:tc>
          <w:tcPr>
            <w:tcW w:w="1384" w:type="dxa"/>
            <w:vAlign w:val="center"/>
          </w:tcPr>
          <w:p w14:paraId="2554E3DE">
            <w:pPr>
              <w:jc w:val="right"/>
            </w:pPr>
            <w:r>
              <w:rPr>
                <w:rFonts w:hint="eastAsia"/>
              </w:rPr>
              <w:t>-</w:t>
            </w:r>
          </w:p>
        </w:tc>
        <w:tc>
          <w:tcPr>
            <w:tcW w:w="1384" w:type="dxa"/>
            <w:vAlign w:val="center"/>
          </w:tcPr>
          <w:p w14:paraId="097C407F">
            <w:pPr>
              <w:jc w:val="right"/>
            </w:pPr>
            <w:r>
              <w:rPr>
                <w:rFonts w:hint="eastAsia"/>
              </w:rPr>
              <w:t>-</w:t>
            </w:r>
          </w:p>
        </w:tc>
      </w:tr>
      <w:tr w14:paraId="6DD00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B7E110">
            <w:r>
              <w:rPr>
                <w:rFonts w:hint="eastAsia"/>
              </w:rPr>
              <w:t>应付投资顾问费</w:t>
            </w:r>
          </w:p>
        </w:tc>
        <w:tc>
          <w:tcPr>
            <w:tcW w:w="1384" w:type="dxa"/>
            <w:vAlign w:val="center"/>
          </w:tcPr>
          <w:p w14:paraId="57EE0D80">
            <w:pPr>
              <w:jc w:val="right"/>
            </w:pPr>
            <w:r>
              <w:rPr>
                <w:rFonts w:hint="eastAsia"/>
              </w:rPr>
              <w:t>-</w:t>
            </w:r>
          </w:p>
        </w:tc>
        <w:tc>
          <w:tcPr>
            <w:tcW w:w="1384" w:type="dxa"/>
            <w:vAlign w:val="center"/>
          </w:tcPr>
          <w:p w14:paraId="1C33F375">
            <w:pPr>
              <w:jc w:val="right"/>
            </w:pPr>
            <w:r>
              <w:rPr>
                <w:rFonts w:hint="eastAsia"/>
              </w:rPr>
              <w:t>-</w:t>
            </w:r>
          </w:p>
        </w:tc>
        <w:tc>
          <w:tcPr>
            <w:tcW w:w="1384" w:type="dxa"/>
            <w:vAlign w:val="center"/>
          </w:tcPr>
          <w:p w14:paraId="58ABED8D">
            <w:pPr>
              <w:jc w:val="right"/>
            </w:pPr>
            <w:r>
              <w:rPr>
                <w:rFonts w:hint="eastAsia"/>
              </w:rPr>
              <w:t>-</w:t>
            </w:r>
          </w:p>
        </w:tc>
        <w:tc>
          <w:tcPr>
            <w:tcW w:w="1384" w:type="dxa"/>
            <w:vAlign w:val="center"/>
          </w:tcPr>
          <w:p w14:paraId="2217CAA3">
            <w:pPr>
              <w:jc w:val="right"/>
            </w:pPr>
            <w:r>
              <w:rPr>
                <w:rFonts w:hint="eastAsia"/>
              </w:rPr>
              <w:t>-</w:t>
            </w:r>
          </w:p>
        </w:tc>
        <w:tc>
          <w:tcPr>
            <w:tcW w:w="1384" w:type="dxa"/>
            <w:vAlign w:val="center"/>
          </w:tcPr>
          <w:p w14:paraId="3C63492E">
            <w:pPr>
              <w:jc w:val="right"/>
            </w:pPr>
            <w:r>
              <w:rPr>
                <w:rFonts w:hint="eastAsia"/>
              </w:rPr>
              <w:t>-</w:t>
            </w:r>
          </w:p>
        </w:tc>
      </w:tr>
      <w:tr w14:paraId="5B1BD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9A1C87">
            <w:r>
              <w:rPr>
                <w:rFonts w:hint="eastAsia"/>
              </w:rPr>
              <w:t>应交税费</w:t>
            </w:r>
          </w:p>
        </w:tc>
        <w:tc>
          <w:tcPr>
            <w:tcW w:w="1384" w:type="dxa"/>
            <w:vAlign w:val="center"/>
          </w:tcPr>
          <w:p w14:paraId="15838BBC">
            <w:pPr>
              <w:jc w:val="right"/>
            </w:pPr>
            <w:r>
              <w:rPr>
                <w:rFonts w:hint="eastAsia"/>
              </w:rPr>
              <w:t>-</w:t>
            </w:r>
          </w:p>
        </w:tc>
        <w:tc>
          <w:tcPr>
            <w:tcW w:w="1384" w:type="dxa"/>
            <w:vAlign w:val="center"/>
          </w:tcPr>
          <w:p w14:paraId="5185AD92">
            <w:pPr>
              <w:jc w:val="right"/>
            </w:pPr>
            <w:r>
              <w:rPr>
                <w:rFonts w:hint="eastAsia"/>
              </w:rPr>
              <w:t>-</w:t>
            </w:r>
          </w:p>
        </w:tc>
        <w:tc>
          <w:tcPr>
            <w:tcW w:w="1384" w:type="dxa"/>
            <w:vAlign w:val="center"/>
          </w:tcPr>
          <w:p w14:paraId="3FBFED6C">
            <w:pPr>
              <w:jc w:val="right"/>
            </w:pPr>
            <w:r>
              <w:rPr>
                <w:rFonts w:hint="eastAsia"/>
              </w:rPr>
              <w:t>-</w:t>
            </w:r>
          </w:p>
        </w:tc>
        <w:tc>
          <w:tcPr>
            <w:tcW w:w="1384" w:type="dxa"/>
            <w:vAlign w:val="center"/>
          </w:tcPr>
          <w:p w14:paraId="4B245B85">
            <w:pPr>
              <w:jc w:val="right"/>
            </w:pPr>
            <w:r>
              <w:rPr>
                <w:rFonts w:hint="eastAsia"/>
              </w:rPr>
              <w:t>-</w:t>
            </w:r>
          </w:p>
        </w:tc>
        <w:tc>
          <w:tcPr>
            <w:tcW w:w="1384" w:type="dxa"/>
            <w:vAlign w:val="center"/>
          </w:tcPr>
          <w:p w14:paraId="5C14C45D">
            <w:pPr>
              <w:jc w:val="right"/>
            </w:pPr>
            <w:r>
              <w:rPr>
                <w:rFonts w:hint="eastAsia"/>
              </w:rPr>
              <w:t>-</w:t>
            </w:r>
          </w:p>
        </w:tc>
      </w:tr>
      <w:tr w14:paraId="3F3D4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0C7F9F">
            <w:r>
              <w:rPr>
                <w:rFonts w:hint="eastAsia"/>
              </w:rPr>
              <w:t>应付利润</w:t>
            </w:r>
          </w:p>
        </w:tc>
        <w:tc>
          <w:tcPr>
            <w:tcW w:w="1384" w:type="dxa"/>
            <w:vAlign w:val="center"/>
          </w:tcPr>
          <w:p w14:paraId="29A0B34C">
            <w:pPr>
              <w:jc w:val="right"/>
            </w:pPr>
            <w:r>
              <w:rPr>
                <w:rFonts w:hint="eastAsia"/>
              </w:rPr>
              <w:t>-</w:t>
            </w:r>
          </w:p>
        </w:tc>
        <w:tc>
          <w:tcPr>
            <w:tcW w:w="1384" w:type="dxa"/>
            <w:vAlign w:val="center"/>
          </w:tcPr>
          <w:p w14:paraId="21D685D3">
            <w:pPr>
              <w:jc w:val="right"/>
            </w:pPr>
            <w:r>
              <w:rPr>
                <w:rFonts w:hint="eastAsia"/>
              </w:rPr>
              <w:t>-</w:t>
            </w:r>
          </w:p>
        </w:tc>
        <w:tc>
          <w:tcPr>
            <w:tcW w:w="1384" w:type="dxa"/>
            <w:vAlign w:val="center"/>
          </w:tcPr>
          <w:p w14:paraId="5E4408B9">
            <w:pPr>
              <w:jc w:val="right"/>
            </w:pPr>
            <w:r>
              <w:rPr>
                <w:rFonts w:hint="eastAsia"/>
              </w:rPr>
              <w:t>-</w:t>
            </w:r>
          </w:p>
        </w:tc>
        <w:tc>
          <w:tcPr>
            <w:tcW w:w="1384" w:type="dxa"/>
            <w:vAlign w:val="center"/>
          </w:tcPr>
          <w:p w14:paraId="1EA5A232">
            <w:pPr>
              <w:jc w:val="right"/>
            </w:pPr>
            <w:r>
              <w:rPr>
                <w:rFonts w:hint="eastAsia"/>
              </w:rPr>
              <w:t>-</w:t>
            </w:r>
          </w:p>
        </w:tc>
        <w:tc>
          <w:tcPr>
            <w:tcW w:w="1384" w:type="dxa"/>
            <w:vAlign w:val="center"/>
          </w:tcPr>
          <w:p w14:paraId="0DBCF598">
            <w:pPr>
              <w:jc w:val="right"/>
            </w:pPr>
            <w:r>
              <w:rPr>
                <w:rFonts w:hint="eastAsia"/>
              </w:rPr>
              <w:t>-</w:t>
            </w:r>
          </w:p>
        </w:tc>
      </w:tr>
      <w:tr w14:paraId="7F3E3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54B273">
            <w:r>
              <w:rPr>
                <w:rFonts w:hint="eastAsia"/>
              </w:rPr>
              <w:t>递延所得税负债</w:t>
            </w:r>
          </w:p>
        </w:tc>
        <w:tc>
          <w:tcPr>
            <w:tcW w:w="1384" w:type="dxa"/>
            <w:vAlign w:val="center"/>
          </w:tcPr>
          <w:p w14:paraId="6CE550F3">
            <w:pPr>
              <w:jc w:val="right"/>
            </w:pPr>
            <w:r>
              <w:rPr>
                <w:rFonts w:hint="eastAsia"/>
              </w:rPr>
              <w:t>-</w:t>
            </w:r>
          </w:p>
        </w:tc>
        <w:tc>
          <w:tcPr>
            <w:tcW w:w="1384" w:type="dxa"/>
            <w:vAlign w:val="center"/>
          </w:tcPr>
          <w:p w14:paraId="607A3306">
            <w:pPr>
              <w:jc w:val="right"/>
            </w:pPr>
            <w:r>
              <w:rPr>
                <w:rFonts w:hint="eastAsia"/>
              </w:rPr>
              <w:t>-</w:t>
            </w:r>
          </w:p>
        </w:tc>
        <w:tc>
          <w:tcPr>
            <w:tcW w:w="1384" w:type="dxa"/>
            <w:vAlign w:val="center"/>
          </w:tcPr>
          <w:p w14:paraId="08076329">
            <w:pPr>
              <w:jc w:val="right"/>
            </w:pPr>
            <w:r>
              <w:rPr>
                <w:rFonts w:hint="eastAsia"/>
              </w:rPr>
              <w:t>-</w:t>
            </w:r>
          </w:p>
        </w:tc>
        <w:tc>
          <w:tcPr>
            <w:tcW w:w="1384" w:type="dxa"/>
            <w:vAlign w:val="center"/>
          </w:tcPr>
          <w:p w14:paraId="04A95A6A">
            <w:pPr>
              <w:jc w:val="right"/>
            </w:pPr>
            <w:r>
              <w:rPr>
                <w:rFonts w:hint="eastAsia"/>
              </w:rPr>
              <w:t>-</w:t>
            </w:r>
          </w:p>
        </w:tc>
        <w:tc>
          <w:tcPr>
            <w:tcW w:w="1384" w:type="dxa"/>
            <w:vAlign w:val="center"/>
          </w:tcPr>
          <w:p w14:paraId="313EC366">
            <w:pPr>
              <w:jc w:val="right"/>
            </w:pPr>
            <w:r>
              <w:rPr>
                <w:rFonts w:hint="eastAsia"/>
              </w:rPr>
              <w:t>-</w:t>
            </w:r>
          </w:p>
        </w:tc>
      </w:tr>
      <w:tr w14:paraId="42AE3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510023">
            <w:r>
              <w:rPr>
                <w:rFonts w:hint="eastAsia"/>
              </w:rPr>
              <w:t>其他负债</w:t>
            </w:r>
          </w:p>
        </w:tc>
        <w:tc>
          <w:tcPr>
            <w:tcW w:w="1384" w:type="dxa"/>
            <w:vAlign w:val="center"/>
          </w:tcPr>
          <w:p w14:paraId="4300DB54">
            <w:pPr>
              <w:jc w:val="right"/>
            </w:pPr>
            <w:r>
              <w:rPr>
                <w:rFonts w:hint="eastAsia"/>
              </w:rPr>
              <w:t>-</w:t>
            </w:r>
          </w:p>
        </w:tc>
        <w:tc>
          <w:tcPr>
            <w:tcW w:w="1384" w:type="dxa"/>
            <w:vAlign w:val="center"/>
          </w:tcPr>
          <w:p w14:paraId="7C310321">
            <w:pPr>
              <w:jc w:val="right"/>
            </w:pPr>
            <w:r>
              <w:rPr>
                <w:rFonts w:hint="eastAsia"/>
              </w:rPr>
              <w:t>-</w:t>
            </w:r>
          </w:p>
        </w:tc>
        <w:tc>
          <w:tcPr>
            <w:tcW w:w="1384" w:type="dxa"/>
            <w:vAlign w:val="center"/>
          </w:tcPr>
          <w:p w14:paraId="2FA13D1C">
            <w:pPr>
              <w:jc w:val="right"/>
            </w:pPr>
            <w:r>
              <w:rPr>
                <w:rFonts w:hint="eastAsia"/>
              </w:rPr>
              <w:t>-</w:t>
            </w:r>
          </w:p>
        </w:tc>
        <w:tc>
          <w:tcPr>
            <w:tcW w:w="1384" w:type="dxa"/>
            <w:vAlign w:val="center"/>
          </w:tcPr>
          <w:p w14:paraId="15A2A474">
            <w:pPr>
              <w:jc w:val="right"/>
            </w:pPr>
            <w:r>
              <w:rPr>
                <w:rFonts w:hint="eastAsia"/>
              </w:rPr>
              <w:t>23,127,252.72</w:t>
            </w:r>
          </w:p>
        </w:tc>
        <w:tc>
          <w:tcPr>
            <w:tcW w:w="1384" w:type="dxa"/>
            <w:vAlign w:val="center"/>
          </w:tcPr>
          <w:p w14:paraId="537E8F8E">
            <w:pPr>
              <w:jc w:val="right"/>
            </w:pPr>
            <w:r>
              <w:rPr>
                <w:rFonts w:hint="eastAsia"/>
              </w:rPr>
              <w:t>23,127,252.72</w:t>
            </w:r>
          </w:p>
        </w:tc>
      </w:tr>
      <w:tr w14:paraId="6BDFE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51CB81">
            <w:r>
              <w:rPr>
                <w:rFonts w:hint="eastAsia"/>
              </w:rPr>
              <w:t>负债总计</w:t>
            </w:r>
          </w:p>
        </w:tc>
        <w:tc>
          <w:tcPr>
            <w:tcW w:w="1384" w:type="dxa"/>
            <w:vAlign w:val="center"/>
          </w:tcPr>
          <w:p w14:paraId="430692F3">
            <w:pPr>
              <w:jc w:val="right"/>
            </w:pPr>
            <w:r>
              <w:rPr>
                <w:rFonts w:hint="eastAsia"/>
              </w:rPr>
              <w:t>-</w:t>
            </w:r>
          </w:p>
        </w:tc>
        <w:tc>
          <w:tcPr>
            <w:tcW w:w="1384" w:type="dxa"/>
            <w:vAlign w:val="center"/>
          </w:tcPr>
          <w:p w14:paraId="25C74219">
            <w:pPr>
              <w:jc w:val="right"/>
            </w:pPr>
            <w:r>
              <w:rPr>
                <w:rFonts w:hint="eastAsia"/>
              </w:rPr>
              <w:t>-</w:t>
            </w:r>
          </w:p>
        </w:tc>
        <w:tc>
          <w:tcPr>
            <w:tcW w:w="1384" w:type="dxa"/>
            <w:vAlign w:val="center"/>
          </w:tcPr>
          <w:p w14:paraId="5ACFA89E">
            <w:pPr>
              <w:jc w:val="right"/>
            </w:pPr>
            <w:r>
              <w:rPr>
                <w:rFonts w:hint="eastAsia"/>
              </w:rPr>
              <w:t>-</w:t>
            </w:r>
          </w:p>
        </w:tc>
        <w:tc>
          <w:tcPr>
            <w:tcW w:w="1384" w:type="dxa"/>
            <w:vAlign w:val="center"/>
          </w:tcPr>
          <w:p w14:paraId="76D63720">
            <w:pPr>
              <w:jc w:val="right"/>
            </w:pPr>
            <w:r>
              <w:rPr>
                <w:rFonts w:hint="eastAsia"/>
              </w:rPr>
              <w:t>170,472,655.80</w:t>
            </w:r>
          </w:p>
        </w:tc>
        <w:tc>
          <w:tcPr>
            <w:tcW w:w="1384" w:type="dxa"/>
            <w:vAlign w:val="center"/>
          </w:tcPr>
          <w:p w14:paraId="32A4D05B">
            <w:pPr>
              <w:jc w:val="right"/>
            </w:pPr>
            <w:r>
              <w:rPr>
                <w:rFonts w:hint="eastAsia"/>
              </w:rPr>
              <w:t>170,472,655.80</w:t>
            </w:r>
          </w:p>
        </w:tc>
      </w:tr>
      <w:tr w14:paraId="765AF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BD47A1">
            <w:r>
              <w:rPr>
                <w:rFonts w:hint="eastAsia"/>
              </w:rPr>
              <w:t>利率敏感度缺口</w:t>
            </w:r>
          </w:p>
        </w:tc>
        <w:tc>
          <w:tcPr>
            <w:tcW w:w="1384" w:type="dxa"/>
            <w:vAlign w:val="center"/>
          </w:tcPr>
          <w:p w14:paraId="524FB25C">
            <w:pPr>
              <w:jc w:val="right"/>
            </w:pPr>
            <w:r>
              <w:rPr>
                <w:rFonts w:hint="eastAsia"/>
              </w:rPr>
              <w:t>227,602,365.24</w:t>
            </w:r>
          </w:p>
        </w:tc>
        <w:tc>
          <w:tcPr>
            <w:tcW w:w="1384" w:type="dxa"/>
            <w:vAlign w:val="center"/>
          </w:tcPr>
          <w:p w14:paraId="3C74F007">
            <w:pPr>
              <w:jc w:val="right"/>
            </w:pPr>
            <w:r>
              <w:rPr>
                <w:rFonts w:hint="eastAsia"/>
              </w:rPr>
              <w:t>-</w:t>
            </w:r>
          </w:p>
        </w:tc>
        <w:tc>
          <w:tcPr>
            <w:tcW w:w="1384" w:type="dxa"/>
            <w:vAlign w:val="center"/>
          </w:tcPr>
          <w:p w14:paraId="5A1327E9">
            <w:pPr>
              <w:jc w:val="right"/>
            </w:pPr>
            <w:r>
              <w:rPr>
                <w:rFonts w:hint="eastAsia"/>
              </w:rPr>
              <w:t>-</w:t>
            </w:r>
          </w:p>
        </w:tc>
        <w:tc>
          <w:tcPr>
            <w:tcW w:w="1384" w:type="dxa"/>
            <w:vAlign w:val="center"/>
          </w:tcPr>
          <w:p w14:paraId="64CD14A0">
            <w:pPr>
              <w:jc w:val="right"/>
            </w:pPr>
            <w:r>
              <w:rPr>
                <w:rFonts w:hint="eastAsia"/>
              </w:rPr>
              <w:t>1,708,416,998.80</w:t>
            </w:r>
          </w:p>
        </w:tc>
        <w:tc>
          <w:tcPr>
            <w:tcW w:w="1384" w:type="dxa"/>
            <w:vAlign w:val="center"/>
          </w:tcPr>
          <w:p w14:paraId="54F5E691">
            <w:pPr>
              <w:jc w:val="right"/>
            </w:pPr>
            <w:r>
              <w:rPr>
                <w:rFonts w:hint="eastAsia"/>
              </w:rPr>
              <w:t>1,936,019,364.04</w:t>
            </w:r>
          </w:p>
        </w:tc>
      </w:tr>
    </w:tbl>
    <w:p w14:paraId="2D304279">
      <w:pPr>
        <w:pStyle w:val="47"/>
        <w:rPr>
          <w:rFonts w:hint="eastAsia"/>
        </w:rPr>
      </w:pPr>
      <w:r>
        <w:rPr>
          <w:rFonts w:hint="eastAsia"/>
        </w:rPr>
        <w:t>注：表中所示为本基金资产及负债的账面价值，并按照合约规定的利率重新定价日或到期日孰早者予以分类。</w:t>
      </w:r>
    </w:p>
    <w:p w14:paraId="4FCE5C03">
      <w:pPr>
        <w:pStyle w:val="37"/>
      </w:pPr>
      <w:bookmarkStart w:id="147" w:name="_Toc147"/>
      <w:r>
        <w:t>利率风险的敏感性分析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4C56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1E4933">
            <w:r>
              <w:rPr>
                <w:rFonts w:hint="eastAsia"/>
              </w:rPr>
              <w:t>假设</w:t>
            </w:r>
          </w:p>
        </w:tc>
        <w:tc>
          <w:tcPr>
            <w:tcW w:w="2768" w:type="dxa"/>
            <w:gridSpan w:val="2"/>
            <w:vAlign w:val="center"/>
          </w:tcPr>
          <w:p w14:paraId="6F29D5B7">
            <w:r>
              <w:rPr>
                <w:rFonts w:hint="eastAsia"/>
              </w:rPr>
              <w:t>除市场利率以外的其他市场变量保持不变</w:t>
            </w:r>
          </w:p>
        </w:tc>
      </w:tr>
      <w:tr w14:paraId="11D8C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2A0CD7B3">
            <w:r>
              <w:rPr>
                <w:rFonts w:hint="eastAsia"/>
              </w:rPr>
              <w:t>分析</w:t>
            </w:r>
          </w:p>
        </w:tc>
        <w:tc>
          <w:tcPr>
            <w:tcW w:w="2768" w:type="dxa"/>
            <w:vMerge w:val="restart"/>
            <w:vAlign w:val="center"/>
          </w:tcPr>
          <w:p w14:paraId="05BBC152">
            <w:r>
              <w:rPr>
                <w:rFonts w:hint="eastAsia"/>
              </w:rPr>
              <w:t>相关风险变量的变动</w:t>
            </w:r>
          </w:p>
        </w:tc>
        <w:tc>
          <w:tcPr>
            <w:tcW w:w="2768" w:type="dxa"/>
            <w:vAlign w:val="center"/>
          </w:tcPr>
          <w:p w14:paraId="0BF6EA1F">
            <w:r>
              <w:rPr>
                <w:rFonts w:hint="eastAsia"/>
              </w:rPr>
              <w:t>对资产负债表日基金资产净值的影响金额（单位：人民币元）</w:t>
            </w:r>
          </w:p>
        </w:tc>
      </w:tr>
      <w:tr w14:paraId="1E6F1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15A6B31"/>
        </w:tc>
        <w:tc>
          <w:tcPr>
            <w:tcW w:w="2768" w:type="dxa"/>
            <w:vMerge w:val="continue"/>
            <w:vAlign w:val="center"/>
          </w:tcPr>
          <w:p w14:paraId="102E37D3"/>
        </w:tc>
        <w:tc>
          <w:tcPr>
            <w:tcW w:w="2768" w:type="dxa"/>
            <w:vAlign w:val="center"/>
          </w:tcPr>
          <w:p w14:paraId="537761D6">
            <w:r>
              <w:rPr>
                <w:rFonts w:hint="eastAsia"/>
              </w:rPr>
              <w:t>本期末（ 2025年12月31日 ）</w:t>
            </w:r>
          </w:p>
        </w:tc>
      </w:tr>
      <w:tr w14:paraId="6515A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069AC34"/>
        </w:tc>
        <w:tc>
          <w:tcPr>
            <w:tcW w:w="2768" w:type="dxa"/>
            <w:vAlign w:val="center"/>
          </w:tcPr>
          <w:p w14:paraId="76EFDCBF">
            <w:r>
              <w:rPr>
                <w:rFonts w:hint="eastAsia"/>
              </w:rPr>
              <w:t>1.市场利率平行上升25个基点</w:t>
            </w:r>
          </w:p>
        </w:tc>
        <w:tc>
          <w:tcPr>
            <w:tcW w:w="2768" w:type="dxa"/>
            <w:vAlign w:val="center"/>
          </w:tcPr>
          <w:p w14:paraId="36AC7F8E">
            <w:pPr>
              <w:jc w:val="right"/>
            </w:pPr>
            <w:r>
              <w:rPr>
                <w:rFonts w:hint="eastAsia"/>
              </w:rPr>
              <w:t>0.00</w:t>
            </w:r>
          </w:p>
        </w:tc>
      </w:tr>
      <w:tr w14:paraId="6F4EA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5296123"/>
        </w:tc>
        <w:tc>
          <w:tcPr>
            <w:tcW w:w="2768" w:type="dxa"/>
            <w:vAlign w:val="center"/>
          </w:tcPr>
          <w:p w14:paraId="0AD2A0B8">
            <w:r>
              <w:rPr>
                <w:rFonts w:hint="eastAsia"/>
              </w:rPr>
              <w:t>2.市场利率平行下降25个基点</w:t>
            </w:r>
          </w:p>
        </w:tc>
        <w:tc>
          <w:tcPr>
            <w:tcW w:w="2768" w:type="dxa"/>
            <w:vAlign w:val="center"/>
          </w:tcPr>
          <w:p w14:paraId="4C38B30B">
            <w:pPr>
              <w:jc w:val="right"/>
            </w:pPr>
            <w:r>
              <w:rPr>
                <w:rFonts w:hint="eastAsia"/>
              </w:rPr>
              <w:t>0.00</w:t>
            </w:r>
          </w:p>
        </w:tc>
      </w:tr>
    </w:tbl>
    <w:p w14:paraId="358D0FC6">
      <w:pPr>
        <w:pStyle w:val="36"/>
      </w:pPr>
      <w:bookmarkStart w:id="148" w:name="_Toc148"/>
      <w:r>
        <w:t>外汇风险</w:t>
      </w:r>
      <w:bookmarkEnd w:id="148"/>
    </w:p>
    <w:p w14:paraId="47217422">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1F67DB37">
      <w:pPr>
        <w:pStyle w:val="37"/>
      </w:pPr>
      <w:bookmarkStart w:id="149" w:name="_Toc149"/>
      <w:r>
        <w:t>外汇风险敞口</w:t>
      </w:r>
      <w:bookmarkEnd w:id="149"/>
    </w:p>
    <w:p w14:paraId="6E0AA47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40A2C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26C2B20E">
            <w:pPr>
              <w:jc w:val="center"/>
            </w:pPr>
            <w:r>
              <w:rPr>
                <w:rFonts w:hint="eastAsia"/>
                <w:b/>
              </w:rPr>
              <w:t>项目</w:t>
            </w:r>
          </w:p>
        </w:tc>
        <w:tc>
          <w:tcPr>
            <w:tcW w:w="1232" w:type="dxa"/>
            <w:gridSpan w:val="6"/>
            <w:shd w:val="clear" w:color="auto" w:fill="BFBFBF"/>
            <w:vAlign w:val="center"/>
          </w:tcPr>
          <w:p w14:paraId="75CF60A4">
            <w:pPr>
              <w:jc w:val="center"/>
            </w:pPr>
            <w:r>
              <w:rPr>
                <w:rFonts w:hint="eastAsia"/>
                <w:b/>
              </w:rPr>
              <w:t>本期末2025年12月31日</w:t>
            </w:r>
          </w:p>
        </w:tc>
      </w:tr>
      <w:tr w14:paraId="3F9CC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20BC4B6A"/>
        </w:tc>
        <w:tc>
          <w:tcPr>
            <w:tcW w:w="1232" w:type="dxa"/>
            <w:shd w:val="clear" w:color="auto" w:fill="BFBFBF"/>
            <w:vAlign w:val="center"/>
          </w:tcPr>
          <w:p w14:paraId="0B75D425">
            <w:pPr>
              <w:jc w:val="center"/>
            </w:pPr>
            <w:r>
              <w:rPr>
                <w:rFonts w:hint="eastAsia"/>
                <w:b/>
              </w:rPr>
              <w:t>美元折合人民币</w:t>
            </w:r>
          </w:p>
        </w:tc>
        <w:tc>
          <w:tcPr>
            <w:tcW w:w="1232" w:type="dxa"/>
            <w:shd w:val="clear" w:color="auto" w:fill="BFBFBF"/>
            <w:vAlign w:val="center"/>
          </w:tcPr>
          <w:p w14:paraId="70E0B995">
            <w:pPr>
              <w:jc w:val="center"/>
            </w:pPr>
            <w:r>
              <w:rPr>
                <w:rFonts w:hint="eastAsia"/>
                <w:b/>
              </w:rPr>
              <w:t>港币折合人民币</w:t>
            </w:r>
          </w:p>
        </w:tc>
        <w:tc>
          <w:tcPr>
            <w:tcW w:w="1232" w:type="dxa"/>
            <w:shd w:val="clear" w:color="auto" w:fill="BFBFBF"/>
            <w:vAlign w:val="center"/>
          </w:tcPr>
          <w:p w14:paraId="4ED56030">
            <w:pPr>
              <w:jc w:val="center"/>
            </w:pPr>
            <w:r>
              <w:rPr>
                <w:rFonts w:hint="eastAsia"/>
                <w:b/>
              </w:rPr>
              <w:t>欧元折合人民币</w:t>
            </w:r>
          </w:p>
        </w:tc>
        <w:tc>
          <w:tcPr>
            <w:tcW w:w="1232" w:type="dxa"/>
            <w:shd w:val="clear" w:color="auto" w:fill="BFBFBF"/>
            <w:vAlign w:val="center"/>
          </w:tcPr>
          <w:p w14:paraId="6572D3DC">
            <w:pPr>
              <w:jc w:val="center"/>
            </w:pPr>
            <w:r>
              <w:rPr>
                <w:rFonts w:hint="eastAsia"/>
                <w:b/>
              </w:rPr>
              <w:t>日元折合人民币</w:t>
            </w:r>
          </w:p>
        </w:tc>
        <w:tc>
          <w:tcPr>
            <w:tcW w:w="1232" w:type="dxa"/>
            <w:shd w:val="clear" w:color="auto" w:fill="BFBFBF"/>
            <w:vAlign w:val="center"/>
          </w:tcPr>
          <w:p w14:paraId="32FDC7A8">
            <w:pPr>
              <w:jc w:val="center"/>
            </w:pPr>
            <w:r>
              <w:rPr>
                <w:rFonts w:hint="eastAsia"/>
                <w:b/>
              </w:rPr>
              <w:t>其他币种折合人民币</w:t>
            </w:r>
          </w:p>
        </w:tc>
        <w:tc>
          <w:tcPr>
            <w:tcW w:w="1232" w:type="dxa"/>
            <w:shd w:val="clear" w:color="auto" w:fill="BFBFBF"/>
            <w:vAlign w:val="center"/>
          </w:tcPr>
          <w:p w14:paraId="51C0C3CF">
            <w:pPr>
              <w:jc w:val="center"/>
            </w:pPr>
            <w:r>
              <w:rPr>
                <w:rFonts w:hint="eastAsia"/>
                <w:b/>
              </w:rPr>
              <w:t>合计</w:t>
            </w:r>
          </w:p>
        </w:tc>
      </w:tr>
      <w:tr w14:paraId="09D61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8041E86">
            <w:r>
              <w:rPr>
                <w:rFonts w:hint="eastAsia"/>
              </w:rPr>
              <w:t>以外币计价的资产</w:t>
            </w:r>
          </w:p>
        </w:tc>
        <w:tc>
          <w:tcPr>
            <w:tcW w:w="1232" w:type="dxa"/>
            <w:vAlign w:val="center"/>
          </w:tcPr>
          <w:p w14:paraId="02D6AF1F"/>
        </w:tc>
        <w:tc>
          <w:tcPr>
            <w:tcW w:w="1232" w:type="dxa"/>
            <w:vAlign w:val="center"/>
          </w:tcPr>
          <w:p w14:paraId="37832870"/>
        </w:tc>
        <w:tc>
          <w:tcPr>
            <w:tcW w:w="1232" w:type="dxa"/>
            <w:vAlign w:val="center"/>
          </w:tcPr>
          <w:p w14:paraId="3A02AD68"/>
        </w:tc>
        <w:tc>
          <w:tcPr>
            <w:tcW w:w="1232" w:type="dxa"/>
            <w:vAlign w:val="center"/>
          </w:tcPr>
          <w:p w14:paraId="4CB455D7"/>
        </w:tc>
        <w:tc>
          <w:tcPr>
            <w:tcW w:w="1232" w:type="dxa"/>
            <w:vAlign w:val="center"/>
          </w:tcPr>
          <w:p w14:paraId="1AAEEC52"/>
        </w:tc>
        <w:tc>
          <w:tcPr>
            <w:tcW w:w="1232" w:type="dxa"/>
            <w:vAlign w:val="center"/>
          </w:tcPr>
          <w:p w14:paraId="392EAADC"/>
        </w:tc>
      </w:tr>
      <w:tr w14:paraId="08F4D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845AEFA">
            <w:r>
              <w:rPr>
                <w:rFonts w:hint="eastAsia"/>
              </w:rPr>
              <w:t>货币资金</w:t>
            </w:r>
          </w:p>
        </w:tc>
        <w:tc>
          <w:tcPr>
            <w:tcW w:w="1232" w:type="dxa"/>
            <w:vAlign w:val="center"/>
          </w:tcPr>
          <w:p w14:paraId="496B0A69">
            <w:pPr>
              <w:jc w:val="right"/>
            </w:pPr>
            <w:r>
              <w:rPr>
                <w:rFonts w:hint="eastAsia"/>
              </w:rPr>
              <w:t>315,982.31</w:t>
            </w:r>
          </w:p>
        </w:tc>
        <w:tc>
          <w:tcPr>
            <w:tcW w:w="1232" w:type="dxa"/>
            <w:vAlign w:val="center"/>
          </w:tcPr>
          <w:p w14:paraId="30577B95">
            <w:pPr>
              <w:jc w:val="right"/>
            </w:pPr>
            <w:r>
              <w:rPr>
                <w:rFonts w:hint="eastAsia"/>
              </w:rPr>
              <w:t>50,933,179.47</w:t>
            </w:r>
          </w:p>
        </w:tc>
        <w:tc>
          <w:tcPr>
            <w:tcW w:w="1232" w:type="dxa"/>
            <w:vAlign w:val="center"/>
          </w:tcPr>
          <w:p w14:paraId="45002527">
            <w:pPr>
              <w:jc w:val="right"/>
            </w:pPr>
            <w:r>
              <w:rPr>
                <w:rFonts w:hint="eastAsia"/>
              </w:rPr>
              <w:t>-</w:t>
            </w:r>
          </w:p>
        </w:tc>
        <w:tc>
          <w:tcPr>
            <w:tcW w:w="1232" w:type="dxa"/>
            <w:vAlign w:val="center"/>
          </w:tcPr>
          <w:p w14:paraId="50623392">
            <w:pPr>
              <w:jc w:val="right"/>
            </w:pPr>
            <w:r>
              <w:rPr>
                <w:rFonts w:hint="eastAsia"/>
              </w:rPr>
              <w:t>-</w:t>
            </w:r>
          </w:p>
        </w:tc>
        <w:tc>
          <w:tcPr>
            <w:tcW w:w="1232" w:type="dxa"/>
            <w:vAlign w:val="center"/>
          </w:tcPr>
          <w:p w14:paraId="2E9FF6AF">
            <w:pPr>
              <w:jc w:val="right"/>
            </w:pPr>
            <w:r>
              <w:rPr>
                <w:rFonts w:hint="eastAsia"/>
              </w:rPr>
              <w:t>-</w:t>
            </w:r>
          </w:p>
        </w:tc>
        <w:tc>
          <w:tcPr>
            <w:tcW w:w="1232" w:type="dxa"/>
            <w:vAlign w:val="center"/>
          </w:tcPr>
          <w:p w14:paraId="682E6FEF">
            <w:pPr>
              <w:jc w:val="right"/>
            </w:pPr>
            <w:r>
              <w:rPr>
                <w:rFonts w:hint="eastAsia"/>
              </w:rPr>
              <w:t>51,249,161.78</w:t>
            </w:r>
          </w:p>
        </w:tc>
      </w:tr>
      <w:tr w14:paraId="60B53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220F825">
            <w:r>
              <w:rPr>
                <w:rFonts w:hint="eastAsia"/>
              </w:rPr>
              <w:t>结算备付金</w:t>
            </w:r>
          </w:p>
        </w:tc>
        <w:tc>
          <w:tcPr>
            <w:tcW w:w="1232" w:type="dxa"/>
            <w:vAlign w:val="center"/>
          </w:tcPr>
          <w:p w14:paraId="1FE69D5F">
            <w:pPr>
              <w:jc w:val="right"/>
            </w:pPr>
            <w:r>
              <w:rPr>
                <w:rFonts w:hint="eastAsia"/>
              </w:rPr>
              <w:t>-</w:t>
            </w:r>
          </w:p>
        </w:tc>
        <w:tc>
          <w:tcPr>
            <w:tcW w:w="1232" w:type="dxa"/>
            <w:vAlign w:val="center"/>
          </w:tcPr>
          <w:p w14:paraId="6E926D00">
            <w:pPr>
              <w:jc w:val="right"/>
            </w:pPr>
            <w:r>
              <w:rPr>
                <w:rFonts w:hint="eastAsia"/>
              </w:rPr>
              <w:t>8,232,375.84</w:t>
            </w:r>
          </w:p>
        </w:tc>
        <w:tc>
          <w:tcPr>
            <w:tcW w:w="1232" w:type="dxa"/>
            <w:vAlign w:val="center"/>
          </w:tcPr>
          <w:p w14:paraId="060776EE">
            <w:pPr>
              <w:jc w:val="right"/>
            </w:pPr>
            <w:r>
              <w:rPr>
                <w:rFonts w:hint="eastAsia"/>
              </w:rPr>
              <w:t>-</w:t>
            </w:r>
          </w:p>
        </w:tc>
        <w:tc>
          <w:tcPr>
            <w:tcW w:w="1232" w:type="dxa"/>
            <w:vAlign w:val="center"/>
          </w:tcPr>
          <w:p w14:paraId="0C8BC894">
            <w:pPr>
              <w:jc w:val="right"/>
            </w:pPr>
            <w:r>
              <w:rPr>
                <w:rFonts w:hint="eastAsia"/>
              </w:rPr>
              <w:t>-</w:t>
            </w:r>
          </w:p>
        </w:tc>
        <w:tc>
          <w:tcPr>
            <w:tcW w:w="1232" w:type="dxa"/>
            <w:vAlign w:val="center"/>
          </w:tcPr>
          <w:p w14:paraId="77C9422C">
            <w:pPr>
              <w:jc w:val="right"/>
            </w:pPr>
            <w:r>
              <w:rPr>
                <w:rFonts w:hint="eastAsia"/>
              </w:rPr>
              <w:t>-</w:t>
            </w:r>
          </w:p>
        </w:tc>
        <w:tc>
          <w:tcPr>
            <w:tcW w:w="1232" w:type="dxa"/>
            <w:vAlign w:val="center"/>
          </w:tcPr>
          <w:p w14:paraId="073BD5B9">
            <w:pPr>
              <w:jc w:val="right"/>
            </w:pPr>
            <w:r>
              <w:rPr>
                <w:rFonts w:hint="eastAsia"/>
              </w:rPr>
              <w:t>8,232,375.84</w:t>
            </w:r>
          </w:p>
        </w:tc>
      </w:tr>
      <w:tr w14:paraId="2095B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EF92F61">
            <w:r>
              <w:rPr>
                <w:rFonts w:hint="eastAsia"/>
              </w:rPr>
              <w:t>存出保证金</w:t>
            </w:r>
          </w:p>
        </w:tc>
        <w:tc>
          <w:tcPr>
            <w:tcW w:w="1232" w:type="dxa"/>
            <w:vAlign w:val="center"/>
          </w:tcPr>
          <w:p w14:paraId="6787B8F5">
            <w:pPr>
              <w:jc w:val="right"/>
            </w:pPr>
            <w:r>
              <w:rPr>
                <w:rFonts w:hint="eastAsia"/>
              </w:rPr>
              <w:t>-</w:t>
            </w:r>
          </w:p>
        </w:tc>
        <w:tc>
          <w:tcPr>
            <w:tcW w:w="1232" w:type="dxa"/>
            <w:vAlign w:val="center"/>
          </w:tcPr>
          <w:p w14:paraId="03F5B932">
            <w:pPr>
              <w:jc w:val="right"/>
            </w:pPr>
            <w:r>
              <w:rPr>
                <w:rFonts w:hint="eastAsia"/>
              </w:rPr>
              <w:t>10,466,949.89</w:t>
            </w:r>
          </w:p>
        </w:tc>
        <w:tc>
          <w:tcPr>
            <w:tcW w:w="1232" w:type="dxa"/>
            <w:vAlign w:val="center"/>
          </w:tcPr>
          <w:p w14:paraId="43213D87">
            <w:pPr>
              <w:jc w:val="right"/>
            </w:pPr>
            <w:r>
              <w:rPr>
                <w:rFonts w:hint="eastAsia"/>
              </w:rPr>
              <w:t>-</w:t>
            </w:r>
          </w:p>
        </w:tc>
        <w:tc>
          <w:tcPr>
            <w:tcW w:w="1232" w:type="dxa"/>
            <w:vAlign w:val="center"/>
          </w:tcPr>
          <w:p w14:paraId="13CA4BD3">
            <w:pPr>
              <w:jc w:val="right"/>
            </w:pPr>
            <w:r>
              <w:rPr>
                <w:rFonts w:hint="eastAsia"/>
              </w:rPr>
              <w:t>-</w:t>
            </w:r>
          </w:p>
        </w:tc>
        <w:tc>
          <w:tcPr>
            <w:tcW w:w="1232" w:type="dxa"/>
            <w:vAlign w:val="center"/>
          </w:tcPr>
          <w:p w14:paraId="2A2850E6">
            <w:pPr>
              <w:jc w:val="right"/>
            </w:pPr>
            <w:r>
              <w:rPr>
                <w:rFonts w:hint="eastAsia"/>
              </w:rPr>
              <w:t>-</w:t>
            </w:r>
          </w:p>
        </w:tc>
        <w:tc>
          <w:tcPr>
            <w:tcW w:w="1232" w:type="dxa"/>
            <w:vAlign w:val="center"/>
          </w:tcPr>
          <w:p w14:paraId="5801E574">
            <w:pPr>
              <w:jc w:val="right"/>
            </w:pPr>
            <w:r>
              <w:rPr>
                <w:rFonts w:hint="eastAsia"/>
              </w:rPr>
              <w:t>10,466,949.89</w:t>
            </w:r>
          </w:p>
        </w:tc>
      </w:tr>
      <w:tr w14:paraId="1ECBD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E1899D7">
            <w:r>
              <w:rPr>
                <w:rFonts w:hint="eastAsia"/>
              </w:rPr>
              <w:t>交易性金融资产</w:t>
            </w:r>
          </w:p>
        </w:tc>
        <w:tc>
          <w:tcPr>
            <w:tcW w:w="1232" w:type="dxa"/>
            <w:vAlign w:val="center"/>
          </w:tcPr>
          <w:p w14:paraId="64CAB704">
            <w:pPr>
              <w:jc w:val="right"/>
            </w:pPr>
            <w:r>
              <w:rPr>
                <w:rFonts w:hint="eastAsia"/>
              </w:rPr>
              <w:t>-</w:t>
            </w:r>
          </w:p>
        </w:tc>
        <w:tc>
          <w:tcPr>
            <w:tcW w:w="1232" w:type="dxa"/>
            <w:vAlign w:val="center"/>
          </w:tcPr>
          <w:p w14:paraId="0BE6A654">
            <w:pPr>
              <w:jc w:val="right"/>
            </w:pPr>
            <w:r>
              <w:rPr>
                <w:rFonts w:hint="eastAsia"/>
              </w:rPr>
              <w:t>1,868,420,970.41</w:t>
            </w:r>
          </w:p>
        </w:tc>
        <w:tc>
          <w:tcPr>
            <w:tcW w:w="1232" w:type="dxa"/>
            <w:vAlign w:val="center"/>
          </w:tcPr>
          <w:p w14:paraId="6DFD3A71">
            <w:pPr>
              <w:jc w:val="right"/>
            </w:pPr>
            <w:r>
              <w:rPr>
                <w:rFonts w:hint="eastAsia"/>
              </w:rPr>
              <w:t>-</w:t>
            </w:r>
          </w:p>
        </w:tc>
        <w:tc>
          <w:tcPr>
            <w:tcW w:w="1232" w:type="dxa"/>
            <w:vAlign w:val="center"/>
          </w:tcPr>
          <w:p w14:paraId="08BE7143">
            <w:pPr>
              <w:jc w:val="right"/>
            </w:pPr>
            <w:r>
              <w:rPr>
                <w:rFonts w:hint="eastAsia"/>
              </w:rPr>
              <w:t>-</w:t>
            </w:r>
          </w:p>
        </w:tc>
        <w:tc>
          <w:tcPr>
            <w:tcW w:w="1232" w:type="dxa"/>
            <w:vAlign w:val="center"/>
          </w:tcPr>
          <w:p w14:paraId="0CFF52C4">
            <w:pPr>
              <w:jc w:val="right"/>
            </w:pPr>
            <w:r>
              <w:rPr>
                <w:rFonts w:hint="eastAsia"/>
              </w:rPr>
              <w:t>-</w:t>
            </w:r>
          </w:p>
        </w:tc>
        <w:tc>
          <w:tcPr>
            <w:tcW w:w="1232" w:type="dxa"/>
            <w:vAlign w:val="center"/>
          </w:tcPr>
          <w:p w14:paraId="5A0BD39A">
            <w:pPr>
              <w:jc w:val="right"/>
            </w:pPr>
            <w:r>
              <w:rPr>
                <w:rFonts w:hint="eastAsia"/>
              </w:rPr>
              <w:t>1,868,420,970.41</w:t>
            </w:r>
          </w:p>
        </w:tc>
      </w:tr>
      <w:tr w14:paraId="00C53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2450C22">
            <w:r>
              <w:rPr>
                <w:rFonts w:hint="eastAsia"/>
              </w:rPr>
              <w:t>资产合计</w:t>
            </w:r>
          </w:p>
        </w:tc>
        <w:tc>
          <w:tcPr>
            <w:tcW w:w="1232" w:type="dxa"/>
            <w:vAlign w:val="center"/>
          </w:tcPr>
          <w:p w14:paraId="09337F3A">
            <w:pPr>
              <w:jc w:val="right"/>
            </w:pPr>
            <w:r>
              <w:rPr>
                <w:rFonts w:hint="eastAsia"/>
              </w:rPr>
              <w:t>315,982.31</w:t>
            </w:r>
          </w:p>
        </w:tc>
        <w:tc>
          <w:tcPr>
            <w:tcW w:w="1232" w:type="dxa"/>
            <w:vAlign w:val="center"/>
          </w:tcPr>
          <w:p w14:paraId="5B91B12E">
            <w:pPr>
              <w:jc w:val="right"/>
            </w:pPr>
            <w:r>
              <w:rPr>
                <w:rFonts w:hint="eastAsia"/>
              </w:rPr>
              <w:t>1,938,053,475.61</w:t>
            </w:r>
          </w:p>
        </w:tc>
        <w:tc>
          <w:tcPr>
            <w:tcW w:w="1232" w:type="dxa"/>
            <w:vAlign w:val="center"/>
          </w:tcPr>
          <w:p w14:paraId="4AB202B5">
            <w:pPr>
              <w:jc w:val="right"/>
            </w:pPr>
            <w:r>
              <w:rPr>
                <w:rFonts w:hint="eastAsia"/>
              </w:rPr>
              <w:t>-</w:t>
            </w:r>
          </w:p>
        </w:tc>
        <w:tc>
          <w:tcPr>
            <w:tcW w:w="1232" w:type="dxa"/>
            <w:vAlign w:val="center"/>
          </w:tcPr>
          <w:p w14:paraId="5EB3F4E8">
            <w:pPr>
              <w:jc w:val="right"/>
            </w:pPr>
            <w:r>
              <w:rPr>
                <w:rFonts w:hint="eastAsia"/>
              </w:rPr>
              <w:t>-</w:t>
            </w:r>
          </w:p>
        </w:tc>
        <w:tc>
          <w:tcPr>
            <w:tcW w:w="1232" w:type="dxa"/>
            <w:vAlign w:val="center"/>
          </w:tcPr>
          <w:p w14:paraId="19D80873">
            <w:pPr>
              <w:jc w:val="right"/>
            </w:pPr>
            <w:r>
              <w:rPr>
                <w:rFonts w:hint="eastAsia"/>
              </w:rPr>
              <w:t>-</w:t>
            </w:r>
          </w:p>
        </w:tc>
        <w:tc>
          <w:tcPr>
            <w:tcW w:w="1232" w:type="dxa"/>
            <w:vAlign w:val="center"/>
          </w:tcPr>
          <w:p w14:paraId="05726325">
            <w:pPr>
              <w:jc w:val="right"/>
            </w:pPr>
            <w:r>
              <w:rPr>
                <w:rFonts w:hint="eastAsia"/>
              </w:rPr>
              <w:t>1,938,369,457.92</w:t>
            </w:r>
          </w:p>
        </w:tc>
      </w:tr>
      <w:tr w14:paraId="27B38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4FE1397">
            <w:r>
              <w:rPr>
                <w:rFonts w:hint="eastAsia"/>
              </w:rPr>
              <w:t>以外币计价的负债</w:t>
            </w:r>
          </w:p>
        </w:tc>
        <w:tc>
          <w:tcPr>
            <w:tcW w:w="1232" w:type="dxa"/>
            <w:vAlign w:val="center"/>
          </w:tcPr>
          <w:p w14:paraId="211F23EE"/>
        </w:tc>
        <w:tc>
          <w:tcPr>
            <w:tcW w:w="1232" w:type="dxa"/>
            <w:vAlign w:val="center"/>
          </w:tcPr>
          <w:p w14:paraId="71BBC94B"/>
        </w:tc>
        <w:tc>
          <w:tcPr>
            <w:tcW w:w="1232" w:type="dxa"/>
            <w:vAlign w:val="center"/>
          </w:tcPr>
          <w:p w14:paraId="1065A6A8"/>
        </w:tc>
        <w:tc>
          <w:tcPr>
            <w:tcW w:w="1232" w:type="dxa"/>
            <w:vAlign w:val="center"/>
          </w:tcPr>
          <w:p w14:paraId="1BD83ED4"/>
        </w:tc>
        <w:tc>
          <w:tcPr>
            <w:tcW w:w="1232" w:type="dxa"/>
            <w:vAlign w:val="center"/>
          </w:tcPr>
          <w:p w14:paraId="2983BDA3"/>
        </w:tc>
        <w:tc>
          <w:tcPr>
            <w:tcW w:w="1232" w:type="dxa"/>
            <w:vAlign w:val="center"/>
          </w:tcPr>
          <w:p w14:paraId="6F7057EA"/>
        </w:tc>
      </w:tr>
      <w:tr w14:paraId="7BC90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4C5D4A6">
            <w:r>
              <w:rPr>
                <w:rFonts w:hint="eastAsia"/>
              </w:rPr>
              <w:t>应付清算款</w:t>
            </w:r>
          </w:p>
        </w:tc>
        <w:tc>
          <w:tcPr>
            <w:tcW w:w="1232" w:type="dxa"/>
            <w:vAlign w:val="center"/>
          </w:tcPr>
          <w:p w14:paraId="781965F5">
            <w:pPr>
              <w:jc w:val="right"/>
            </w:pPr>
            <w:r>
              <w:rPr>
                <w:rFonts w:hint="eastAsia"/>
              </w:rPr>
              <w:t>-</w:t>
            </w:r>
          </w:p>
        </w:tc>
        <w:tc>
          <w:tcPr>
            <w:tcW w:w="1232" w:type="dxa"/>
            <w:vAlign w:val="center"/>
          </w:tcPr>
          <w:p w14:paraId="503E8D38">
            <w:pPr>
              <w:jc w:val="right"/>
            </w:pPr>
            <w:r>
              <w:rPr>
                <w:rFonts w:hint="eastAsia"/>
              </w:rPr>
              <w:t>32,041,782.50</w:t>
            </w:r>
          </w:p>
        </w:tc>
        <w:tc>
          <w:tcPr>
            <w:tcW w:w="1232" w:type="dxa"/>
            <w:vAlign w:val="center"/>
          </w:tcPr>
          <w:p w14:paraId="7252BBE9">
            <w:pPr>
              <w:jc w:val="right"/>
            </w:pPr>
            <w:r>
              <w:rPr>
                <w:rFonts w:hint="eastAsia"/>
              </w:rPr>
              <w:t>-</w:t>
            </w:r>
          </w:p>
        </w:tc>
        <w:tc>
          <w:tcPr>
            <w:tcW w:w="1232" w:type="dxa"/>
            <w:vAlign w:val="center"/>
          </w:tcPr>
          <w:p w14:paraId="27DD51C7">
            <w:pPr>
              <w:jc w:val="right"/>
            </w:pPr>
            <w:r>
              <w:rPr>
                <w:rFonts w:hint="eastAsia"/>
              </w:rPr>
              <w:t>-</w:t>
            </w:r>
          </w:p>
        </w:tc>
        <w:tc>
          <w:tcPr>
            <w:tcW w:w="1232" w:type="dxa"/>
            <w:vAlign w:val="center"/>
          </w:tcPr>
          <w:p w14:paraId="03F439CD">
            <w:pPr>
              <w:jc w:val="right"/>
            </w:pPr>
            <w:r>
              <w:rPr>
                <w:rFonts w:hint="eastAsia"/>
              </w:rPr>
              <w:t>-</w:t>
            </w:r>
          </w:p>
        </w:tc>
        <w:tc>
          <w:tcPr>
            <w:tcW w:w="1232" w:type="dxa"/>
            <w:vAlign w:val="center"/>
          </w:tcPr>
          <w:p w14:paraId="3BB09927">
            <w:pPr>
              <w:jc w:val="right"/>
            </w:pPr>
            <w:r>
              <w:rPr>
                <w:rFonts w:hint="eastAsia"/>
              </w:rPr>
              <w:t>32,041,782.50</w:t>
            </w:r>
          </w:p>
        </w:tc>
      </w:tr>
      <w:tr w14:paraId="512E2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838BA24">
            <w:r>
              <w:rPr>
                <w:rFonts w:hint="eastAsia"/>
              </w:rPr>
              <w:t>负债合计</w:t>
            </w:r>
          </w:p>
        </w:tc>
        <w:tc>
          <w:tcPr>
            <w:tcW w:w="1232" w:type="dxa"/>
            <w:vAlign w:val="center"/>
          </w:tcPr>
          <w:p w14:paraId="06F4F527">
            <w:pPr>
              <w:jc w:val="right"/>
            </w:pPr>
            <w:r>
              <w:rPr>
                <w:rFonts w:hint="eastAsia"/>
              </w:rPr>
              <w:t>-</w:t>
            </w:r>
          </w:p>
        </w:tc>
        <w:tc>
          <w:tcPr>
            <w:tcW w:w="1232" w:type="dxa"/>
            <w:vAlign w:val="center"/>
          </w:tcPr>
          <w:p w14:paraId="7D6FD557">
            <w:pPr>
              <w:jc w:val="right"/>
            </w:pPr>
            <w:r>
              <w:rPr>
                <w:rFonts w:hint="eastAsia"/>
              </w:rPr>
              <w:t>32,041,782.50</w:t>
            </w:r>
          </w:p>
        </w:tc>
        <w:tc>
          <w:tcPr>
            <w:tcW w:w="1232" w:type="dxa"/>
            <w:vAlign w:val="center"/>
          </w:tcPr>
          <w:p w14:paraId="27A2706C">
            <w:pPr>
              <w:jc w:val="right"/>
            </w:pPr>
            <w:r>
              <w:rPr>
                <w:rFonts w:hint="eastAsia"/>
              </w:rPr>
              <w:t>-</w:t>
            </w:r>
          </w:p>
        </w:tc>
        <w:tc>
          <w:tcPr>
            <w:tcW w:w="1232" w:type="dxa"/>
            <w:vAlign w:val="center"/>
          </w:tcPr>
          <w:p w14:paraId="5F27B69D">
            <w:pPr>
              <w:jc w:val="right"/>
            </w:pPr>
            <w:r>
              <w:rPr>
                <w:rFonts w:hint="eastAsia"/>
              </w:rPr>
              <w:t>-</w:t>
            </w:r>
          </w:p>
        </w:tc>
        <w:tc>
          <w:tcPr>
            <w:tcW w:w="1232" w:type="dxa"/>
            <w:vAlign w:val="center"/>
          </w:tcPr>
          <w:p w14:paraId="74E424ED">
            <w:pPr>
              <w:jc w:val="right"/>
            </w:pPr>
            <w:r>
              <w:rPr>
                <w:rFonts w:hint="eastAsia"/>
              </w:rPr>
              <w:t>-</w:t>
            </w:r>
          </w:p>
        </w:tc>
        <w:tc>
          <w:tcPr>
            <w:tcW w:w="1232" w:type="dxa"/>
            <w:vAlign w:val="center"/>
          </w:tcPr>
          <w:p w14:paraId="6283658C">
            <w:pPr>
              <w:jc w:val="right"/>
            </w:pPr>
            <w:r>
              <w:rPr>
                <w:rFonts w:hint="eastAsia"/>
              </w:rPr>
              <w:t>32,041,782.50</w:t>
            </w:r>
          </w:p>
        </w:tc>
      </w:tr>
      <w:tr w14:paraId="38E85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34C5A1B">
            <w:r>
              <w:rPr>
                <w:rFonts w:hint="eastAsia"/>
              </w:rPr>
              <w:t>资产负债表外汇风险敞口净额</w:t>
            </w:r>
          </w:p>
        </w:tc>
        <w:tc>
          <w:tcPr>
            <w:tcW w:w="1232" w:type="dxa"/>
            <w:vAlign w:val="center"/>
          </w:tcPr>
          <w:p w14:paraId="46F9845F">
            <w:pPr>
              <w:jc w:val="right"/>
            </w:pPr>
            <w:r>
              <w:rPr>
                <w:rFonts w:hint="eastAsia"/>
              </w:rPr>
              <w:t>315,982.31</w:t>
            </w:r>
          </w:p>
        </w:tc>
        <w:tc>
          <w:tcPr>
            <w:tcW w:w="1232" w:type="dxa"/>
            <w:vAlign w:val="center"/>
          </w:tcPr>
          <w:p w14:paraId="7ACFAE19">
            <w:pPr>
              <w:jc w:val="right"/>
            </w:pPr>
            <w:r>
              <w:rPr>
                <w:rFonts w:hint="eastAsia"/>
              </w:rPr>
              <w:t>1,906,011,693.11</w:t>
            </w:r>
          </w:p>
        </w:tc>
        <w:tc>
          <w:tcPr>
            <w:tcW w:w="1232" w:type="dxa"/>
            <w:vAlign w:val="center"/>
          </w:tcPr>
          <w:p w14:paraId="467558C5">
            <w:pPr>
              <w:jc w:val="right"/>
            </w:pPr>
            <w:r>
              <w:rPr>
                <w:rFonts w:hint="eastAsia"/>
              </w:rPr>
              <w:t>-</w:t>
            </w:r>
          </w:p>
        </w:tc>
        <w:tc>
          <w:tcPr>
            <w:tcW w:w="1232" w:type="dxa"/>
            <w:vAlign w:val="center"/>
          </w:tcPr>
          <w:p w14:paraId="381AED04">
            <w:pPr>
              <w:jc w:val="right"/>
            </w:pPr>
            <w:r>
              <w:rPr>
                <w:rFonts w:hint="eastAsia"/>
              </w:rPr>
              <w:t>-</w:t>
            </w:r>
          </w:p>
        </w:tc>
        <w:tc>
          <w:tcPr>
            <w:tcW w:w="1232" w:type="dxa"/>
            <w:vAlign w:val="center"/>
          </w:tcPr>
          <w:p w14:paraId="0DD7ADD1">
            <w:pPr>
              <w:jc w:val="right"/>
            </w:pPr>
            <w:r>
              <w:rPr>
                <w:rFonts w:hint="eastAsia"/>
              </w:rPr>
              <w:t>-</w:t>
            </w:r>
          </w:p>
        </w:tc>
        <w:tc>
          <w:tcPr>
            <w:tcW w:w="1232" w:type="dxa"/>
            <w:vAlign w:val="center"/>
          </w:tcPr>
          <w:p w14:paraId="35D6C68C">
            <w:pPr>
              <w:jc w:val="right"/>
            </w:pPr>
            <w:r>
              <w:rPr>
                <w:rFonts w:hint="eastAsia"/>
              </w:rPr>
              <w:t>1,906,327,675.42</w:t>
            </w:r>
          </w:p>
        </w:tc>
      </w:tr>
    </w:tbl>
    <w:p w14:paraId="418EAAD2">
      <w:pPr>
        <w:pStyle w:val="37"/>
      </w:pPr>
      <w:bookmarkStart w:id="150" w:name="_Toc150"/>
      <w:r>
        <w:t>外汇风险的敏感性分析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0296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0EEF46">
            <w:r>
              <w:rPr>
                <w:rFonts w:hint="eastAsia"/>
              </w:rPr>
              <w:t>假设</w:t>
            </w:r>
          </w:p>
        </w:tc>
        <w:tc>
          <w:tcPr>
            <w:tcW w:w="2768" w:type="dxa"/>
            <w:gridSpan w:val="2"/>
            <w:vAlign w:val="center"/>
          </w:tcPr>
          <w:p w14:paraId="526E4105">
            <w:r>
              <w:rPr>
                <w:rFonts w:hint="eastAsia"/>
              </w:rPr>
              <w:t>除汇率以外的其他市场变量保持不变</w:t>
            </w:r>
          </w:p>
        </w:tc>
      </w:tr>
      <w:tr w14:paraId="55827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072868C1">
            <w:r>
              <w:rPr>
                <w:rFonts w:hint="eastAsia"/>
              </w:rPr>
              <w:t>分析</w:t>
            </w:r>
          </w:p>
        </w:tc>
        <w:tc>
          <w:tcPr>
            <w:tcW w:w="2768" w:type="dxa"/>
            <w:vMerge w:val="restart"/>
            <w:vAlign w:val="center"/>
          </w:tcPr>
          <w:p w14:paraId="58626A3F">
            <w:r>
              <w:rPr>
                <w:rFonts w:hint="eastAsia"/>
              </w:rPr>
              <w:t>相关风险变量的变动</w:t>
            </w:r>
          </w:p>
        </w:tc>
        <w:tc>
          <w:tcPr>
            <w:tcW w:w="2768" w:type="dxa"/>
            <w:vAlign w:val="center"/>
          </w:tcPr>
          <w:p w14:paraId="5F8F5AFB">
            <w:r>
              <w:rPr>
                <w:rFonts w:hint="eastAsia"/>
              </w:rPr>
              <w:t>对资产负债表日基金资产净值的影响金额（单位：人民币元）</w:t>
            </w:r>
          </w:p>
        </w:tc>
      </w:tr>
      <w:tr w14:paraId="07EB7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77ACF64"/>
        </w:tc>
        <w:tc>
          <w:tcPr>
            <w:tcW w:w="2768" w:type="dxa"/>
            <w:vMerge w:val="continue"/>
            <w:vAlign w:val="center"/>
          </w:tcPr>
          <w:p w14:paraId="031F1E41"/>
        </w:tc>
        <w:tc>
          <w:tcPr>
            <w:tcW w:w="2768" w:type="dxa"/>
            <w:vAlign w:val="center"/>
          </w:tcPr>
          <w:p w14:paraId="14170B59">
            <w:r>
              <w:rPr>
                <w:rFonts w:hint="eastAsia"/>
              </w:rPr>
              <w:t>本期末（ 2025年12月31日 ）</w:t>
            </w:r>
          </w:p>
        </w:tc>
      </w:tr>
      <w:tr w14:paraId="06546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86410D2"/>
        </w:tc>
        <w:tc>
          <w:tcPr>
            <w:tcW w:w="2768" w:type="dxa"/>
            <w:vAlign w:val="center"/>
          </w:tcPr>
          <w:p w14:paraId="4CF34D0A">
            <w:r>
              <w:rPr>
                <w:rFonts w:hint="eastAsia"/>
              </w:rPr>
              <w:t>1. 所有外币相对人民币升值 5%</w:t>
            </w:r>
          </w:p>
        </w:tc>
        <w:tc>
          <w:tcPr>
            <w:tcW w:w="2768" w:type="dxa"/>
            <w:vAlign w:val="center"/>
          </w:tcPr>
          <w:p w14:paraId="7F30F661">
            <w:pPr>
              <w:jc w:val="right"/>
            </w:pPr>
            <w:r>
              <w:rPr>
                <w:rFonts w:hint="eastAsia"/>
              </w:rPr>
              <w:t>95,316,383.77</w:t>
            </w:r>
          </w:p>
        </w:tc>
      </w:tr>
      <w:tr w14:paraId="3B0F0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81156B7"/>
        </w:tc>
        <w:tc>
          <w:tcPr>
            <w:tcW w:w="2768" w:type="dxa"/>
            <w:vAlign w:val="center"/>
          </w:tcPr>
          <w:p w14:paraId="23004510">
            <w:r>
              <w:rPr>
                <w:rFonts w:hint="eastAsia"/>
              </w:rPr>
              <w:t>2. 所有外币相对人民币贬值 5%</w:t>
            </w:r>
          </w:p>
        </w:tc>
        <w:tc>
          <w:tcPr>
            <w:tcW w:w="2768" w:type="dxa"/>
            <w:vAlign w:val="center"/>
          </w:tcPr>
          <w:p w14:paraId="52E66BF6">
            <w:pPr>
              <w:jc w:val="right"/>
            </w:pPr>
            <w:r>
              <w:rPr>
                <w:rFonts w:hint="eastAsia"/>
              </w:rPr>
              <w:t>-95,316,383.77</w:t>
            </w:r>
          </w:p>
        </w:tc>
      </w:tr>
    </w:tbl>
    <w:p w14:paraId="5676FD82">
      <w:pPr>
        <w:pStyle w:val="36"/>
      </w:pPr>
      <w:bookmarkStart w:id="151" w:name="_Toc151"/>
      <w:r>
        <w:t>其他价格风险</w:t>
      </w:r>
      <w:bookmarkEnd w:id="151"/>
    </w:p>
    <w:p w14:paraId="6A875173">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股票，所面临的其他价格风险来源于单个证券发行主体自身经营情况或特殊事项的影响，也可能来源于证券市场整体波动的影响。</w:t>
      </w:r>
    </w:p>
    <w:p w14:paraId="23964B17">
      <w:pPr>
        <w:pStyle w:val="18"/>
        <w:rPr>
          <w:rFonts w:hint="eastAsia"/>
        </w:rPr>
      </w:pPr>
      <w:r>
        <w:rPr>
          <w:rFonts w:hint="eastAsia"/>
        </w:rPr>
        <w:t>本基金采用完全复制法，以完全按照标的指数成份股组成及其权重构建基金股票投资组合为原则，通过指数化分散投资降低其他价格风险。此外，本基金的基金管理人每日对本基金所持有的证券价格实施监控，定期运用多种定量方法对基金进行风险度量，来测试本基金面临的潜在价格风险，及时可靠地对风险进行跟踪和控制。</w:t>
      </w:r>
    </w:p>
    <w:p w14:paraId="5601FB27">
      <w:pPr>
        <w:pStyle w:val="37"/>
      </w:pPr>
      <w:bookmarkStart w:id="152" w:name="_Toc152"/>
      <w:r>
        <w:t>其他价格风险敞口</w:t>
      </w:r>
      <w:bookmarkEnd w:id="152"/>
    </w:p>
    <w:p w14:paraId="292B703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B4C8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74C005B9">
            <w:pPr>
              <w:jc w:val="center"/>
            </w:pPr>
            <w:r>
              <w:rPr>
                <w:rFonts w:hint="eastAsia"/>
                <w:b/>
              </w:rPr>
              <w:t>项目</w:t>
            </w:r>
          </w:p>
        </w:tc>
        <w:tc>
          <w:tcPr>
            <w:tcW w:w="2768" w:type="dxa"/>
            <w:gridSpan w:val="2"/>
            <w:shd w:val="clear" w:color="auto" w:fill="BFBFBF"/>
            <w:vAlign w:val="center"/>
          </w:tcPr>
          <w:p w14:paraId="792142DB">
            <w:pPr>
              <w:jc w:val="center"/>
            </w:pPr>
            <w:r>
              <w:rPr>
                <w:rFonts w:hint="eastAsia"/>
                <w:b/>
              </w:rPr>
              <w:t>本期末2025年12月31日</w:t>
            </w:r>
          </w:p>
        </w:tc>
      </w:tr>
      <w:tr w14:paraId="0ED85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325862E"/>
        </w:tc>
        <w:tc>
          <w:tcPr>
            <w:tcW w:w="2768" w:type="dxa"/>
            <w:shd w:val="clear" w:color="auto" w:fill="BFBFBF"/>
            <w:vAlign w:val="center"/>
          </w:tcPr>
          <w:p w14:paraId="362FC342">
            <w:pPr>
              <w:jc w:val="center"/>
            </w:pPr>
            <w:r>
              <w:rPr>
                <w:rFonts w:hint="eastAsia"/>
                <w:b/>
              </w:rPr>
              <w:t>公允价值</w:t>
            </w:r>
          </w:p>
        </w:tc>
        <w:tc>
          <w:tcPr>
            <w:tcW w:w="2768" w:type="dxa"/>
            <w:shd w:val="clear" w:color="auto" w:fill="BFBFBF"/>
            <w:vAlign w:val="center"/>
          </w:tcPr>
          <w:p w14:paraId="1AB99B55">
            <w:pPr>
              <w:jc w:val="center"/>
            </w:pPr>
            <w:r>
              <w:rPr>
                <w:rFonts w:hint="eastAsia"/>
                <w:b/>
              </w:rPr>
              <w:t>占基金资产净值比例（%）</w:t>
            </w:r>
          </w:p>
        </w:tc>
      </w:tr>
      <w:tr w14:paraId="5F6A5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5D2D1C">
            <w:r>
              <w:rPr>
                <w:rFonts w:hint="eastAsia"/>
              </w:rPr>
              <w:t>交易性金融资产-股票投资</w:t>
            </w:r>
          </w:p>
        </w:tc>
        <w:tc>
          <w:tcPr>
            <w:tcW w:w="2768" w:type="dxa"/>
            <w:vAlign w:val="center"/>
          </w:tcPr>
          <w:p w14:paraId="3333E1AE">
            <w:pPr>
              <w:jc w:val="right"/>
            </w:pPr>
            <w:r>
              <w:rPr>
                <w:rFonts w:hint="eastAsia"/>
              </w:rPr>
              <w:t>1,868,420,970.41</w:t>
            </w:r>
          </w:p>
        </w:tc>
        <w:tc>
          <w:tcPr>
            <w:tcW w:w="2768" w:type="dxa"/>
            <w:vAlign w:val="center"/>
          </w:tcPr>
          <w:p w14:paraId="35ADD35B">
            <w:pPr>
              <w:jc w:val="right"/>
            </w:pPr>
            <w:r>
              <w:rPr>
                <w:rFonts w:hint="eastAsia"/>
              </w:rPr>
              <w:t>96.51</w:t>
            </w:r>
          </w:p>
        </w:tc>
      </w:tr>
      <w:tr w14:paraId="71DD2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65988D">
            <w:r>
              <w:rPr>
                <w:rFonts w:hint="eastAsia"/>
              </w:rPr>
              <w:t>交易性金融资产-基金投资</w:t>
            </w:r>
          </w:p>
        </w:tc>
        <w:tc>
          <w:tcPr>
            <w:tcW w:w="2768" w:type="dxa"/>
            <w:vAlign w:val="center"/>
          </w:tcPr>
          <w:p w14:paraId="267E84FF">
            <w:pPr>
              <w:jc w:val="right"/>
            </w:pPr>
            <w:r>
              <w:rPr>
                <w:rFonts w:hint="eastAsia"/>
              </w:rPr>
              <w:t>-</w:t>
            </w:r>
          </w:p>
        </w:tc>
        <w:tc>
          <w:tcPr>
            <w:tcW w:w="2768" w:type="dxa"/>
            <w:vAlign w:val="center"/>
          </w:tcPr>
          <w:p w14:paraId="711E1B3E">
            <w:pPr>
              <w:jc w:val="right"/>
            </w:pPr>
            <w:r>
              <w:rPr>
                <w:rFonts w:hint="eastAsia"/>
              </w:rPr>
              <w:t>-</w:t>
            </w:r>
          </w:p>
        </w:tc>
      </w:tr>
      <w:tr w14:paraId="7903E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2630F6">
            <w:r>
              <w:rPr>
                <w:rFonts w:hint="eastAsia"/>
              </w:rPr>
              <w:t>交易性金融资产-贵金属投资</w:t>
            </w:r>
          </w:p>
        </w:tc>
        <w:tc>
          <w:tcPr>
            <w:tcW w:w="2768" w:type="dxa"/>
            <w:vAlign w:val="center"/>
          </w:tcPr>
          <w:p w14:paraId="4766AC40">
            <w:pPr>
              <w:jc w:val="right"/>
            </w:pPr>
            <w:r>
              <w:rPr>
                <w:rFonts w:hint="eastAsia"/>
              </w:rPr>
              <w:t>-</w:t>
            </w:r>
          </w:p>
        </w:tc>
        <w:tc>
          <w:tcPr>
            <w:tcW w:w="2768" w:type="dxa"/>
            <w:vAlign w:val="center"/>
          </w:tcPr>
          <w:p w14:paraId="720D332A">
            <w:pPr>
              <w:jc w:val="right"/>
            </w:pPr>
            <w:r>
              <w:rPr>
                <w:rFonts w:hint="eastAsia"/>
              </w:rPr>
              <w:t>-</w:t>
            </w:r>
          </w:p>
        </w:tc>
      </w:tr>
      <w:tr w14:paraId="60E93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8666C5">
            <w:r>
              <w:rPr>
                <w:rFonts w:hint="eastAsia"/>
              </w:rPr>
              <w:t>衍生金融资产-权证投资</w:t>
            </w:r>
          </w:p>
        </w:tc>
        <w:tc>
          <w:tcPr>
            <w:tcW w:w="2768" w:type="dxa"/>
            <w:vAlign w:val="center"/>
          </w:tcPr>
          <w:p w14:paraId="523567F6">
            <w:pPr>
              <w:jc w:val="right"/>
            </w:pPr>
            <w:r>
              <w:rPr>
                <w:rFonts w:hint="eastAsia"/>
              </w:rPr>
              <w:t>-</w:t>
            </w:r>
          </w:p>
        </w:tc>
        <w:tc>
          <w:tcPr>
            <w:tcW w:w="2768" w:type="dxa"/>
            <w:vAlign w:val="center"/>
          </w:tcPr>
          <w:p w14:paraId="695BE539">
            <w:pPr>
              <w:jc w:val="right"/>
            </w:pPr>
            <w:r>
              <w:rPr>
                <w:rFonts w:hint="eastAsia"/>
              </w:rPr>
              <w:t>-</w:t>
            </w:r>
          </w:p>
        </w:tc>
      </w:tr>
      <w:tr w14:paraId="4B142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C438F8">
            <w:r>
              <w:rPr>
                <w:rFonts w:hint="eastAsia"/>
              </w:rPr>
              <w:t>其他</w:t>
            </w:r>
          </w:p>
        </w:tc>
        <w:tc>
          <w:tcPr>
            <w:tcW w:w="2768" w:type="dxa"/>
            <w:vAlign w:val="center"/>
          </w:tcPr>
          <w:p w14:paraId="24C3348F">
            <w:pPr>
              <w:jc w:val="right"/>
            </w:pPr>
            <w:r>
              <w:rPr>
                <w:rFonts w:hint="eastAsia"/>
              </w:rPr>
              <w:t>-</w:t>
            </w:r>
          </w:p>
        </w:tc>
        <w:tc>
          <w:tcPr>
            <w:tcW w:w="2768" w:type="dxa"/>
            <w:vAlign w:val="center"/>
          </w:tcPr>
          <w:p w14:paraId="10F4A21E">
            <w:pPr>
              <w:jc w:val="right"/>
            </w:pPr>
            <w:r>
              <w:rPr>
                <w:rFonts w:hint="eastAsia"/>
              </w:rPr>
              <w:t>-</w:t>
            </w:r>
          </w:p>
        </w:tc>
      </w:tr>
      <w:tr w14:paraId="2F985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4B6337">
            <w:r>
              <w:rPr>
                <w:rFonts w:hint="eastAsia"/>
              </w:rPr>
              <w:t>合计</w:t>
            </w:r>
          </w:p>
        </w:tc>
        <w:tc>
          <w:tcPr>
            <w:tcW w:w="2768" w:type="dxa"/>
            <w:vAlign w:val="center"/>
          </w:tcPr>
          <w:p w14:paraId="41E44D41">
            <w:pPr>
              <w:jc w:val="right"/>
            </w:pPr>
            <w:r>
              <w:rPr>
                <w:rFonts w:hint="eastAsia"/>
              </w:rPr>
              <w:t>1,868,420,970.41</w:t>
            </w:r>
          </w:p>
        </w:tc>
        <w:tc>
          <w:tcPr>
            <w:tcW w:w="2768" w:type="dxa"/>
            <w:vAlign w:val="center"/>
          </w:tcPr>
          <w:p w14:paraId="41A2A498">
            <w:pPr>
              <w:jc w:val="right"/>
            </w:pPr>
            <w:r>
              <w:rPr>
                <w:rFonts w:hint="eastAsia"/>
              </w:rPr>
              <w:t>96.51</w:t>
            </w:r>
          </w:p>
        </w:tc>
      </w:tr>
    </w:tbl>
    <w:p w14:paraId="0273B099">
      <w:pPr>
        <w:pStyle w:val="47"/>
        <w:rPr>
          <w:rFonts w:hint="eastAsia"/>
        </w:rPr>
      </w:pPr>
      <w:r>
        <w:rPr>
          <w:rFonts w:hint="eastAsia"/>
        </w:rPr>
        <w:t>注：其他包含在期货交易所交易的期货投资（附注“衍生金融资产/负债”）。在当日无负债结算制度下，期货投资与相关的期货暂收款（结算所得的持仓损益）之间按抵销后的净额为0。</w:t>
      </w:r>
    </w:p>
    <w:p w14:paraId="5BAD5F3A">
      <w:pPr>
        <w:pStyle w:val="37"/>
      </w:pPr>
      <w:bookmarkStart w:id="153" w:name="_Toc153"/>
      <w:r>
        <w:t>其他价格风险的敏感性分析</w:t>
      </w:r>
      <w:bookmarkEnd w:id="15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8D47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96E738">
            <w:r>
              <w:rPr>
                <w:rFonts w:hint="eastAsia"/>
              </w:rPr>
              <w:t>假设</w:t>
            </w:r>
          </w:p>
        </w:tc>
        <w:tc>
          <w:tcPr>
            <w:tcW w:w="2768" w:type="dxa"/>
            <w:gridSpan w:val="2"/>
            <w:vAlign w:val="center"/>
          </w:tcPr>
          <w:p w14:paraId="2329411D">
            <w:r>
              <w:rPr>
                <w:rFonts w:hint="eastAsia"/>
              </w:rPr>
              <w:t>除业绩比较基准以外的其他市场变量保持不变</w:t>
            </w:r>
          </w:p>
        </w:tc>
      </w:tr>
      <w:tr w14:paraId="74663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853537E">
            <w:r>
              <w:rPr>
                <w:rFonts w:hint="eastAsia"/>
              </w:rPr>
              <w:t>分析</w:t>
            </w:r>
          </w:p>
        </w:tc>
        <w:tc>
          <w:tcPr>
            <w:tcW w:w="2768" w:type="dxa"/>
            <w:vMerge w:val="restart"/>
            <w:vAlign w:val="center"/>
          </w:tcPr>
          <w:p w14:paraId="33A8F586">
            <w:r>
              <w:rPr>
                <w:rFonts w:hint="eastAsia"/>
              </w:rPr>
              <w:t>相关风险变量的变动</w:t>
            </w:r>
          </w:p>
        </w:tc>
        <w:tc>
          <w:tcPr>
            <w:tcW w:w="2768" w:type="dxa"/>
            <w:vAlign w:val="center"/>
          </w:tcPr>
          <w:p w14:paraId="232A3B06">
            <w:r>
              <w:rPr>
                <w:rFonts w:hint="eastAsia"/>
              </w:rPr>
              <w:t>对资产负债表日基金资产净值的影响金额（单位：人民币元）</w:t>
            </w:r>
          </w:p>
        </w:tc>
      </w:tr>
      <w:tr w14:paraId="5E0FD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C8B093B"/>
        </w:tc>
        <w:tc>
          <w:tcPr>
            <w:tcW w:w="2768" w:type="dxa"/>
            <w:vMerge w:val="continue"/>
            <w:vAlign w:val="center"/>
          </w:tcPr>
          <w:p w14:paraId="054C0804"/>
        </w:tc>
        <w:tc>
          <w:tcPr>
            <w:tcW w:w="2768" w:type="dxa"/>
            <w:vAlign w:val="center"/>
          </w:tcPr>
          <w:p w14:paraId="06835496">
            <w:r>
              <w:rPr>
                <w:rFonts w:hint="eastAsia"/>
              </w:rPr>
              <w:t>本期末（ 2025年12月31日 ）</w:t>
            </w:r>
          </w:p>
        </w:tc>
      </w:tr>
      <w:tr w14:paraId="0425A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A534521"/>
        </w:tc>
        <w:tc>
          <w:tcPr>
            <w:tcW w:w="2768" w:type="dxa"/>
            <w:vAlign w:val="center"/>
          </w:tcPr>
          <w:p w14:paraId="3A1A4ABB">
            <w:r>
              <w:rPr>
                <w:rFonts w:hint="eastAsia"/>
              </w:rPr>
              <w:t>1.组合自身基准上升 5%</w:t>
            </w:r>
          </w:p>
        </w:tc>
        <w:tc>
          <w:tcPr>
            <w:tcW w:w="2768" w:type="dxa"/>
            <w:vAlign w:val="center"/>
          </w:tcPr>
          <w:p w14:paraId="228CAF71">
            <w:pPr>
              <w:jc w:val="right"/>
            </w:pPr>
            <w:r>
              <w:rPr>
                <w:rFonts w:hint="eastAsia"/>
              </w:rPr>
              <w:t>75,585,753.14</w:t>
            </w:r>
          </w:p>
        </w:tc>
      </w:tr>
      <w:tr w14:paraId="0AED7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46ED340"/>
        </w:tc>
        <w:tc>
          <w:tcPr>
            <w:tcW w:w="2768" w:type="dxa"/>
            <w:vAlign w:val="center"/>
          </w:tcPr>
          <w:p w14:paraId="077EF286">
            <w:r>
              <w:rPr>
                <w:rFonts w:hint="eastAsia"/>
              </w:rPr>
              <w:t>2.组合自身基准下降 5%</w:t>
            </w:r>
          </w:p>
        </w:tc>
        <w:tc>
          <w:tcPr>
            <w:tcW w:w="2768" w:type="dxa"/>
            <w:vAlign w:val="center"/>
          </w:tcPr>
          <w:p w14:paraId="1DA1B26A">
            <w:pPr>
              <w:jc w:val="right"/>
            </w:pPr>
            <w:r>
              <w:rPr>
                <w:rFonts w:hint="eastAsia"/>
              </w:rPr>
              <w:t>-75,585,753.14</w:t>
            </w:r>
          </w:p>
        </w:tc>
      </w:tr>
    </w:tbl>
    <w:p w14:paraId="6ED14181">
      <w:pPr>
        <w:pStyle w:val="28"/>
      </w:pPr>
      <w:bookmarkStart w:id="154" w:name="_Toc154"/>
      <w:r>
        <w:t>公允价值</w:t>
      </w:r>
      <w:bookmarkEnd w:id="154"/>
    </w:p>
    <w:p w14:paraId="154F6D2B">
      <w:pPr>
        <w:pStyle w:val="35"/>
      </w:pPr>
      <w:bookmarkStart w:id="155" w:name="_Toc155"/>
      <w:r>
        <w:t>金融工具公允价值计量的方法</w:t>
      </w:r>
      <w:bookmarkEnd w:id="155"/>
    </w:p>
    <w:p w14:paraId="72486DB7">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0C5098E2">
      <w:pPr>
        <w:pStyle w:val="35"/>
      </w:pPr>
      <w:bookmarkStart w:id="156" w:name="_Toc156"/>
      <w:r>
        <w:t>持续的以公允价值计量的金融工具</w:t>
      </w:r>
      <w:bookmarkEnd w:id="156"/>
    </w:p>
    <w:p w14:paraId="4B4B4CDB">
      <w:pPr>
        <w:pStyle w:val="36"/>
      </w:pPr>
      <w:bookmarkStart w:id="157" w:name="_Toc157"/>
      <w:r>
        <w:t>各层次金融工具的公允价值</w:t>
      </w:r>
      <w:bookmarkEnd w:id="157"/>
    </w:p>
    <w:p w14:paraId="5C472FC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AEE2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EBC6AD5">
            <w:pPr>
              <w:jc w:val="center"/>
            </w:pPr>
            <w:r>
              <w:rPr>
                <w:rFonts w:hint="eastAsia"/>
                <w:b/>
              </w:rPr>
              <w:t>公允价值计量结果所属的层次</w:t>
            </w:r>
          </w:p>
        </w:tc>
        <w:tc>
          <w:tcPr>
            <w:tcW w:w="4153" w:type="dxa"/>
            <w:shd w:val="clear" w:color="auto" w:fill="BFBFBF"/>
            <w:vAlign w:val="center"/>
          </w:tcPr>
          <w:p w14:paraId="1F70C526">
            <w:pPr>
              <w:jc w:val="center"/>
            </w:pPr>
            <w:r>
              <w:rPr>
                <w:rFonts w:hint="eastAsia"/>
                <w:b/>
              </w:rPr>
              <w:t>本期末2025年12月31日</w:t>
            </w:r>
          </w:p>
        </w:tc>
      </w:tr>
      <w:tr w14:paraId="54635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0C952B">
            <w:r>
              <w:rPr>
                <w:rFonts w:hint="eastAsia"/>
              </w:rPr>
              <w:t>第一层次</w:t>
            </w:r>
          </w:p>
        </w:tc>
        <w:tc>
          <w:tcPr>
            <w:tcW w:w="4153" w:type="dxa"/>
            <w:vAlign w:val="center"/>
          </w:tcPr>
          <w:p w14:paraId="63945DDF">
            <w:pPr>
              <w:jc w:val="right"/>
            </w:pPr>
            <w:r>
              <w:rPr>
                <w:rFonts w:hint="eastAsia"/>
              </w:rPr>
              <w:t>1,868,420,970.41</w:t>
            </w:r>
          </w:p>
        </w:tc>
      </w:tr>
      <w:tr w14:paraId="5A09B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8F4F0B1">
            <w:r>
              <w:rPr>
                <w:rFonts w:hint="eastAsia"/>
              </w:rPr>
              <w:t>第二层次</w:t>
            </w:r>
          </w:p>
        </w:tc>
        <w:tc>
          <w:tcPr>
            <w:tcW w:w="4153" w:type="dxa"/>
            <w:vAlign w:val="center"/>
          </w:tcPr>
          <w:p w14:paraId="793F44AB">
            <w:pPr>
              <w:jc w:val="right"/>
            </w:pPr>
            <w:r>
              <w:rPr>
                <w:rFonts w:hint="eastAsia"/>
              </w:rPr>
              <w:t>-</w:t>
            </w:r>
          </w:p>
        </w:tc>
      </w:tr>
      <w:tr w14:paraId="25EBB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EDA416">
            <w:r>
              <w:rPr>
                <w:rFonts w:hint="eastAsia"/>
              </w:rPr>
              <w:t>第三层次</w:t>
            </w:r>
          </w:p>
        </w:tc>
        <w:tc>
          <w:tcPr>
            <w:tcW w:w="4153" w:type="dxa"/>
            <w:vAlign w:val="center"/>
          </w:tcPr>
          <w:p w14:paraId="78C1E2FC">
            <w:pPr>
              <w:jc w:val="right"/>
            </w:pPr>
            <w:r>
              <w:rPr>
                <w:rFonts w:hint="eastAsia"/>
              </w:rPr>
              <w:t>-</w:t>
            </w:r>
          </w:p>
        </w:tc>
      </w:tr>
      <w:tr w14:paraId="3825A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A7C9E5">
            <w:r>
              <w:rPr>
                <w:rFonts w:hint="eastAsia"/>
              </w:rPr>
              <w:t>合计</w:t>
            </w:r>
          </w:p>
        </w:tc>
        <w:tc>
          <w:tcPr>
            <w:tcW w:w="4153" w:type="dxa"/>
            <w:vAlign w:val="center"/>
          </w:tcPr>
          <w:p w14:paraId="3762B2DC">
            <w:pPr>
              <w:jc w:val="right"/>
            </w:pPr>
            <w:r>
              <w:rPr>
                <w:rFonts w:hint="eastAsia"/>
              </w:rPr>
              <w:t>1,868,420,970.41</w:t>
            </w:r>
          </w:p>
        </w:tc>
      </w:tr>
    </w:tbl>
    <w:p w14:paraId="49AF5AFA">
      <w:pPr>
        <w:pStyle w:val="36"/>
      </w:pPr>
      <w:bookmarkStart w:id="158" w:name="_Toc158"/>
      <w:r>
        <w:t>公允价值所属层次间的重大变动</w:t>
      </w:r>
      <w:bookmarkEnd w:id="158"/>
    </w:p>
    <w:p w14:paraId="4B52C464">
      <w:pPr>
        <w:pStyle w:val="18"/>
        <w:rPr>
          <w:rFonts w:hint="eastAsia"/>
        </w:rPr>
      </w:pPr>
      <w:r>
        <w:rPr>
          <w:rFonts w:hint="eastAsia"/>
        </w:rPr>
        <w:t>本基金调整公允价值计量层次转换时点的相关会计政策在前后各会计期间保持一致。</w:t>
      </w:r>
    </w:p>
    <w:p w14:paraId="33FA5A5B">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2C5F870F">
      <w:pPr>
        <w:pStyle w:val="35"/>
      </w:pPr>
      <w:bookmarkStart w:id="159" w:name="_Toc159"/>
      <w:r>
        <w:t>非持续的以公允价值计量的金融工具的说明</w:t>
      </w:r>
      <w:bookmarkEnd w:id="159"/>
    </w:p>
    <w:p w14:paraId="13A7BF31">
      <w:pPr>
        <w:pStyle w:val="18"/>
        <w:rPr>
          <w:rFonts w:hint="eastAsia"/>
        </w:rPr>
      </w:pPr>
      <w:r>
        <w:rPr>
          <w:rFonts w:hint="eastAsia"/>
        </w:rPr>
        <w:t>于本报告期末，本基金未持有非持续的以公允价值计量的金融资产。</w:t>
      </w:r>
    </w:p>
    <w:p w14:paraId="66FDF730">
      <w:pPr>
        <w:pStyle w:val="35"/>
      </w:pPr>
      <w:bookmarkStart w:id="160" w:name="_Toc160"/>
      <w:r>
        <w:t>不以公允价值计量的金融工具的相关说明</w:t>
      </w:r>
      <w:bookmarkEnd w:id="160"/>
    </w:p>
    <w:p w14:paraId="7BB0186E">
      <w:pPr>
        <w:pStyle w:val="18"/>
        <w:rPr>
          <w:rFonts w:hint="eastAsia"/>
        </w:rPr>
      </w:pPr>
      <w:r>
        <w:rPr>
          <w:rFonts w:hint="eastAsia"/>
        </w:rPr>
        <w:t>不以公允价值计量的金融资产和负债主要包括应收款项和其他金融负债，其账面价值与公允价值相差很小。</w:t>
      </w:r>
    </w:p>
    <w:p w14:paraId="377D4912">
      <w:pPr>
        <w:pStyle w:val="28"/>
      </w:pPr>
      <w:bookmarkStart w:id="161" w:name="_Toc161"/>
      <w:r>
        <w:t>有助于理解和分析会计报表需要说明的其他事项</w:t>
      </w:r>
      <w:bookmarkEnd w:id="161"/>
    </w:p>
    <w:p w14:paraId="658517EB">
      <w:pPr>
        <w:pStyle w:val="18"/>
        <w:rPr>
          <w:rFonts w:hint="eastAsia"/>
        </w:rPr>
      </w:pPr>
      <w:r>
        <w:rPr>
          <w:rFonts w:hint="eastAsia"/>
        </w:rPr>
        <w:t>截至资产负债表日本基金无需要说明的其他重要事项。</w:t>
      </w:r>
    </w:p>
    <w:p w14:paraId="33FF7A4C">
      <w:pPr>
        <w:pStyle w:val="26"/>
      </w:pPr>
      <w:bookmarkStart w:id="162" w:name="_Toc24162"/>
      <w:r>
        <w:t>投资组合报告</w:t>
      </w:r>
      <w:bookmarkEnd w:id="162"/>
    </w:p>
    <w:p w14:paraId="0E4CAD43">
      <w:pPr>
        <w:pStyle w:val="23"/>
      </w:pPr>
      <w:bookmarkStart w:id="163" w:name="_Toc14008"/>
      <w:r>
        <w:t>期末基金资产组合情况</w:t>
      </w:r>
      <w:bookmarkEnd w:id="163"/>
    </w:p>
    <w:p w14:paraId="52DB073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6C70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4A11A30">
            <w:pPr>
              <w:jc w:val="center"/>
            </w:pPr>
            <w:r>
              <w:rPr>
                <w:rFonts w:hint="eastAsia"/>
                <w:b/>
              </w:rPr>
              <w:t>序号</w:t>
            </w:r>
          </w:p>
        </w:tc>
        <w:tc>
          <w:tcPr>
            <w:tcW w:w="2076" w:type="dxa"/>
            <w:shd w:val="clear" w:color="auto" w:fill="BFBFBF"/>
            <w:vAlign w:val="center"/>
          </w:tcPr>
          <w:p w14:paraId="2B50CDEC">
            <w:pPr>
              <w:jc w:val="center"/>
            </w:pPr>
            <w:r>
              <w:rPr>
                <w:rFonts w:hint="eastAsia"/>
                <w:b/>
              </w:rPr>
              <w:t>项目</w:t>
            </w:r>
          </w:p>
        </w:tc>
        <w:tc>
          <w:tcPr>
            <w:tcW w:w="2076" w:type="dxa"/>
            <w:shd w:val="clear" w:color="auto" w:fill="BFBFBF"/>
            <w:vAlign w:val="center"/>
          </w:tcPr>
          <w:p w14:paraId="73BB1F69">
            <w:pPr>
              <w:jc w:val="center"/>
            </w:pPr>
            <w:r>
              <w:rPr>
                <w:rFonts w:hint="eastAsia"/>
                <w:b/>
              </w:rPr>
              <w:t>金额</w:t>
            </w:r>
          </w:p>
        </w:tc>
        <w:tc>
          <w:tcPr>
            <w:tcW w:w="2076" w:type="dxa"/>
            <w:shd w:val="clear" w:color="auto" w:fill="BFBFBF"/>
            <w:vAlign w:val="center"/>
          </w:tcPr>
          <w:p w14:paraId="7D328A18">
            <w:pPr>
              <w:jc w:val="center"/>
            </w:pPr>
            <w:r>
              <w:rPr>
                <w:rFonts w:hint="eastAsia"/>
                <w:b/>
              </w:rPr>
              <w:t>占基金总资产的比例（%）</w:t>
            </w:r>
          </w:p>
        </w:tc>
      </w:tr>
      <w:tr w14:paraId="5E4EC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DB8218">
            <w:pPr>
              <w:jc w:val="center"/>
            </w:pPr>
            <w:r>
              <w:rPr>
                <w:rFonts w:hint="eastAsia"/>
              </w:rPr>
              <w:t>1</w:t>
            </w:r>
          </w:p>
        </w:tc>
        <w:tc>
          <w:tcPr>
            <w:tcW w:w="2076" w:type="dxa"/>
            <w:vAlign w:val="center"/>
          </w:tcPr>
          <w:p w14:paraId="26699558">
            <w:r>
              <w:rPr>
                <w:rFonts w:hint="eastAsia"/>
              </w:rPr>
              <w:t>权益投资</w:t>
            </w:r>
          </w:p>
        </w:tc>
        <w:tc>
          <w:tcPr>
            <w:tcW w:w="2076" w:type="dxa"/>
            <w:vAlign w:val="center"/>
          </w:tcPr>
          <w:p w14:paraId="2DD944DB">
            <w:pPr>
              <w:jc w:val="right"/>
            </w:pPr>
            <w:r>
              <w:rPr>
                <w:rFonts w:hint="eastAsia"/>
              </w:rPr>
              <w:t>1,868,420,970.41</w:t>
            </w:r>
          </w:p>
        </w:tc>
        <w:tc>
          <w:tcPr>
            <w:tcW w:w="2076" w:type="dxa"/>
            <w:vAlign w:val="center"/>
          </w:tcPr>
          <w:p w14:paraId="25A02944">
            <w:pPr>
              <w:jc w:val="right"/>
            </w:pPr>
            <w:r>
              <w:rPr>
                <w:rFonts w:hint="eastAsia"/>
              </w:rPr>
              <w:t>88.70</w:t>
            </w:r>
          </w:p>
        </w:tc>
      </w:tr>
      <w:tr w14:paraId="72077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BE2AEC">
            <w:pPr>
              <w:jc w:val="center"/>
            </w:pPr>
          </w:p>
        </w:tc>
        <w:tc>
          <w:tcPr>
            <w:tcW w:w="2076" w:type="dxa"/>
            <w:vAlign w:val="center"/>
          </w:tcPr>
          <w:p w14:paraId="4FF5240A">
            <w:r>
              <w:rPr>
                <w:rFonts w:hint="eastAsia"/>
              </w:rPr>
              <w:t>其中：普通股</w:t>
            </w:r>
          </w:p>
        </w:tc>
        <w:tc>
          <w:tcPr>
            <w:tcW w:w="2076" w:type="dxa"/>
            <w:vAlign w:val="center"/>
          </w:tcPr>
          <w:p w14:paraId="3AC40F84">
            <w:pPr>
              <w:jc w:val="right"/>
            </w:pPr>
            <w:r>
              <w:rPr>
                <w:rFonts w:hint="eastAsia"/>
              </w:rPr>
              <w:t>1,868,420,970.41</w:t>
            </w:r>
          </w:p>
        </w:tc>
        <w:tc>
          <w:tcPr>
            <w:tcW w:w="2076" w:type="dxa"/>
            <w:vAlign w:val="center"/>
          </w:tcPr>
          <w:p w14:paraId="375CCE71">
            <w:pPr>
              <w:jc w:val="right"/>
            </w:pPr>
            <w:r>
              <w:rPr>
                <w:rFonts w:hint="eastAsia"/>
              </w:rPr>
              <w:t>88.70</w:t>
            </w:r>
          </w:p>
        </w:tc>
      </w:tr>
      <w:tr w14:paraId="6936B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5C3DD8">
            <w:pPr>
              <w:jc w:val="center"/>
            </w:pPr>
          </w:p>
        </w:tc>
        <w:tc>
          <w:tcPr>
            <w:tcW w:w="2076" w:type="dxa"/>
            <w:vAlign w:val="center"/>
          </w:tcPr>
          <w:p w14:paraId="25B940E1">
            <w:r>
              <w:rPr>
                <w:rFonts w:hint="eastAsia"/>
              </w:rPr>
              <w:t xml:space="preserve">      存托凭证</w:t>
            </w:r>
          </w:p>
        </w:tc>
        <w:tc>
          <w:tcPr>
            <w:tcW w:w="2076" w:type="dxa"/>
            <w:vAlign w:val="center"/>
          </w:tcPr>
          <w:p w14:paraId="1A125E33">
            <w:pPr>
              <w:jc w:val="right"/>
            </w:pPr>
            <w:r>
              <w:rPr>
                <w:rFonts w:hint="eastAsia"/>
              </w:rPr>
              <w:t>-</w:t>
            </w:r>
          </w:p>
        </w:tc>
        <w:tc>
          <w:tcPr>
            <w:tcW w:w="2076" w:type="dxa"/>
            <w:vAlign w:val="center"/>
          </w:tcPr>
          <w:p w14:paraId="34679419">
            <w:pPr>
              <w:jc w:val="right"/>
            </w:pPr>
            <w:r>
              <w:rPr>
                <w:rFonts w:hint="eastAsia"/>
              </w:rPr>
              <w:t>-</w:t>
            </w:r>
          </w:p>
        </w:tc>
      </w:tr>
      <w:tr w14:paraId="11830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EC1A37">
            <w:pPr>
              <w:jc w:val="center"/>
            </w:pPr>
            <w:r>
              <w:rPr>
                <w:rFonts w:hint="eastAsia"/>
              </w:rPr>
              <w:t>2</w:t>
            </w:r>
          </w:p>
        </w:tc>
        <w:tc>
          <w:tcPr>
            <w:tcW w:w="2076" w:type="dxa"/>
            <w:vAlign w:val="center"/>
          </w:tcPr>
          <w:p w14:paraId="537293CB">
            <w:r>
              <w:rPr>
                <w:rFonts w:hint="eastAsia"/>
              </w:rPr>
              <w:t>基金投资</w:t>
            </w:r>
          </w:p>
        </w:tc>
        <w:tc>
          <w:tcPr>
            <w:tcW w:w="2076" w:type="dxa"/>
            <w:vAlign w:val="center"/>
          </w:tcPr>
          <w:p w14:paraId="5E73D4EF">
            <w:pPr>
              <w:jc w:val="right"/>
            </w:pPr>
            <w:r>
              <w:rPr>
                <w:rFonts w:hint="eastAsia"/>
              </w:rPr>
              <w:t>-</w:t>
            </w:r>
          </w:p>
        </w:tc>
        <w:tc>
          <w:tcPr>
            <w:tcW w:w="2076" w:type="dxa"/>
            <w:vAlign w:val="center"/>
          </w:tcPr>
          <w:p w14:paraId="6C80AFD6">
            <w:pPr>
              <w:jc w:val="right"/>
            </w:pPr>
            <w:r>
              <w:rPr>
                <w:rFonts w:hint="eastAsia"/>
              </w:rPr>
              <w:t>-</w:t>
            </w:r>
          </w:p>
        </w:tc>
      </w:tr>
      <w:tr w14:paraId="34832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190D61">
            <w:pPr>
              <w:jc w:val="center"/>
            </w:pPr>
            <w:r>
              <w:rPr>
                <w:rFonts w:hint="eastAsia"/>
              </w:rPr>
              <w:t>3</w:t>
            </w:r>
          </w:p>
        </w:tc>
        <w:tc>
          <w:tcPr>
            <w:tcW w:w="2076" w:type="dxa"/>
            <w:vAlign w:val="center"/>
          </w:tcPr>
          <w:p w14:paraId="037CF7F8">
            <w:r>
              <w:rPr>
                <w:rFonts w:hint="eastAsia"/>
              </w:rPr>
              <w:t>固定收益投资</w:t>
            </w:r>
          </w:p>
        </w:tc>
        <w:tc>
          <w:tcPr>
            <w:tcW w:w="2076" w:type="dxa"/>
            <w:vAlign w:val="center"/>
          </w:tcPr>
          <w:p w14:paraId="3E7668E9">
            <w:pPr>
              <w:jc w:val="right"/>
            </w:pPr>
            <w:r>
              <w:rPr>
                <w:rFonts w:hint="eastAsia"/>
              </w:rPr>
              <w:t>-</w:t>
            </w:r>
          </w:p>
        </w:tc>
        <w:tc>
          <w:tcPr>
            <w:tcW w:w="2076" w:type="dxa"/>
            <w:vAlign w:val="center"/>
          </w:tcPr>
          <w:p w14:paraId="57BA3A38">
            <w:pPr>
              <w:jc w:val="right"/>
            </w:pPr>
            <w:r>
              <w:rPr>
                <w:rFonts w:hint="eastAsia"/>
              </w:rPr>
              <w:t>-</w:t>
            </w:r>
          </w:p>
        </w:tc>
      </w:tr>
      <w:tr w14:paraId="2F7F4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FFC4CD">
            <w:pPr>
              <w:jc w:val="center"/>
            </w:pPr>
          </w:p>
        </w:tc>
        <w:tc>
          <w:tcPr>
            <w:tcW w:w="2076" w:type="dxa"/>
            <w:vAlign w:val="center"/>
          </w:tcPr>
          <w:p w14:paraId="7EA66042">
            <w:r>
              <w:rPr>
                <w:rFonts w:hint="eastAsia"/>
              </w:rPr>
              <w:t>其中：债券</w:t>
            </w:r>
          </w:p>
        </w:tc>
        <w:tc>
          <w:tcPr>
            <w:tcW w:w="2076" w:type="dxa"/>
            <w:vAlign w:val="center"/>
          </w:tcPr>
          <w:p w14:paraId="532BC91D">
            <w:pPr>
              <w:jc w:val="right"/>
            </w:pPr>
            <w:r>
              <w:rPr>
                <w:rFonts w:hint="eastAsia"/>
              </w:rPr>
              <w:t>-</w:t>
            </w:r>
          </w:p>
        </w:tc>
        <w:tc>
          <w:tcPr>
            <w:tcW w:w="2076" w:type="dxa"/>
            <w:vAlign w:val="center"/>
          </w:tcPr>
          <w:p w14:paraId="7D1EC750">
            <w:pPr>
              <w:jc w:val="right"/>
            </w:pPr>
            <w:r>
              <w:rPr>
                <w:rFonts w:hint="eastAsia"/>
              </w:rPr>
              <w:t>-</w:t>
            </w:r>
          </w:p>
        </w:tc>
      </w:tr>
      <w:tr w14:paraId="089A2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4F03EB">
            <w:pPr>
              <w:jc w:val="center"/>
            </w:pPr>
          </w:p>
        </w:tc>
        <w:tc>
          <w:tcPr>
            <w:tcW w:w="2076" w:type="dxa"/>
            <w:vAlign w:val="center"/>
          </w:tcPr>
          <w:p w14:paraId="4472CF38">
            <w:r>
              <w:rPr>
                <w:rFonts w:hint="eastAsia"/>
              </w:rPr>
              <w:t xml:space="preserve">      资产支持证券</w:t>
            </w:r>
          </w:p>
        </w:tc>
        <w:tc>
          <w:tcPr>
            <w:tcW w:w="2076" w:type="dxa"/>
            <w:vAlign w:val="center"/>
          </w:tcPr>
          <w:p w14:paraId="3471FBFE">
            <w:pPr>
              <w:jc w:val="right"/>
            </w:pPr>
            <w:r>
              <w:rPr>
                <w:rFonts w:hint="eastAsia"/>
              </w:rPr>
              <w:t>-</w:t>
            </w:r>
          </w:p>
        </w:tc>
        <w:tc>
          <w:tcPr>
            <w:tcW w:w="2076" w:type="dxa"/>
            <w:vAlign w:val="center"/>
          </w:tcPr>
          <w:p w14:paraId="566A9BBB">
            <w:pPr>
              <w:jc w:val="right"/>
            </w:pPr>
            <w:r>
              <w:rPr>
                <w:rFonts w:hint="eastAsia"/>
              </w:rPr>
              <w:t>-</w:t>
            </w:r>
          </w:p>
        </w:tc>
      </w:tr>
      <w:tr w14:paraId="44210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57D6C5C">
            <w:pPr>
              <w:jc w:val="center"/>
            </w:pPr>
            <w:r>
              <w:rPr>
                <w:rFonts w:hint="eastAsia"/>
              </w:rPr>
              <w:t>4</w:t>
            </w:r>
          </w:p>
        </w:tc>
        <w:tc>
          <w:tcPr>
            <w:tcW w:w="2076" w:type="dxa"/>
            <w:vAlign w:val="center"/>
          </w:tcPr>
          <w:p w14:paraId="1EA88063">
            <w:r>
              <w:rPr>
                <w:rFonts w:hint="eastAsia"/>
              </w:rPr>
              <w:t>金融衍生品投资</w:t>
            </w:r>
          </w:p>
        </w:tc>
        <w:tc>
          <w:tcPr>
            <w:tcW w:w="2076" w:type="dxa"/>
            <w:vAlign w:val="center"/>
          </w:tcPr>
          <w:p w14:paraId="603CC5A9">
            <w:pPr>
              <w:jc w:val="right"/>
            </w:pPr>
            <w:r>
              <w:rPr>
                <w:rFonts w:hint="eastAsia"/>
              </w:rPr>
              <w:t>-</w:t>
            </w:r>
          </w:p>
        </w:tc>
        <w:tc>
          <w:tcPr>
            <w:tcW w:w="2076" w:type="dxa"/>
            <w:vAlign w:val="center"/>
          </w:tcPr>
          <w:p w14:paraId="3F00948D">
            <w:pPr>
              <w:jc w:val="right"/>
            </w:pPr>
            <w:r>
              <w:rPr>
                <w:rFonts w:hint="eastAsia"/>
              </w:rPr>
              <w:t>-</w:t>
            </w:r>
          </w:p>
        </w:tc>
      </w:tr>
      <w:tr w14:paraId="1DD09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50C490">
            <w:pPr>
              <w:jc w:val="center"/>
            </w:pPr>
          </w:p>
        </w:tc>
        <w:tc>
          <w:tcPr>
            <w:tcW w:w="2076" w:type="dxa"/>
            <w:vAlign w:val="center"/>
          </w:tcPr>
          <w:p w14:paraId="345E509A">
            <w:r>
              <w:rPr>
                <w:rFonts w:hint="eastAsia"/>
              </w:rPr>
              <w:t>其中：远期</w:t>
            </w:r>
          </w:p>
        </w:tc>
        <w:tc>
          <w:tcPr>
            <w:tcW w:w="2076" w:type="dxa"/>
            <w:vAlign w:val="center"/>
          </w:tcPr>
          <w:p w14:paraId="6A2C38F0">
            <w:pPr>
              <w:jc w:val="right"/>
            </w:pPr>
            <w:r>
              <w:rPr>
                <w:rFonts w:hint="eastAsia"/>
              </w:rPr>
              <w:t>-</w:t>
            </w:r>
          </w:p>
        </w:tc>
        <w:tc>
          <w:tcPr>
            <w:tcW w:w="2076" w:type="dxa"/>
            <w:vAlign w:val="center"/>
          </w:tcPr>
          <w:p w14:paraId="74EC71DE">
            <w:pPr>
              <w:jc w:val="right"/>
            </w:pPr>
            <w:r>
              <w:rPr>
                <w:rFonts w:hint="eastAsia"/>
              </w:rPr>
              <w:t>-</w:t>
            </w:r>
          </w:p>
        </w:tc>
      </w:tr>
      <w:tr w14:paraId="00C53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BB051D">
            <w:pPr>
              <w:jc w:val="center"/>
            </w:pPr>
          </w:p>
        </w:tc>
        <w:tc>
          <w:tcPr>
            <w:tcW w:w="2076" w:type="dxa"/>
            <w:vAlign w:val="center"/>
          </w:tcPr>
          <w:p w14:paraId="1D9597BF">
            <w:r>
              <w:rPr>
                <w:rFonts w:hint="eastAsia"/>
              </w:rPr>
              <w:t xml:space="preserve">      期货</w:t>
            </w:r>
          </w:p>
        </w:tc>
        <w:tc>
          <w:tcPr>
            <w:tcW w:w="2076" w:type="dxa"/>
            <w:vAlign w:val="center"/>
          </w:tcPr>
          <w:p w14:paraId="0571EAA6">
            <w:pPr>
              <w:jc w:val="right"/>
            </w:pPr>
            <w:r>
              <w:rPr>
                <w:rFonts w:hint="eastAsia"/>
              </w:rPr>
              <w:t>-</w:t>
            </w:r>
          </w:p>
        </w:tc>
        <w:tc>
          <w:tcPr>
            <w:tcW w:w="2076" w:type="dxa"/>
            <w:vAlign w:val="center"/>
          </w:tcPr>
          <w:p w14:paraId="6211AFDC">
            <w:pPr>
              <w:jc w:val="right"/>
            </w:pPr>
            <w:r>
              <w:rPr>
                <w:rFonts w:hint="eastAsia"/>
              </w:rPr>
              <w:t>-</w:t>
            </w:r>
          </w:p>
        </w:tc>
      </w:tr>
      <w:tr w14:paraId="5BDD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7ECE27E">
            <w:pPr>
              <w:jc w:val="center"/>
            </w:pPr>
          </w:p>
        </w:tc>
        <w:tc>
          <w:tcPr>
            <w:tcW w:w="2076" w:type="dxa"/>
            <w:vAlign w:val="center"/>
          </w:tcPr>
          <w:p w14:paraId="005D6BE4">
            <w:r>
              <w:rPr>
                <w:rFonts w:hint="eastAsia"/>
              </w:rPr>
              <w:t xml:space="preserve">      期权</w:t>
            </w:r>
          </w:p>
        </w:tc>
        <w:tc>
          <w:tcPr>
            <w:tcW w:w="2076" w:type="dxa"/>
            <w:vAlign w:val="center"/>
          </w:tcPr>
          <w:p w14:paraId="7EA02CED">
            <w:pPr>
              <w:jc w:val="right"/>
            </w:pPr>
            <w:r>
              <w:rPr>
                <w:rFonts w:hint="eastAsia"/>
              </w:rPr>
              <w:t>-</w:t>
            </w:r>
          </w:p>
        </w:tc>
        <w:tc>
          <w:tcPr>
            <w:tcW w:w="2076" w:type="dxa"/>
            <w:vAlign w:val="center"/>
          </w:tcPr>
          <w:p w14:paraId="21E364A7">
            <w:pPr>
              <w:jc w:val="right"/>
            </w:pPr>
            <w:r>
              <w:rPr>
                <w:rFonts w:hint="eastAsia"/>
              </w:rPr>
              <w:t>-</w:t>
            </w:r>
          </w:p>
        </w:tc>
      </w:tr>
      <w:tr w14:paraId="3EE0F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5F8EAEC">
            <w:pPr>
              <w:jc w:val="center"/>
            </w:pPr>
          </w:p>
        </w:tc>
        <w:tc>
          <w:tcPr>
            <w:tcW w:w="2076" w:type="dxa"/>
            <w:vAlign w:val="center"/>
          </w:tcPr>
          <w:p w14:paraId="7F8FC4B0">
            <w:r>
              <w:rPr>
                <w:rFonts w:hint="eastAsia"/>
              </w:rPr>
              <w:t xml:space="preserve">      权证</w:t>
            </w:r>
          </w:p>
        </w:tc>
        <w:tc>
          <w:tcPr>
            <w:tcW w:w="2076" w:type="dxa"/>
            <w:vAlign w:val="center"/>
          </w:tcPr>
          <w:p w14:paraId="396A4BF9">
            <w:pPr>
              <w:jc w:val="right"/>
            </w:pPr>
            <w:r>
              <w:rPr>
                <w:rFonts w:hint="eastAsia"/>
              </w:rPr>
              <w:t>-</w:t>
            </w:r>
          </w:p>
        </w:tc>
        <w:tc>
          <w:tcPr>
            <w:tcW w:w="2076" w:type="dxa"/>
            <w:vAlign w:val="center"/>
          </w:tcPr>
          <w:p w14:paraId="3F420C5F">
            <w:pPr>
              <w:jc w:val="right"/>
            </w:pPr>
            <w:r>
              <w:rPr>
                <w:rFonts w:hint="eastAsia"/>
              </w:rPr>
              <w:t>-</w:t>
            </w:r>
          </w:p>
        </w:tc>
      </w:tr>
      <w:tr w14:paraId="14ECC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3B2F0E">
            <w:pPr>
              <w:jc w:val="center"/>
            </w:pPr>
            <w:r>
              <w:rPr>
                <w:rFonts w:hint="eastAsia"/>
              </w:rPr>
              <w:t>5</w:t>
            </w:r>
          </w:p>
        </w:tc>
        <w:tc>
          <w:tcPr>
            <w:tcW w:w="2076" w:type="dxa"/>
            <w:vAlign w:val="center"/>
          </w:tcPr>
          <w:p w14:paraId="5ABFAFAE">
            <w:r>
              <w:rPr>
                <w:rFonts w:hint="eastAsia"/>
              </w:rPr>
              <w:t>买入返售金融资产</w:t>
            </w:r>
          </w:p>
        </w:tc>
        <w:tc>
          <w:tcPr>
            <w:tcW w:w="2076" w:type="dxa"/>
            <w:vAlign w:val="center"/>
          </w:tcPr>
          <w:p w14:paraId="21B46148">
            <w:pPr>
              <w:jc w:val="right"/>
            </w:pPr>
            <w:r>
              <w:rPr>
                <w:rFonts w:hint="eastAsia"/>
              </w:rPr>
              <w:t>-</w:t>
            </w:r>
          </w:p>
        </w:tc>
        <w:tc>
          <w:tcPr>
            <w:tcW w:w="2076" w:type="dxa"/>
            <w:vAlign w:val="center"/>
          </w:tcPr>
          <w:p w14:paraId="71BFF70F">
            <w:pPr>
              <w:jc w:val="right"/>
            </w:pPr>
            <w:r>
              <w:rPr>
                <w:rFonts w:hint="eastAsia"/>
              </w:rPr>
              <w:t>-</w:t>
            </w:r>
          </w:p>
        </w:tc>
      </w:tr>
      <w:tr w14:paraId="32CE1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318F9D">
            <w:pPr>
              <w:jc w:val="center"/>
            </w:pPr>
          </w:p>
        </w:tc>
        <w:tc>
          <w:tcPr>
            <w:tcW w:w="2076" w:type="dxa"/>
            <w:vAlign w:val="center"/>
          </w:tcPr>
          <w:p w14:paraId="6D5571C1">
            <w:r>
              <w:rPr>
                <w:rFonts w:hint="eastAsia"/>
              </w:rPr>
              <w:t>其中：买断式回购的买入返售金融资产</w:t>
            </w:r>
          </w:p>
        </w:tc>
        <w:tc>
          <w:tcPr>
            <w:tcW w:w="2076" w:type="dxa"/>
            <w:vAlign w:val="center"/>
          </w:tcPr>
          <w:p w14:paraId="38158C88">
            <w:pPr>
              <w:jc w:val="right"/>
            </w:pPr>
            <w:r>
              <w:rPr>
                <w:rFonts w:hint="eastAsia"/>
              </w:rPr>
              <w:t>-</w:t>
            </w:r>
          </w:p>
        </w:tc>
        <w:tc>
          <w:tcPr>
            <w:tcW w:w="2076" w:type="dxa"/>
            <w:vAlign w:val="center"/>
          </w:tcPr>
          <w:p w14:paraId="46FE00AA">
            <w:pPr>
              <w:jc w:val="right"/>
            </w:pPr>
            <w:r>
              <w:rPr>
                <w:rFonts w:hint="eastAsia"/>
              </w:rPr>
              <w:t>-</w:t>
            </w:r>
          </w:p>
        </w:tc>
      </w:tr>
      <w:tr w14:paraId="146B0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EBA57A">
            <w:pPr>
              <w:jc w:val="center"/>
            </w:pPr>
            <w:r>
              <w:rPr>
                <w:rFonts w:hint="eastAsia"/>
              </w:rPr>
              <w:t>6</w:t>
            </w:r>
          </w:p>
        </w:tc>
        <w:tc>
          <w:tcPr>
            <w:tcW w:w="2076" w:type="dxa"/>
            <w:vAlign w:val="center"/>
          </w:tcPr>
          <w:p w14:paraId="6931368F">
            <w:r>
              <w:rPr>
                <w:rFonts w:hint="eastAsia"/>
              </w:rPr>
              <w:t>货币市场工具</w:t>
            </w:r>
          </w:p>
        </w:tc>
        <w:tc>
          <w:tcPr>
            <w:tcW w:w="2076" w:type="dxa"/>
            <w:vAlign w:val="center"/>
          </w:tcPr>
          <w:p w14:paraId="350DD519">
            <w:pPr>
              <w:jc w:val="right"/>
            </w:pPr>
            <w:r>
              <w:rPr>
                <w:rFonts w:hint="eastAsia"/>
              </w:rPr>
              <w:t>-</w:t>
            </w:r>
          </w:p>
        </w:tc>
        <w:tc>
          <w:tcPr>
            <w:tcW w:w="2076" w:type="dxa"/>
            <w:vAlign w:val="center"/>
          </w:tcPr>
          <w:p w14:paraId="12438FF7">
            <w:pPr>
              <w:jc w:val="right"/>
            </w:pPr>
            <w:r>
              <w:rPr>
                <w:rFonts w:hint="eastAsia"/>
              </w:rPr>
              <w:t>-</w:t>
            </w:r>
          </w:p>
        </w:tc>
      </w:tr>
      <w:tr w14:paraId="796E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C8DE63">
            <w:pPr>
              <w:jc w:val="center"/>
            </w:pPr>
            <w:r>
              <w:rPr>
                <w:rFonts w:hint="eastAsia"/>
              </w:rPr>
              <w:t>7</w:t>
            </w:r>
          </w:p>
        </w:tc>
        <w:tc>
          <w:tcPr>
            <w:tcW w:w="2076" w:type="dxa"/>
            <w:vAlign w:val="center"/>
          </w:tcPr>
          <w:p w14:paraId="4B9C2E88">
            <w:r>
              <w:rPr>
                <w:rFonts w:hint="eastAsia"/>
              </w:rPr>
              <w:t>银行存款和结算备付金合计</w:t>
            </w:r>
          </w:p>
        </w:tc>
        <w:tc>
          <w:tcPr>
            <w:tcW w:w="2076" w:type="dxa"/>
            <w:vAlign w:val="center"/>
          </w:tcPr>
          <w:p w14:paraId="0155C849">
            <w:pPr>
              <w:jc w:val="right"/>
            </w:pPr>
            <w:r>
              <w:rPr>
                <w:rFonts w:hint="eastAsia"/>
              </w:rPr>
              <w:t>227,602,365.24</w:t>
            </w:r>
          </w:p>
        </w:tc>
        <w:tc>
          <w:tcPr>
            <w:tcW w:w="2076" w:type="dxa"/>
            <w:vAlign w:val="center"/>
          </w:tcPr>
          <w:p w14:paraId="7F394022">
            <w:pPr>
              <w:jc w:val="right"/>
            </w:pPr>
            <w:r>
              <w:rPr>
                <w:rFonts w:hint="eastAsia"/>
              </w:rPr>
              <w:t>10.80</w:t>
            </w:r>
          </w:p>
        </w:tc>
      </w:tr>
      <w:tr w14:paraId="0C3B9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FB6E5D">
            <w:pPr>
              <w:jc w:val="center"/>
            </w:pPr>
            <w:r>
              <w:rPr>
                <w:rFonts w:hint="eastAsia"/>
              </w:rPr>
              <w:t>8</w:t>
            </w:r>
          </w:p>
        </w:tc>
        <w:tc>
          <w:tcPr>
            <w:tcW w:w="2076" w:type="dxa"/>
            <w:vAlign w:val="center"/>
          </w:tcPr>
          <w:p w14:paraId="073B7C50">
            <w:r>
              <w:rPr>
                <w:rFonts w:hint="eastAsia"/>
              </w:rPr>
              <w:t>其他各项资产</w:t>
            </w:r>
          </w:p>
        </w:tc>
        <w:tc>
          <w:tcPr>
            <w:tcW w:w="2076" w:type="dxa"/>
            <w:vAlign w:val="center"/>
          </w:tcPr>
          <w:p w14:paraId="1E17B651">
            <w:pPr>
              <w:jc w:val="right"/>
            </w:pPr>
            <w:r>
              <w:rPr>
                <w:rFonts w:hint="eastAsia"/>
              </w:rPr>
              <w:t>10,468,684.19</w:t>
            </w:r>
          </w:p>
        </w:tc>
        <w:tc>
          <w:tcPr>
            <w:tcW w:w="2076" w:type="dxa"/>
            <w:vAlign w:val="center"/>
          </w:tcPr>
          <w:p w14:paraId="77180C85">
            <w:pPr>
              <w:jc w:val="right"/>
            </w:pPr>
            <w:r>
              <w:rPr>
                <w:rFonts w:hint="eastAsia"/>
              </w:rPr>
              <w:t>0.50</w:t>
            </w:r>
          </w:p>
        </w:tc>
      </w:tr>
      <w:tr w14:paraId="78CB2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A87212">
            <w:pPr>
              <w:jc w:val="center"/>
            </w:pPr>
            <w:r>
              <w:rPr>
                <w:rFonts w:hint="eastAsia"/>
              </w:rPr>
              <w:t>9</w:t>
            </w:r>
          </w:p>
        </w:tc>
        <w:tc>
          <w:tcPr>
            <w:tcW w:w="2076" w:type="dxa"/>
            <w:vAlign w:val="center"/>
          </w:tcPr>
          <w:p w14:paraId="14A8457B">
            <w:r>
              <w:rPr>
                <w:rFonts w:hint="eastAsia"/>
              </w:rPr>
              <w:t>合计</w:t>
            </w:r>
          </w:p>
        </w:tc>
        <w:tc>
          <w:tcPr>
            <w:tcW w:w="2076" w:type="dxa"/>
            <w:vAlign w:val="center"/>
          </w:tcPr>
          <w:p w14:paraId="47ADCDA2">
            <w:pPr>
              <w:jc w:val="right"/>
            </w:pPr>
            <w:r>
              <w:rPr>
                <w:rFonts w:hint="eastAsia"/>
              </w:rPr>
              <w:t>2,106,492,019.84</w:t>
            </w:r>
          </w:p>
        </w:tc>
        <w:tc>
          <w:tcPr>
            <w:tcW w:w="2076" w:type="dxa"/>
            <w:vAlign w:val="center"/>
          </w:tcPr>
          <w:p w14:paraId="12F8DFAD">
            <w:pPr>
              <w:jc w:val="right"/>
            </w:pPr>
            <w:r>
              <w:rPr>
                <w:rFonts w:hint="eastAsia"/>
              </w:rPr>
              <w:t>100.00</w:t>
            </w:r>
          </w:p>
        </w:tc>
      </w:tr>
    </w:tbl>
    <w:p w14:paraId="0F71BB77">
      <w:pPr>
        <w:pStyle w:val="47"/>
        <w:rPr>
          <w:rFonts w:hint="eastAsia"/>
        </w:rPr>
      </w:pPr>
      <w:r>
        <w:rPr>
          <w:rFonts w:hint="eastAsia"/>
        </w:rPr>
        <w:t>注：1、上表中的股票投资项含可退替代款估值增值，而行业分类的合计项中不含可退替代款估值增值；2、本基金本报告期末通过深港通交易机制投资的港股市值为人民币1,470,169,665.77元，占基金资产净值比例75.94%。</w:t>
      </w:r>
    </w:p>
    <w:p w14:paraId="4A846A64">
      <w:pPr>
        <w:pStyle w:val="23"/>
      </w:pPr>
      <w:bookmarkStart w:id="164" w:name="_Toc3194"/>
      <w:r>
        <w:t>期末在各个国家（地区）证券市场的权益投资分布</w:t>
      </w:r>
      <w:bookmarkEnd w:id="16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D567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F309D4E">
            <w:pPr>
              <w:jc w:val="center"/>
            </w:pPr>
            <w:r>
              <w:rPr>
                <w:rFonts w:hint="eastAsia"/>
                <w:b/>
              </w:rPr>
              <w:t>国家（地区）</w:t>
            </w:r>
          </w:p>
        </w:tc>
        <w:tc>
          <w:tcPr>
            <w:tcW w:w="2768" w:type="dxa"/>
            <w:shd w:val="clear" w:color="auto" w:fill="BFBFBF"/>
            <w:vAlign w:val="center"/>
          </w:tcPr>
          <w:p w14:paraId="53D2E155">
            <w:pPr>
              <w:jc w:val="center"/>
            </w:pPr>
            <w:r>
              <w:rPr>
                <w:rFonts w:hint="eastAsia"/>
                <w:b/>
              </w:rPr>
              <w:t>公允价值（人民币元）</w:t>
            </w:r>
          </w:p>
        </w:tc>
        <w:tc>
          <w:tcPr>
            <w:tcW w:w="2768" w:type="dxa"/>
            <w:shd w:val="clear" w:color="auto" w:fill="BFBFBF"/>
            <w:vAlign w:val="center"/>
          </w:tcPr>
          <w:p w14:paraId="6786EE7E">
            <w:pPr>
              <w:jc w:val="center"/>
            </w:pPr>
            <w:r>
              <w:rPr>
                <w:rFonts w:hint="eastAsia"/>
                <w:b/>
              </w:rPr>
              <w:t>占基金资产净值比例（％）</w:t>
            </w:r>
          </w:p>
        </w:tc>
      </w:tr>
      <w:tr w14:paraId="6E50A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140B20">
            <w:r>
              <w:rPr>
                <w:rFonts w:hint="eastAsia"/>
              </w:rPr>
              <w:t>中国香港</w:t>
            </w:r>
          </w:p>
        </w:tc>
        <w:tc>
          <w:tcPr>
            <w:tcW w:w="2768" w:type="dxa"/>
            <w:vAlign w:val="center"/>
          </w:tcPr>
          <w:p w14:paraId="2C947762">
            <w:pPr>
              <w:jc w:val="right"/>
            </w:pPr>
            <w:r>
              <w:rPr>
                <w:rFonts w:hint="eastAsia"/>
              </w:rPr>
              <w:t>1,868,420,970.41</w:t>
            </w:r>
          </w:p>
        </w:tc>
        <w:tc>
          <w:tcPr>
            <w:tcW w:w="2768" w:type="dxa"/>
            <w:vAlign w:val="center"/>
          </w:tcPr>
          <w:p w14:paraId="23B11D30">
            <w:pPr>
              <w:jc w:val="right"/>
            </w:pPr>
            <w:r>
              <w:rPr>
                <w:rFonts w:hint="eastAsia"/>
              </w:rPr>
              <w:t>96.51</w:t>
            </w:r>
          </w:p>
        </w:tc>
      </w:tr>
      <w:tr w14:paraId="40CE2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31B39A">
            <w:r>
              <w:rPr>
                <w:rFonts w:hint="eastAsia"/>
              </w:rPr>
              <w:t>合计</w:t>
            </w:r>
          </w:p>
        </w:tc>
        <w:tc>
          <w:tcPr>
            <w:tcW w:w="2768" w:type="dxa"/>
            <w:vAlign w:val="center"/>
          </w:tcPr>
          <w:p w14:paraId="35E7339B">
            <w:pPr>
              <w:jc w:val="right"/>
            </w:pPr>
            <w:r>
              <w:rPr>
                <w:rFonts w:hint="eastAsia"/>
              </w:rPr>
              <w:t>1,868,420,970.41</w:t>
            </w:r>
          </w:p>
        </w:tc>
        <w:tc>
          <w:tcPr>
            <w:tcW w:w="2768" w:type="dxa"/>
            <w:vAlign w:val="center"/>
          </w:tcPr>
          <w:p w14:paraId="4EBA7A72">
            <w:pPr>
              <w:jc w:val="right"/>
            </w:pPr>
            <w:r>
              <w:rPr>
                <w:rFonts w:hint="eastAsia"/>
              </w:rPr>
              <w:t>96.51</w:t>
            </w:r>
          </w:p>
        </w:tc>
      </w:tr>
    </w:tbl>
    <w:p w14:paraId="79C846D4">
      <w:pPr>
        <w:pStyle w:val="23"/>
      </w:pPr>
      <w:bookmarkStart w:id="165" w:name="_Toc31831"/>
      <w:r>
        <w:t>报告期末按行业分类的股票及存托凭证投资组合</w:t>
      </w:r>
      <w:bookmarkEnd w:id="165"/>
    </w:p>
    <w:p w14:paraId="78CDD04F">
      <w:pPr>
        <w:pStyle w:val="28"/>
      </w:pPr>
      <w:bookmarkStart w:id="166" w:name="_Toc166"/>
      <w:r>
        <w:t>报告期末指数投资按行业分类的股票及存托凭证投资组合</w:t>
      </w:r>
      <w:bookmarkEnd w:id="16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30FD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ED52089">
            <w:pPr>
              <w:jc w:val="center"/>
            </w:pPr>
            <w:r>
              <w:rPr>
                <w:rFonts w:hint="eastAsia"/>
                <w:b/>
              </w:rPr>
              <w:t>行业类别</w:t>
            </w:r>
          </w:p>
        </w:tc>
        <w:tc>
          <w:tcPr>
            <w:tcW w:w="2768" w:type="dxa"/>
            <w:shd w:val="clear" w:color="auto" w:fill="BFBFBF"/>
            <w:vAlign w:val="center"/>
          </w:tcPr>
          <w:p w14:paraId="5512A98D">
            <w:pPr>
              <w:jc w:val="center"/>
            </w:pPr>
            <w:r>
              <w:rPr>
                <w:rFonts w:hint="eastAsia"/>
                <w:b/>
              </w:rPr>
              <w:t>公允价值（人民币元）</w:t>
            </w:r>
          </w:p>
        </w:tc>
        <w:tc>
          <w:tcPr>
            <w:tcW w:w="2768" w:type="dxa"/>
            <w:shd w:val="clear" w:color="auto" w:fill="BFBFBF"/>
            <w:vAlign w:val="center"/>
          </w:tcPr>
          <w:p w14:paraId="029140F5">
            <w:pPr>
              <w:jc w:val="center"/>
            </w:pPr>
            <w:r>
              <w:rPr>
                <w:rFonts w:hint="eastAsia"/>
                <w:b/>
              </w:rPr>
              <w:t>占基金资产净值比例（％）</w:t>
            </w:r>
          </w:p>
        </w:tc>
      </w:tr>
      <w:tr w14:paraId="69D2B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7B0231">
            <w:r>
              <w:rPr>
                <w:rFonts w:hint="eastAsia"/>
              </w:rPr>
              <w:t>能源</w:t>
            </w:r>
          </w:p>
        </w:tc>
        <w:tc>
          <w:tcPr>
            <w:tcW w:w="2768" w:type="dxa"/>
            <w:vAlign w:val="center"/>
          </w:tcPr>
          <w:p w14:paraId="1DC139BC">
            <w:pPr>
              <w:jc w:val="right"/>
            </w:pPr>
            <w:r>
              <w:rPr>
                <w:rFonts w:hint="eastAsia"/>
              </w:rPr>
              <w:t>-</w:t>
            </w:r>
          </w:p>
        </w:tc>
        <w:tc>
          <w:tcPr>
            <w:tcW w:w="2768" w:type="dxa"/>
            <w:vAlign w:val="center"/>
          </w:tcPr>
          <w:p w14:paraId="1C210A98">
            <w:pPr>
              <w:jc w:val="right"/>
            </w:pPr>
            <w:r>
              <w:rPr>
                <w:rFonts w:hint="eastAsia"/>
              </w:rPr>
              <w:t>-</w:t>
            </w:r>
          </w:p>
        </w:tc>
      </w:tr>
      <w:tr w14:paraId="2DB75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EBC57F">
            <w:r>
              <w:rPr>
                <w:rFonts w:hint="eastAsia"/>
              </w:rPr>
              <w:t>材料</w:t>
            </w:r>
          </w:p>
        </w:tc>
        <w:tc>
          <w:tcPr>
            <w:tcW w:w="2768" w:type="dxa"/>
            <w:vAlign w:val="center"/>
          </w:tcPr>
          <w:p w14:paraId="7C3642CC">
            <w:pPr>
              <w:jc w:val="right"/>
            </w:pPr>
            <w:r>
              <w:rPr>
                <w:rFonts w:hint="eastAsia"/>
              </w:rPr>
              <w:t>-</w:t>
            </w:r>
          </w:p>
        </w:tc>
        <w:tc>
          <w:tcPr>
            <w:tcW w:w="2768" w:type="dxa"/>
            <w:vAlign w:val="center"/>
          </w:tcPr>
          <w:p w14:paraId="5F7F7A3D">
            <w:pPr>
              <w:jc w:val="right"/>
            </w:pPr>
            <w:r>
              <w:rPr>
                <w:rFonts w:hint="eastAsia"/>
              </w:rPr>
              <w:t>-</w:t>
            </w:r>
          </w:p>
        </w:tc>
      </w:tr>
      <w:tr w14:paraId="7DB52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2A4D81">
            <w:r>
              <w:rPr>
                <w:rFonts w:hint="eastAsia"/>
              </w:rPr>
              <w:t>工业</w:t>
            </w:r>
          </w:p>
        </w:tc>
        <w:tc>
          <w:tcPr>
            <w:tcW w:w="2768" w:type="dxa"/>
            <w:vAlign w:val="center"/>
          </w:tcPr>
          <w:p w14:paraId="0645EA89">
            <w:pPr>
              <w:jc w:val="right"/>
            </w:pPr>
            <w:r>
              <w:rPr>
                <w:rFonts w:hint="eastAsia"/>
              </w:rPr>
              <w:t>-</w:t>
            </w:r>
          </w:p>
        </w:tc>
        <w:tc>
          <w:tcPr>
            <w:tcW w:w="2768" w:type="dxa"/>
            <w:vAlign w:val="center"/>
          </w:tcPr>
          <w:p w14:paraId="74110713">
            <w:pPr>
              <w:jc w:val="right"/>
            </w:pPr>
            <w:r>
              <w:rPr>
                <w:rFonts w:hint="eastAsia"/>
              </w:rPr>
              <w:t>-</w:t>
            </w:r>
          </w:p>
        </w:tc>
      </w:tr>
      <w:tr w14:paraId="5DB86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2BC7F2">
            <w:r>
              <w:rPr>
                <w:rFonts w:hint="eastAsia"/>
              </w:rPr>
              <w:t>非必需消费品</w:t>
            </w:r>
          </w:p>
        </w:tc>
        <w:tc>
          <w:tcPr>
            <w:tcW w:w="2768" w:type="dxa"/>
            <w:vAlign w:val="center"/>
          </w:tcPr>
          <w:p w14:paraId="074DD8B0">
            <w:pPr>
              <w:jc w:val="right"/>
            </w:pPr>
            <w:r>
              <w:rPr>
                <w:rFonts w:hint="eastAsia"/>
              </w:rPr>
              <w:t>566,646,236.94</w:t>
            </w:r>
          </w:p>
        </w:tc>
        <w:tc>
          <w:tcPr>
            <w:tcW w:w="2768" w:type="dxa"/>
            <w:vAlign w:val="center"/>
          </w:tcPr>
          <w:p w14:paraId="36B56B63">
            <w:pPr>
              <w:jc w:val="right"/>
            </w:pPr>
            <w:r>
              <w:rPr>
                <w:rFonts w:hint="eastAsia"/>
              </w:rPr>
              <w:t>29.27</w:t>
            </w:r>
          </w:p>
        </w:tc>
      </w:tr>
      <w:tr w14:paraId="5ABAF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8C9A22">
            <w:r>
              <w:rPr>
                <w:rFonts w:hint="eastAsia"/>
              </w:rPr>
              <w:t>必需消费品</w:t>
            </w:r>
          </w:p>
        </w:tc>
        <w:tc>
          <w:tcPr>
            <w:tcW w:w="2768" w:type="dxa"/>
            <w:vAlign w:val="center"/>
          </w:tcPr>
          <w:p w14:paraId="5B0F96ED">
            <w:pPr>
              <w:jc w:val="right"/>
            </w:pPr>
            <w:r>
              <w:rPr>
                <w:rFonts w:hint="eastAsia"/>
              </w:rPr>
              <w:t>46,210,180.35</w:t>
            </w:r>
          </w:p>
        </w:tc>
        <w:tc>
          <w:tcPr>
            <w:tcW w:w="2768" w:type="dxa"/>
            <w:vAlign w:val="center"/>
          </w:tcPr>
          <w:p w14:paraId="72FE14C7">
            <w:pPr>
              <w:jc w:val="right"/>
            </w:pPr>
            <w:r>
              <w:rPr>
                <w:rFonts w:hint="eastAsia"/>
              </w:rPr>
              <w:t>2.39</w:t>
            </w:r>
          </w:p>
        </w:tc>
      </w:tr>
      <w:tr w14:paraId="486E6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5FC401">
            <w:r>
              <w:rPr>
                <w:rFonts w:hint="eastAsia"/>
              </w:rPr>
              <w:t>医疗保健</w:t>
            </w:r>
          </w:p>
        </w:tc>
        <w:tc>
          <w:tcPr>
            <w:tcW w:w="2768" w:type="dxa"/>
            <w:vAlign w:val="center"/>
          </w:tcPr>
          <w:p w14:paraId="7A620CC4">
            <w:pPr>
              <w:jc w:val="right"/>
            </w:pPr>
            <w:r>
              <w:rPr>
                <w:rFonts w:hint="eastAsia"/>
              </w:rPr>
              <w:t>-</w:t>
            </w:r>
          </w:p>
        </w:tc>
        <w:tc>
          <w:tcPr>
            <w:tcW w:w="2768" w:type="dxa"/>
            <w:vAlign w:val="center"/>
          </w:tcPr>
          <w:p w14:paraId="1BCED75D">
            <w:pPr>
              <w:jc w:val="right"/>
            </w:pPr>
            <w:r>
              <w:rPr>
                <w:rFonts w:hint="eastAsia"/>
              </w:rPr>
              <w:t>-</w:t>
            </w:r>
          </w:p>
        </w:tc>
      </w:tr>
      <w:tr w14:paraId="6B572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705F7F">
            <w:r>
              <w:rPr>
                <w:rFonts w:hint="eastAsia"/>
              </w:rPr>
              <w:t>金融</w:t>
            </w:r>
          </w:p>
        </w:tc>
        <w:tc>
          <w:tcPr>
            <w:tcW w:w="2768" w:type="dxa"/>
            <w:vAlign w:val="center"/>
          </w:tcPr>
          <w:p w14:paraId="46041690">
            <w:pPr>
              <w:jc w:val="right"/>
            </w:pPr>
            <w:r>
              <w:rPr>
                <w:rFonts w:hint="eastAsia"/>
              </w:rPr>
              <w:t>-</w:t>
            </w:r>
          </w:p>
        </w:tc>
        <w:tc>
          <w:tcPr>
            <w:tcW w:w="2768" w:type="dxa"/>
            <w:vAlign w:val="center"/>
          </w:tcPr>
          <w:p w14:paraId="525E0821">
            <w:pPr>
              <w:jc w:val="right"/>
            </w:pPr>
            <w:r>
              <w:rPr>
                <w:rFonts w:hint="eastAsia"/>
              </w:rPr>
              <w:t>-</w:t>
            </w:r>
          </w:p>
        </w:tc>
      </w:tr>
      <w:tr w14:paraId="758B2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2B2D4C">
            <w:r>
              <w:rPr>
                <w:rFonts w:hint="eastAsia"/>
              </w:rPr>
              <w:t>科技</w:t>
            </w:r>
          </w:p>
        </w:tc>
        <w:tc>
          <w:tcPr>
            <w:tcW w:w="2768" w:type="dxa"/>
            <w:vAlign w:val="center"/>
          </w:tcPr>
          <w:p w14:paraId="0F145341">
            <w:pPr>
              <w:jc w:val="right"/>
            </w:pPr>
            <w:r>
              <w:rPr>
                <w:rFonts w:hint="eastAsia"/>
              </w:rPr>
              <w:t>498,545,503.05</w:t>
            </w:r>
          </w:p>
        </w:tc>
        <w:tc>
          <w:tcPr>
            <w:tcW w:w="2768" w:type="dxa"/>
            <w:vAlign w:val="center"/>
          </w:tcPr>
          <w:p w14:paraId="6C198AF3">
            <w:pPr>
              <w:jc w:val="right"/>
            </w:pPr>
            <w:r>
              <w:rPr>
                <w:rFonts w:hint="eastAsia"/>
              </w:rPr>
              <w:t>25.75</w:t>
            </w:r>
          </w:p>
        </w:tc>
      </w:tr>
      <w:tr w14:paraId="2A62E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24450B">
            <w:r>
              <w:rPr>
                <w:rFonts w:hint="eastAsia"/>
              </w:rPr>
              <w:t>通讯</w:t>
            </w:r>
          </w:p>
        </w:tc>
        <w:tc>
          <w:tcPr>
            <w:tcW w:w="2768" w:type="dxa"/>
            <w:vAlign w:val="center"/>
          </w:tcPr>
          <w:p w14:paraId="1C2BC05A">
            <w:pPr>
              <w:jc w:val="right"/>
            </w:pPr>
            <w:r>
              <w:rPr>
                <w:rFonts w:hint="eastAsia"/>
              </w:rPr>
              <w:t>757,019,050.07</w:t>
            </w:r>
          </w:p>
        </w:tc>
        <w:tc>
          <w:tcPr>
            <w:tcW w:w="2768" w:type="dxa"/>
            <w:vAlign w:val="center"/>
          </w:tcPr>
          <w:p w14:paraId="6C7466D3">
            <w:pPr>
              <w:jc w:val="right"/>
            </w:pPr>
            <w:r>
              <w:rPr>
                <w:rFonts w:hint="eastAsia"/>
              </w:rPr>
              <w:t>39.10</w:t>
            </w:r>
          </w:p>
        </w:tc>
      </w:tr>
      <w:tr w14:paraId="56E23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6C920C">
            <w:r>
              <w:rPr>
                <w:rFonts w:hint="eastAsia"/>
              </w:rPr>
              <w:t>公用事业</w:t>
            </w:r>
          </w:p>
        </w:tc>
        <w:tc>
          <w:tcPr>
            <w:tcW w:w="2768" w:type="dxa"/>
            <w:vAlign w:val="center"/>
          </w:tcPr>
          <w:p w14:paraId="26F6428E">
            <w:pPr>
              <w:jc w:val="right"/>
            </w:pPr>
            <w:r>
              <w:rPr>
                <w:rFonts w:hint="eastAsia"/>
              </w:rPr>
              <w:t>-</w:t>
            </w:r>
          </w:p>
        </w:tc>
        <w:tc>
          <w:tcPr>
            <w:tcW w:w="2768" w:type="dxa"/>
            <w:vAlign w:val="center"/>
          </w:tcPr>
          <w:p w14:paraId="7822BBA3">
            <w:pPr>
              <w:jc w:val="right"/>
            </w:pPr>
            <w:r>
              <w:rPr>
                <w:rFonts w:hint="eastAsia"/>
              </w:rPr>
              <w:t>-</w:t>
            </w:r>
          </w:p>
        </w:tc>
      </w:tr>
      <w:tr w14:paraId="42273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754019">
            <w:r>
              <w:rPr>
                <w:rFonts w:hint="eastAsia"/>
              </w:rPr>
              <w:t>房地产</w:t>
            </w:r>
          </w:p>
        </w:tc>
        <w:tc>
          <w:tcPr>
            <w:tcW w:w="2768" w:type="dxa"/>
            <w:vAlign w:val="center"/>
          </w:tcPr>
          <w:p w14:paraId="1D418C06">
            <w:pPr>
              <w:jc w:val="right"/>
            </w:pPr>
            <w:r>
              <w:rPr>
                <w:rFonts w:hint="eastAsia"/>
              </w:rPr>
              <w:t>-</w:t>
            </w:r>
          </w:p>
        </w:tc>
        <w:tc>
          <w:tcPr>
            <w:tcW w:w="2768" w:type="dxa"/>
            <w:vAlign w:val="center"/>
          </w:tcPr>
          <w:p w14:paraId="5F4BEAD8">
            <w:pPr>
              <w:jc w:val="right"/>
            </w:pPr>
            <w:r>
              <w:rPr>
                <w:rFonts w:hint="eastAsia"/>
              </w:rPr>
              <w:t>-</w:t>
            </w:r>
          </w:p>
        </w:tc>
      </w:tr>
      <w:tr w14:paraId="3F8AE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E42452">
            <w:r>
              <w:rPr>
                <w:rFonts w:hint="eastAsia"/>
              </w:rPr>
              <w:t>政府</w:t>
            </w:r>
          </w:p>
        </w:tc>
        <w:tc>
          <w:tcPr>
            <w:tcW w:w="2768" w:type="dxa"/>
            <w:vAlign w:val="center"/>
          </w:tcPr>
          <w:p w14:paraId="743E48FD">
            <w:pPr>
              <w:jc w:val="right"/>
            </w:pPr>
            <w:r>
              <w:rPr>
                <w:rFonts w:hint="eastAsia"/>
              </w:rPr>
              <w:t>-</w:t>
            </w:r>
          </w:p>
        </w:tc>
        <w:tc>
          <w:tcPr>
            <w:tcW w:w="2768" w:type="dxa"/>
            <w:vAlign w:val="center"/>
          </w:tcPr>
          <w:p w14:paraId="113A855B">
            <w:pPr>
              <w:jc w:val="right"/>
            </w:pPr>
            <w:r>
              <w:rPr>
                <w:rFonts w:hint="eastAsia"/>
              </w:rPr>
              <w:t>-</w:t>
            </w:r>
          </w:p>
        </w:tc>
      </w:tr>
      <w:tr w14:paraId="19914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A6D266">
            <w:r>
              <w:rPr>
                <w:rFonts w:hint="eastAsia"/>
              </w:rPr>
              <w:t>合计</w:t>
            </w:r>
          </w:p>
        </w:tc>
        <w:tc>
          <w:tcPr>
            <w:tcW w:w="2768" w:type="dxa"/>
            <w:vAlign w:val="center"/>
          </w:tcPr>
          <w:p w14:paraId="365C2469">
            <w:pPr>
              <w:jc w:val="right"/>
            </w:pPr>
            <w:r>
              <w:rPr>
                <w:rFonts w:hint="eastAsia"/>
              </w:rPr>
              <w:t>1,868,420,970.41</w:t>
            </w:r>
          </w:p>
        </w:tc>
        <w:tc>
          <w:tcPr>
            <w:tcW w:w="2768" w:type="dxa"/>
            <w:vAlign w:val="center"/>
          </w:tcPr>
          <w:p w14:paraId="2DA93B76">
            <w:pPr>
              <w:jc w:val="right"/>
            </w:pPr>
            <w:r>
              <w:rPr>
                <w:rFonts w:hint="eastAsia"/>
              </w:rPr>
              <w:t>96.51</w:t>
            </w:r>
          </w:p>
        </w:tc>
      </w:tr>
    </w:tbl>
    <w:p w14:paraId="1BD55844">
      <w:pPr>
        <w:pStyle w:val="18"/>
        <w:rPr>
          <w:rFonts w:hint="eastAsia"/>
        </w:rPr>
      </w:pPr>
      <w:r>
        <w:rPr>
          <w:rFonts w:hint="eastAsia"/>
        </w:rPr>
        <w:t>本基金对以上行业分类采用彭博行业分类标准。</w:t>
      </w:r>
    </w:p>
    <w:p w14:paraId="016AA6E0">
      <w:pPr>
        <w:pStyle w:val="28"/>
      </w:pPr>
      <w:bookmarkStart w:id="167" w:name="_Toc167"/>
      <w:r>
        <w:t>报告期末积极投资按行业分类的股票及存托凭证投资组合</w:t>
      </w:r>
      <w:bookmarkEnd w:id="167"/>
    </w:p>
    <w:p w14:paraId="52E927D9">
      <w:pPr>
        <w:pStyle w:val="18"/>
        <w:rPr>
          <w:rFonts w:hint="eastAsia"/>
        </w:rPr>
      </w:pPr>
      <w:r>
        <w:rPr>
          <w:rFonts w:hint="eastAsia"/>
        </w:rPr>
        <w:t>无。</w:t>
      </w:r>
    </w:p>
    <w:p w14:paraId="6683C17C">
      <w:pPr>
        <w:pStyle w:val="23"/>
      </w:pPr>
      <w:bookmarkStart w:id="168" w:name="_Toc28937"/>
      <w:r>
        <w:t>期末按公允价值占基金资产净值比例大小排序的权益投资明细</w:t>
      </w:r>
      <w:bookmarkEnd w:id="168"/>
    </w:p>
    <w:p w14:paraId="3A3CF23E">
      <w:pPr>
        <w:pStyle w:val="28"/>
      </w:pPr>
      <w:bookmarkStart w:id="169" w:name="_Toc169"/>
      <w:r>
        <w:t>期末按公允价值占基金资产净值比例大小排序的所有权益投资明细</w:t>
      </w:r>
      <w:bookmarkEnd w:id="169"/>
    </w:p>
    <w:p w14:paraId="22FCD494">
      <w:pPr>
        <w:pStyle w:val="35"/>
      </w:pPr>
      <w:bookmarkStart w:id="170" w:name="_Toc170"/>
      <w:r>
        <w:t>期末指数投资按公允价值占基金资产净值比例大小排序的所有权益投资明细</w:t>
      </w:r>
      <w:bookmarkEnd w:id="170"/>
    </w:p>
    <w:p w14:paraId="3C485196">
      <w:pPr>
        <w:jc w:val="right"/>
        <w:rPr>
          <w:rFonts w:hint="eastAsia"/>
        </w:rPr>
      </w:pPr>
      <w:r>
        <w:rPr>
          <w:rFonts w:hint="eastAsia"/>
        </w:rPr>
        <w:t>金额单位：人民币</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44F26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64655787">
            <w:pPr>
              <w:jc w:val="center"/>
            </w:pPr>
            <w:r>
              <w:rPr>
                <w:rFonts w:hint="eastAsia"/>
                <w:b/>
              </w:rPr>
              <w:t>序号</w:t>
            </w:r>
          </w:p>
        </w:tc>
        <w:tc>
          <w:tcPr>
            <w:tcW w:w="922" w:type="dxa"/>
            <w:shd w:val="clear" w:color="auto" w:fill="BFBFBF"/>
            <w:vAlign w:val="center"/>
          </w:tcPr>
          <w:p w14:paraId="3C2FF44A">
            <w:pPr>
              <w:jc w:val="center"/>
            </w:pPr>
            <w:r>
              <w:rPr>
                <w:rFonts w:hint="eastAsia"/>
                <w:b/>
              </w:rPr>
              <w:t>公司名称（英文）</w:t>
            </w:r>
          </w:p>
        </w:tc>
        <w:tc>
          <w:tcPr>
            <w:tcW w:w="922" w:type="dxa"/>
            <w:shd w:val="clear" w:color="auto" w:fill="BFBFBF"/>
            <w:vAlign w:val="center"/>
          </w:tcPr>
          <w:p w14:paraId="53F4255D">
            <w:pPr>
              <w:jc w:val="center"/>
            </w:pPr>
            <w:r>
              <w:rPr>
                <w:rFonts w:hint="eastAsia"/>
                <w:b/>
              </w:rPr>
              <w:t>公司名称（中文）</w:t>
            </w:r>
          </w:p>
        </w:tc>
        <w:tc>
          <w:tcPr>
            <w:tcW w:w="922" w:type="dxa"/>
            <w:shd w:val="clear" w:color="auto" w:fill="BFBFBF"/>
            <w:vAlign w:val="center"/>
          </w:tcPr>
          <w:p w14:paraId="01ADF6C6">
            <w:pPr>
              <w:jc w:val="center"/>
            </w:pPr>
            <w:r>
              <w:rPr>
                <w:rFonts w:hint="eastAsia"/>
                <w:b/>
              </w:rPr>
              <w:t>证券代码</w:t>
            </w:r>
          </w:p>
        </w:tc>
        <w:tc>
          <w:tcPr>
            <w:tcW w:w="922" w:type="dxa"/>
            <w:shd w:val="clear" w:color="auto" w:fill="BFBFBF"/>
            <w:vAlign w:val="center"/>
          </w:tcPr>
          <w:p w14:paraId="03352CBB">
            <w:pPr>
              <w:jc w:val="center"/>
            </w:pPr>
            <w:r>
              <w:rPr>
                <w:rFonts w:hint="eastAsia"/>
                <w:b/>
              </w:rPr>
              <w:t>所在证券市场</w:t>
            </w:r>
          </w:p>
        </w:tc>
        <w:tc>
          <w:tcPr>
            <w:tcW w:w="922" w:type="dxa"/>
            <w:shd w:val="clear" w:color="auto" w:fill="BFBFBF"/>
            <w:vAlign w:val="center"/>
          </w:tcPr>
          <w:p w14:paraId="7F246EC5">
            <w:pPr>
              <w:jc w:val="center"/>
            </w:pPr>
            <w:r>
              <w:rPr>
                <w:rFonts w:hint="eastAsia"/>
                <w:b/>
              </w:rPr>
              <w:t>所属国家（地区）</w:t>
            </w:r>
          </w:p>
        </w:tc>
        <w:tc>
          <w:tcPr>
            <w:tcW w:w="922" w:type="dxa"/>
            <w:shd w:val="clear" w:color="auto" w:fill="BFBFBF"/>
            <w:vAlign w:val="center"/>
          </w:tcPr>
          <w:p w14:paraId="34A27DA9">
            <w:pPr>
              <w:jc w:val="center"/>
            </w:pPr>
            <w:r>
              <w:rPr>
                <w:rFonts w:hint="eastAsia"/>
                <w:b/>
              </w:rPr>
              <w:t>数量（股）</w:t>
            </w:r>
          </w:p>
        </w:tc>
        <w:tc>
          <w:tcPr>
            <w:tcW w:w="922" w:type="dxa"/>
            <w:shd w:val="clear" w:color="auto" w:fill="BFBFBF"/>
            <w:vAlign w:val="center"/>
          </w:tcPr>
          <w:p w14:paraId="174B95F5">
            <w:pPr>
              <w:jc w:val="center"/>
            </w:pPr>
            <w:r>
              <w:rPr>
                <w:rFonts w:hint="eastAsia"/>
                <w:b/>
              </w:rPr>
              <w:t>公允价值（人民币元）</w:t>
            </w:r>
          </w:p>
        </w:tc>
        <w:tc>
          <w:tcPr>
            <w:tcW w:w="922" w:type="dxa"/>
            <w:shd w:val="clear" w:color="auto" w:fill="BFBFBF"/>
            <w:vAlign w:val="center"/>
          </w:tcPr>
          <w:p w14:paraId="2679AF8D">
            <w:pPr>
              <w:jc w:val="center"/>
            </w:pPr>
            <w:r>
              <w:rPr>
                <w:rFonts w:hint="eastAsia"/>
                <w:b/>
              </w:rPr>
              <w:t>占基金资产净值比例（％）</w:t>
            </w:r>
          </w:p>
        </w:tc>
      </w:tr>
      <w:tr w14:paraId="06516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7767BF9">
            <w:pPr>
              <w:jc w:val="center"/>
            </w:pPr>
            <w:r>
              <w:rPr>
                <w:rFonts w:hint="eastAsia"/>
              </w:rPr>
              <w:t>1</w:t>
            </w:r>
          </w:p>
        </w:tc>
        <w:tc>
          <w:tcPr>
            <w:tcW w:w="922" w:type="dxa"/>
            <w:vAlign w:val="center"/>
          </w:tcPr>
          <w:p w14:paraId="717CACCA">
            <w:r>
              <w:rPr>
                <w:rFonts w:hint="eastAsia"/>
              </w:rPr>
              <w:t>Meituan</w:t>
            </w:r>
          </w:p>
        </w:tc>
        <w:tc>
          <w:tcPr>
            <w:tcW w:w="922" w:type="dxa"/>
            <w:vAlign w:val="center"/>
          </w:tcPr>
          <w:p w14:paraId="553FBF0A">
            <w:r>
              <w:rPr>
                <w:rFonts w:hint="eastAsia"/>
              </w:rPr>
              <w:t>美团</w:t>
            </w:r>
          </w:p>
        </w:tc>
        <w:tc>
          <w:tcPr>
            <w:tcW w:w="922" w:type="dxa"/>
            <w:vAlign w:val="center"/>
          </w:tcPr>
          <w:p w14:paraId="4CB1FE6C">
            <w:r>
              <w:rPr>
                <w:rFonts w:hint="eastAsia"/>
              </w:rPr>
              <w:t>3690 HK</w:t>
            </w:r>
          </w:p>
        </w:tc>
        <w:tc>
          <w:tcPr>
            <w:tcW w:w="922" w:type="dxa"/>
            <w:vAlign w:val="center"/>
          </w:tcPr>
          <w:p w14:paraId="362E498C">
            <w:r>
              <w:rPr>
                <w:rFonts w:hint="eastAsia"/>
              </w:rPr>
              <w:t>中国香港联合交易所</w:t>
            </w:r>
          </w:p>
        </w:tc>
        <w:tc>
          <w:tcPr>
            <w:tcW w:w="922" w:type="dxa"/>
            <w:vAlign w:val="center"/>
          </w:tcPr>
          <w:p w14:paraId="02EF7B28">
            <w:r>
              <w:rPr>
                <w:rFonts w:hint="eastAsia"/>
              </w:rPr>
              <w:t>中国香港</w:t>
            </w:r>
          </w:p>
        </w:tc>
        <w:tc>
          <w:tcPr>
            <w:tcW w:w="922" w:type="dxa"/>
            <w:vAlign w:val="center"/>
          </w:tcPr>
          <w:p w14:paraId="27B36524">
            <w:pPr>
              <w:jc w:val="right"/>
            </w:pPr>
            <w:r>
              <w:rPr>
                <w:rFonts w:hint="eastAsia"/>
              </w:rPr>
              <w:t>1,748,500</w:t>
            </w:r>
          </w:p>
        </w:tc>
        <w:tc>
          <w:tcPr>
            <w:tcW w:w="922" w:type="dxa"/>
            <w:vAlign w:val="center"/>
          </w:tcPr>
          <w:p w14:paraId="614ADC4C">
            <w:pPr>
              <w:jc w:val="right"/>
            </w:pPr>
            <w:r>
              <w:rPr>
                <w:rFonts w:hint="eastAsia"/>
              </w:rPr>
              <w:t>163,139,641.56</w:t>
            </w:r>
          </w:p>
        </w:tc>
        <w:tc>
          <w:tcPr>
            <w:tcW w:w="922" w:type="dxa"/>
            <w:vAlign w:val="center"/>
          </w:tcPr>
          <w:p w14:paraId="3CB61D75">
            <w:pPr>
              <w:jc w:val="right"/>
            </w:pPr>
            <w:r>
              <w:rPr>
                <w:rFonts w:hint="eastAsia"/>
              </w:rPr>
              <w:t>8.43</w:t>
            </w:r>
          </w:p>
        </w:tc>
      </w:tr>
      <w:tr w14:paraId="393A4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537E0C6">
            <w:pPr>
              <w:jc w:val="center"/>
            </w:pPr>
            <w:r>
              <w:rPr>
                <w:rFonts w:hint="eastAsia"/>
              </w:rPr>
              <w:t>2</w:t>
            </w:r>
          </w:p>
        </w:tc>
        <w:tc>
          <w:tcPr>
            <w:tcW w:w="922" w:type="dxa"/>
            <w:vAlign w:val="center"/>
          </w:tcPr>
          <w:p w14:paraId="22FAE90B">
            <w:r>
              <w:rPr>
                <w:rFonts w:hint="eastAsia"/>
              </w:rPr>
              <w:t>Semiconductor Manufacturing International Corp</w:t>
            </w:r>
          </w:p>
        </w:tc>
        <w:tc>
          <w:tcPr>
            <w:tcW w:w="922" w:type="dxa"/>
            <w:vAlign w:val="center"/>
          </w:tcPr>
          <w:p w14:paraId="19A5C879">
            <w:r>
              <w:rPr>
                <w:rFonts w:hint="eastAsia"/>
              </w:rPr>
              <w:t>中芯国际集成电路制造有限公司</w:t>
            </w:r>
          </w:p>
        </w:tc>
        <w:tc>
          <w:tcPr>
            <w:tcW w:w="922" w:type="dxa"/>
            <w:vAlign w:val="center"/>
          </w:tcPr>
          <w:p w14:paraId="09C06E53">
            <w:r>
              <w:rPr>
                <w:rFonts w:hint="eastAsia"/>
              </w:rPr>
              <w:t>981 HK</w:t>
            </w:r>
          </w:p>
        </w:tc>
        <w:tc>
          <w:tcPr>
            <w:tcW w:w="922" w:type="dxa"/>
            <w:vAlign w:val="center"/>
          </w:tcPr>
          <w:p w14:paraId="229F991A">
            <w:r>
              <w:rPr>
                <w:rFonts w:hint="eastAsia"/>
              </w:rPr>
              <w:t>中国香港联合交易所</w:t>
            </w:r>
          </w:p>
        </w:tc>
        <w:tc>
          <w:tcPr>
            <w:tcW w:w="922" w:type="dxa"/>
            <w:vAlign w:val="center"/>
          </w:tcPr>
          <w:p w14:paraId="4754DF23">
            <w:r>
              <w:rPr>
                <w:rFonts w:hint="eastAsia"/>
              </w:rPr>
              <w:t>中国香港</w:t>
            </w:r>
          </w:p>
        </w:tc>
        <w:tc>
          <w:tcPr>
            <w:tcW w:w="922" w:type="dxa"/>
            <w:vAlign w:val="center"/>
          </w:tcPr>
          <w:p w14:paraId="68ECEAC4">
            <w:pPr>
              <w:jc w:val="right"/>
            </w:pPr>
            <w:r>
              <w:rPr>
                <w:rFonts w:hint="eastAsia"/>
              </w:rPr>
              <w:t>2,430,000</w:t>
            </w:r>
          </w:p>
        </w:tc>
        <w:tc>
          <w:tcPr>
            <w:tcW w:w="922" w:type="dxa"/>
            <w:vAlign w:val="center"/>
          </w:tcPr>
          <w:p w14:paraId="692BC434">
            <w:pPr>
              <w:jc w:val="right"/>
            </w:pPr>
            <w:r>
              <w:rPr>
                <w:rFonts w:hint="eastAsia"/>
              </w:rPr>
              <w:t>156,820,217.67</w:t>
            </w:r>
          </w:p>
        </w:tc>
        <w:tc>
          <w:tcPr>
            <w:tcW w:w="922" w:type="dxa"/>
            <w:vAlign w:val="center"/>
          </w:tcPr>
          <w:p w14:paraId="128CF015">
            <w:pPr>
              <w:jc w:val="right"/>
            </w:pPr>
            <w:r>
              <w:rPr>
                <w:rFonts w:hint="eastAsia"/>
              </w:rPr>
              <w:t>8.10</w:t>
            </w:r>
          </w:p>
        </w:tc>
      </w:tr>
      <w:tr w14:paraId="261C5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7395028">
            <w:pPr>
              <w:jc w:val="center"/>
            </w:pPr>
            <w:r>
              <w:rPr>
                <w:rFonts w:hint="eastAsia"/>
              </w:rPr>
              <w:t>3</w:t>
            </w:r>
          </w:p>
        </w:tc>
        <w:tc>
          <w:tcPr>
            <w:tcW w:w="922" w:type="dxa"/>
            <w:vAlign w:val="center"/>
          </w:tcPr>
          <w:p w14:paraId="3C6EDDB1">
            <w:r>
              <w:rPr>
                <w:rFonts w:hint="eastAsia"/>
              </w:rPr>
              <w:t>Tencent Holdings Ltd</w:t>
            </w:r>
          </w:p>
        </w:tc>
        <w:tc>
          <w:tcPr>
            <w:tcW w:w="922" w:type="dxa"/>
            <w:vAlign w:val="center"/>
          </w:tcPr>
          <w:p w14:paraId="24BC2E36">
            <w:r>
              <w:rPr>
                <w:rFonts w:hint="eastAsia"/>
              </w:rPr>
              <w:t>腾讯控股有限公司</w:t>
            </w:r>
          </w:p>
        </w:tc>
        <w:tc>
          <w:tcPr>
            <w:tcW w:w="922" w:type="dxa"/>
            <w:vAlign w:val="center"/>
          </w:tcPr>
          <w:p w14:paraId="5D7A0DBA">
            <w:r>
              <w:rPr>
                <w:rFonts w:hint="eastAsia"/>
              </w:rPr>
              <w:t>700 HK</w:t>
            </w:r>
          </w:p>
        </w:tc>
        <w:tc>
          <w:tcPr>
            <w:tcW w:w="922" w:type="dxa"/>
            <w:vAlign w:val="center"/>
          </w:tcPr>
          <w:p w14:paraId="37EEC20B">
            <w:r>
              <w:rPr>
                <w:rFonts w:hint="eastAsia"/>
              </w:rPr>
              <w:t>中国香港联合交易所</w:t>
            </w:r>
          </w:p>
        </w:tc>
        <w:tc>
          <w:tcPr>
            <w:tcW w:w="922" w:type="dxa"/>
            <w:vAlign w:val="center"/>
          </w:tcPr>
          <w:p w14:paraId="0997F1B8">
            <w:r>
              <w:rPr>
                <w:rFonts w:hint="eastAsia"/>
              </w:rPr>
              <w:t>中国香港</w:t>
            </w:r>
          </w:p>
        </w:tc>
        <w:tc>
          <w:tcPr>
            <w:tcW w:w="922" w:type="dxa"/>
            <w:vAlign w:val="center"/>
          </w:tcPr>
          <w:p w14:paraId="558120B6">
            <w:pPr>
              <w:jc w:val="right"/>
            </w:pPr>
            <w:r>
              <w:rPr>
                <w:rFonts w:hint="eastAsia"/>
              </w:rPr>
              <w:t>273,500</w:t>
            </w:r>
          </w:p>
        </w:tc>
        <w:tc>
          <w:tcPr>
            <w:tcW w:w="922" w:type="dxa"/>
            <w:vAlign w:val="center"/>
          </w:tcPr>
          <w:p w14:paraId="4523DD3E">
            <w:pPr>
              <w:jc w:val="right"/>
            </w:pPr>
            <w:r>
              <w:rPr>
                <w:rFonts w:hint="eastAsia"/>
              </w:rPr>
              <w:t>147,971,371.33</w:t>
            </w:r>
          </w:p>
        </w:tc>
        <w:tc>
          <w:tcPr>
            <w:tcW w:w="922" w:type="dxa"/>
            <w:vAlign w:val="center"/>
          </w:tcPr>
          <w:p w14:paraId="15A2CA4A">
            <w:pPr>
              <w:jc w:val="right"/>
            </w:pPr>
            <w:r>
              <w:rPr>
                <w:rFonts w:hint="eastAsia"/>
              </w:rPr>
              <w:t>7.64</w:t>
            </w:r>
          </w:p>
        </w:tc>
      </w:tr>
      <w:tr w14:paraId="76C77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C323D74">
            <w:pPr>
              <w:jc w:val="center"/>
            </w:pPr>
            <w:r>
              <w:rPr>
                <w:rFonts w:hint="eastAsia"/>
              </w:rPr>
              <w:t>4</w:t>
            </w:r>
          </w:p>
        </w:tc>
        <w:tc>
          <w:tcPr>
            <w:tcW w:w="922" w:type="dxa"/>
            <w:vAlign w:val="center"/>
          </w:tcPr>
          <w:p w14:paraId="4AFD3109">
            <w:r>
              <w:rPr>
                <w:rFonts w:hint="eastAsia"/>
              </w:rPr>
              <w:t>Xiaomi Corp</w:t>
            </w:r>
          </w:p>
        </w:tc>
        <w:tc>
          <w:tcPr>
            <w:tcW w:w="922" w:type="dxa"/>
            <w:vAlign w:val="center"/>
          </w:tcPr>
          <w:p w14:paraId="295F3414">
            <w:r>
              <w:rPr>
                <w:rFonts w:hint="eastAsia"/>
              </w:rPr>
              <w:t>小米集团</w:t>
            </w:r>
          </w:p>
        </w:tc>
        <w:tc>
          <w:tcPr>
            <w:tcW w:w="922" w:type="dxa"/>
            <w:vAlign w:val="center"/>
          </w:tcPr>
          <w:p w14:paraId="4B1D3EB8">
            <w:r>
              <w:rPr>
                <w:rFonts w:hint="eastAsia"/>
              </w:rPr>
              <w:t>1810 HK</w:t>
            </w:r>
          </w:p>
        </w:tc>
        <w:tc>
          <w:tcPr>
            <w:tcW w:w="922" w:type="dxa"/>
            <w:vAlign w:val="center"/>
          </w:tcPr>
          <w:p w14:paraId="13D10964">
            <w:r>
              <w:rPr>
                <w:rFonts w:hint="eastAsia"/>
              </w:rPr>
              <w:t>中国香港联合交易所</w:t>
            </w:r>
          </w:p>
        </w:tc>
        <w:tc>
          <w:tcPr>
            <w:tcW w:w="922" w:type="dxa"/>
            <w:vAlign w:val="center"/>
          </w:tcPr>
          <w:p w14:paraId="17356712">
            <w:r>
              <w:rPr>
                <w:rFonts w:hint="eastAsia"/>
              </w:rPr>
              <w:t>中国香港</w:t>
            </w:r>
          </w:p>
        </w:tc>
        <w:tc>
          <w:tcPr>
            <w:tcW w:w="922" w:type="dxa"/>
            <w:vAlign w:val="center"/>
          </w:tcPr>
          <w:p w14:paraId="211EEE4A">
            <w:pPr>
              <w:jc w:val="right"/>
            </w:pPr>
            <w:r>
              <w:rPr>
                <w:rFonts w:hint="eastAsia"/>
              </w:rPr>
              <w:t>4,145,800</w:t>
            </w:r>
          </w:p>
        </w:tc>
        <w:tc>
          <w:tcPr>
            <w:tcW w:w="922" w:type="dxa"/>
            <w:vAlign w:val="center"/>
          </w:tcPr>
          <w:p w14:paraId="1E9D9B2E">
            <w:pPr>
              <w:jc w:val="right"/>
            </w:pPr>
            <w:r>
              <w:rPr>
                <w:rFonts w:hint="eastAsia"/>
              </w:rPr>
              <w:t>147,161,580.41</w:t>
            </w:r>
          </w:p>
        </w:tc>
        <w:tc>
          <w:tcPr>
            <w:tcW w:w="922" w:type="dxa"/>
            <w:vAlign w:val="center"/>
          </w:tcPr>
          <w:p w14:paraId="4FB4973B">
            <w:pPr>
              <w:jc w:val="right"/>
            </w:pPr>
            <w:r>
              <w:rPr>
                <w:rFonts w:hint="eastAsia"/>
              </w:rPr>
              <w:t>7.60</w:t>
            </w:r>
          </w:p>
        </w:tc>
      </w:tr>
      <w:tr w14:paraId="11197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0813CED">
            <w:pPr>
              <w:jc w:val="center"/>
            </w:pPr>
            <w:r>
              <w:rPr>
                <w:rFonts w:hint="eastAsia"/>
              </w:rPr>
              <w:t>5</w:t>
            </w:r>
          </w:p>
        </w:tc>
        <w:tc>
          <w:tcPr>
            <w:tcW w:w="922" w:type="dxa"/>
            <w:vAlign w:val="center"/>
          </w:tcPr>
          <w:p w14:paraId="2BAACAF9">
            <w:r>
              <w:rPr>
                <w:rFonts w:hint="eastAsia"/>
              </w:rPr>
              <w:t>NetEase Inc</w:t>
            </w:r>
          </w:p>
        </w:tc>
        <w:tc>
          <w:tcPr>
            <w:tcW w:w="922" w:type="dxa"/>
            <w:vAlign w:val="center"/>
          </w:tcPr>
          <w:p w14:paraId="5474416B">
            <w:r>
              <w:rPr>
                <w:rFonts w:hint="eastAsia"/>
              </w:rPr>
              <w:t>网易股份有限公司</w:t>
            </w:r>
          </w:p>
        </w:tc>
        <w:tc>
          <w:tcPr>
            <w:tcW w:w="922" w:type="dxa"/>
            <w:vAlign w:val="center"/>
          </w:tcPr>
          <w:p w14:paraId="61C4E03F">
            <w:r>
              <w:rPr>
                <w:rFonts w:hint="eastAsia"/>
              </w:rPr>
              <w:t>9999 HK</w:t>
            </w:r>
          </w:p>
        </w:tc>
        <w:tc>
          <w:tcPr>
            <w:tcW w:w="922" w:type="dxa"/>
            <w:vAlign w:val="center"/>
          </w:tcPr>
          <w:p w14:paraId="05B905C0">
            <w:r>
              <w:rPr>
                <w:rFonts w:hint="eastAsia"/>
              </w:rPr>
              <w:t>中国香港联合交易所</w:t>
            </w:r>
          </w:p>
        </w:tc>
        <w:tc>
          <w:tcPr>
            <w:tcW w:w="922" w:type="dxa"/>
            <w:vAlign w:val="center"/>
          </w:tcPr>
          <w:p w14:paraId="1343C9C5">
            <w:r>
              <w:rPr>
                <w:rFonts w:hint="eastAsia"/>
              </w:rPr>
              <w:t>中国香港</w:t>
            </w:r>
          </w:p>
        </w:tc>
        <w:tc>
          <w:tcPr>
            <w:tcW w:w="922" w:type="dxa"/>
            <w:vAlign w:val="center"/>
          </w:tcPr>
          <w:p w14:paraId="33D9BA1D">
            <w:pPr>
              <w:jc w:val="right"/>
            </w:pPr>
            <w:r>
              <w:rPr>
                <w:rFonts w:hint="eastAsia"/>
              </w:rPr>
              <w:t>752,000</w:t>
            </w:r>
          </w:p>
        </w:tc>
        <w:tc>
          <w:tcPr>
            <w:tcW w:w="922" w:type="dxa"/>
            <w:vAlign w:val="center"/>
          </w:tcPr>
          <w:p w14:paraId="274BE1F7">
            <w:pPr>
              <w:jc w:val="right"/>
            </w:pPr>
            <w:r>
              <w:rPr>
                <w:rFonts w:hint="eastAsia"/>
              </w:rPr>
              <w:t>145,760,921.02</w:t>
            </w:r>
          </w:p>
        </w:tc>
        <w:tc>
          <w:tcPr>
            <w:tcW w:w="922" w:type="dxa"/>
            <w:vAlign w:val="center"/>
          </w:tcPr>
          <w:p w14:paraId="6647D381">
            <w:pPr>
              <w:jc w:val="right"/>
            </w:pPr>
            <w:r>
              <w:rPr>
                <w:rFonts w:hint="eastAsia"/>
              </w:rPr>
              <w:t>7.53</w:t>
            </w:r>
          </w:p>
        </w:tc>
      </w:tr>
      <w:tr w14:paraId="75D52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79B9B99">
            <w:pPr>
              <w:jc w:val="center"/>
            </w:pPr>
            <w:r>
              <w:rPr>
                <w:rFonts w:hint="eastAsia"/>
              </w:rPr>
              <w:t>6</w:t>
            </w:r>
          </w:p>
        </w:tc>
        <w:tc>
          <w:tcPr>
            <w:tcW w:w="922" w:type="dxa"/>
            <w:vAlign w:val="center"/>
          </w:tcPr>
          <w:p w14:paraId="6273E5BF">
            <w:r>
              <w:rPr>
                <w:rFonts w:hint="eastAsia"/>
              </w:rPr>
              <w:t>BYD Co Ltd</w:t>
            </w:r>
          </w:p>
        </w:tc>
        <w:tc>
          <w:tcPr>
            <w:tcW w:w="922" w:type="dxa"/>
            <w:vAlign w:val="center"/>
          </w:tcPr>
          <w:p w14:paraId="134163B5">
            <w:r>
              <w:rPr>
                <w:rFonts w:hint="eastAsia"/>
              </w:rPr>
              <w:t>比亚迪股份有限公司</w:t>
            </w:r>
          </w:p>
        </w:tc>
        <w:tc>
          <w:tcPr>
            <w:tcW w:w="922" w:type="dxa"/>
            <w:vAlign w:val="center"/>
          </w:tcPr>
          <w:p w14:paraId="7A460E49">
            <w:r>
              <w:rPr>
                <w:rFonts w:hint="eastAsia"/>
              </w:rPr>
              <w:t>1211 HK</w:t>
            </w:r>
          </w:p>
        </w:tc>
        <w:tc>
          <w:tcPr>
            <w:tcW w:w="922" w:type="dxa"/>
            <w:vAlign w:val="center"/>
          </w:tcPr>
          <w:p w14:paraId="08B7F9F0">
            <w:r>
              <w:rPr>
                <w:rFonts w:hint="eastAsia"/>
              </w:rPr>
              <w:t>中国香港联合交易所</w:t>
            </w:r>
          </w:p>
        </w:tc>
        <w:tc>
          <w:tcPr>
            <w:tcW w:w="922" w:type="dxa"/>
            <w:vAlign w:val="center"/>
          </w:tcPr>
          <w:p w14:paraId="1F84BCBF">
            <w:r>
              <w:rPr>
                <w:rFonts w:hint="eastAsia"/>
              </w:rPr>
              <w:t>中国香港</w:t>
            </w:r>
          </w:p>
        </w:tc>
        <w:tc>
          <w:tcPr>
            <w:tcW w:w="922" w:type="dxa"/>
            <w:vAlign w:val="center"/>
          </w:tcPr>
          <w:p w14:paraId="101D9A8E">
            <w:pPr>
              <w:jc w:val="right"/>
            </w:pPr>
            <w:r>
              <w:rPr>
                <w:rFonts w:hint="eastAsia"/>
              </w:rPr>
              <w:t>1,685,700</w:t>
            </w:r>
          </w:p>
        </w:tc>
        <w:tc>
          <w:tcPr>
            <w:tcW w:w="922" w:type="dxa"/>
            <w:vAlign w:val="center"/>
          </w:tcPr>
          <w:p w14:paraId="5DBA03FF">
            <w:pPr>
              <w:jc w:val="right"/>
            </w:pPr>
            <w:r>
              <w:rPr>
                <w:rFonts w:hint="eastAsia"/>
              </w:rPr>
              <w:t>145,175,900.91</w:t>
            </w:r>
          </w:p>
        </w:tc>
        <w:tc>
          <w:tcPr>
            <w:tcW w:w="922" w:type="dxa"/>
            <w:vAlign w:val="center"/>
          </w:tcPr>
          <w:p w14:paraId="7E869482">
            <w:pPr>
              <w:jc w:val="right"/>
            </w:pPr>
            <w:r>
              <w:rPr>
                <w:rFonts w:hint="eastAsia"/>
              </w:rPr>
              <w:t>7.50</w:t>
            </w:r>
          </w:p>
        </w:tc>
      </w:tr>
      <w:tr w14:paraId="32158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8399E43">
            <w:pPr>
              <w:jc w:val="center"/>
            </w:pPr>
            <w:r>
              <w:rPr>
                <w:rFonts w:hint="eastAsia"/>
              </w:rPr>
              <w:t>7</w:t>
            </w:r>
          </w:p>
        </w:tc>
        <w:tc>
          <w:tcPr>
            <w:tcW w:w="922" w:type="dxa"/>
            <w:vAlign w:val="center"/>
          </w:tcPr>
          <w:p w14:paraId="4C1FBF5A">
            <w:r>
              <w:rPr>
                <w:rFonts w:hint="eastAsia"/>
              </w:rPr>
              <w:t>Alibaba Group Holding Ltd</w:t>
            </w:r>
          </w:p>
        </w:tc>
        <w:tc>
          <w:tcPr>
            <w:tcW w:w="922" w:type="dxa"/>
            <w:vAlign w:val="center"/>
          </w:tcPr>
          <w:p w14:paraId="60809DFB">
            <w:r>
              <w:rPr>
                <w:rFonts w:hint="eastAsia"/>
              </w:rPr>
              <w:t>阿里巴巴集团控股有限公司</w:t>
            </w:r>
          </w:p>
        </w:tc>
        <w:tc>
          <w:tcPr>
            <w:tcW w:w="922" w:type="dxa"/>
            <w:vAlign w:val="center"/>
          </w:tcPr>
          <w:p w14:paraId="3324501C">
            <w:r>
              <w:rPr>
                <w:rFonts w:hint="eastAsia"/>
              </w:rPr>
              <w:t>9988 HK</w:t>
            </w:r>
          </w:p>
        </w:tc>
        <w:tc>
          <w:tcPr>
            <w:tcW w:w="922" w:type="dxa"/>
            <w:vAlign w:val="center"/>
          </w:tcPr>
          <w:p w14:paraId="278BC906">
            <w:r>
              <w:rPr>
                <w:rFonts w:hint="eastAsia"/>
              </w:rPr>
              <w:t>中国香港联合交易所</w:t>
            </w:r>
          </w:p>
        </w:tc>
        <w:tc>
          <w:tcPr>
            <w:tcW w:w="922" w:type="dxa"/>
            <w:vAlign w:val="center"/>
          </w:tcPr>
          <w:p w14:paraId="041575DF">
            <w:r>
              <w:rPr>
                <w:rFonts w:hint="eastAsia"/>
              </w:rPr>
              <w:t>中国香港</w:t>
            </w:r>
          </w:p>
        </w:tc>
        <w:tc>
          <w:tcPr>
            <w:tcW w:w="922" w:type="dxa"/>
            <w:vAlign w:val="center"/>
          </w:tcPr>
          <w:p w14:paraId="3BD2F489">
            <w:pPr>
              <w:jc w:val="right"/>
            </w:pPr>
            <w:r>
              <w:rPr>
                <w:rFonts w:hint="eastAsia"/>
              </w:rPr>
              <w:t>1,074,800</w:t>
            </w:r>
          </w:p>
        </w:tc>
        <w:tc>
          <w:tcPr>
            <w:tcW w:w="922" w:type="dxa"/>
            <w:vAlign w:val="center"/>
          </w:tcPr>
          <w:p w14:paraId="605FEEAC">
            <w:pPr>
              <w:jc w:val="right"/>
            </w:pPr>
            <w:r>
              <w:rPr>
                <w:rFonts w:hint="eastAsia"/>
              </w:rPr>
              <w:t>138,627,506.24</w:t>
            </w:r>
          </w:p>
        </w:tc>
        <w:tc>
          <w:tcPr>
            <w:tcW w:w="922" w:type="dxa"/>
            <w:vAlign w:val="center"/>
          </w:tcPr>
          <w:p w14:paraId="2CB8A9DD">
            <w:pPr>
              <w:jc w:val="right"/>
            </w:pPr>
            <w:r>
              <w:rPr>
                <w:rFonts w:hint="eastAsia"/>
              </w:rPr>
              <w:t>7.16</w:t>
            </w:r>
          </w:p>
        </w:tc>
      </w:tr>
      <w:tr w14:paraId="35BB9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60B8659">
            <w:pPr>
              <w:jc w:val="center"/>
            </w:pPr>
            <w:r>
              <w:rPr>
                <w:rFonts w:hint="eastAsia"/>
              </w:rPr>
              <w:t>8</w:t>
            </w:r>
          </w:p>
        </w:tc>
        <w:tc>
          <w:tcPr>
            <w:tcW w:w="922" w:type="dxa"/>
            <w:vAlign w:val="center"/>
          </w:tcPr>
          <w:p w14:paraId="05C2F429">
            <w:r>
              <w:rPr>
                <w:rFonts w:hint="eastAsia"/>
              </w:rPr>
              <w:t>JD.com Inc</w:t>
            </w:r>
          </w:p>
        </w:tc>
        <w:tc>
          <w:tcPr>
            <w:tcW w:w="922" w:type="dxa"/>
            <w:vAlign w:val="center"/>
          </w:tcPr>
          <w:p w14:paraId="300B7DA5">
            <w:r>
              <w:rPr>
                <w:rFonts w:hint="eastAsia"/>
              </w:rPr>
              <w:t>京东集团股份有限公司</w:t>
            </w:r>
          </w:p>
        </w:tc>
        <w:tc>
          <w:tcPr>
            <w:tcW w:w="922" w:type="dxa"/>
            <w:vAlign w:val="center"/>
          </w:tcPr>
          <w:p w14:paraId="4F3DAB4C">
            <w:r>
              <w:rPr>
                <w:rFonts w:hint="eastAsia"/>
              </w:rPr>
              <w:t>9618 HK</w:t>
            </w:r>
          </w:p>
        </w:tc>
        <w:tc>
          <w:tcPr>
            <w:tcW w:w="922" w:type="dxa"/>
            <w:vAlign w:val="center"/>
          </w:tcPr>
          <w:p w14:paraId="0AB2C2B8">
            <w:r>
              <w:rPr>
                <w:rFonts w:hint="eastAsia"/>
              </w:rPr>
              <w:t>中国香港联合交易所</w:t>
            </w:r>
          </w:p>
        </w:tc>
        <w:tc>
          <w:tcPr>
            <w:tcW w:w="922" w:type="dxa"/>
            <w:vAlign w:val="center"/>
          </w:tcPr>
          <w:p w14:paraId="431A32E1">
            <w:r>
              <w:rPr>
                <w:rFonts w:hint="eastAsia"/>
              </w:rPr>
              <w:t>中国香港</w:t>
            </w:r>
          </w:p>
        </w:tc>
        <w:tc>
          <w:tcPr>
            <w:tcW w:w="922" w:type="dxa"/>
            <w:vAlign w:val="center"/>
          </w:tcPr>
          <w:p w14:paraId="18DB03A0">
            <w:pPr>
              <w:jc w:val="right"/>
            </w:pPr>
            <w:r>
              <w:rPr>
                <w:rFonts w:hint="eastAsia"/>
              </w:rPr>
              <w:t>946,800</w:t>
            </w:r>
          </w:p>
        </w:tc>
        <w:tc>
          <w:tcPr>
            <w:tcW w:w="922" w:type="dxa"/>
            <w:vAlign w:val="center"/>
          </w:tcPr>
          <w:p w14:paraId="73569CD2">
            <w:pPr>
              <w:jc w:val="right"/>
            </w:pPr>
            <w:r>
              <w:rPr>
                <w:rFonts w:hint="eastAsia"/>
              </w:rPr>
              <w:t>95,436,826.47</w:t>
            </w:r>
          </w:p>
        </w:tc>
        <w:tc>
          <w:tcPr>
            <w:tcW w:w="922" w:type="dxa"/>
            <w:vAlign w:val="center"/>
          </w:tcPr>
          <w:p w14:paraId="260EA1EA">
            <w:pPr>
              <w:jc w:val="right"/>
            </w:pPr>
            <w:r>
              <w:rPr>
                <w:rFonts w:hint="eastAsia"/>
              </w:rPr>
              <w:t>4.93</w:t>
            </w:r>
          </w:p>
        </w:tc>
      </w:tr>
      <w:tr w14:paraId="11FF5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9CEFBB9">
            <w:pPr>
              <w:jc w:val="center"/>
            </w:pPr>
            <w:r>
              <w:rPr>
                <w:rFonts w:hint="eastAsia"/>
              </w:rPr>
              <w:t>9</w:t>
            </w:r>
          </w:p>
        </w:tc>
        <w:tc>
          <w:tcPr>
            <w:tcW w:w="922" w:type="dxa"/>
            <w:vAlign w:val="center"/>
          </w:tcPr>
          <w:p w14:paraId="242C218E">
            <w:r>
              <w:rPr>
                <w:rFonts w:hint="eastAsia"/>
              </w:rPr>
              <w:t>Kuaishou Technology</w:t>
            </w:r>
          </w:p>
        </w:tc>
        <w:tc>
          <w:tcPr>
            <w:tcW w:w="922" w:type="dxa"/>
            <w:vAlign w:val="center"/>
          </w:tcPr>
          <w:p w14:paraId="6E2AC049">
            <w:r>
              <w:rPr>
                <w:rFonts w:hint="eastAsia"/>
              </w:rPr>
              <w:t>快手科技</w:t>
            </w:r>
          </w:p>
        </w:tc>
        <w:tc>
          <w:tcPr>
            <w:tcW w:w="922" w:type="dxa"/>
            <w:vAlign w:val="center"/>
          </w:tcPr>
          <w:p w14:paraId="0F2C1D2D">
            <w:r>
              <w:rPr>
                <w:rFonts w:hint="eastAsia"/>
              </w:rPr>
              <w:t>1024 HK</w:t>
            </w:r>
          </w:p>
        </w:tc>
        <w:tc>
          <w:tcPr>
            <w:tcW w:w="922" w:type="dxa"/>
            <w:vAlign w:val="center"/>
          </w:tcPr>
          <w:p w14:paraId="4748C3D0">
            <w:r>
              <w:rPr>
                <w:rFonts w:hint="eastAsia"/>
              </w:rPr>
              <w:t>中国香港联合交易所</w:t>
            </w:r>
          </w:p>
        </w:tc>
        <w:tc>
          <w:tcPr>
            <w:tcW w:w="922" w:type="dxa"/>
            <w:vAlign w:val="center"/>
          </w:tcPr>
          <w:p w14:paraId="125C8E5E">
            <w:r>
              <w:rPr>
                <w:rFonts w:hint="eastAsia"/>
              </w:rPr>
              <w:t>中国香港</w:t>
            </w:r>
          </w:p>
        </w:tc>
        <w:tc>
          <w:tcPr>
            <w:tcW w:w="922" w:type="dxa"/>
            <w:vAlign w:val="center"/>
          </w:tcPr>
          <w:p w14:paraId="08E90499">
            <w:pPr>
              <w:jc w:val="right"/>
            </w:pPr>
            <w:r>
              <w:rPr>
                <w:rFonts w:hint="eastAsia"/>
              </w:rPr>
              <w:t>1,633,500</w:t>
            </w:r>
          </w:p>
        </w:tc>
        <w:tc>
          <w:tcPr>
            <w:tcW w:w="922" w:type="dxa"/>
            <w:vAlign w:val="center"/>
          </w:tcPr>
          <w:p w14:paraId="0472A97A">
            <w:pPr>
              <w:jc w:val="right"/>
            </w:pPr>
            <w:r>
              <w:rPr>
                <w:rFonts w:hint="eastAsia"/>
              </w:rPr>
              <w:t>94,352,461.19</w:t>
            </w:r>
          </w:p>
        </w:tc>
        <w:tc>
          <w:tcPr>
            <w:tcW w:w="922" w:type="dxa"/>
            <w:vAlign w:val="center"/>
          </w:tcPr>
          <w:p w14:paraId="1D38A5C2">
            <w:pPr>
              <w:jc w:val="right"/>
            </w:pPr>
            <w:r>
              <w:rPr>
                <w:rFonts w:hint="eastAsia"/>
              </w:rPr>
              <w:t>4.87</w:t>
            </w:r>
          </w:p>
        </w:tc>
      </w:tr>
      <w:tr w14:paraId="29ED6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A112508">
            <w:pPr>
              <w:jc w:val="center"/>
            </w:pPr>
            <w:r>
              <w:rPr>
                <w:rFonts w:hint="eastAsia"/>
              </w:rPr>
              <w:t>10</w:t>
            </w:r>
          </w:p>
        </w:tc>
        <w:tc>
          <w:tcPr>
            <w:tcW w:w="922" w:type="dxa"/>
            <w:vAlign w:val="center"/>
          </w:tcPr>
          <w:p w14:paraId="6C1F5952">
            <w:r>
              <w:rPr>
                <w:rFonts w:hint="eastAsia"/>
              </w:rPr>
              <w:t>Baidu Inc</w:t>
            </w:r>
          </w:p>
        </w:tc>
        <w:tc>
          <w:tcPr>
            <w:tcW w:w="922" w:type="dxa"/>
            <w:vAlign w:val="center"/>
          </w:tcPr>
          <w:p w14:paraId="0892F185">
            <w:r>
              <w:rPr>
                <w:rFonts w:hint="eastAsia"/>
              </w:rPr>
              <w:t>百度集团股份有限公司</w:t>
            </w:r>
          </w:p>
        </w:tc>
        <w:tc>
          <w:tcPr>
            <w:tcW w:w="922" w:type="dxa"/>
            <w:vAlign w:val="center"/>
          </w:tcPr>
          <w:p w14:paraId="06F564D7">
            <w:r>
              <w:rPr>
                <w:rFonts w:hint="eastAsia"/>
              </w:rPr>
              <w:t>9888 HK</w:t>
            </w:r>
          </w:p>
        </w:tc>
        <w:tc>
          <w:tcPr>
            <w:tcW w:w="922" w:type="dxa"/>
            <w:vAlign w:val="center"/>
          </w:tcPr>
          <w:p w14:paraId="368C3735">
            <w:r>
              <w:rPr>
                <w:rFonts w:hint="eastAsia"/>
              </w:rPr>
              <w:t>中国香港联合交易所</w:t>
            </w:r>
          </w:p>
        </w:tc>
        <w:tc>
          <w:tcPr>
            <w:tcW w:w="922" w:type="dxa"/>
            <w:vAlign w:val="center"/>
          </w:tcPr>
          <w:p w14:paraId="6029D111">
            <w:r>
              <w:rPr>
                <w:rFonts w:hint="eastAsia"/>
              </w:rPr>
              <w:t>中国香港</w:t>
            </w:r>
          </w:p>
        </w:tc>
        <w:tc>
          <w:tcPr>
            <w:tcW w:w="922" w:type="dxa"/>
            <w:vAlign w:val="center"/>
          </w:tcPr>
          <w:p w14:paraId="4A3BB7D0">
            <w:pPr>
              <w:jc w:val="right"/>
            </w:pPr>
            <w:r>
              <w:rPr>
                <w:rFonts w:hint="eastAsia"/>
              </w:rPr>
              <w:t>668,150</w:t>
            </w:r>
          </w:p>
        </w:tc>
        <w:tc>
          <w:tcPr>
            <w:tcW w:w="922" w:type="dxa"/>
            <w:vAlign w:val="center"/>
          </w:tcPr>
          <w:p w14:paraId="37ECA5E7">
            <w:pPr>
              <w:jc w:val="right"/>
            </w:pPr>
            <w:r>
              <w:rPr>
                <w:rFonts w:hint="eastAsia"/>
              </w:rPr>
              <w:t>79,358,467.25</w:t>
            </w:r>
          </w:p>
        </w:tc>
        <w:tc>
          <w:tcPr>
            <w:tcW w:w="922" w:type="dxa"/>
            <w:vAlign w:val="center"/>
          </w:tcPr>
          <w:p w14:paraId="4B5D0E5E">
            <w:pPr>
              <w:jc w:val="right"/>
            </w:pPr>
            <w:r>
              <w:rPr>
                <w:rFonts w:hint="eastAsia"/>
              </w:rPr>
              <w:t>4.10</w:t>
            </w:r>
          </w:p>
        </w:tc>
      </w:tr>
      <w:tr w14:paraId="03AD5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C7CE0D4">
            <w:pPr>
              <w:jc w:val="center"/>
            </w:pPr>
            <w:r>
              <w:rPr>
                <w:rFonts w:hint="eastAsia"/>
              </w:rPr>
              <w:t>11</w:t>
            </w:r>
          </w:p>
        </w:tc>
        <w:tc>
          <w:tcPr>
            <w:tcW w:w="922" w:type="dxa"/>
            <w:vAlign w:val="center"/>
          </w:tcPr>
          <w:p w14:paraId="6DF8F358">
            <w:r>
              <w:rPr>
                <w:rFonts w:hint="eastAsia"/>
              </w:rPr>
              <w:t>Trip.com Group Ltd</w:t>
            </w:r>
          </w:p>
        </w:tc>
        <w:tc>
          <w:tcPr>
            <w:tcW w:w="922" w:type="dxa"/>
            <w:vAlign w:val="center"/>
          </w:tcPr>
          <w:p w14:paraId="3E9F101E">
            <w:r>
              <w:rPr>
                <w:rFonts w:hint="eastAsia"/>
              </w:rPr>
              <w:t>携程集团有限公司</w:t>
            </w:r>
          </w:p>
        </w:tc>
        <w:tc>
          <w:tcPr>
            <w:tcW w:w="922" w:type="dxa"/>
            <w:vAlign w:val="center"/>
          </w:tcPr>
          <w:p w14:paraId="76D0FEB4">
            <w:r>
              <w:rPr>
                <w:rFonts w:hint="eastAsia"/>
              </w:rPr>
              <w:t>9961 HK</w:t>
            </w:r>
          </w:p>
        </w:tc>
        <w:tc>
          <w:tcPr>
            <w:tcW w:w="922" w:type="dxa"/>
            <w:vAlign w:val="center"/>
          </w:tcPr>
          <w:p w14:paraId="599178B9">
            <w:r>
              <w:rPr>
                <w:rFonts w:hint="eastAsia"/>
              </w:rPr>
              <w:t>中国香港联合交易所</w:t>
            </w:r>
          </w:p>
        </w:tc>
        <w:tc>
          <w:tcPr>
            <w:tcW w:w="922" w:type="dxa"/>
            <w:vAlign w:val="center"/>
          </w:tcPr>
          <w:p w14:paraId="030F9634">
            <w:r>
              <w:rPr>
                <w:rFonts w:hint="eastAsia"/>
              </w:rPr>
              <w:t>中国香港</w:t>
            </w:r>
          </w:p>
        </w:tc>
        <w:tc>
          <w:tcPr>
            <w:tcW w:w="922" w:type="dxa"/>
            <w:vAlign w:val="center"/>
          </w:tcPr>
          <w:p w14:paraId="4A411B5C">
            <w:pPr>
              <w:jc w:val="right"/>
            </w:pPr>
            <w:r>
              <w:rPr>
                <w:rFonts w:hint="eastAsia"/>
              </w:rPr>
              <w:t>130,200</w:t>
            </w:r>
          </w:p>
        </w:tc>
        <w:tc>
          <w:tcPr>
            <w:tcW w:w="922" w:type="dxa"/>
            <w:vAlign w:val="center"/>
          </w:tcPr>
          <w:p w14:paraId="74FD0E4C">
            <w:pPr>
              <w:jc w:val="right"/>
            </w:pPr>
            <w:r>
              <w:rPr>
                <w:rFonts w:hint="eastAsia"/>
              </w:rPr>
              <w:t>65,149,981.18</w:t>
            </w:r>
          </w:p>
        </w:tc>
        <w:tc>
          <w:tcPr>
            <w:tcW w:w="922" w:type="dxa"/>
            <w:vAlign w:val="center"/>
          </w:tcPr>
          <w:p w14:paraId="70363BB3">
            <w:pPr>
              <w:jc w:val="right"/>
            </w:pPr>
            <w:r>
              <w:rPr>
                <w:rFonts w:hint="eastAsia"/>
              </w:rPr>
              <w:t>3.37</w:t>
            </w:r>
          </w:p>
        </w:tc>
      </w:tr>
      <w:tr w14:paraId="34B68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ECBA3BE">
            <w:pPr>
              <w:jc w:val="center"/>
            </w:pPr>
            <w:r>
              <w:rPr>
                <w:rFonts w:hint="eastAsia"/>
              </w:rPr>
              <w:t>12</w:t>
            </w:r>
          </w:p>
        </w:tc>
        <w:tc>
          <w:tcPr>
            <w:tcW w:w="922" w:type="dxa"/>
            <w:vAlign w:val="center"/>
          </w:tcPr>
          <w:p w14:paraId="7F629637">
            <w:r>
              <w:rPr>
                <w:rFonts w:hint="eastAsia"/>
              </w:rPr>
              <w:t>XPeng Inc</w:t>
            </w:r>
          </w:p>
        </w:tc>
        <w:tc>
          <w:tcPr>
            <w:tcW w:w="922" w:type="dxa"/>
            <w:vAlign w:val="center"/>
          </w:tcPr>
          <w:p w14:paraId="153FCA2E">
            <w:r>
              <w:rPr>
                <w:rFonts w:hint="eastAsia"/>
              </w:rPr>
              <w:t>小鹏汽车有限公司</w:t>
            </w:r>
          </w:p>
        </w:tc>
        <w:tc>
          <w:tcPr>
            <w:tcW w:w="922" w:type="dxa"/>
            <w:vAlign w:val="center"/>
          </w:tcPr>
          <w:p w14:paraId="2CB77B7C">
            <w:r>
              <w:rPr>
                <w:rFonts w:hint="eastAsia"/>
              </w:rPr>
              <w:t>9868 HK</w:t>
            </w:r>
          </w:p>
        </w:tc>
        <w:tc>
          <w:tcPr>
            <w:tcW w:w="922" w:type="dxa"/>
            <w:vAlign w:val="center"/>
          </w:tcPr>
          <w:p w14:paraId="0D9007A0">
            <w:r>
              <w:rPr>
                <w:rFonts w:hint="eastAsia"/>
              </w:rPr>
              <w:t>中国香港联合交易所</w:t>
            </w:r>
          </w:p>
        </w:tc>
        <w:tc>
          <w:tcPr>
            <w:tcW w:w="922" w:type="dxa"/>
            <w:vAlign w:val="center"/>
          </w:tcPr>
          <w:p w14:paraId="0F58AC8B">
            <w:r>
              <w:rPr>
                <w:rFonts w:hint="eastAsia"/>
              </w:rPr>
              <w:t>中国香港</w:t>
            </w:r>
          </w:p>
        </w:tc>
        <w:tc>
          <w:tcPr>
            <w:tcW w:w="922" w:type="dxa"/>
            <w:vAlign w:val="center"/>
          </w:tcPr>
          <w:p w14:paraId="09D2DF27">
            <w:pPr>
              <w:jc w:val="right"/>
            </w:pPr>
            <w:r>
              <w:rPr>
                <w:rFonts w:hint="eastAsia"/>
              </w:rPr>
              <w:t>864,600</w:t>
            </w:r>
          </w:p>
        </w:tc>
        <w:tc>
          <w:tcPr>
            <w:tcW w:w="922" w:type="dxa"/>
            <w:vAlign w:val="center"/>
          </w:tcPr>
          <w:p w14:paraId="751B793B">
            <w:pPr>
              <w:jc w:val="right"/>
            </w:pPr>
            <w:r>
              <w:rPr>
                <w:rFonts w:hint="eastAsia"/>
              </w:rPr>
              <w:t>61,966,320.35</w:t>
            </w:r>
          </w:p>
        </w:tc>
        <w:tc>
          <w:tcPr>
            <w:tcW w:w="922" w:type="dxa"/>
            <w:vAlign w:val="center"/>
          </w:tcPr>
          <w:p w14:paraId="524F3909">
            <w:pPr>
              <w:jc w:val="right"/>
            </w:pPr>
            <w:r>
              <w:rPr>
                <w:rFonts w:hint="eastAsia"/>
              </w:rPr>
              <w:t>3.20</w:t>
            </w:r>
          </w:p>
        </w:tc>
      </w:tr>
      <w:tr w14:paraId="42D45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97C7584">
            <w:pPr>
              <w:jc w:val="center"/>
            </w:pPr>
            <w:r>
              <w:rPr>
                <w:rFonts w:hint="eastAsia"/>
              </w:rPr>
              <w:t>13</w:t>
            </w:r>
          </w:p>
        </w:tc>
        <w:tc>
          <w:tcPr>
            <w:tcW w:w="922" w:type="dxa"/>
            <w:vAlign w:val="center"/>
          </w:tcPr>
          <w:p w14:paraId="11C85E5C">
            <w:r>
              <w:rPr>
                <w:rFonts w:hint="eastAsia"/>
              </w:rPr>
              <w:t>Horizon Robotics</w:t>
            </w:r>
          </w:p>
        </w:tc>
        <w:tc>
          <w:tcPr>
            <w:tcW w:w="922" w:type="dxa"/>
            <w:vAlign w:val="center"/>
          </w:tcPr>
          <w:p w14:paraId="34240B1B">
            <w:r>
              <w:rPr>
                <w:rFonts w:hint="eastAsia"/>
              </w:rPr>
              <w:t>地平綫</w:t>
            </w:r>
          </w:p>
        </w:tc>
        <w:tc>
          <w:tcPr>
            <w:tcW w:w="922" w:type="dxa"/>
            <w:vAlign w:val="center"/>
          </w:tcPr>
          <w:p w14:paraId="1B4FECFB">
            <w:r>
              <w:rPr>
                <w:rFonts w:hint="eastAsia"/>
              </w:rPr>
              <w:t>9660 HK</w:t>
            </w:r>
          </w:p>
        </w:tc>
        <w:tc>
          <w:tcPr>
            <w:tcW w:w="922" w:type="dxa"/>
            <w:vAlign w:val="center"/>
          </w:tcPr>
          <w:p w14:paraId="161E8B9A">
            <w:r>
              <w:rPr>
                <w:rFonts w:hint="eastAsia"/>
              </w:rPr>
              <w:t>中国香港联合交易所</w:t>
            </w:r>
          </w:p>
        </w:tc>
        <w:tc>
          <w:tcPr>
            <w:tcW w:w="922" w:type="dxa"/>
            <w:vAlign w:val="center"/>
          </w:tcPr>
          <w:p w14:paraId="6F21798B">
            <w:r>
              <w:rPr>
                <w:rFonts w:hint="eastAsia"/>
              </w:rPr>
              <w:t>中国香港</w:t>
            </w:r>
          </w:p>
        </w:tc>
        <w:tc>
          <w:tcPr>
            <w:tcW w:w="922" w:type="dxa"/>
            <w:vAlign w:val="center"/>
          </w:tcPr>
          <w:p w14:paraId="7640C9FA">
            <w:pPr>
              <w:jc w:val="right"/>
            </w:pPr>
            <w:r>
              <w:rPr>
                <w:rFonts w:hint="eastAsia"/>
              </w:rPr>
              <w:t>5,622,600</w:t>
            </w:r>
          </w:p>
        </w:tc>
        <w:tc>
          <w:tcPr>
            <w:tcW w:w="922" w:type="dxa"/>
            <w:vAlign w:val="center"/>
          </w:tcPr>
          <w:p w14:paraId="26EB9496">
            <w:pPr>
              <w:jc w:val="right"/>
            </w:pPr>
            <w:r>
              <w:rPr>
                <w:rFonts w:hint="eastAsia"/>
              </w:rPr>
              <w:t>43,979,331.73</w:t>
            </w:r>
          </w:p>
        </w:tc>
        <w:tc>
          <w:tcPr>
            <w:tcW w:w="922" w:type="dxa"/>
            <w:vAlign w:val="center"/>
          </w:tcPr>
          <w:p w14:paraId="5FE6DED4">
            <w:pPr>
              <w:jc w:val="right"/>
            </w:pPr>
            <w:r>
              <w:rPr>
                <w:rFonts w:hint="eastAsia"/>
              </w:rPr>
              <w:t>2.27</w:t>
            </w:r>
          </w:p>
        </w:tc>
      </w:tr>
      <w:tr w14:paraId="5F3C1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F001198">
            <w:pPr>
              <w:jc w:val="center"/>
            </w:pPr>
            <w:r>
              <w:rPr>
                <w:rFonts w:hint="eastAsia"/>
              </w:rPr>
              <w:t>14</w:t>
            </w:r>
          </w:p>
        </w:tc>
        <w:tc>
          <w:tcPr>
            <w:tcW w:w="922" w:type="dxa"/>
            <w:vAlign w:val="center"/>
          </w:tcPr>
          <w:p w14:paraId="4744D78A">
            <w:r>
              <w:rPr>
                <w:rFonts w:hint="eastAsia"/>
              </w:rPr>
              <w:t>Li Auto Inc</w:t>
            </w:r>
          </w:p>
        </w:tc>
        <w:tc>
          <w:tcPr>
            <w:tcW w:w="922" w:type="dxa"/>
            <w:vAlign w:val="center"/>
          </w:tcPr>
          <w:p w14:paraId="0BFBA09C">
            <w:r>
              <w:rPr>
                <w:rFonts w:hint="eastAsia"/>
              </w:rPr>
              <w:t>理想汽车</w:t>
            </w:r>
          </w:p>
        </w:tc>
        <w:tc>
          <w:tcPr>
            <w:tcW w:w="922" w:type="dxa"/>
            <w:vAlign w:val="center"/>
          </w:tcPr>
          <w:p w14:paraId="0DBC16E5">
            <w:r>
              <w:rPr>
                <w:rFonts w:hint="eastAsia"/>
              </w:rPr>
              <w:t>2015 HK</w:t>
            </w:r>
          </w:p>
        </w:tc>
        <w:tc>
          <w:tcPr>
            <w:tcW w:w="922" w:type="dxa"/>
            <w:vAlign w:val="center"/>
          </w:tcPr>
          <w:p w14:paraId="377DD7DB">
            <w:r>
              <w:rPr>
                <w:rFonts w:hint="eastAsia"/>
              </w:rPr>
              <w:t>中国香港联合交易所</w:t>
            </w:r>
          </w:p>
        </w:tc>
        <w:tc>
          <w:tcPr>
            <w:tcW w:w="922" w:type="dxa"/>
            <w:vAlign w:val="center"/>
          </w:tcPr>
          <w:p w14:paraId="636C763E">
            <w:r>
              <w:rPr>
                <w:rFonts w:hint="eastAsia"/>
              </w:rPr>
              <w:t>中国香港</w:t>
            </w:r>
          </w:p>
        </w:tc>
        <w:tc>
          <w:tcPr>
            <w:tcW w:w="922" w:type="dxa"/>
            <w:vAlign w:val="center"/>
          </w:tcPr>
          <w:p w14:paraId="6524DFF9">
            <w:pPr>
              <w:jc w:val="right"/>
            </w:pPr>
            <w:r>
              <w:rPr>
                <w:rFonts w:hint="eastAsia"/>
              </w:rPr>
              <w:t>737,800</w:t>
            </w:r>
          </w:p>
        </w:tc>
        <w:tc>
          <w:tcPr>
            <w:tcW w:w="922" w:type="dxa"/>
            <w:vAlign w:val="center"/>
          </w:tcPr>
          <w:p w14:paraId="1E8203AC">
            <w:pPr>
              <w:jc w:val="right"/>
            </w:pPr>
            <w:r>
              <w:rPr>
                <w:rFonts w:hint="eastAsia"/>
              </w:rPr>
              <w:t>43,215,762.18</w:t>
            </w:r>
          </w:p>
        </w:tc>
        <w:tc>
          <w:tcPr>
            <w:tcW w:w="922" w:type="dxa"/>
            <w:vAlign w:val="center"/>
          </w:tcPr>
          <w:p w14:paraId="7A71DB72">
            <w:pPr>
              <w:jc w:val="right"/>
            </w:pPr>
            <w:r>
              <w:rPr>
                <w:rFonts w:hint="eastAsia"/>
              </w:rPr>
              <w:t>2.23</w:t>
            </w:r>
          </w:p>
        </w:tc>
      </w:tr>
      <w:tr w14:paraId="4E250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79CF0E0">
            <w:pPr>
              <w:jc w:val="center"/>
            </w:pPr>
            <w:r>
              <w:rPr>
                <w:rFonts w:hint="eastAsia"/>
              </w:rPr>
              <w:t>15</w:t>
            </w:r>
          </w:p>
        </w:tc>
        <w:tc>
          <w:tcPr>
            <w:tcW w:w="922" w:type="dxa"/>
            <w:vAlign w:val="center"/>
          </w:tcPr>
          <w:p w14:paraId="18459E3C">
            <w:r>
              <w:rPr>
                <w:rFonts w:hint="eastAsia"/>
              </w:rPr>
              <w:t>SenseTime Group Inc</w:t>
            </w:r>
          </w:p>
        </w:tc>
        <w:tc>
          <w:tcPr>
            <w:tcW w:w="922" w:type="dxa"/>
            <w:vAlign w:val="center"/>
          </w:tcPr>
          <w:p w14:paraId="7DBEFC90">
            <w:r>
              <w:rPr>
                <w:rFonts w:hint="eastAsia"/>
              </w:rPr>
              <w:t>商汤集团股份有限公司</w:t>
            </w:r>
          </w:p>
        </w:tc>
        <w:tc>
          <w:tcPr>
            <w:tcW w:w="922" w:type="dxa"/>
            <w:vAlign w:val="center"/>
          </w:tcPr>
          <w:p w14:paraId="16700687">
            <w:r>
              <w:rPr>
                <w:rFonts w:hint="eastAsia"/>
              </w:rPr>
              <w:t>20 HK</w:t>
            </w:r>
          </w:p>
        </w:tc>
        <w:tc>
          <w:tcPr>
            <w:tcW w:w="922" w:type="dxa"/>
            <w:vAlign w:val="center"/>
          </w:tcPr>
          <w:p w14:paraId="490D8FAD">
            <w:r>
              <w:rPr>
                <w:rFonts w:hint="eastAsia"/>
              </w:rPr>
              <w:t>中国香港联合交易所</w:t>
            </w:r>
          </w:p>
        </w:tc>
        <w:tc>
          <w:tcPr>
            <w:tcW w:w="922" w:type="dxa"/>
            <w:vAlign w:val="center"/>
          </w:tcPr>
          <w:p w14:paraId="7DC74197">
            <w:r>
              <w:rPr>
                <w:rFonts w:hint="eastAsia"/>
              </w:rPr>
              <w:t>中国香港</w:t>
            </w:r>
          </w:p>
        </w:tc>
        <w:tc>
          <w:tcPr>
            <w:tcW w:w="922" w:type="dxa"/>
            <w:vAlign w:val="center"/>
          </w:tcPr>
          <w:p w14:paraId="03227C6F">
            <w:pPr>
              <w:jc w:val="right"/>
            </w:pPr>
            <w:r>
              <w:rPr>
                <w:rFonts w:hint="eastAsia"/>
              </w:rPr>
              <w:t>17,752,000</w:t>
            </w:r>
          </w:p>
        </w:tc>
        <w:tc>
          <w:tcPr>
            <w:tcW w:w="922" w:type="dxa"/>
            <w:vAlign w:val="center"/>
          </w:tcPr>
          <w:p w14:paraId="077078EC">
            <w:pPr>
              <w:jc w:val="right"/>
            </w:pPr>
            <w:r>
              <w:rPr>
                <w:rFonts w:hint="eastAsia"/>
              </w:rPr>
              <w:t>35,274,715.17</w:t>
            </w:r>
          </w:p>
        </w:tc>
        <w:tc>
          <w:tcPr>
            <w:tcW w:w="922" w:type="dxa"/>
            <w:vAlign w:val="center"/>
          </w:tcPr>
          <w:p w14:paraId="106FEF1E">
            <w:pPr>
              <w:jc w:val="right"/>
            </w:pPr>
            <w:r>
              <w:rPr>
                <w:rFonts w:hint="eastAsia"/>
              </w:rPr>
              <w:t>1.82</w:t>
            </w:r>
          </w:p>
        </w:tc>
      </w:tr>
      <w:tr w14:paraId="34B05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8C58633">
            <w:pPr>
              <w:jc w:val="center"/>
            </w:pPr>
            <w:r>
              <w:rPr>
                <w:rFonts w:hint="eastAsia"/>
              </w:rPr>
              <w:t>16</w:t>
            </w:r>
          </w:p>
        </w:tc>
        <w:tc>
          <w:tcPr>
            <w:tcW w:w="922" w:type="dxa"/>
            <w:vAlign w:val="center"/>
          </w:tcPr>
          <w:p w14:paraId="6A382DD6">
            <w:r>
              <w:rPr>
                <w:rFonts w:hint="eastAsia"/>
              </w:rPr>
              <w:t>Lenovo Group Ltd</w:t>
            </w:r>
          </w:p>
        </w:tc>
        <w:tc>
          <w:tcPr>
            <w:tcW w:w="922" w:type="dxa"/>
            <w:vAlign w:val="center"/>
          </w:tcPr>
          <w:p w14:paraId="7C8335D3">
            <w:r>
              <w:rPr>
                <w:rFonts w:hint="eastAsia"/>
              </w:rPr>
              <w:t>联想集团有限公司</w:t>
            </w:r>
          </w:p>
        </w:tc>
        <w:tc>
          <w:tcPr>
            <w:tcW w:w="922" w:type="dxa"/>
            <w:vAlign w:val="center"/>
          </w:tcPr>
          <w:p w14:paraId="2A73F3CD">
            <w:r>
              <w:rPr>
                <w:rFonts w:hint="eastAsia"/>
              </w:rPr>
              <w:t>992 HK</w:t>
            </w:r>
          </w:p>
        </w:tc>
        <w:tc>
          <w:tcPr>
            <w:tcW w:w="922" w:type="dxa"/>
            <w:vAlign w:val="center"/>
          </w:tcPr>
          <w:p w14:paraId="16906C1E">
            <w:r>
              <w:rPr>
                <w:rFonts w:hint="eastAsia"/>
              </w:rPr>
              <w:t>中国香港联合交易所</w:t>
            </w:r>
          </w:p>
        </w:tc>
        <w:tc>
          <w:tcPr>
            <w:tcW w:w="922" w:type="dxa"/>
            <w:vAlign w:val="center"/>
          </w:tcPr>
          <w:p w14:paraId="2F935F65">
            <w:r>
              <w:rPr>
                <w:rFonts w:hint="eastAsia"/>
              </w:rPr>
              <w:t>中国香港</w:t>
            </w:r>
          </w:p>
        </w:tc>
        <w:tc>
          <w:tcPr>
            <w:tcW w:w="922" w:type="dxa"/>
            <w:vAlign w:val="center"/>
          </w:tcPr>
          <w:p w14:paraId="570E5167">
            <w:pPr>
              <w:jc w:val="right"/>
            </w:pPr>
            <w:r>
              <w:rPr>
                <w:rFonts w:hint="eastAsia"/>
              </w:rPr>
              <w:t>4,018,000</w:t>
            </w:r>
          </w:p>
        </w:tc>
        <w:tc>
          <w:tcPr>
            <w:tcW w:w="922" w:type="dxa"/>
            <w:vAlign w:val="center"/>
          </w:tcPr>
          <w:p w14:paraId="1F871AF1">
            <w:pPr>
              <w:jc w:val="right"/>
            </w:pPr>
            <w:r>
              <w:rPr>
                <w:rFonts w:hint="eastAsia"/>
              </w:rPr>
              <w:t>33,605,817.51</w:t>
            </w:r>
          </w:p>
        </w:tc>
        <w:tc>
          <w:tcPr>
            <w:tcW w:w="922" w:type="dxa"/>
            <w:vAlign w:val="center"/>
          </w:tcPr>
          <w:p w14:paraId="70059EAE">
            <w:pPr>
              <w:jc w:val="right"/>
            </w:pPr>
            <w:r>
              <w:rPr>
                <w:rFonts w:hint="eastAsia"/>
              </w:rPr>
              <w:t>1.74</w:t>
            </w:r>
          </w:p>
        </w:tc>
      </w:tr>
      <w:tr w14:paraId="2C247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17A483B">
            <w:pPr>
              <w:jc w:val="center"/>
            </w:pPr>
            <w:r>
              <w:rPr>
                <w:rFonts w:hint="eastAsia"/>
              </w:rPr>
              <w:t>17</w:t>
            </w:r>
          </w:p>
        </w:tc>
        <w:tc>
          <w:tcPr>
            <w:tcW w:w="922" w:type="dxa"/>
            <w:vAlign w:val="center"/>
          </w:tcPr>
          <w:p w14:paraId="3556E68D">
            <w:r>
              <w:rPr>
                <w:rFonts w:hint="eastAsia"/>
              </w:rPr>
              <w:t>JD Health International Inc</w:t>
            </w:r>
          </w:p>
        </w:tc>
        <w:tc>
          <w:tcPr>
            <w:tcW w:w="922" w:type="dxa"/>
            <w:vAlign w:val="center"/>
          </w:tcPr>
          <w:p w14:paraId="41EB0431">
            <w:r>
              <w:rPr>
                <w:rFonts w:hint="eastAsia"/>
              </w:rPr>
              <w:t>京东健康股份有限公司</w:t>
            </w:r>
          </w:p>
        </w:tc>
        <w:tc>
          <w:tcPr>
            <w:tcW w:w="922" w:type="dxa"/>
            <w:vAlign w:val="center"/>
          </w:tcPr>
          <w:p w14:paraId="25EA58A2">
            <w:r>
              <w:rPr>
                <w:rFonts w:hint="eastAsia"/>
              </w:rPr>
              <w:t>6618 HK</w:t>
            </w:r>
          </w:p>
        </w:tc>
        <w:tc>
          <w:tcPr>
            <w:tcW w:w="922" w:type="dxa"/>
            <w:vAlign w:val="center"/>
          </w:tcPr>
          <w:p w14:paraId="67FB71F8">
            <w:r>
              <w:rPr>
                <w:rFonts w:hint="eastAsia"/>
              </w:rPr>
              <w:t>中国香港联合交易所</w:t>
            </w:r>
          </w:p>
        </w:tc>
        <w:tc>
          <w:tcPr>
            <w:tcW w:w="922" w:type="dxa"/>
            <w:vAlign w:val="center"/>
          </w:tcPr>
          <w:p w14:paraId="1B7C9D54">
            <w:r>
              <w:rPr>
                <w:rFonts w:hint="eastAsia"/>
              </w:rPr>
              <w:t>中国香港</w:t>
            </w:r>
          </w:p>
        </w:tc>
        <w:tc>
          <w:tcPr>
            <w:tcW w:w="922" w:type="dxa"/>
            <w:vAlign w:val="center"/>
          </w:tcPr>
          <w:p w14:paraId="3DE4238C">
            <w:pPr>
              <w:jc w:val="right"/>
            </w:pPr>
            <w:r>
              <w:rPr>
                <w:rFonts w:hint="eastAsia"/>
              </w:rPr>
              <w:t>605,000</w:t>
            </w:r>
          </w:p>
        </w:tc>
        <w:tc>
          <w:tcPr>
            <w:tcW w:w="922" w:type="dxa"/>
            <w:vAlign w:val="center"/>
          </w:tcPr>
          <w:p w14:paraId="00DA5082">
            <w:pPr>
              <w:jc w:val="right"/>
            </w:pPr>
            <w:r>
              <w:rPr>
                <w:rFonts w:hint="eastAsia"/>
              </w:rPr>
              <w:t>30,327,869.55</w:t>
            </w:r>
          </w:p>
        </w:tc>
        <w:tc>
          <w:tcPr>
            <w:tcW w:w="922" w:type="dxa"/>
            <w:vAlign w:val="center"/>
          </w:tcPr>
          <w:p w14:paraId="3AEBA00B">
            <w:pPr>
              <w:jc w:val="right"/>
            </w:pPr>
            <w:r>
              <w:rPr>
                <w:rFonts w:hint="eastAsia"/>
              </w:rPr>
              <w:t>1.57</w:t>
            </w:r>
          </w:p>
        </w:tc>
      </w:tr>
      <w:tr w14:paraId="0BAC3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47AF7A0">
            <w:pPr>
              <w:jc w:val="center"/>
            </w:pPr>
            <w:r>
              <w:rPr>
                <w:rFonts w:hint="eastAsia"/>
              </w:rPr>
              <w:t>18</w:t>
            </w:r>
          </w:p>
        </w:tc>
        <w:tc>
          <w:tcPr>
            <w:tcW w:w="922" w:type="dxa"/>
            <w:vAlign w:val="center"/>
          </w:tcPr>
          <w:p w14:paraId="364E974A">
            <w:r>
              <w:rPr>
                <w:rFonts w:hint="eastAsia"/>
              </w:rPr>
              <w:t>Bilibili Inc</w:t>
            </w:r>
          </w:p>
        </w:tc>
        <w:tc>
          <w:tcPr>
            <w:tcW w:w="922" w:type="dxa"/>
            <w:vAlign w:val="center"/>
          </w:tcPr>
          <w:p w14:paraId="1CA0A706">
            <w:r>
              <w:rPr>
                <w:rFonts w:hint="eastAsia"/>
              </w:rPr>
              <w:t>哔哩哔哩股份有限公司</w:t>
            </w:r>
          </w:p>
        </w:tc>
        <w:tc>
          <w:tcPr>
            <w:tcW w:w="922" w:type="dxa"/>
            <w:vAlign w:val="center"/>
          </w:tcPr>
          <w:p w14:paraId="65369956">
            <w:r>
              <w:rPr>
                <w:rFonts w:hint="eastAsia"/>
              </w:rPr>
              <w:t>9626 HK</w:t>
            </w:r>
          </w:p>
        </w:tc>
        <w:tc>
          <w:tcPr>
            <w:tcW w:w="922" w:type="dxa"/>
            <w:vAlign w:val="center"/>
          </w:tcPr>
          <w:p w14:paraId="4CE4FD5D">
            <w:r>
              <w:rPr>
                <w:rFonts w:hint="eastAsia"/>
              </w:rPr>
              <w:t>中国香港联合交易所</w:t>
            </w:r>
          </w:p>
        </w:tc>
        <w:tc>
          <w:tcPr>
            <w:tcW w:w="922" w:type="dxa"/>
            <w:vAlign w:val="center"/>
          </w:tcPr>
          <w:p w14:paraId="63D3AC49">
            <w:r>
              <w:rPr>
                <w:rFonts w:hint="eastAsia"/>
              </w:rPr>
              <w:t>中国香港</w:t>
            </w:r>
          </w:p>
        </w:tc>
        <w:tc>
          <w:tcPr>
            <w:tcW w:w="922" w:type="dxa"/>
            <w:vAlign w:val="center"/>
          </w:tcPr>
          <w:p w14:paraId="7424CC24">
            <w:pPr>
              <w:jc w:val="right"/>
            </w:pPr>
            <w:r>
              <w:rPr>
                <w:rFonts w:hint="eastAsia"/>
              </w:rPr>
              <w:t>167,660</w:t>
            </w:r>
          </w:p>
        </w:tc>
        <w:tc>
          <w:tcPr>
            <w:tcW w:w="922" w:type="dxa"/>
            <w:vAlign w:val="center"/>
          </w:tcPr>
          <w:p w14:paraId="53B90E3B">
            <w:pPr>
              <w:jc w:val="right"/>
            </w:pPr>
            <w:r>
              <w:rPr>
                <w:rFonts w:hint="eastAsia"/>
              </w:rPr>
              <w:t>29,211,592.60</w:t>
            </w:r>
          </w:p>
        </w:tc>
        <w:tc>
          <w:tcPr>
            <w:tcW w:w="922" w:type="dxa"/>
            <w:vAlign w:val="center"/>
          </w:tcPr>
          <w:p w14:paraId="191FE32E">
            <w:pPr>
              <w:jc w:val="right"/>
            </w:pPr>
            <w:r>
              <w:rPr>
                <w:rFonts w:hint="eastAsia"/>
              </w:rPr>
              <w:t>1.51</w:t>
            </w:r>
          </w:p>
        </w:tc>
      </w:tr>
      <w:tr w14:paraId="18D5D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C387B67">
            <w:pPr>
              <w:jc w:val="center"/>
            </w:pPr>
            <w:r>
              <w:rPr>
                <w:rFonts w:hint="eastAsia"/>
              </w:rPr>
              <w:t>19</w:t>
            </w:r>
          </w:p>
        </w:tc>
        <w:tc>
          <w:tcPr>
            <w:tcW w:w="922" w:type="dxa"/>
            <w:vAlign w:val="center"/>
          </w:tcPr>
          <w:p w14:paraId="4AA9464A">
            <w:r>
              <w:rPr>
                <w:rFonts w:hint="eastAsia"/>
              </w:rPr>
              <w:t>Haier Smart Home Co Ltd</w:t>
            </w:r>
          </w:p>
        </w:tc>
        <w:tc>
          <w:tcPr>
            <w:tcW w:w="922" w:type="dxa"/>
            <w:vAlign w:val="center"/>
          </w:tcPr>
          <w:p w14:paraId="05C63CA5">
            <w:r>
              <w:rPr>
                <w:rFonts w:hint="eastAsia"/>
              </w:rPr>
              <w:t>海尔智家股份有限公司</w:t>
            </w:r>
          </w:p>
        </w:tc>
        <w:tc>
          <w:tcPr>
            <w:tcW w:w="922" w:type="dxa"/>
            <w:vAlign w:val="center"/>
          </w:tcPr>
          <w:p w14:paraId="024B13C4">
            <w:r>
              <w:rPr>
                <w:rFonts w:hint="eastAsia"/>
              </w:rPr>
              <w:t>6690 HK</w:t>
            </w:r>
          </w:p>
        </w:tc>
        <w:tc>
          <w:tcPr>
            <w:tcW w:w="922" w:type="dxa"/>
            <w:vAlign w:val="center"/>
          </w:tcPr>
          <w:p w14:paraId="1C73FDA4">
            <w:r>
              <w:rPr>
                <w:rFonts w:hint="eastAsia"/>
              </w:rPr>
              <w:t>中国香港联合交易所</w:t>
            </w:r>
          </w:p>
        </w:tc>
        <w:tc>
          <w:tcPr>
            <w:tcW w:w="922" w:type="dxa"/>
            <w:vAlign w:val="center"/>
          </w:tcPr>
          <w:p w14:paraId="3F4A454C">
            <w:r>
              <w:rPr>
                <w:rFonts w:hint="eastAsia"/>
              </w:rPr>
              <w:t>中国香港</w:t>
            </w:r>
          </w:p>
        </w:tc>
        <w:tc>
          <w:tcPr>
            <w:tcW w:w="922" w:type="dxa"/>
            <w:vAlign w:val="center"/>
          </w:tcPr>
          <w:p w14:paraId="5C940AD2">
            <w:pPr>
              <w:jc w:val="right"/>
            </w:pPr>
            <w:r>
              <w:rPr>
                <w:rFonts w:hint="eastAsia"/>
              </w:rPr>
              <w:t>1,311,600</w:t>
            </w:r>
          </w:p>
        </w:tc>
        <w:tc>
          <w:tcPr>
            <w:tcW w:w="922" w:type="dxa"/>
            <w:vAlign w:val="center"/>
          </w:tcPr>
          <w:p w14:paraId="7A0F93FB">
            <w:pPr>
              <w:jc w:val="right"/>
            </w:pPr>
            <w:r>
              <w:rPr>
                <w:rFonts w:hint="eastAsia"/>
              </w:rPr>
              <w:t>28,763,626.19</w:t>
            </w:r>
          </w:p>
        </w:tc>
        <w:tc>
          <w:tcPr>
            <w:tcW w:w="922" w:type="dxa"/>
            <w:vAlign w:val="center"/>
          </w:tcPr>
          <w:p w14:paraId="039AA612">
            <w:pPr>
              <w:jc w:val="right"/>
            </w:pPr>
            <w:r>
              <w:rPr>
                <w:rFonts w:hint="eastAsia"/>
              </w:rPr>
              <w:t>1.49</w:t>
            </w:r>
          </w:p>
        </w:tc>
      </w:tr>
      <w:tr w14:paraId="47C3B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62D201E">
            <w:pPr>
              <w:jc w:val="center"/>
            </w:pPr>
            <w:r>
              <w:rPr>
                <w:rFonts w:hint="eastAsia"/>
              </w:rPr>
              <w:t>20</w:t>
            </w:r>
          </w:p>
        </w:tc>
        <w:tc>
          <w:tcPr>
            <w:tcW w:w="922" w:type="dxa"/>
            <w:vAlign w:val="center"/>
          </w:tcPr>
          <w:p w14:paraId="6FFAD6E7">
            <w:r>
              <w:rPr>
                <w:rFonts w:hint="eastAsia"/>
              </w:rPr>
              <w:t>Hua Hong Semiconductor Ltd</w:t>
            </w:r>
          </w:p>
        </w:tc>
        <w:tc>
          <w:tcPr>
            <w:tcW w:w="922" w:type="dxa"/>
            <w:vAlign w:val="center"/>
          </w:tcPr>
          <w:p w14:paraId="654B0249">
            <w:r>
              <w:rPr>
                <w:rFonts w:hint="eastAsia"/>
              </w:rPr>
              <w:t>华虹半导体有限公司</w:t>
            </w:r>
          </w:p>
        </w:tc>
        <w:tc>
          <w:tcPr>
            <w:tcW w:w="922" w:type="dxa"/>
            <w:vAlign w:val="center"/>
          </w:tcPr>
          <w:p w14:paraId="0DD7152D">
            <w:r>
              <w:rPr>
                <w:rFonts w:hint="eastAsia"/>
              </w:rPr>
              <w:t>1347 HK</w:t>
            </w:r>
          </w:p>
        </w:tc>
        <w:tc>
          <w:tcPr>
            <w:tcW w:w="922" w:type="dxa"/>
            <w:vAlign w:val="center"/>
          </w:tcPr>
          <w:p w14:paraId="2579E84F">
            <w:r>
              <w:rPr>
                <w:rFonts w:hint="eastAsia"/>
              </w:rPr>
              <w:t>中国香港联合交易所</w:t>
            </w:r>
          </w:p>
        </w:tc>
        <w:tc>
          <w:tcPr>
            <w:tcW w:w="922" w:type="dxa"/>
            <w:vAlign w:val="center"/>
          </w:tcPr>
          <w:p w14:paraId="0075481D">
            <w:r>
              <w:rPr>
                <w:rFonts w:hint="eastAsia"/>
              </w:rPr>
              <w:t>中国香港</w:t>
            </w:r>
          </w:p>
        </w:tc>
        <w:tc>
          <w:tcPr>
            <w:tcW w:w="922" w:type="dxa"/>
            <w:vAlign w:val="center"/>
          </w:tcPr>
          <w:p w14:paraId="40F622DB">
            <w:pPr>
              <w:jc w:val="right"/>
            </w:pPr>
            <w:r>
              <w:rPr>
                <w:rFonts w:hint="eastAsia"/>
              </w:rPr>
              <w:t>394,000</w:t>
            </w:r>
          </w:p>
        </w:tc>
        <w:tc>
          <w:tcPr>
            <w:tcW w:w="922" w:type="dxa"/>
            <w:vAlign w:val="center"/>
          </w:tcPr>
          <w:p w14:paraId="218810FE">
            <w:pPr>
              <w:jc w:val="right"/>
            </w:pPr>
            <w:r>
              <w:rPr>
                <w:rFonts w:hint="eastAsia"/>
              </w:rPr>
              <w:t>26,441,042.92</w:t>
            </w:r>
          </w:p>
        </w:tc>
        <w:tc>
          <w:tcPr>
            <w:tcW w:w="922" w:type="dxa"/>
            <w:vAlign w:val="center"/>
          </w:tcPr>
          <w:p w14:paraId="37381FFC">
            <w:pPr>
              <w:jc w:val="right"/>
            </w:pPr>
            <w:r>
              <w:rPr>
                <w:rFonts w:hint="eastAsia"/>
              </w:rPr>
              <w:t>1.37</w:t>
            </w:r>
          </w:p>
        </w:tc>
      </w:tr>
      <w:tr w14:paraId="2E439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899A206">
            <w:pPr>
              <w:jc w:val="center"/>
            </w:pPr>
            <w:r>
              <w:rPr>
                <w:rFonts w:hint="eastAsia"/>
              </w:rPr>
              <w:t>21</w:t>
            </w:r>
          </w:p>
        </w:tc>
        <w:tc>
          <w:tcPr>
            <w:tcW w:w="922" w:type="dxa"/>
            <w:vAlign w:val="center"/>
          </w:tcPr>
          <w:p w14:paraId="7CA14482">
            <w:r>
              <w:rPr>
                <w:rFonts w:hint="eastAsia"/>
              </w:rPr>
              <w:t>Midea Group Co Ltd</w:t>
            </w:r>
          </w:p>
        </w:tc>
        <w:tc>
          <w:tcPr>
            <w:tcW w:w="922" w:type="dxa"/>
            <w:vAlign w:val="center"/>
          </w:tcPr>
          <w:p w14:paraId="5329A216">
            <w:r>
              <w:rPr>
                <w:rFonts w:hint="eastAsia"/>
              </w:rPr>
              <w:t>美的集团股份有限公司</w:t>
            </w:r>
          </w:p>
        </w:tc>
        <w:tc>
          <w:tcPr>
            <w:tcW w:w="922" w:type="dxa"/>
            <w:vAlign w:val="center"/>
          </w:tcPr>
          <w:p w14:paraId="6741369F">
            <w:r>
              <w:rPr>
                <w:rFonts w:hint="eastAsia"/>
              </w:rPr>
              <w:t>300 HK</w:t>
            </w:r>
          </w:p>
        </w:tc>
        <w:tc>
          <w:tcPr>
            <w:tcW w:w="922" w:type="dxa"/>
            <w:vAlign w:val="center"/>
          </w:tcPr>
          <w:p w14:paraId="5DA39263">
            <w:r>
              <w:rPr>
                <w:rFonts w:hint="eastAsia"/>
              </w:rPr>
              <w:t>中国香港联合交易所</w:t>
            </w:r>
          </w:p>
        </w:tc>
        <w:tc>
          <w:tcPr>
            <w:tcW w:w="922" w:type="dxa"/>
            <w:vAlign w:val="center"/>
          </w:tcPr>
          <w:p w14:paraId="6527AEE2">
            <w:r>
              <w:rPr>
                <w:rFonts w:hint="eastAsia"/>
              </w:rPr>
              <w:t>中国香港</w:t>
            </w:r>
          </w:p>
        </w:tc>
        <w:tc>
          <w:tcPr>
            <w:tcW w:w="922" w:type="dxa"/>
            <w:vAlign w:val="center"/>
          </w:tcPr>
          <w:p w14:paraId="7460CB81">
            <w:pPr>
              <w:jc w:val="right"/>
            </w:pPr>
            <w:r>
              <w:rPr>
                <w:rFonts w:hint="eastAsia"/>
              </w:rPr>
              <w:t>333,100</w:t>
            </w:r>
          </w:p>
        </w:tc>
        <w:tc>
          <w:tcPr>
            <w:tcW w:w="922" w:type="dxa"/>
            <w:vAlign w:val="center"/>
          </w:tcPr>
          <w:p w14:paraId="1CC78F97">
            <w:pPr>
              <w:jc w:val="right"/>
            </w:pPr>
            <w:r>
              <w:rPr>
                <w:rFonts w:hint="eastAsia"/>
              </w:rPr>
              <w:t>25,558,276.34</w:t>
            </w:r>
          </w:p>
        </w:tc>
        <w:tc>
          <w:tcPr>
            <w:tcW w:w="922" w:type="dxa"/>
            <w:vAlign w:val="center"/>
          </w:tcPr>
          <w:p w14:paraId="7F504268">
            <w:pPr>
              <w:jc w:val="right"/>
            </w:pPr>
            <w:r>
              <w:rPr>
                <w:rFonts w:hint="eastAsia"/>
              </w:rPr>
              <w:t>1.32</w:t>
            </w:r>
          </w:p>
        </w:tc>
      </w:tr>
      <w:tr w14:paraId="4B943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49A3EF7">
            <w:pPr>
              <w:jc w:val="center"/>
            </w:pPr>
            <w:r>
              <w:rPr>
                <w:rFonts w:hint="eastAsia"/>
              </w:rPr>
              <w:t>22</w:t>
            </w:r>
          </w:p>
        </w:tc>
        <w:tc>
          <w:tcPr>
            <w:tcW w:w="922" w:type="dxa"/>
            <w:vAlign w:val="center"/>
          </w:tcPr>
          <w:p w14:paraId="692C5059">
            <w:r>
              <w:rPr>
                <w:rFonts w:hint="eastAsia"/>
              </w:rPr>
              <w:t>Sunny Optical Technology Group Co Ltd</w:t>
            </w:r>
          </w:p>
        </w:tc>
        <w:tc>
          <w:tcPr>
            <w:tcW w:w="922" w:type="dxa"/>
            <w:vAlign w:val="center"/>
          </w:tcPr>
          <w:p w14:paraId="09550DAE">
            <w:r>
              <w:rPr>
                <w:rFonts w:hint="eastAsia"/>
              </w:rPr>
              <w:t>舜宇光学科技（集团）有限公司</w:t>
            </w:r>
          </w:p>
        </w:tc>
        <w:tc>
          <w:tcPr>
            <w:tcW w:w="922" w:type="dxa"/>
            <w:vAlign w:val="center"/>
          </w:tcPr>
          <w:p w14:paraId="0E00F044">
            <w:r>
              <w:rPr>
                <w:rFonts w:hint="eastAsia"/>
              </w:rPr>
              <w:t>2382 HK</w:t>
            </w:r>
          </w:p>
        </w:tc>
        <w:tc>
          <w:tcPr>
            <w:tcW w:w="922" w:type="dxa"/>
            <w:vAlign w:val="center"/>
          </w:tcPr>
          <w:p w14:paraId="063B95A1">
            <w:r>
              <w:rPr>
                <w:rFonts w:hint="eastAsia"/>
              </w:rPr>
              <w:t>中国香港联合交易所</w:t>
            </w:r>
          </w:p>
        </w:tc>
        <w:tc>
          <w:tcPr>
            <w:tcW w:w="922" w:type="dxa"/>
            <w:vAlign w:val="center"/>
          </w:tcPr>
          <w:p w14:paraId="251812F7">
            <w:r>
              <w:rPr>
                <w:rFonts w:hint="eastAsia"/>
              </w:rPr>
              <w:t>中国香港</w:t>
            </w:r>
          </w:p>
        </w:tc>
        <w:tc>
          <w:tcPr>
            <w:tcW w:w="922" w:type="dxa"/>
            <w:vAlign w:val="center"/>
          </w:tcPr>
          <w:p w14:paraId="185AFB79">
            <w:pPr>
              <w:jc w:val="right"/>
            </w:pPr>
            <w:r>
              <w:rPr>
                <w:rFonts w:hint="eastAsia"/>
              </w:rPr>
              <w:t>384,300</w:t>
            </w:r>
          </w:p>
        </w:tc>
        <w:tc>
          <w:tcPr>
            <w:tcW w:w="922" w:type="dxa"/>
            <w:vAlign w:val="center"/>
          </w:tcPr>
          <w:p w14:paraId="4F698385">
            <w:pPr>
              <w:jc w:val="right"/>
            </w:pPr>
            <w:r>
              <w:rPr>
                <w:rFonts w:hint="eastAsia"/>
              </w:rPr>
              <w:t>22,752,893.09</w:t>
            </w:r>
          </w:p>
        </w:tc>
        <w:tc>
          <w:tcPr>
            <w:tcW w:w="922" w:type="dxa"/>
            <w:vAlign w:val="center"/>
          </w:tcPr>
          <w:p w14:paraId="4E731733">
            <w:pPr>
              <w:jc w:val="right"/>
            </w:pPr>
            <w:r>
              <w:rPr>
                <w:rFonts w:hint="eastAsia"/>
              </w:rPr>
              <w:t>1.18</w:t>
            </w:r>
          </w:p>
        </w:tc>
      </w:tr>
      <w:tr w14:paraId="1E392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4F46A8E">
            <w:pPr>
              <w:jc w:val="center"/>
            </w:pPr>
            <w:r>
              <w:rPr>
                <w:rFonts w:hint="eastAsia"/>
              </w:rPr>
              <w:t>23</w:t>
            </w:r>
          </w:p>
        </w:tc>
        <w:tc>
          <w:tcPr>
            <w:tcW w:w="922" w:type="dxa"/>
            <w:vAlign w:val="center"/>
          </w:tcPr>
          <w:p w14:paraId="717DEEAE">
            <w:r>
              <w:rPr>
                <w:rFonts w:hint="eastAsia"/>
              </w:rPr>
              <w:t>Kingdee International Software Group Co Ltd</w:t>
            </w:r>
          </w:p>
        </w:tc>
        <w:tc>
          <w:tcPr>
            <w:tcW w:w="922" w:type="dxa"/>
            <w:vAlign w:val="center"/>
          </w:tcPr>
          <w:p w14:paraId="00E34087">
            <w:r>
              <w:rPr>
                <w:rFonts w:hint="eastAsia"/>
              </w:rPr>
              <w:t>金蝶国际软件集团有限公司</w:t>
            </w:r>
          </w:p>
        </w:tc>
        <w:tc>
          <w:tcPr>
            <w:tcW w:w="922" w:type="dxa"/>
            <w:vAlign w:val="center"/>
          </w:tcPr>
          <w:p w14:paraId="4053B4F4">
            <w:r>
              <w:rPr>
                <w:rFonts w:hint="eastAsia"/>
              </w:rPr>
              <w:t>268 HK</w:t>
            </w:r>
          </w:p>
        </w:tc>
        <w:tc>
          <w:tcPr>
            <w:tcW w:w="922" w:type="dxa"/>
            <w:vAlign w:val="center"/>
          </w:tcPr>
          <w:p w14:paraId="053DEA48">
            <w:r>
              <w:rPr>
                <w:rFonts w:hint="eastAsia"/>
              </w:rPr>
              <w:t>中国香港联合交易所</w:t>
            </w:r>
          </w:p>
        </w:tc>
        <w:tc>
          <w:tcPr>
            <w:tcW w:w="922" w:type="dxa"/>
            <w:vAlign w:val="center"/>
          </w:tcPr>
          <w:p w14:paraId="2CE49850">
            <w:r>
              <w:rPr>
                <w:rFonts w:hint="eastAsia"/>
              </w:rPr>
              <w:t>中国香港</w:t>
            </w:r>
          </w:p>
        </w:tc>
        <w:tc>
          <w:tcPr>
            <w:tcW w:w="922" w:type="dxa"/>
            <w:vAlign w:val="center"/>
          </w:tcPr>
          <w:p w14:paraId="288168E6">
            <w:pPr>
              <w:jc w:val="right"/>
            </w:pPr>
            <w:r>
              <w:rPr>
                <w:rFonts w:hint="eastAsia"/>
              </w:rPr>
              <w:t>1,630,000</w:t>
            </w:r>
          </w:p>
        </w:tc>
        <w:tc>
          <w:tcPr>
            <w:tcW w:w="922" w:type="dxa"/>
            <w:vAlign w:val="center"/>
          </w:tcPr>
          <w:p w14:paraId="75C69CF7">
            <w:pPr>
              <w:jc w:val="right"/>
            </w:pPr>
            <w:r>
              <w:rPr>
                <w:rFonts w:hint="eastAsia"/>
              </w:rPr>
              <w:t>19,566,183.89</w:t>
            </w:r>
          </w:p>
        </w:tc>
        <w:tc>
          <w:tcPr>
            <w:tcW w:w="922" w:type="dxa"/>
            <w:vAlign w:val="center"/>
          </w:tcPr>
          <w:p w14:paraId="002FD338">
            <w:pPr>
              <w:jc w:val="right"/>
            </w:pPr>
            <w:r>
              <w:rPr>
                <w:rFonts w:hint="eastAsia"/>
              </w:rPr>
              <w:t>1.01</w:t>
            </w:r>
          </w:p>
        </w:tc>
      </w:tr>
      <w:tr w14:paraId="57387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324504C">
            <w:pPr>
              <w:jc w:val="center"/>
            </w:pPr>
            <w:r>
              <w:rPr>
                <w:rFonts w:hint="eastAsia"/>
              </w:rPr>
              <w:t>24</w:t>
            </w:r>
          </w:p>
        </w:tc>
        <w:tc>
          <w:tcPr>
            <w:tcW w:w="922" w:type="dxa"/>
            <w:vAlign w:val="center"/>
          </w:tcPr>
          <w:p w14:paraId="6A11881A">
            <w:r>
              <w:rPr>
                <w:rFonts w:hint="eastAsia"/>
              </w:rPr>
              <w:t>Zhejiang Leapmotor Technology Co Ltd</w:t>
            </w:r>
          </w:p>
        </w:tc>
        <w:tc>
          <w:tcPr>
            <w:tcW w:w="922" w:type="dxa"/>
            <w:vAlign w:val="center"/>
          </w:tcPr>
          <w:p w14:paraId="37DD40B1">
            <w:r>
              <w:rPr>
                <w:rFonts w:hint="eastAsia"/>
              </w:rPr>
              <w:t>浙江零跑科技股份有限公司</w:t>
            </w:r>
          </w:p>
        </w:tc>
        <w:tc>
          <w:tcPr>
            <w:tcW w:w="922" w:type="dxa"/>
            <w:vAlign w:val="center"/>
          </w:tcPr>
          <w:p w14:paraId="0D5D5947">
            <w:r>
              <w:rPr>
                <w:rFonts w:hint="eastAsia"/>
              </w:rPr>
              <w:t>9863 HK</w:t>
            </w:r>
          </w:p>
        </w:tc>
        <w:tc>
          <w:tcPr>
            <w:tcW w:w="922" w:type="dxa"/>
            <w:vAlign w:val="center"/>
          </w:tcPr>
          <w:p w14:paraId="214BBA64">
            <w:r>
              <w:rPr>
                <w:rFonts w:hint="eastAsia"/>
              </w:rPr>
              <w:t>中国香港联合交易所</w:t>
            </w:r>
          </w:p>
        </w:tc>
        <w:tc>
          <w:tcPr>
            <w:tcW w:w="922" w:type="dxa"/>
            <w:vAlign w:val="center"/>
          </w:tcPr>
          <w:p w14:paraId="5C89EF7D">
            <w:r>
              <w:rPr>
                <w:rFonts w:hint="eastAsia"/>
              </w:rPr>
              <w:t>中国香港</w:t>
            </w:r>
          </w:p>
        </w:tc>
        <w:tc>
          <w:tcPr>
            <w:tcW w:w="922" w:type="dxa"/>
            <w:vAlign w:val="center"/>
          </w:tcPr>
          <w:p w14:paraId="2682454D">
            <w:pPr>
              <w:jc w:val="right"/>
            </w:pPr>
            <w:r>
              <w:rPr>
                <w:rFonts w:hint="eastAsia"/>
              </w:rPr>
              <w:t>397,100</w:t>
            </w:r>
          </w:p>
        </w:tc>
        <w:tc>
          <w:tcPr>
            <w:tcW w:w="922" w:type="dxa"/>
            <w:vAlign w:val="center"/>
          </w:tcPr>
          <w:p w14:paraId="15ED340B">
            <w:pPr>
              <w:jc w:val="right"/>
            </w:pPr>
            <w:r>
              <w:rPr>
                <w:rFonts w:hint="eastAsia"/>
              </w:rPr>
              <w:t>17,438,470.35</w:t>
            </w:r>
          </w:p>
        </w:tc>
        <w:tc>
          <w:tcPr>
            <w:tcW w:w="922" w:type="dxa"/>
            <w:vAlign w:val="center"/>
          </w:tcPr>
          <w:p w14:paraId="0EEBB37B">
            <w:pPr>
              <w:jc w:val="right"/>
            </w:pPr>
            <w:r>
              <w:rPr>
                <w:rFonts w:hint="eastAsia"/>
              </w:rPr>
              <w:t>0.90</w:t>
            </w:r>
          </w:p>
        </w:tc>
      </w:tr>
      <w:tr w14:paraId="20B65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7D5FD48">
            <w:pPr>
              <w:jc w:val="center"/>
            </w:pPr>
            <w:r>
              <w:rPr>
                <w:rFonts w:hint="eastAsia"/>
              </w:rPr>
              <w:t>25</w:t>
            </w:r>
          </w:p>
        </w:tc>
        <w:tc>
          <w:tcPr>
            <w:tcW w:w="922" w:type="dxa"/>
            <w:vAlign w:val="center"/>
          </w:tcPr>
          <w:p w14:paraId="3D097214">
            <w:r>
              <w:rPr>
                <w:rFonts w:hint="eastAsia"/>
              </w:rPr>
              <w:t>Alibaba Health Information Technology Ltd</w:t>
            </w:r>
          </w:p>
        </w:tc>
        <w:tc>
          <w:tcPr>
            <w:tcW w:w="922" w:type="dxa"/>
            <w:vAlign w:val="center"/>
          </w:tcPr>
          <w:p w14:paraId="39808919">
            <w:r>
              <w:rPr>
                <w:rFonts w:hint="eastAsia"/>
              </w:rPr>
              <w:t>阿里健康信息技术有限公司</w:t>
            </w:r>
          </w:p>
        </w:tc>
        <w:tc>
          <w:tcPr>
            <w:tcW w:w="922" w:type="dxa"/>
            <w:vAlign w:val="center"/>
          </w:tcPr>
          <w:p w14:paraId="5AD388E5">
            <w:r>
              <w:rPr>
                <w:rFonts w:hint="eastAsia"/>
              </w:rPr>
              <w:t>241 HK</w:t>
            </w:r>
          </w:p>
        </w:tc>
        <w:tc>
          <w:tcPr>
            <w:tcW w:w="922" w:type="dxa"/>
            <w:vAlign w:val="center"/>
          </w:tcPr>
          <w:p w14:paraId="3297441D">
            <w:r>
              <w:rPr>
                <w:rFonts w:hint="eastAsia"/>
              </w:rPr>
              <w:t>中国香港联合交易所</w:t>
            </w:r>
          </w:p>
        </w:tc>
        <w:tc>
          <w:tcPr>
            <w:tcW w:w="922" w:type="dxa"/>
            <w:vAlign w:val="center"/>
          </w:tcPr>
          <w:p w14:paraId="10EFA425">
            <w:r>
              <w:rPr>
                <w:rFonts w:hint="eastAsia"/>
              </w:rPr>
              <w:t>中国香港</w:t>
            </w:r>
          </w:p>
        </w:tc>
        <w:tc>
          <w:tcPr>
            <w:tcW w:w="922" w:type="dxa"/>
            <w:vAlign w:val="center"/>
          </w:tcPr>
          <w:p w14:paraId="2EB5D77D">
            <w:pPr>
              <w:jc w:val="right"/>
            </w:pPr>
            <w:r>
              <w:rPr>
                <w:rFonts w:hint="eastAsia"/>
              </w:rPr>
              <w:t>3,482,000</w:t>
            </w:r>
          </w:p>
        </w:tc>
        <w:tc>
          <w:tcPr>
            <w:tcW w:w="922" w:type="dxa"/>
            <w:vAlign w:val="center"/>
          </w:tcPr>
          <w:p w14:paraId="1B3E8428">
            <w:pPr>
              <w:jc w:val="right"/>
            </w:pPr>
            <w:r>
              <w:rPr>
                <w:rFonts w:hint="eastAsia"/>
              </w:rPr>
              <w:t>15,882,310.80</w:t>
            </w:r>
          </w:p>
        </w:tc>
        <w:tc>
          <w:tcPr>
            <w:tcW w:w="922" w:type="dxa"/>
            <w:vAlign w:val="center"/>
          </w:tcPr>
          <w:p w14:paraId="2F2976E6">
            <w:pPr>
              <w:jc w:val="right"/>
            </w:pPr>
            <w:r>
              <w:rPr>
                <w:rFonts w:hint="eastAsia"/>
              </w:rPr>
              <w:t>0.82</w:t>
            </w:r>
          </w:p>
        </w:tc>
      </w:tr>
      <w:tr w14:paraId="300B4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435492D">
            <w:pPr>
              <w:jc w:val="center"/>
            </w:pPr>
            <w:r>
              <w:rPr>
                <w:rFonts w:hint="eastAsia"/>
              </w:rPr>
              <w:t>26</w:t>
            </w:r>
          </w:p>
        </w:tc>
        <w:tc>
          <w:tcPr>
            <w:tcW w:w="922" w:type="dxa"/>
            <w:vAlign w:val="center"/>
          </w:tcPr>
          <w:p w14:paraId="6006CCE0">
            <w:r>
              <w:rPr>
                <w:rFonts w:hint="eastAsia"/>
              </w:rPr>
              <w:t>Tongcheng Travel Holdings Ltd</w:t>
            </w:r>
          </w:p>
        </w:tc>
        <w:tc>
          <w:tcPr>
            <w:tcW w:w="922" w:type="dxa"/>
            <w:vAlign w:val="center"/>
          </w:tcPr>
          <w:p w14:paraId="655885FF">
            <w:r>
              <w:rPr>
                <w:rFonts w:hint="eastAsia"/>
              </w:rPr>
              <w:t>同程旅行控股有限公司</w:t>
            </w:r>
          </w:p>
        </w:tc>
        <w:tc>
          <w:tcPr>
            <w:tcW w:w="922" w:type="dxa"/>
            <w:vAlign w:val="center"/>
          </w:tcPr>
          <w:p w14:paraId="24596D03">
            <w:r>
              <w:rPr>
                <w:rFonts w:hint="eastAsia"/>
              </w:rPr>
              <w:t>780 HK</w:t>
            </w:r>
          </w:p>
        </w:tc>
        <w:tc>
          <w:tcPr>
            <w:tcW w:w="922" w:type="dxa"/>
            <w:vAlign w:val="center"/>
          </w:tcPr>
          <w:p w14:paraId="40F9362F">
            <w:r>
              <w:rPr>
                <w:rFonts w:hint="eastAsia"/>
              </w:rPr>
              <w:t>中国香港联合交易所</w:t>
            </w:r>
          </w:p>
        </w:tc>
        <w:tc>
          <w:tcPr>
            <w:tcW w:w="922" w:type="dxa"/>
            <w:vAlign w:val="center"/>
          </w:tcPr>
          <w:p w14:paraId="48928721">
            <w:r>
              <w:rPr>
                <w:rFonts w:hint="eastAsia"/>
              </w:rPr>
              <w:t>中国香港</w:t>
            </w:r>
          </w:p>
        </w:tc>
        <w:tc>
          <w:tcPr>
            <w:tcW w:w="922" w:type="dxa"/>
            <w:vAlign w:val="center"/>
          </w:tcPr>
          <w:p w14:paraId="051A5B3D">
            <w:pPr>
              <w:jc w:val="right"/>
            </w:pPr>
            <w:r>
              <w:rPr>
                <w:rFonts w:hint="eastAsia"/>
              </w:rPr>
              <w:t>761,200</w:t>
            </w:r>
          </w:p>
        </w:tc>
        <w:tc>
          <w:tcPr>
            <w:tcW w:w="922" w:type="dxa"/>
            <w:vAlign w:val="center"/>
          </w:tcPr>
          <w:p w14:paraId="5E81B106">
            <w:pPr>
              <w:jc w:val="right"/>
            </w:pPr>
            <w:r>
              <w:rPr>
                <w:rFonts w:hint="eastAsia"/>
              </w:rPr>
              <w:t>15,428,197.08</w:t>
            </w:r>
          </w:p>
        </w:tc>
        <w:tc>
          <w:tcPr>
            <w:tcW w:w="922" w:type="dxa"/>
            <w:vAlign w:val="center"/>
          </w:tcPr>
          <w:p w14:paraId="20A424FB">
            <w:pPr>
              <w:jc w:val="right"/>
            </w:pPr>
            <w:r>
              <w:rPr>
                <w:rFonts w:hint="eastAsia"/>
              </w:rPr>
              <w:t>0.80</w:t>
            </w:r>
          </w:p>
        </w:tc>
      </w:tr>
      <w:tr w14:paraId="57A37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07774D4">
            <w:pPr>
              <w:jc w:val="center"/>
            </w:pPr>
            <w:r>
              <w:rPr>
                <w:rFonts w:hint="eastAsia"/>
              </w:rPr>
              <w:t>27</w:t>
            </w:r>
          </w:p>
        </w:tc>
        <w:tc>
          <w:tcPr>
            <w:tcW w:w="922" w:type="dxa"/>
            <w:vAlign w:val="center"/>
          </w:tcPr>
          <w:p w14:paraId="449C74DF">
            <w:r>
              <w:rPr>
                <w:rFonts w:hint="eastAsia"/>
              </w:rPr>
              <w:t>Kingsoft Corp Ltd</w:t>
            </w:r>
          </w:p>
        </w:tc>
        <w:tc>
          <w:tcPr>
            <w:tcW w:w="922" w:type="dxa"/>
            <w:vAlign w:val="center"/>
          </w:tcPr>
          <w:p w14:paraId="6AC89612">
            <w:r>
              <w:rPr>
                <w:rFonts w:hint="eastAsia"/>
              </w:rPr>
              <w:t>金山软件有限公司</w:t>
            </w:r>
          </w:p>
        </w:tc>
        <w:tc>
          <w:tcPr>
            <w:tcW w:w="922" w:type="dxa"/>
            <w:vAlign w:val="center"/>
          </w:tcPr>
          <w:p w14:paraId="69D45C48">
            <w:r>
              <w:rPr>
                <w:rFonts w:hint="eastAsia"/>
              </w:rPr>
              <w:t>3888 HK</w:t>
            </w:r>
          </w:p>
        </w:tc>
        <w:tc>
          <w:tcPr>
            <w:tcW w:w="922" w:type="dxa"/>
            <w:vAlign w:val="center"/>
          </w:tcPr>
          <w:p w14:paraId="7142E19D">
            <w:r>
              <w:rPr>
                <w:rFonts w:hint="eastAsia"/>
              </w:rPr>
              <w:t>中国香港联合交易所</w:t>
            </w:r>
          </w:p>
        </w:tc>
        <w:tc>
          <w:tcPr>
            <w:tcW w:w="922" w:type="dxa"/>
            <w:vAlign w:val="center"/>
          </w:tcPr>
          <w:p w14:paraId="0096D7AF">
            <w:r>
              <w:rPr>
                <w:rFonts w:hint="eastAsia"/>
              </w:rPr>
              <w:t>中国香港</w:t>
            </w:r>
          </w:p>
        </w:tc>
        <w:tc>
          <w:tcPr>
            <w:tcW w:w="922" w:type="dxa"/>
            <w:vAlign w:val="center"/>
          </w:tcPr>
          <w:p w14:paraId="65AE24DB">
            <w:pPr>
              <w:jc w:val="right"/>
            </w:pPr>
            <w:r>
              <w:rPr>
                <w:rFonts w:hint="eastAsia"/>
              </w:rPr>
              <w:t>567,000</w:t>
            </w:r>
          </w:p>
        </w:tc>
        <w:tc>
          <w:tcPr>
            <w:tcW w:w="922" w:type="dxa"/>
            <w:vAlign w:val="center"/>
          </w:tcPr>
          <w:p w14:paraId="2FF692AE">
            <w:pPr>
              <w:jc w:val="right"/>
            </w:pPr>
            <w:r>
              <w:rPr>
                <w:rFonts w:hint="eastAsia"/>
              </w:rPr>
              <w:t>14,564,856.05</w:t>
            </w:r>
          </w:p>
        </w:tc>
        <w:tc>
          <w:tcPr>
            <w:tcW w:w="922" w:type="dxa"/>
            <w:vAlign w:val="center"/>
          </w:tcPr>
          <w:p w14:paraId="3CF215EC">
            <w:pPr>
              <w:jc w:val="right"/>
            </w:pPr>
            <w:r>
              <w:rPr>
                <w:rFonts w:hint="eastAsia"/>
              </w:rPr>
              <w:t>0.75</w:t>
            </w:r>
          </w:p>
        </w:tc>
      </w:tr>
      <w:tr w14:paraId="00334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B921A3C">
            <w:pPr>
              <w:jc w:val="center"/>
            </w:pPr>
            <w:r>
              <w:rPr>
                <w:rFonts w:hint="eastAsia"/>
              </w:rPr>
              <w:t>28</w:t>
            </w:r>
          </w:p>
        </w:tc>
        <w:tc>
          <w:tcPr>
            <w:tcW w:w="922" w:type="dxa"/>
            <w:vAlign w:val="center"/>
          </w:tcPr>
          <w:p w14:paraId="681894FB">
            <w:r>
              <w:rPr>
                <w:rFonts w:hint="eastAsia"/>
              </w:rPr>
              <w:t>BYD Electronic International Co Ltd</w:t>
            </w:r>
          </w:p>
        </w:tc>
        <w:tc>
          <w:tcPr>
            <w:tcW w:w="922" w:type="dxa"/>
            <w:vAlign w:val="center"/>
          </w:tcPr>
          <w:p w14:paraId="73A35BD5">
            <w:r>
              <w:rPr>
                <w:rFonts w:hint="eastAsia"/>
              </w:rPr>
              <w:t>比亚迪电子（国际）有限公司</w:t>
            </w:r>
          </w:p>
        </w:tc>
        <w:tc>
          <w:tcPr>
            <w:tcW w:w="922" w:type="dxa"/>
            <w:vAlign w:val="center"/>
          </w:tcPr>
          <w:p w14:paraId="4111182C">
            <w:r>
              <w:rPr>
                <w:rFonts w:hint="eastAsia"/>
              </w:rPr>
              <w:t>285 HK</w:t>
            </w:r>
          </w:p>
        </w:tc>
        <w:tc>
          <w:tcPr>
            <w:tcW w:w="922" w:type="dxa"/>
            <w:vAlign w:val="center"/>
          </w:tcPr>
          <w:p w14:paraId="0C816894">
            <w:r>
              <w:rPr>
                <w:rFonts w:hint="eastAsia"/>
              </w:rPr>
              <w:t>中国香港联合交易所</w:t>
            </w:r>
          </w:p>
        </w:tc>
        <w:tc>
          <w:tcPr>
            <w:tcW w:w="922" w:type="dxa"/>
            <w:vAlign w:val="center"/>
          </w:tcPr>
          <w:p w14:paraId="68F4267F">
            <w:r>
              <w:rPr>
                <w:rFonts w:hint="eastAsia"/>
              </w:rPr>
              <w:t>中国香港</w:t>
            </w:r>
          </w:p>
        </w:tc>
        <w:tc>
          <w:tcPr>
            <w:tcW w:w="922" w:type="dxa"/>
            <w:vAlign w:val="center"/>
          </w:tcPr>
          <w:p w14:paraId="337C7E0F">
            <w:pPr>
              <w:jc w:val="right"/>
            </w:pPr>
            <w:r>
              <w:rPr>
                <w:rFonts w:hint="eastAsia"/>
              </w:rPr>
              <w:t>426,000</w:t>
            </w:r>
          </w:p>
        </w:tc>
        <w:tc>
          <w:tcPr>
            <w:tcW w:w="922" w:type="dxa"/>
            <w:vAlign w:val="center"/>
          </w:tcPr>
          <w:p w14:paraId="7353DB01">
            <w:pPr>
              <w:jc w:val="right"/>
            </w:pPr>
            <w:r>
              <w:rPr>
                <w:rFonts w:hint="eastAsia"/>
              </w:rPr>
              <w:t>12,943,720.66</w:t>
            </w:r>
          </w:p>
        </w:tc>
        <w:tc>
          <w:tcPr>
            <w:tcW w:w="922" w:type="dxa"/>
            <w:vAlign w:val="center"/>
          </w:tcPr>
          <w:p w14:paraId="62ADF03D">
            <w:pPr>
              <w:jc w:val="right"/>
            </w:pPr>
            <w:r>
              <w:rPr>
                <w:rFonts w:hint="eastAsia"/>
              </w:rPr>
              <w:t>0.67</w:t>
            </w:r>
          </w:p>
        </w:tc>
      </w:tr>
      <w:tr w14:paraId="1BFE3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739EE8C">
            <w:pPr>
              <w:jc w:val="center"/>
            </w:pPr>
            <w:r>
              <w:rPr>
                <w:rFonts w:hint="eastAsia"/>
              </w:rPr>
              <w:t>29</w:t>
            </w:r>
          </w:p>
        </w:tc>
        <w:tc>
          <w:tcPr>
            <w:tcW w:w="922" w:type="dxa"/>
            <w:vAlign w:val="center"/>
          </w:tcPr>
          <w:p w14:paraId="26FF0B0D">
            <w:r>
              <w:rPr>
                <w:rFonts w:hint="eastAsia"/>
              </w:rPr>
              <w:t>NIO Inc</w:t>
            </w:r>
          </w:p>
        </w:tc>
        <w:tc>
          <w:tcPr>
            <w:tcW w:w="922" w:type="dxa"/>
            <w:vAlign w:val="center"/>
          </w:tcPr>
          <w:p w14:paraId="1650E4AA">
            <w:r>
              <w:rPr>
                <w:rFonts w:hint="eastAsia"/>
              </w:rPr>
              <w:t>蔚来集团</w:t>
            </w:r>
          </w:p>
        </w:tc>
        <w:tc>
          <w:tcPr>
            <w:tcW w:w="922" w:type="dxa"/>
            <w:vAlign w:val="center"/>
          </w:tcPr>
          <w:p w14:paraId="0CBBABC8">
            <w:r>
              <w:rPr>
                <w:rFonts w:hint="eastAsia"/>
              </w:rPr>
              <w:t>9866 HK</w:t>
            </w:r>
          </w:p>
        </w:tc>
        <w:tc>
          <w:tcPr>
            <w:tcW w:w="922" w:type="dxa"/>
            <w:vAlign w:val="center"/>
          </w:tcPr>
          <w:p w14:paraId="580B681B">
            <w:r>
              <w:rPr>
                <w:rFonts w:hint="eastAsia"/>
              </w:rPr>
              <w:t>中国香港联合交易所</w:t>
            </w:r>
          </w:p>
        </w:tc>
        <w:tc>
          <w:tcPr>
            <w:tcW w:w="922" w:type="dxa"/>
            <w:vAlign w:val="center"/>
          </w:tcPr>
          <w:p w14:paraId="1DCDE656">
            <w:r>
              <w:rPr>
                <w:rFonts w:hint="eastAsia"/>
              </w:rPr>
              <w:t>中国香港</w:t>
            </w:r>
          </w:p>
        </w:tc>
        <w:tc>
          <w:tcPr>
            <w:tcW w:w="922" w:type="dxa"/>
            <w:vAlign w:val="center"/>
          </w:tcPr>
          <w:p w14:paraId="24876D5B">
            <w:pPr>
              <w:jc w:val="right"/>
            </w:pPr>
            <w:r>
              <w:rPr>
                <w:rFonts w:hint="eastAsia"/>
              </w:rPr>
              <w:t>282,830</w:t>
            </w:r>
          </w:p>
        </w:tc>
        <w:tc>
          <w:tcPr>
            <w:tcW w:w="922" w:type="dxa"/>
            <w:vAlign w:val="center"/>
          </w:tcPr>
          <w:p w14:paraId="5A3867CF">
            <w:pPr>
              <w:jc w:val="right"/>
            </w:pPr>
            <w:r>
              <w:rPr>
                <w:rFonts w:hint="eastAsia"/>
              </w:rPr>
              <w:t>10,463,547.91</w:t>
            </w:r>
          </w:p>
        </w:tc>
        <w:tc>
          <w:tcPr>
            <w:tcW w:w="922" w:type="dxa"/>
            <w:vAlign w:val="center"/>
          </w:tcPr>
          <w:p w14:paraId="7B13C57B">
            <w:pPr>
              <w:jc w:val="right"/>
            </w:pPr>
            <w:r>
              <w:rPr>
                <w:rFonts w:hint="eastAsia"/>
              </w:rPr>
              <w:t>0.54</w:t>
            </w:r>
          </w:p>
        </w:tc>
      </w:tr>
      <w:tr w14:paraId="7175E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4AA6749">
            <w:pPr>
              <w:jc w:val="center"/>
            </w:pPr>
            <w:r>
              <w:rPr>
                <w:rFonts w:hint="eastAsia"/>
              </w:rPr>
              <w:t>30</w:t>
            </w:r>
          </w:p>
        </w:tc>
        <w:tc>
          <w:tcPr>
            <w:tcW w:w="922" w:type="dxa"/>
            <w:vAlign w:val="center"/>
          </w:tcPr>
          <w:p w14:paraId="132BB5CF">
            <w:r>
              <w:rPr>
                <w:rFonts w:hint="eastAsia"/>
              </w:rPr>
              <w:t>Tencent Music Entertainment Group</w:t>
            </w:r>
          </w:p>
        </w:tc>
        <w:tc>
          <w:tcPr>
            <w:tcW w:w="922" w:type="dxa"/>
            <w:vAlign w:val="center"/>
          </w:tcPr>
          <w:p w14:paraId="4F32A3EE">
            <w:r>
              <w:rPr>
                <w:rFonts w:hint="eastAsia"/>
              </w:rPr>
              <w:t>腾讯音乐娱乐集团</w:t>
            </w:r>
          </w:p>
        </w:tc>
        <w:tc>
          <w:tcPr>
            <w:tcW w:w="922" w:type="dxa"/>
            <w:vAlign w:val="center"/>
          </w:tcPr>
          <w:p w14:paraId="57649FAA">
            <w:r>
              <w:rPr>
                <w:rFonts w:hint="eastAsia"/>
              </w:rPr>
              <w:t>1698 HK</w:t>
            </w:r>
          </w:p>
        </w:tc>
        <w:tc>
          <w:tcPr>
            <w:tcW w:w="922" w:type="dxa"/>
            <w:vAlign w:val="center"/>
          </w:tcPr>
          <w:p w14:paraId="736F3827">
            <w:r>
              <w:rPr>
                <w:rFonts w:hint="eastAsia"/>
              </w:rPr>
              <w:t>中国香港联合交易所</w:t>
            </w:r>
          </w:p>
        </w:tc>
        <w:tc>
          <w:tcPr>
            <w:tcW w:w="922" w:type="dxa"/>
            <w:vAlign w:val="center"/>
          </w:tcPr>
          <w:p w14:paraId="4FAD80AF">
            <w:r>
              <w:rPr>
                <w:rFonts w:hint="eastAsia"/>
              </w:rPr>
              <w:t>中国香港</w:t>
            </w:r>
          </w:p>
        </w:tc>
        <w:tc>
          <w:tcPr>
            <w:tcW w:w="922" w:type="dxa"/>
            <w:vAlign w:val="center"/>
          </w:tcPr>
          <w:p w14:paraId="57B7914D">
            <w:pPr>
              <w:jc w:val="right"/>
            </w:pPr>
            <w:r>
              <w:rPr>
                <w:rFonts w:hint="eastAsia"/>
              </w:rPr>
              <w:t>33,400</w:t>
            </w:r>
          </w:p>
        </w:tc>
        <w:tc>
          <w:tcPr>
            <w:tcW w:w="922" w:type="dxa"/>
            <w:vAlign w:val="center"/>
          </w:tcPr>
          <w:p w14:paraId="386863A8">
            <w:pPr>
              <w:jc w:val="right"/>
            </w:pPr>
            <w:r>
              <w:rPr>
                <w:rFonts w:hint="eastAsia"/>
              </w:rPr>
              <w:t>2,081,560.81</w:t>
            </w:r>
          </w:p>
        </w:tc>
        <w:tc>
          <w:tcPr>
            <w:tcW w:w="922" w:type="dxa"/>
            <w:vAlign w:val="center"/>
          </w:tcPr>
          <w:p w14:paraId="7F6AB888">
            <w:pPr>
              <w:jc w:val="right"/>
            </w:pPr>
            <w:r>
              <w:rPr>
                <w:rFonts w:hint="eastAsia"/>
              </w:rPr>
              <w:t>0.11</w:t>
            </w:r>
          </w:p>
        </w:tc>
      </w:tr>
    </w:tbl>
    <w:p w14:paraId="6347743A">
      <w:pPr>
        <w:pStyle w:val="47"/>
        <w:rPr>
          <w:rFonts w:hint="eastAsia"/>
        </w:rPr>
      </w:pPr>
      <w:r>
        <w:rPr>
          <w:rFonts w:hint="eastAsia"/>
        </w:rPr>
        <w:t>注:本基金对以上证券代码采用当地市场代码。对基金持有的不同市场上市的同一公司合并计算净值占比，分开列示。</w:t>
      </w:r>
    </w:p>
    <w:p w14:paraId="4D726058">
      <w:pPr>
        <w:pStyle w:val="35"/>
      </w:pPr>
      <w:bookmarkStart w:id="171" w:name="_Toc171"/>
      <w:r>
        <w:t>积极投资期末按公允价值占基金资产净值比例大小排序的所有权益投资明细</w:t>
      </w:r>
      <w:bookmarkEnd w:id="171"/>
    </w:p>
    <w:p w14:paraId="4C3A7FD4">
      <w:pPr>
        <w:pStyle w:val="18"/>
        <w:rPr>
          <w:rFonts w:hint="eastAsia"/>
        </w:rPr>
      </w:pPr>
      <w:r>
        <w:rPr>
          <w:rFonts w:hint="eastAsia"/>
        </w:rPr>
        <w:t>无。</w:t>
      </w:r>
    </w:p>
    <w:p w14:paraId="4F16858C">
      <w:pPr>
        <w:pStyle w:val="23"/>
      </w:pPr>
      <w:bookmarkStart w:id="172" w:name="_Toc16134"/>
      <w:r>
        <w:t>报告期内权益投资组合的重大变动</w:t>
      </w:r>
      <w:bookmarkEnd w:id="172"/>
    </w:p>
    <w:p w14:paraId="06FA59EE">
      <w:pPr>
        <w:pStyle w:val="28"/>
      </w:pPr>
      <w:bookmarkStart w:id="173" w:name="_Toc173"/>
      <w:r>
        <w:t>累计买入金额超出期初基金资产净值2%或前20名的权益投资明细</w:t>
      </w:r>
      <w:bookmarkEnd w:id="173"/>
    </w:p>
    <w:p w14:paraId="519955B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9E9F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shd w:val="clear" w:color="auto" w:fill="BFBFBF"/>
            <w:vAlign w:val="center"/>
          </w:tcPr>
          <w:p w14:paraId="633CCEF9">
            <w:pPr>
              <w:jc w:val="center"/>
            </w:pPr>
            <w:r>
              <w:rPr>
                <w:rFonts w:hint="eastAsia"/>
                <w:b/>
              </w:rPr>
              <w:t>序号</w:t>
            </w:r>
          </w:p>
        </w:tc>
        <w:tc>
          <w:tcPr>
            <w:tcW w:w="1661" w:type="dxa"/>
            <w:shd w:val="clear" w:color="auto" w:fill="BFBFBF"/>
            <w:vAlign w:val="center"/>
          </w:tcPr>
          <w:p w14:paraId="6E2E1A70">
            <w:pPr>
              <w:jc w:val="center"/>
            </w:pPr>
            <w:r>
              <w:rPr>
                <w:rFonts w:hint="eastAsia"/>
                <w:b/>
              </w:rPr>
              <w:t>公司名称（英文）</w:t>
            </w:r>
          </w:p>
        </w:tc>
        <w:tc>
          <w:tcPr>
            <w:tcW w:w="1661" w:type="dxa"/>
            <w:shd w:val="clear" w:color="auto" w:fill="BFBFBF"/>
            <w:vAlign w:val="center"/>
          </w:tcPr>
          <w:p w14:paraId="0C091C0D">
            <w:pPr>
              <w:jc w:val="center"/>
            </w:pPr>
            <w:r>
              <w:rPr>
                <w:rFonts w:hint="eastAsia"/>
                <w:b/>
              </w:rPr>
              <w:t>证券代码</w:t>
            </w:r>
          </w:p>
        </w:tc>
        <w:tc>
          <w:tcPr>
            <w:tcW w:w="1661" w:type="dxa"/>
            <w:shd w:val="clear" w:color="auto" w:fill="BFBFBF"/>
            <w:vAlign w:val="center"/>
          </w:tcPr>
          <w:p w14:paraId="6B4D4812">
            <w:pPr>
              <w:jc w:val="center"/>
            </w:pPr>
            <w:r>
              <w:rPr>
                <w:rFonts w:hint="eastAsia"/>
                <w:b/>
              </w:rPr>
              <w:t>本期累计买入金额</w:t>
            </w:r>
          </w:p>
        </w:tc>
        <w:tc>
          <w:tcPr>
            <w:tcW w:w="1661" w:type="dxa"/>
            <w:shd w:val="clear" w:color="auto" w:fill="BFBFBF"/>
            <w:vAlign w:val="center"/>
          </w:tcPr>
          <w:p w14:paraId="574A521F">
            <w:pPr>
              <w:jc w:val="center"/>
            </w:pPr>
            <w:r>
              <w:rPr>
                <w:rFonts w:hint="eastAsia"/>
                <w:b/>
              </w:rPr>
              <w:t>占期末基金资产净值比例（％）</w:t>
            </w:r>
          </w:p>
        </w:tc>
      </w:tr>
      <w:tr w14:paraId="3E886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7DCB67">
            <w:pPr>
              <w:jc w:val="center"/>
            </w:pPr>
            <w:r>
              <w:rPr>
                <w:rFonts w:hint="eastAsia"/>
              </w:rPr>
              <w:t>1</w:t>
            </w:r>
          </w:p>
        </w:tc>
        <w:tc>
          <w:tcPr>
            <w:tcW w:w="1661" w:type="dxa"/>
            <w:vAlign w:val="center"/>
          </w:tcPr>
          <w:p w14:paraId="0A6CE632">
            <w:r>
              <w:rPr>
                <w:rFonts w:hint="eastAsia"/>
              </w:rPr>
              <w:t>Meituan</w:t>
            </w:r>
          </w:p>
        </w:tc>
        <w:tc>
          <w:tcPr>
            <w:tcW w:w="1661" w:type="dxa"/>
            <w:vAlign w:val="center"/>
          </w:tcPr>
          <w:p w14:paraId="34E325EA">
            <w:r>
              <w:rPr>
                <w:rFonts w:hint="eastAsia"/>
              </w:rPr>
              <w:t>3690 HK</w:t>
            </w:r>
          </w:p>
        </w:tc>
        <w:tc>
          <w:tcPr>
            <w:tcW w:w="1661" w:type="dxa"/>
            <w:vAlign w:val="center"/>
          </w:tcPr>
          <w:p w14:paraId="41F6382F">
            <w:pPr>
              <w:jc w:val="right"/>
            </w:pPr>
            <w:r>
              <w:rPr>
                <w:rFonts w:hint="eastAsia"/>
              </w:rPr>
              <w:t>160,686,108.54</w:t>
            </w:r>
          </w:p>
        </w:tc>
        <w:tc>
          <w:tcPr>
            <w:tcW w:w="1661" w:type="dxa"/>
            <w:vAlign w:val="center"/>
          </w:tcPr>
          <w:p w14:paraId="3E66CA6C">
            <w:pPr>
              <w:jc w:val="right"/>
            </w:pPr>
            <w:r>
              <w:rPr>
                <w:rFonts w:hint="eastAsia"/>
              </w:rPr>
              <w:t>8.30</w:t>
            </w:r>
          </w:p>
        </w:tc>
      </w:tr>
      <w:tr w14:paraId="46844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B8115E">
            <w:pPr>
              <w:jc w:val="center"/>
            </w:pPr>
            <w:r>
              <w:rPr>
                <w:rFonts w:hint="eastAsia"/>
              </w:rPr>
              <w:t>2</w:t>
            </w:r>
          </w:p>
        </w:tc>
        <w:tc>
          <w:tcPr>
            <w:tcW w:w="1661" w:type="dxa"/>
            <w:vAlign w:val="center"/>
          </w:tcPr>
          <w:p w14:paraId="6E998D6E">
            <w:r>
              <w:rPr>
                <w:rFonts w:hint="eastAsia"/>
              </w:rPr>
              <w:t>Alibaba Group Holding Ltd</w:t>
            </w:r>
          </w:p>
        </w:tc>
        <w:tc>
          <w:tcPr>
            <w:tcW w:w="1661" w:type="dxa"/>
            <w:vAlign w:val="center"/>
          </w:tcPr>
          <w:p w14:paraId="68216AC1">
            <w:r>
              <w:rPr>
                <w:rFonts w:hint="eastAsia"/>
              </w:rPr>
              <w:t>9988 HK</w:t>
            </w:r>
          </w:p>
        </w:tc>
        <w:tc>
          <w:tcPr>
            <w:tcW w:w="1661" w:type="dxa"/>
            <w:vAlign w:val="center"/>
          </w:tcPr>
          <w:p w14:paraId="4ADDDF18">
            <w:pPr>
              <w:jc w:val="right"/>
            </w:pPr>
            <w:r>
              <w:rPr>
                <w:rFonts w:hint="eastAsia"/>
              </w:rPr>
              <w:t>159,726,779.42</w:t>
            </w:r>
          </w:p>
        </w:tc>
        <w:tc>
          <w:tcPr>
            <w:tcW w:w="1661" w:type="dxa"/>
            <w:vAlign w:val="center"/>
          </w:tcPr>
          <w:p w14:paraId="023444A4">
            <w:pPr>
              <w:jc w:val="right"/>
            </w:pPr>
            <w:r>
              <w:rPr>
                <w:rFonts w:hint="eastAsia"/>
              </w:rPr>
              <w:t>8.25</w:t>
            </w:r>
          </w:p>
        </w:tc>
      </w:tr>
      <w:tr w14:paraId="077A3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D5E17E">
            <w:pPr>
              <w:jc w:val="center"/>
            </w:pPr>
            <w:r>
              <w:rPr>
                <w:rFonts w:hint="eastAsia"/>
              </w:rPr>
              <w:t>3</w:t>
            </w:r>
          </w:p>
        </w:tc>
        <w:tc>
          <w:tcPr>
            <w:tcW w:w="1661" w:type="dxa"/>
            <w:vAlign w:val="center"/>
          </w:tcPr>
          <w:p w14:paraId="52BE4141">
            <w:r>
              <w:rPr>
                <w:rFonts w:hint="eastAsia"/>
              </w:rPr>
              <w:t>Semiconductor Manufacturing International Corp</w:t>
            </w:r>
          </w:p>
        </w:tc>
        <w:tc>
          <w:tcPr>
            <w:tcW w:w="1661" w:type="dxa"/>
            <w:vAlign w:val="center"/>
          </w:tcPr>
          <w:p w14:paraId="64B5ECC9">
            <w:r>
              <w:rPr>
                <w:rFonts w:hint="eastAsia"/>
              </w:rPr>
              <w:t>981 HK</w:t>
            </w:r>
          </w:p>
        </w:tc>
        <w:tc>
          <w:tcPr>
            <w:tcW w:w="1661" w:type="dxa"/>
            <w:vAlign w:val="center"/>
          </w:tcPr>
          <w:p w14:paraId="1550EF8B">
            <w:pPr>
              <w:jc w:val="right"/>
            </w:pPr>
            <w:r>
              <w:rPr>
                <w:rFonts w:hint="eastAsia"/>
              </w:rPr>
              <w:t>155,011,895.57</w:t>
            </w:r>
          </w:p>
        </w:tc>
        <w:tc>
          <w:tcPr>
            <w:tcW w:w="1661" w:type="dxa"/>
            <w:vAlign w:val="center"/>
          </w:tcPr>
          <w:p w14:paraId="55C43F4B">
            <w:pPr>
              <w:jc w:val="right"/>
            </w:pPr>
            <w:r>
              <w:rPr>
                <w:rFonts w:hint="eastAsia"/>
              </w:rPr>
              <w:t>8.01</w:t>
            </w:r>
          </w:p>
        </w:tc>
      </w:tr>
      <w:tr w14:paraId="6ED41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AA1B04">
            <w:pPr>
              <w:jc w:val="center"/>
            </w:pPr>
            <w:r>
              <w:rPr>
                <w:rFonts w:hint="eastAsia"/>
              </w:rPr>
              <w:t>4</w:t>
            </w:r>
          </w:p>
        </w:tc>
        <w:tc>
          <w:tcPr>
            <w:tcW w:w="1661" w:type="dxa"/>
            <w:vAlign w:val="center"/>
          </w:tcPr>
          <w:p w14:paraId="5B063934">
            <w:r>
              <w:rPr>
                <w:rFonts w:hint="eastAsia"/>
              </w:rPr>
              <w:t>Xiaomi Corp</w:t>
            </w:r>
          </w:p>
        </w:tc>
        <w:tc>
          <w:tcPr>
            <w:tcW w:w="1661" w:type="dxa"/>
            <w:vAlign w:val="center"/>
          </w:tcPr>
          <w:p w14:paraId="39F2C29D">
            <w:r>
              <w:rPr>
                <w:rFonts w:hint="eastAsia"/>
              </w:rPr>
              <w:t>1810 HK</w:t>
            </w:r>
          </w:p>
        </w:tc>
        <w:tc>
          <w:tcPr>
            <w:tcW w:w="1661" w:type="dxa"/>
            <w:vAlign w:val="center"/>
          </w:tcPr>
          <w:p w14:paraId="6D71F90C">
            <w:pPr>
              <w:jc w:val="right"/>
            </w:pPr>
            <w:r>
              <w:rPr>
                <w:rFonts w:hint="eastAsia"/>
              </w:rPr>
              <w:t>154,200,639.67</w:t>
            </w:r>
          </w:p>
        </w:tc>
        <w:tc>
          <w:tcPr>
            <w:tcW w:w="1661" w:type="dxa"/>
            <w:vAlign w:val="center"/>
          </w:tcPr>
          <w:p w14:paraId="447D4062">
            <w:pPr>
              <w:jc w:val="right"/>
            </w:pPr>
            <w:r>
              <w:rPr>
                <w:rFonts w:hint="eastAsia"/>
              </w:rPr>
              <w:t>7.96</w:t>
            </w:r>
          </w:p>
        </w:tc>
      </w:tr>
      <w:tr w14:paraId="0DF50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665B29">
            <w:pPr>
              <w:jc w:val="center"/>
            </w:pPr>
            <w:r>
              <w:rPr>
                <w:rFonts w:hint="eastAsia"/>
              </w:rPr>
              <w:t>5</w:t>
            </w:r>
          </w:p>
        </w:tc>
        <w:tc>
          <w:tcPr>
            <w:tcW w:w="1661" w:type="dxa"/>
            <w:vAlign w:val="center"/>
          </w:tcPr>
          <w:p w14:paraId="411FC3F9">
            <w:r>
              <w:rPr>
                <w:rFonts w:hint="eastAsia"/>
              </w:rPr>
              <w:t>Tencent Holdings Ltd</w:t>
            </w:r>
          </w:p>
        </w:tc>
        <w:tc>
          <w:tcPr>
            <w:tcW w:w="1661" w:type="dxa"/>
            <w:vAlign w:val="center"/>
          </w:tcPr>
          <w:p w14:paraId="18AE29B0">
            <w:r>
              <w:rPr>
                <w:rFonts w:hint="eastAsia"/>
              </w:rPr>
              <w:t>700 HK</w:t>
            </w:r>
          </w:p>
        </w:tc>
        <w:tc>
          <w:tcPr>
            <w:tcW w:w="1661" w:type="dxa"/>
            <w:vAlign w:val="center"/>
          </w:tcPr>
          <w:p w14:paraId="30FAC42C">
            <w:pPr>
              <w:jc w:val="right"/>
            </w:pPr>
            <w:r>
              <w:rPr>
                <w:rFonts w:hint="eastAsia"/>
              </w:rPr>
              <w:t>153,405,191.15</w:t>
            </w:r>
          </w:p>
        </w:tc>
        <w:tc>
          <w:tcPr>
            <w:tcW w:w="1661" w:type="dxa"/>
            <w:vAlign w:val="center"/>
          </w:tcPr>
          <w:p w14:paraId="0D70446C">
            <w:pPr>
              <w:jc w:val="right"/>
            </w:pPr>
            <w:r>
              <w:rPr>
                <w:rFonts w:hint="eastAsia"/>
              </w:rPr>
              <w:t>7.92</w:t>
            </w:r>
          </w:p>
        </w:tc>
      </w:tr>
      <w:tr w14:paraId="4EBCE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5FB1CF">
            <w:pPr>
              <w:jc w:val="center"/>
            </w:pPr>
            <w:r>
              <w:rPr>
                <w:rFonts w:hint="eastAsia"/>
              </w:rPr>
              <w:t>6</w:t>
            </w:r>
          </w:p>
        </w:tc>
        <w:tc>
          <w:tcPr>
            <w:tcW w:w="1661" w:type="dxa"/>
            <w:vAlign w:val="center"/>
          </w:tcPr>
          <w:p w14:paraId="4CBEFBEF">
            <w:r>
              <w:rPr>
                <w:rFonts w:hint="eastAsia"/>
              </w:rPr>
              <w:t>BYD Co Ltd</w:t>
            </w:r>
          </w:p>
        </w:tc>
        <w:tc>
          <w:tcPr>
            <w:tcW w:w="1661" w:type="dxa"/>
            <w:vAlign w:val="center"/>
          </w:tcPr>
          <w:p w14:paraId="538398D1">
            <w:r>
              <w:rPr>
                <w:rFonts w:hint="eastAsia"/>
              </w:rPr>
              <w:t>1211 HK</w:t>
            </w:r>
          </w:p>
        </w:tc>
        <w:tc>
          <w:tcPr>
            <w:tcW w:w="1661" w:type="dxa"/>
            <w:vAlign w:val="center"/>
          </w:tcPr>
          <w:p w14:paraId="2B976A6C">
            <w:pPr>
              <w:jc w:val="right"/>
            </w:pPr>
            <w:r>
              <w:rPr>
                <w:rFonts w:hint="eastAsia"/>
              </w:rPr>
              <w:t>148,051,655.18</w:t>
            </w:r>
          </w:p>
        </w:tc>
        <w:tc>
          <w:tcPr>
            <w:tcW w:w="1661" w:type="dxa"/>
            <w:vAlign w:val="center"/>
          </w:tcPr>
          <w:p w14:paraId="30E00B58">
            <w:pPr>
              <w:jc w:val="right"/>
            </w:pPr>
            <w:r>
              <w:rPr>
                <w:rFonts w:hint="eastAsia"/>
              </w:rPr>
              <w:t>7.65</w:t>
            </w:r>
          </w:p>
        </w:tc>
      </w:tr>
      <w:tr w14:paraId="4761E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2CD2CE">
            <w:pPr>
              <w:jc w:val="center"/>
            </w:pPr>
            <w:r>
              <w:rPr>
                <w:rFonts w:hint="eastAsia"/>
              </w:rPr>
              <w:t>7</w:t>
            </w:r>
          </w:p>
        </w:tc>
        <w:tc>
          <w:tcPr>
            <w:tcW w:w="1661" w:type="dxa"/>
            <w:vAlign w:val="center"/>
          </w:tcPr>
          <w:p w14:paraId="6D54D3FD">
            <w:r>
              <w:rPr>
                <w:rFonts w:hint="eastAsia"/>
              </w:rPr>
              <w:t>NetEase Inc</w:t>
            </w:r>
          </w:p>
        </w:tc>
        <w:tc>
          <w:tcPr>
            <w:tcW w:w="1661" w:type="dxa"/>
            <w:vAlign w:val="center"/>
          </w:tcPr>
          <w:p w14:paraId="2380C441">
            <w:r>
              <w:rPr>
                <w:rFonts w:hint="eastAsia"/>
              </w:rPr>
              <w:t>9999 HK</w:t>
            </w:r>
          </w:p>
        </w:tc>
        <w:tc>
          <w:tcPr>
            <w:tcW w:w="1661" w:type="dxa"/>
            <w:vAlign w:val="center"/>
          </w:tcPr>
          <w:p w14:paraId="1AB53D9E">
            <w:pPr>
              <w:jc w:val="right"/>
            </w:pPr>
            <w:r>
              <w:rPr>
                <w:rFonts w:hint="eastAsia"/>
              </w:rPr>
              <w:t>147,052,005.81</w:t>
            </w:r>
          </w:p>
        </w:tc>
        <w:tc>
          <w:tcPr>
            <w:tcW w:w="1661" w:type="dxa"/>
            <w:vAlign w:val="center"/>
          </w:tcPr>
          <w:p w14:paraId="1DD6BDD9">
            <w:pPr>
              <w:jc w:val="right"/>
            </w:pPr>
            <w:r>
              <w:rPr>
                <w:rFonts w:hint="eastAsia"/>
              </w:rPr>
              <w:t>7.60</w:t>
            </w:r>
          </w:p>
        </w:tc>
      </w:tr>
      <w:tr w14:paraId="51DABAF6">
        <w:tblPrEx>
          <w:tblCellMar>
            <w:top w:w="0" w:type="dxa"/>
            <w:left w:w="108" w:type="dxa"/>
            <w:bottom w:w="0" w:type="dxa"/>
            <w:right w:w="108" w:type="dxa"/>
          </w:tblCellMar>
        </w:tblPrEx>
        <w:trPr>
          <w:jc w:val="center"/>
        </w:trPr>
        <w:tc>
          <w:tcPr>
            <w:tcW w:w="1661" w:type="dxa"/>
            <w:vAlign w:val="center"/>
          </w:tcPr>
          <w:p w14:paraId="798C20AE">
            <w:pPr>
              <w:jc w:val="center"/>
            </w:pPr>
            <w:r>
              <w:rPr>
                <w:rFonts w:hint="eastAsia"/>
              </w:rPr>
              <w:t>8</w:t>
            </w:r>
          </w:p>
        </w:tc>
        <w:tc>
          <w:tcPr>
            <w:tcW w:w="1661" w:type="dxa"/>
            <w:vAlign w:val="center"/>
          </w:tcPr>
          <w:p w14:paraId="07E1BB52">
            <w:r>
              <w:rPr>
                <w:rFonts w:hint="eastAsia"/>
              </w:rPr>
              <w:t>Kuaishou Technology</w:t>
            </w:r>
          </w:p>
        </w:tc>
        <w:tc>
          <w:tcPr>
            <w:tcW w:w="1661" w:type="dxa"/>
            <w:vAlign w:val="center"/>
          </w:tcPr>
          <w:p w14:paraId="7AC47153">
            <w:r>
              <w:rPr>
                <w:rFonts w:hint="eastAsia"/>
              </w:rPr>
              <w:t>1024 HK</w:t>
            </w:r>
          </w:p>
        </w:tc>
        <w:tc>
          <w:tcPr>
            <w:tcW w:w="1661" w:type="dxa"/>
            <w:vAlign w:val="center"/>
          </w:tcPr>
          <w:p w14:paraId="1DF278D5">
            <w:pPr>
              <w:jc w:val="right"/>
            </w:pPr>
            <w:r>
              <w:rPr>
                <w:rFonts w:hint="eastAsia"/>
              </w:rPr>
              <w:t>99,715,529.82</w:t>
            </w:r>
          </w:p>
        </w:tc>
        <w:tc>
          <w:tcPr>
            <w:tcW w:w="1661" w:type="dxa"/>
            <w:vAlign w:val="center"/>
          </w:tcPr>
          <w:p w14:paraId="2E5D41B9">
            <w:pPr>
              <w:jc w:val="right"/>
            </w:pPr>
            <w:r>
              <w:rPr>
                <w:rFonts w:hint="eastAsia"/>
              </w:rPr>
              <w:t>5.15</w:t>
            </w:r>
          </w:p>
        </w:tc>
      </w:tr>
      <w:tr w14:paraId="53D70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6568D4">
            <w:pPr>
              <w:jc w:val="center"/>
            </w:pPr>
            <w:r>
              <w:rPr>
                <w:rFonts w:hint="eastAsia"/>
              </w:rPr>
              <w:t>9</w:t>
            </w:r>
          </w:p>
        </w:tc>
        <w:tc>
          <w:tcPr>
            <w:tcW w:w="1661" w:type="dxa"/>
            <w:vAlign w:val="center"/>
          </w:tcPr>
          <w:p w14:paraId="42599BF5">
            <w:r>
              <w:rPr>
                <w:rFonts w:hint="eastAsia"/>
              </w:rPr>
              <w:t>JD.com Inc</w:t>
            </w:r>
          </w:p>
        </w:tc>
        <w:tc>
          <w:tcPr>
            <w:tcW w:w="1661" w:type="dxa"/>
            <w:vAlign w:val="center"/>
          </w:tcPr>
          <w:p w14:paraId="1DD22AF4">
            <w:r>
              <w:rPr>
                <w:rFonts w:hint="eastAsia"/>
              </w:rPr>
              <w:t>9618 HK</w:t>
            </w:r>
          </w:p>
        </w:tc>
        <w:tc>
          <w:tcPr>
            <w:tcW w:w="1661" w:type="dxa"/>
            <w:vAlign w:val="center"/>
          </w:tcPr>
          <w:p w14:paraId="0412E9BA">
            <w:pPr>
              <w:jc w:val="right"/>
            </w:pPr>
            <w:r>
              <w:rPr>
                <w:rFonts w:hint="eastAsia"/>
              </w:rPr>
              <w:t>99,476,141.22</w:t>
            </w:r>
          </w:p>
        </w:tc>
        <w:tc>
          <w:tcPr>
            <w:tcW w:w="1661" w:type="dxa"/>
            <w:vAlign w:val="center"/>
          </w:tcPr>
          <w:p w14:paraId="15F187D0">
            <w:pPr>
              <w:jc w:val="right"/>
            </w:pPr>
            <w:r>
              <w:rPr>
                <w:rFonts w:hint="eastAsia"/>
              </w:rPr>
              <w:t>5.14</w:t>
            </w:r>
          </w:p>
        </w:tc>
      </w:tr>
      <w:tr w14:paraId="07D36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E4695D">
            <w:pPr>
              <w:jc w:val="center"/>
            </w:pPr>
            <w:r>
              <w:rPr>
                <w:rFonts w:hint="eastAsia"/>
              </w:rPr>
              <w:t>10</w:t>
            </w:r>
          </w:p>
        </w:tc>
        <w:tc>
          <w:tcPr>
            <w:tcW w:w="1661" w:type="dxa"/>
            <w:vAlign w:val="center"/>
          </w:tcPr>
          <w:p w14:paraId="36CC9079">
            <w:r>
              <w:rPr>
                <w:rFonts w:hint="eastAsia"/>
              </w:rPr>
              <w:t>Baidu Inc</w:t>
            </w:r>
          </w:p>
        </w:tc>
        <w:tc>
          <w:tcPr>
            <w:tcW w:w="1661" w:type="dxa"/>
            <w:vAlign w:val="center"/>
          </w:tcPr>
          <w:p w14:paraId="0E48268E">
            <w:r>
              <w:rPr>
                <w:rFonts w:hint="eastAsia"/>
              </w:rPr>
              <w:t>9888 HK</w:t>
            </w:r>
          </w:p>
        </w:tc>
        <w:tc>
          <w:tcPr>
            <w:tcW w:w="1661" w:type="dxa"/>
            <w:vAlign w:val="center"/>
          </w:tcPr>
          <w:p w14:paraId="15BB47A6">
            <w:pPr>
              <w:jc w:val="right"/>
            </w:pPr>
            <w:r>
              <w:rPr>
                <w:rFonts w:hint="eastAsia"/>
              </w:rPr>
              <w:t>72,482,402.68</w:t>
            </w:r>
          </w:p>
        </w:tc>
        <w:tc>
          <w:tcPr>
            <w:tcW w:w="1661" w:type="dxa"/>
            <w:vAlign w:val="center"/>
          </w:tcPr>
          <w:p w14:paraId="4649B98D">
            <w:pPr>
              <w:jc w:val="right"/>
            </w:pPr>
            <w:r>
              <w:rPr>
                <w:rFonts w:hint="eastAsia"/>
              </w:rPr>
              <w:t>3.74</w:t>
            </w:r>
          </w:p>
        </w:tc>
      </w:tr>
      <w:tr w14:paraId="76D90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AB25F8">
            <w:pPr>
              <w:jc w:val="center"/>
            </w:pPr>
            <w:r>
              <w:rPr>
                <w:rFonts w:hint="eastAsia"/>
              </w:rPr>
              <w:t>11</w:t>
            </w:r>
          </w:p>
        </w:tc>
        <w:tc>
          <w:tcPr>
            <w:tcW w:w="1661" w:type="dxa"/>
            <w:vAlign w:val="center"/>
          </w:tcPr>
          <w:p w14:paraId="1EEA7275">
            <w:r>
              <w:rPr>
                <w:rFonts w:hint="eastAsia"/>
              </w:rPr>
              <w:t>Trip.com Group Ltd</w:t>
            </w:r>
          </w:p>
        </w:tc>
        <w:tc>
          <w:tcPr>
            <w:tcW w:w="1661" w:type="dxa"/>
            <w:vAlign w:val="center"/>
          </w:tcPr>
          <w:p w14:paraId="37A71023">
            <w:r>
              <w:rPr>
                <w:rFonts w:hint="eastAsia"/>
              </w:rPr>
              <w:t>9961 HK</w:t>
            </w:r>
          </w:p>
        </w:tc>
        <w:tc>
          <w:tcPr>
            <w:tcW w:w="1661" w:type="dxa"/>
            <w:vAlign w:val="center"/>
          </w:tcPr>
          <w:p w14:paraId="4728AF0E">
            <w:pPr>
              <w:jc w:val="right"/>
            </w:pPr>
            <w:r>
              <w:rPr>
                <w:rFonts w:hint="eastAsia"/>
              </w:rPr>
              <w:t>68,816,086.91</w:t>
            </w:r>
          </w:p>
        </w:tc>
        <w:tc>
          <w:tcPr>
            <w:tcW w:w="1661" w:type="dxa"/>
            <w:vAlign w:val="center"/>
          </w:tcPr>
          <w:p w14:paraId="0370582A">
            <w:pPr>
              <w:jc w:val="right"/>
            </w:pPr>
            <w:r>
              <w:rPr>
                <w:rFonts w:hint="eastAsia"/>
              </w:rPr>
              <w:t>3.55</w:t>
            </w:r>
          </w:p>
        </w:tc>
      </w:tr>
      <w:tr w14:paraId="583B1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Align w:val="center"/>
          </w:tcPr>
          <w:p w14:paraId="09863FE2">
            <w:pPr>
              <w:jc w:val="center"/>
            </w:pPr>
            <w:r>
              <w:rPr>
                <w:rFonts w:hint="eastAsia"/>
              </w:rPr>
              <w:t>12</w:t>
            </w:r>
          </w:p>
        </w:tc>
        <w:tc>
          <w:tcPr>
            <w:tcW w:w="1661" w:type="dxa"/>
            <w:vAlign w:val="center"/>
          </w:tcPr>
          <w:p w14:paraId="56FAE49B">
            <w:r>
              <w:rPr>
                <w:rFonts w:hint="eastAsia"/>
              </w:rPr>
              <w:t>XPeng Inc</w:t>
            </w:r>
          </w:p>
        </w:tc>
        <w:tc>
          <w:tcPr>
            <w:tcW w:w="1661" w:type="dxa"/>
            <w:vAlign w:val="center"/>
          </w:tcPr>
          <w:p w14:paraId="7DFF08E5">
            <w:r>
              <w:rPr>
                <w:rFonts w:hint="eastAsia"/>
              </w:rPr>
              <w:t>9868 HK</w:t>
            </w:r>
          </w:p>
        </w:tc>
        <w:tc>
          <w:tcPr>
            <w:tcW w:w="1661" w:type="dxa"/>
            <w:vAlign w:val="center"/>
          </w:tcPr>
          <w:p w14:paraId="7AD86EFC">
            <w:pPr>
              <w:jc w:val="right"/>
            </w:pPr>
            <w:r>
              <w:rPr>
                <w:rFonts w:hint="eastAsia"/>
              </w:rPr>
              <w:t>64,048,320.76</w:t>
            </w:r>
          </w:p>
        </w:tc>
        <w:tc>
          <w:tcPr>
            <w:tcW w:w="1661" w:type="dxa"/>
            <w:vAlign w:val="center"/>
          </w:tcPr>
          <w:p w14:paraId="2A50BA1C">
            <w:pPr>
              <w:jc w:val="right"/>
            </w:pPr>
            <w:r>
              <w:rPr>
                <w:rFonts w:hint="eastAsia"/>
              </w:rPr>
              <w:t>3.31</w:t>
            </w:r>
          </w:p>
        </w:tc>
      </w:tr>
      <w:tr w14:paraId="75AC1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4BF05D">
            <w:pPr>
              <w:jc w:val="center"/>
            </w:pPr>
            <w:r>
              <w:rPr>
                <w:rFonts w:hint="eastAsia"/>
              </w:rPr>
              <w:t>13</w:t>
            </w:r>
          </w:p>
        </w:tc>
        <w:tc>
          <w:tcPr>
            <w:tcW w:w="1661" w:type="dxa"/>
            <w:vAlign w:val="center"/>
          </w:tcPr>
          <w:p w14:paraId="47B83DBB">
            <w:r>
              <w:rPr>
                <w:rFonts w:hint="eastAsia"/>
              </w:rPr>
              <w:t>Li Auto Inc</w:t>
            </w:r>
          </w:p>
        </w:tc>
        <w:tc>
          <w:tcPr>
            <w:tcW w:w="1661" w:type="dxa"/>
            <w:vAlign w:val="center"/>
          </w:tcPr>
          <w:p w14:paraId="22A007C5">
            <w:r>
              <w:rPr>
                <w:rFonts w:hint="eastAsia"/>
              </w:rPr>
              <w:t>2015 HK</w:t>
            </w:r>
          </w:p>
        </w:tc>
        <w:tc>
          <w:tcPr>
            <w:tcW w:w="1661" w:type="dxa"/>
            <w:vAlign w:val="center"/>
          </w:tcPr>
          <w:p w14:paraId="39F4F2FD">
            <w:pPr>
              <w:jc w:val="right"/>
            </w:pPr>
            <w:r>
              <w:rPr>
                <w:rFonts w:hint="eastAsia"/>
              </w:rPr>
              <w:t>47,169,782.08</w:t>
            </w:r>
          </w:p>
        </w:tc>
        <w:tc>
          <w:tcPr>
            <w:tcW w:w="1661" w:type="dxa"/>
            <w:vAlign w:val="center"/>
          </w:tcPr>
          <w:p w14:paraId="033CA549">
            <w:pPr>
              <w:jc w:val="right"/>
            </w:pPr>
            <w:r>
              <w:rPr>
                <w:rFonts w:hint="eastAsia"/>
              </w:rPr>
              <w:t>2.44</w:t>
            </w:r>
          </w:p>
        </w:tc>
      </w:tr>
      <w:tr w14:paraId="240BF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8B7B03">
            <w:pPr>
              <w:jc w:val="center"/>
            </w:pPr>
            <w:r>
              <w:rPr>
                <w:rFonts w:hint="eastAsia"/>
              </w:rPr>
              <w:t>14</w:t>
            </w:r>
          </w:p>
        </w:tc>
        <w:tc>
          <w:tcPr>
            <w:tcW w:w="1661" w:type="dxa"/>
            <w:vAlign w:val="center"/>
          </w:tcPr>
          <w:p w14:paraId="3F92E84E">
            <w:r>
              <w:rPr>
                <w:rFonts w:hint="eastAsia"/>
              </w:rPr>
              <w:t>Horizon Robotics</w:t>
            </w:r>
          </w:p>
        </w:tc>
        <w:tc>
          <w:tcPr>
            <w:tcW w:w="1661" w:type="dxa"/>
            <w:vAlign w:val="center"/>
          </w:tcPr>
          <w:p w14:paraId="3BE9BFA2">
            <w:r>
              <w:rPr>
                <w:rFonts w:hint="eastAsia"/>
              </w:rPr>
              <w:t>9660 HK</w:t>
            </w:r>
          </w:p>
        </w:tc>
        <w:tc>
          <w:tcPr>
            <w:tcW w:w="1661" w:type="dxa"/>
            <w:vAlign w:val="center"/>
          </w:tcPr>
          <w:p w14:paraId="5B460CC8">
            <w:pPr>
              <w:jc w:val="right"/>
            </w:pPr>
            <w:r>
              <w:rPr>
                <w:rFonts w:hint="eastAsia"/>
              </w:rPr>
              <w:t>42,568,364.42</w:t>
            </w:r>
          </w:p>
        </w:tc>
        <w:tc>
          <w:tcPr>
            <w:tcW w:w="1661" w:type="dxa"/>
            <w:vAlign w:val="center"/>
          </w:tcPr>
          <w:p w14:paraId="4B4EF188">
            <w:pPr>
              <w:jc w:val="right"/>
            </w:pPr>
            <w:r>
              <w:rPr>
                <w:rFonts w:hint="eastAsia"/>
              </w:rPr>
              <w:t>2.20</w:t>
            </w:r>
          </w:p>
        </w:tc>
      </w:tr>
      <w:tr w14:paraId="0458E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68F622">
            <w:pPr>
              <w:jc w:val="center"/>
            </w:pPr>
            <w:r>
              <w:rPr>
                <w:rFonts w:hint="eastAsia"/>
              </w:rPr>
              <w:t>15</w:t>
            </w:r>
          </w:p>
        </w:tc>
        <w:tc>
          <w:tcPr>
            <w:tcW w:w="1661" w:type="dxa"/>
            <w:vAlign w:val="center"/>
          </w:tcPr>
          <w:p w14:paraId="77484456">
            <w:r>
              <w:rPr>
                <w:rFonts w:hint="eastAsia"/>
              </w:rPr>
              <w:t>Lenovo Group Ltd</w:t>
            </w:r>
          </w:p>
        </w:tc>
        <w:tc>
          <w:tcPr>
            <w:tcW w:w="1661" w:type="dxa"/>
            <w:vAlign w:val="center"/>
          </w:tcPr>
          <w:p w14:paraId="0074F6EF">
            <w:r>
              <w:rPr>
                <w:rFonts w:hint="eastAsia"/>
              </w:rPr>
              <w:t>992 HK</w:t>
            </w:r>
          </w:p>
        </w:tc>
        <w:tc>
          <w:tcPr>
            <w:tcW w:w="1661" w:type="dxa"/>
            <w:vAlign w:val="center"/>
          </w:tcPr>
          <w:p w14:paraId="061E0383">
            <w:pPr>
              <w:jc w:val="right"/>
            </w:pPr>
            <w:r>
              <w:rPr>
                <w:rFonts w:hint="eastAsia"/>
              </w:rPr>
              <w:t>36,375,723.31</w:t>
            </w:r>
          </w:p>
        </w:tc>
        <w:tc>
          <w:tcPr>
            <w:tcW w:w="1661" w:type="dxa"/>
            <w:vAlign w:val="center"/>
          </w:tcPr>
          <w:p w14:paraId="38CE1AFA">
            <w:pPr>
              <w:jc w:val="right"/>
            </w:pPr>
            <w:r>
              <w:rPr>
                <w:rFonts w:hint="eastAsia"/>
              </w:rPr>
              <w:t>1.88</w:t>
            </w:r>
          </w:p>
        </w:tc>
      </w:tr>
      <w:tr w14:paraId="36B4F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79B80C">
            <w:pPr>
              <w:jc w:val="center"/>
            </w:pPr>
            <w:r>
              <w:rPr>
                <w:rFonts w:hint="eastAsia"/>
              </w:rPr>
              <w:t>16</w:t>
            </w:r>
          </w:p>
        </w:tc>
        <w:tc>
          <w:tcPr>
            <w:tcW w:w="1661" w:type="dxa"/>
            <w:vAlign w:val="center"/>
          </w:tcPr>
          <w:p w14:paraId="5F811DA7">
            <w:r>
              <w:rPr>
                <w:rFonts w:hint="eastAsia"/>
              </w:rPr>
              <w:t>SenseTime Group Inc</w:t>
            </w:r>
          </w:p>
        </w:tc>
        <w:tc>
          <w:tcPr>
            <w:tcW w:w="1661" w:type="dxa"/>
            <w:vAlign w:val="center"/>
          </w:tcPr>
          <w:p w14:paraId="2D4D8DDD">
            <w:r>
              <w:rPr>
                <w:rFonts w:hint="eastAsia"/>
              </w:rPr>
              <w:t>20 HK</w:t>
            </w:r>
          </w:p>
        </w:tc>
        <w:tc>
          <w:tcPr>
            <w:tcW w:w="1661" w:type="dxa"/>
            <w:vAlign w:val="center"/>
          </w:tcPr>
          <w:p w14:paraId="0D15974A">
            <w:pPr>
              <w:jc w:val="right"/>
            </w:pPr>
            <w:r>
              <w:rPr>
                <w:rFonts w:hint="eastAsia"/>
              </w:rPr>
              <w:t>34,250,564.12</w:t>
            </w:r>
          </w:p>
        </w:tc>
        <w:tc>
          <w:tcPr>
            <w:tcW w:w="1661" w:type="dxa"/>
            <w:vAlign w:val="center"/>
          </w:tcPr>
          <w:p w14:paraId="6FD9652D">
            <w:pPr>
              <w:jc w:val="right"/>
            </w:pPr>
            <w:r>
              <w:rPr>
                <w:rFonts w:hint="eastAsia"/>
              </w:rPr>
              <w:t>1.77</w:t>
            </w:r>
          </w:p>
        </w:tc>
      </w:tr>
      <w:tr w14:paraId="58057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49D9AC">
            <w:pPr>
              <w:jc w:val="center"/>
            </w:pPr>
            <w:r>
              <w:rPr>
                <w:rFonts w:hint="eastAsia"/>
              </w:rPr>
              <w:t>17</w:t>
            </w:r>
          </w:p>
        </w:tc>
        <w:tc>
          <w:tcPr>
            <w:tcW w:w="1661" w:type="dxa"/>
            <w:vAlign w:val="center"/>
          </w:tcPr>
          <w:p w14:paraId="4AABF42D">
            <w:r>
              <w:rPr>
                <w:rFonts w:hint="eastAsia"/>
              </w:rPr>
              <w:t>JD Health International Inc</w:t>
            </w:r>
          </w:p>
        </w:tc>
        <w:tc>
          <w:tcPr>
            <w:tcW w:w="1661" w:type="dxa"/>
            <w:vAlign w:val="center"/>
          </w:tcPr>
          <w:p w14:paraId="375C4E39">
            <w:r>
              <w:rPr>
                <w:rFonts w:hint="eastAsia"/>
              </w:rPr>
              <w:t>6618 HK</w:t>
            </w:r>
          </w:p>
        </w:tc>
        <w:tc>
          <w:tcPr>
            <w:tcW w:w="1661" w:type="dxa"/>
            <w:vAlign w:val="center"/>
          </w:tcPr>
          <w:p w14:paraId="5B4005A3">
            <w:pPr>
              <w:jc w:val="right"/>
            </w:pPr>
            <w:r>
              <w:rPr>
                <w:rFonts w:hint="eastAsia"/>
              </w:rPr>
              <w:t>33,278,652.40</w:t>
            </w:r>
          </w:p>
        </w:tc>
        <w:tc>
          <w:tcPr>
            <w:tcW w:w="1661" w:type="dxa"/>
            <w:vAlign w:val="center"/>
          </w:tcPr>
          <w:p w14:paraId="62EAB167">
            <w:pPr>
              <w:jc w:val="right"/>
            </w:pPr>
            <w:r>
              <w:rPr>
                <w:rFonts w:hint="eastAsia"/>
              </w:rPr>
              <w:t>1.72</w:t>
            </w:r>
          </w:p>
        </w:tc>
      </w:tr>
      <w:tr w14:paraId="4A228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C05ABA">
            <w:pPr>
              <w:jc w:val="center"/>
            </w:pPr>
            <w:r>
              <w:rPr>
                <w:rFonts w:hint="eastAsia"/>
              </w:rPr>
              <w:t>18</w:t>
            </w:r>
          </w:p>
        </w:tc>
        <w:tc>
          <w:tcPr>
            <w:tcW w:w="1661" w:type="dxa"/>
            <w:vAlign w:val="center"/>
          </w:tcPr>
          <w:p w14:paraId="7A12D989">
            <w:r>
              <w:rPr>
                <w:rFonts w:hint="eastAsia"/>
              </w:rPr>
              <w:t>Haier Smart Home Co Ltd</w:t>
            </w:r>
          </w:p>
        </w:tc>
        <w:tc>
          <w:tcPr>
            <w:tcW w:w="1661" w:type="dxa"/>
            <w:vAlign w:val="center"/>
          </w:tcPr>
          <w:p w14:paraId="3DE4F0A9">
            <w:r>
              <w:rPr>
                <w:rFonts w:hint="eastAsia"/>
              </w:rPr>
              <w:t>6690 HK</w:t>
            </w:r>
          </w:p>
        </w:tc>
        <w:tc>
          <w:tcPr>
            <w:tcW w:w="1661" w:type="dxa"/>
            <w:vAlign w:val="center"/>
          </w:tcPr>
          <w:p w14:paraId="773E827F">
            <w:pPr>
              <w:jc w:val="right"/>
            </w:pPr>
            <w:r>
              <w:rPr>
                <w:rFonts w:hint="eastAsia"/>
              </w:rPr>
              <w:t>30,908,534.60</w:t>
            </w:r>
          </w:p>
        </w:tc>
        <w:tc>
          <w:tcPr>
            <w:tcW w:w="1661" w:type="dxa"/>
            <w:vAlign w:val="center"/>
          </w:tcPr>
          <w:p w14:paraId="4C9E448F">
            <w:pPr>
              <w:jc w:val="right"/>
            </w:pPr>
            <w:r>
              <w:rPr>
                <w:rFonts w:hint="eastAsia"/>
              </w:rPr>
              <w:t>1.60</w:t>
            </w:r>
          </w:p>
        </w:tc>
      </w:tr>
      <w:tr w14:paraId="63643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448AB0">
            <w:pPr>
              <w:jc w:val="center"/>
            </w:pPr>
            <w:r>
              <w:rPr>
                <w:rFonts w:hint="eastAsia"/>
              </w:rPr>
              <w:t>19</w:t>
            </w:r>
          </w:p>
        </w:tc>
        <w:tc>
          <w:tcPr>
            <w:tcW w:w="1661" w:type="dxa"/>
            <w:vAlign w:val="center"/>
          </w:tcPr>
          <w:p w14:paraId="6F1E02CE">
            <w:r>
              <w:rPr>
                <w:rFonts w:hint="eastAsia"/>
              </w:rPr>
              <w:t>Bilibili Inc</w:t>
            </w:r>
          </w:p>
        </w:tc>
        <w:tc>
          <w:tcPr>
            <w:tcW w:w="1661" w:type="dxa"/>
            <w:vAlign w:val="center"/>
          </w:tcPr>
          <w:p w14:paraId="15A82B55">
            <w:r>
              <w:rPr>
                <w:rFonts w:hint="eastAsia"/>
              </w:rPr>
              <w:t>9626 HK</w:t>
            </w:r>
          </w:p>
        </w:tc>
        <w:tc>
          <w:tcPr>
            <w:tcW w:w="1661" w:type="dxa"/>
            <w:vAlign w:val="center"/>
          </w:tcPr>
          <w:p w14:paraId="270FEC92">
            <w:pPr>
              <w:jc w:val="right"/>
            </w:pPr>
            <w:r>
              <w:rPr>
                <w:rFonts w:hint="eastAsia"/>
              </w:rPr>
              <w:t>30,855,862.80</w:t>
            </w:r>
          </w:p>
        </w:tc>
        <w:tc>
          <w:tcPr>
            <w:tcW w:w="1661" w:type="dxa"/>
            <w:vAlign w:val="center"/>
          </w:tcPr>
          <w:p w14:paraId="4F92EBFC">
            <w:pPr>
              <w:jc w:val="right"/>
            </w:pPr>
            <w:r>
              <w:rPr>
                <w:rFonts w:hint="eastAsia"/>
              </w:rPr>
              <w:t>1.59</w:t>
            </w:r>
          </w:p>
        </w:tc>
      </w:tr>
      <w:tr w14:paraId="64C4E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6D779E">
            <w:pPr>
              <w:jc w:val="center"/>
            </w:pPr>
            <w:r>
              <w:rPr>
                <w:rFonts w:hint="eastAsia"/>
              </w:rPr>
              <w:t>20</w:t>
            </w:r>
          </w:p>
        </w:tc>
        <w:tc>
          <w:tcPr>
            <w:tcW w:w="1661" w:type="dxa"/>
            <w:vAlign w:val="center"/>
          </w:tcPr>
          <w:p w14:paraId="49470537">
            <w:r>
              <w:rPr>
                <w:rFonts w:hint="eastAsia"/>
              </w:rPr>
              <w:t>Hua Hong Semiconductor Ltd</w:t>
            </w:r>
          </w:p>
        </w:tc>
        <w:tc>
          <w:tcPr>
            <w:tcW w:w="1661" w:type="dxa"/>
            <w:vAlign w:val="center"/>
          </w:tcPr>
          <w:p w14:paraId="4764F612">
            <w:r>
              <w:rPr>
                <w:rFonts w:hint="eastAsia"/>
              </w:rPr>
              <w:t>1347 HK</w:t>
            </w:r>
          </w:p>
        </w:tc>
        <w:tc>
          <w:tcPr>
            <w:tcW w:w="1661" w:type="dxa"/>
            <w:vAlign w:val="center"/>
          </w:tcPr>
          <w:p w14:paraId="44856B89">
            <w:pPr>
              <w:jc w:val="right"/>
            </w:pPr>
            <w:r>
              <w:rPr>
                <w:rFonts w:hint="eastAsia"/>
              </w:rPr>
              <w:t>26,474,943.98</w:t>
            </w:r>
          </w:p>
        </w:tc>
        <w:tc>
          <w:tcPr>
            <w:tcW w:w="1661" w:type="dxa"/>
            <w:vAlign w:val="center"/>
          </w:tcPr>
          <w:p w14:paraId="72FBE120">
            <w:pPr>
              <w:jc w:val="right"/>
            </w:pPr>
            <w:r>
              <w:rPr>
                <w:rFonts w:hint="eastAsia"/>
              </w:rPr>
              <w:t>1.37</w:t>
            </w:r>
          </w:p>
        </w:tc>
      </w:tr>
    </w:tbl>
    <w:p w14:paraId="52C63467">
      <w:pPr>
        <w:pStyle w:val="47"/>
        <w:rPr>
          <w:rFonts w:hint="eastAsia"/>
        </w:rPr>
      </w:pPr>
      <w:r>
        <w:rPr>
          <w:rFonts w:hint="eastAsia"/>
        </w:rPr>
        <w:t>注：1、本基金对以上证券代码采用当地市场代码。对基金持有的不同市场上市的同一公司合并计算净值占比，分开列示。</w:t>
      </w:r>
    </w:p>
    <w:p w14:paraId="1EAA4E70">
      <w:pPr>
        <w:pStyle w:val="47"/>
        <w:rPr>
          <w:rFonts w:hint="eastAsia"/>
        </w:rPr>
      </w:pPr>
      <w:r>
        <w:tab/>
      </w:r>
      <w:r>
        <w:rPr>
          <w:rFonts w:hint="eastAsia"/>
        </w:rPr>
        <w:t>2、买入包括二级市场上主动的买入、新股、配股、债转股、换股及行权等获得的股票，买入金额按成交金额（成交单价乘以成交数量）填列，不考虑相关交易费用。</w:t>
      </w:r>
    </w:p>
    <w:p w14:paraId="2F68AC02">
      <w:pPr>
        <w:pStyle w:val="28"/>
      </w:pPr>
      <w:bookmarkStart w:id="174" w:name="_Toc174"/>
      <w:r>
        <w:t>累计卖出金额超出期初基金资产净值2%或前20名的权益投资明细</w:t>
      </w:r>
      <w:bookmarkEnd w:id="174"/>
    </w:p>
    <w:p w14:paraId="6EB8BB10">
      <w:pPr>
        <w:jc w:val="right"/>
        <w:rPr>
          <w:rFonts w:hint="eastAsia"/>
        </w:rPr>
      </w:pPr>
      <w:r>
        <w:rPr>
          <w:rFonts w:hint="eastAsia"/>
        </w:rPr>
        <w:t>金额单位：人民币</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B31E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shd w:val="clear" w:color="auto" w:fill="BFBFBF"/>
            <w:vAlign w:val="center"/>
          </w:tcPr>
          <w:p w14:paraId="7A40812D">
            <w:pPr>
              <w:jc w:val="center"/>
            </w:pPr>
            <w:r>
              <w:rPr>
                <w:rFonts w:hint="eastAsia"/>
                <w:b/>
              </w:rPr>
              <w:t>序号</w:t>
            </w:r>
          </w:p>
        </w:tc>
        <w:tc>
          <w:tcPr>
            <w:tcW w:w="1661" w:type="dxa"/>
            <w:shd w:val="clear" w:color="auto" w:fill="BFBFBF"/>
            <w:vAlign w:val="center"/>
          </w:tcPr>
          <w:p w14:paraId="6EBC560D">
            <w:pPr>
              <w:jc w:val="center"/>
            </w:pPr>
            <w:r>
              <w:rPr>
                <w:rFonts w:hint="eastAsia"/>
                <w:b/>
              </w:rPr>
              <w:t>公司名称（英文）</w:t>
            </w:r>
          </w:p>
        </w:tc>
        <w:tc>
          <w:tcPr>
            <w:tcW w:w="1661" w:type="dxa"/>
            <w:shd w:val="clear" w:color="auto" w:fill="BFBFBF"/>
            <w:vAlign w:val="center"/>
          </w:tcPr>
          <w:p w14:paraId="6B81EA90">
            <w:pPr>
              <w:jc w:val="center"/>
            </w:pPr>
            <w:r>
              <w:rPr>
                <w:rFonts w:hint="eastAsia"/>
                <w:b/>
              </w:rPr>
              <w:t>证券代码</w:t>
            </w:r>
          </w:p>
        </w:tc>
        <w:tc>
          <w:tcPr>
            <w:tcW w:w="1661" w:type="dxa"/>
            <w:shd w:val="clear" w:color="auto" w:fill="BFBFBF"/>
            <w:vAlign w:val="center"/>
          </w:tcPr>
          <w:p w14:paraId="41905B11">
            <w:pPr>
              <w:jc w:val="center"/>
            </w:pPr>
            <w:r>
              <w:rPr>
                <w:rFonts w:hint="eastAsia"/>
                <w:b/>
              </w:rPr>
              <w:t>本期累计卖出金额</w:t>
            </w:r>
          </w:p>
        </w:tc>
        <w:tc>
          <w:tcPr>
            <w:tcW w:w="1661" w:type="dxa"/>
            <w:shd w:val="clear" w:color="auto" w:fill="BFBFBF"/>
            <w:vAlign w:val="center"/>
          </w:tcPr>
          <w:p w14:paraId="20451EB8">
            <w:pPr>
              <w:jc w:val="center"/>
            </w:pPr>
            <w:r>
              <w:rPr>
                <w:rFonts w:hint="eastAsia"/>
                <w:b/>
              </w:rPr>
              <w:t>占期末基金资产净值比例（％）</w:t>
            </w:r>
          </w:p>
        </w:tc>
      </w:tr>
      <w:tr w14:paraId="7CC7A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344B84">
            <w:pPr>
              <w:jc w:val="center"/>
            </w:pPr>
            <w:r>
              <w:rPr>
                <w:rFonts w:hint="eastAsia"/>
              </w:rPr>
              <w:t>1</w:t>
            </w:r>
          </w:p>
        </w:tc>
        <w:tc>
          <w:tcPr>
            <w:tcW w:w="1661" w:type="dxa"/>
            <w:vAlign w:val="center"/>
          </w:tcPr>
          <w:p w14:paraId="026FCE1A">
            <w:r>
              <w:rPr>
                <w:rFonts w:hint="eastAsia"/>
              </w:rPr>
              <w:t>Alibaba Group Holding Ltd</w:t>
            </w:r>
          </w:p>
        </w:tc>
        <w:tc>
          <w:tcPr>
            <w:tcW w:w="1661" w:type="dxa"/>
            <w:vAlign w:val="center"/>
          </w:tcPr>
          <w:p w14:paraId="6D718E5F">
            <w:r>
              <w:rPr>
                <w:rFonts w:hint="eastAsia"/>
              </w:rPr>
              <w:t>9988 HK</w:t>
            </w:r>
          </w:p>
        </w:tc>
        <w:tc>
          <w:tcPr>
            <w:tcW w:w="1661" w:type="dxa"/>
            <w:vAlign w:val="center"/>
          </w:tcPr>
          <w:p w14:paraId="7686DF6D">
            <w:pPr>
              <w:jc w:val="right"/>
            </w:pPr>
            <w:r>
              <w:rPr>
                <w:rFonts w:hint="eastAsia"/>
              </w:rPr>
              <w:t>9,780,540.37</w:t>
            </w:r>
          </w:p>
        </w:tc>
        <w:tc>
          <w:tcPr>
            <w:tcW w:w="1661" w:type="dxa"/>
            <w:vAlign w:val="center"/>
          </w:tcPr>
          <w:p w14:paraId="3F3AD7B3">
            <w:pPr>
              <w:jc w:val="right"/>
            </w:pPr>
            <w:r>
              <w:rPr>
                <w:rFonts w:hint="eastAsia"/>
              </w:rPr>
              <w:t>0.51</w:t>
            </w:r>
          </w:p>
        </w:tc>
      </w:tr>
      <w:tr w14:paraId="52617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69D3C5">
            <w:pPr>
              <w:jc w:val="center"/>
            </w:pPr>
            <w:r>
              <w:rPr>
                <w:rFonts w:hint="eastAsia"/>
              </w:rPr>
              <w:t>2</w:t>
            </w:r>
          </w:p>
        </w:tc>
        <w:tc>
          <w:tcPr>
            <w:tcW w:w="1661" w:type="dxa"/>
            <w:vAlign w:val="center"/>
          </w:tcPr>
          <w:p w14:paraId="17FA6EDB">
            <w:r>
              <w:rPr>
                <w:rFonts w:hint="eastAsia"/>
              </w:rPr>
              <w:t>ASMPT Ltd</w:t>
            </w:r>
          </w:p>
        </w:tc>
        <w:tc>
          <w:tcPr>
            <w:tcW w:w="1661" w:type="dxa"/>
            <w:vAlign w:val="center"/>
          </w:tcPr>
          <w:p w14:paraId="4CC0AD01">
            <w:r>
              <w:rPr>
                <w:rFonts w:hint="eastAsia"/>
              </w:rPr>
              <w:t>522 HK</w:t>
            </w:r>
          </w:p>
        </w:tc>
        <w:tc>
          <w:tcPr>
            <w:tcW w:w="1661" w:type="dxa"/>
            <w:vAlign w:val="center"/>
          </w:tcPr>
          <w:p w14:paraId="44E614AB">
            <w:pPr>
              <w:jc w:val="right"/>
            </w:pPr>
            <w:r>
              <w:rPr>
                <w:rFonts w:hint="eastAsia"/>
              </w:rPr>
              <w:t>6,673,724.01</w:t>
            </w:r>
          </w:p>
        </w:tc>
        <w:tc>
          <w:tcPr>
            <w:tcW w:w="1661" w:type="dxa"/>
            <w:vAlign w:val="center"/>
          </w:tcPr>
          <w:p w14:paraId="09A49A5A">
            <w:pPr>
              <w:jc w:val="right"/>
            </w:pPr>
            <w:r>
              <w:rPr>
                <w:rFonts w:hint="eastAsia"/>
              </w:rPr>
              <w:t>0.34</w:t>
            </w:r>
          </w:p>
        </w:tc>
      </w:tr>
      <w:tr w14:paraId="7C3F0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51CB91">
            <w:pPr>
              <w:jc w:val="center"/>
            </w:pPr>
            <w:r>
              <w:rPr>
                <w:rFonts w:hint="eastAsia"/>
              </w:rPr>
              <w:t>3</w:t>
            </w:r>
          </w:p>
        </w:tc>
        <w:tc>
          <w:tcPr>
            <w:tcW w:w="1661" w:type="dxa"/>
            <w:vAlign w:val="center"/>
          </w:tcPr>
          <w:p w14:paraId="27C71AED">
            <w:r>
              <w:rPr>
                <w:rFonts w:hint="eastAsia"/>
              </w:rPr>
              <w:t>Trip.com Group Ltd</w:t>
            </w:r>
          </w:p>
        </w:tc>
        <w:tc>
          <w:tcPr>
            <w:tcW w:w="1661" w:type="dxa"/>
            <w:vAlign w:val="center"/>
          </w:tcPr>
          <w:p w14:paraId="29F44D4C">
            <w:r>
              <w:rPr>
                <w:rFonts w:hint="eastAsia"/>
              </w:rPr>
              <w:t>9961 HK</w:t>
            </w:r>
          </w:p>
        </w:tc>
        <w:tc>
          <w:tcPr>
            <w:tcW w:w="1661" w:type="dxa"/>
            <w:vAlign w:val="center"/>
          </w:tcPr>
          <w:p w14:paraId="58B2EA05">
            <w:pPr>
              <w:jc w:val="right"/>
            </w:pPr>
            <w:r>
              <w:rPr>
                <w:rFonts w:hint="eastAsia"/>
              </w:rPr>
              <w:t>3,418,588.09</w:t>
            </w:r>
          </w:p>
        </w:tc>
        <w:tc>
          <w:tcPr>
            <w:tcW w:w="1661" w:type="dxa"/>
            <w:vAlign w:val="center"/>
          </w:tcPr>
          <w:p w14:paraId="26F62812">
            <w:pPr>
              <w:jc w:val="right"/>
            </w:pPr>
            <w:r>
              <w:rPr>
                <w:rFonts w:hint="eastAsia"/>
              </w:rPr>
              <w:t>0.18</w:t>
            </w:r>
          </w:p>
        </w:tc>
      </w:tr>
    </w:tbl>
    <w:p w14:paraId="29EC3086">
      <w:pPr>
        <w:pStyle w:val="47"/>
        <w:rPr>
          <w:rFonts w:hint="eastAsia"/>
        </w:rPr>
      </w:pPr>
      <w:r>
        <w:rPr>
          <w:rFonts w:hint="eastAsia"/>
        </w:rPr>
        <w:t>注:1、本基金对以上证券代码采用当地市场代码。对基金持有的不同市场上市的同一公司合并计算净值占比，分开列示。</w:t>
      </w:r>
    </w:p>
    <w:p w14:paraId="387E0E9D">
      <w:pPr>
        <w:pStyle w:val="47"/>
        <w:rPr>
          <w:rFonts w:hint="eastAsia"/>
        </w:rPr>
      </w:pPr>
      <w:r>
        <w:tab/>
      </w:r>
      <w:r>
        <w:rPr>
          <w:rFonts w:hint="eastAsia"/>
        </w:rPr>
        <w:t>2、卖出包括二级市场上主动的卖出、换股、要约收购、发行人回购及行权等减少的股票，卖出金额按成交金额（成交单价乘以成交数量）填列，不考虑相关交易费用。</w:t>
      </w:r>
    </w:p>
    <w:p w14:paraId="0A2F9376">
      <w:pPr>
        <w:pStyle w:val="28"/>
      </w:pPr>
      <w:bookmarkStart w:id="175" w:name="_Toc175"/>
      <w:r>
        <w:t>权益投资的买入成本总额及卖出收入总额</w:t>
      </w:r>
      <w:bookmarkEnd w:id="175"/>
    </w:p>
    <w:p w14:paraId="620DFF6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E6BA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EAE3472">
            <w:r>
              <w:rPr>
                <w:rFonts w:hint="eastAsia"/>
              </w:rPr>
              <w:t>买入成本（成交）总额</w:t>
            </w:r>
          </w:p>
        </w:tc>
        <w:tc>
          <w:tcPr>
            <w:tcW w:w="4153" w:type="dxa"/>
            <w:vAlign w:val="center"/>
          </w:tcPr>
          <w:p w14:paraId="393A25D4">
            <w:pPr>
              <w:jc w:val="right"/>
            </w:pPr>
            <w:r>
              <w:rPr>
                <w:rFonts w:hint="eastAsia"/>
              </w:rPr>
              <w:t>1,934,583,920.72</w:t>
            </w:r>
          </w:p>
        </w:tc>
      </w:tr>
      <w:tr w14:paraId="73222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8AB1D65">
            <w:r>
              <w:rPr>
                <w:rFonts w:hint="eastAsia"/>
              </w:rPr>
              <w:t>卖出收入（成交）总额</w:t>
            </w:r>
          </w:p>
        </w:tc>
        <w:tc>
          <w:tcPr>
            <w:tcW w:w="4153" w:type="dxa"/>
            <w:vAlign w:val="center"/>
          </w:tcPr>
          <w:p w14:paraId="05509E23">
            <w:pPr>
              <w:jc w:val="right"/>
            </w:pPr>
            <w:r>
              <w:rPr>
                <w:rFonts w:hint="eastAsia"/>
              </w:rPr>
              <w:t>19,872,852.47</w:t>
            </w:r>
          </w:p>
        </w:tc>
      </w:tr>
    </w:tbl>
    <w:p w14:paraId="77ED7F28">
      <w:pPr>
        <w:pStyle w:val="47"/>
        <w:rPr>
          <w:rFonts w:hint="eastAsia"/>
        </w:rPr>
      </w:pPr>
      <w:r>
        <w:rPr>
          <w:rFonts w:hint="eastAsia"/>
        </w:rPr>
        <w:t>注：买入股票成本、卖出股票收入均按买卖成交金额（成交单价乘以成交数量）填列，不考虑相关交易费用。</w:t>
      </w:r>
    </w:p>
    <w:p w14:paraId="539A770A">
      <w:pPr>
        <w:pStyle w:val="23"/>
      </w:pPr>
      <w:bookmarkStart w:id="176" w:name="_Toc9731"/>
      <w:r>
        <w:t>期末按债券信用等级分类的债券投资组合</w:t>
      </w:r>
      <w:bookmarkEnd w:id="176"/>
    </w:p>
    <w:p w14:paraId="0FAE9737">
      <w:pPr>
        <w:pStyle w:val="18"/>
        <w:rPr>
          <w:rFonts w:hint="eastAsia"/>
        </w:rPr>
      </w:pPr>
      <w:r>
        <w:rPr>
          <w:rFonts w:hint="eastAsia"/>
        </w:rPr>
        <w:t>本基金本报告期末未持有债券。</w:t>
      </w:r>
    </w:p>
    <w:p w14:paraId="7229940E">
      <w:pPr>
        <w:pStyle w:val="23"/>
      </w:pPr>
      <w:bookmarkStart w:id="177" w:name="_Toc16029"/>
      <w:r>
        <w:t>期末按公允价值占基金资产净值比例大小排名的前五名债券投资明细</w:t>
      </w:r>
      <w:bookmarkEnd w:id="177"/>
    </w:p>
    <w:p w14:paraId="509F6B08">
      <w:pPr>
        <w:pStyle w:val="18"/>
        <w:rPr>
          <w:rFonts w:hint="eastAsia"/>
        </w:rPr>
      </w:pPr>
      <w:r>
        <w:rPr>
          <w:rFonts w:hint="eastAsia"/>
        </w:rPr>
        <w:t>本基金本报告期末未持有债券。</w:t>
      </w:r>
    </w:p>
    <w:p w14:paraId="3A296332">
      <w:pPr>
        <w:pStyle w:val="23"/>
      </w:pPr>
      <w:bookmarkStart w:id="178" w:name="_Toc2766"/>
      <w:r>
        <w:t>期末按公允价值占基金资产净值比例大小排名的前十名资产支持证券投资明细</w:t>
      </w:r>
      <w:bookmarkEnd w:id="178"/>
    </w:p>
    <w:p w14:paraId="6F1917B9">
      <w:pPr>
        <w:pStyle w:val="18"/>
        <w:rPr>
          <w:rFonts w:hint="eastAsia"/>
        </w:rPr>
      </w:pPr>
      <w:r>
        <w:rPr>
          <w:rFonts w:hint="eastAsia"/>
        </w:rPr>
        <w:t>本基金本报告期末未持有资产支持证券。</w:t>
      </w:r>
    </w:p>
    <w:p w14:paraId="48FB3895">
      <w:pPr>
        <w:pStyle w:val="23"/>
      </w:pPr>
      <w:bookmarkStart w:id="179" w:name="_Toc10284"/>
      <w:r>
        <w:t>期末按公允价值占基金资产净值比例大小排名的前五名金融衍生品投资明细</w:t>
      </w:r>
      <w:bookmarkEnd w:id="17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F319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shd w:val="clear" w:color="auto" w:fill="BFBFBF"/>
            <w:vAlign w:val="center"/>
          </w:tcPr>
          <w:p w14:paraId="32C073BE">
            <w:pPr>
              <w:jc w:val="center"/>
            </w:pPr>
            <w:r>
              <w:rPr>
                <w:rFonts w:hint="eastAsia"/>
                <w:b/>
              </w:rPr>
              <w:t>序号</w:t>
            </w:r>
          </w:p>
        </w:tc>
        <w:tc>
          <w:tcPr>
            <w:tcW w:w="1661" w:type="dxa"/>
            <w:shd w:val="clear" w:color="auto" w:fill="BFBFBF"/>
            <w:vAlign w:val="center"/>
          </w:tcPr>
          <w:p w14:paraId="777B77EB">
            <w:pPr>
              <w:jc w:val="center"/>
            </w:pPr>
            <w:r>
              <w:rPr>
                <w:rFonts w:hint="eastAsia"/>
                <w:b/>
              </w:rPr>
              <w:t>衍生品类别</w:t>
            </w:r>
          </w:p>
        </w:tc>
        <w:tc>
          <w:tcPr>
            <w:tcW w:w="1661" w:type="dxa"/>
            <w:shd w:val="clear" w:color="auto" w:fill="BFBFBF"/>
            <w:vAlign w:val="center"/>
          </w:tcPr>
          <w:p w14:paraId="37B729D7">
            <w:pPr>
              <w:jc w:val="center"/>
            </w:pPr>
            <w:r>
              <w:rPr>
                <w:rFonts w:hint="eastAsia"/>
                <w:b/>
              </w:rPr>
              <w:t>衍生品名称</w:t>
            </w:r>
          </w:p>
        </w:tc>
        <w:tc>
          <w:tcPr>
            <w:tcW w:w="1661" w:type="dxa"/>
            <w:shd w:val="clear" w:color="auto" w:fill="BFBFBF"/>
            <w:vAlign w:val="center"/>
          </w:tcPr>
          <w:p w14:paraId="6791A239">
            <w:pPr>
              <w:jc w:val="center"/>
            </w:pPr>
            <w:r>
              <w:rPr>
                <w:rFonts w:hint="eastAsia"/>
                <w:b/>
              </w:rPr>
              <w:t>公允价值（人民币元）</w:t>
            </w:r>
          </w:p>
        </w:tc>
        <w:tc>
          <w:tcPr>
            <w:tcW w:w="1661" w:type="dxa"/>
            <w:shd w:val="clear" w:color="auto" w:fill="BFBFBF"/>
            <w:vAlign w:val="center"/>
          </w:tcPr>
          <w:p w14:paraId="133E2C06">
            <w:pPr>
              <w:jc w:val="center"/>
            </w:pPr>
            <w:r>
              <w:rPr>
                <w:rFonts w:hint="eastAsia"/>
                <w:b/>
              </w:rPr>
              <w:t>占基金资产净值比例（%）</w:t>
            </w:r>
          </w:p>
        </w:tc>
      </w:tr>
      <w:tr w14:paraId="75C52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A214C8">
            <w:pPr>
              <w:jc w:val="center"/>
            </w:pPr>
            <w:r>
              <w:rPr>
                <w:rFonts w:hint="eastAsia"/>
              </w:rPr>
              <w:t>1</w:t>
            </w:r>
          </w:p>
        </w:tc>
        <w:tc>
          <w:tcPr>
            <w:tcW w:w="1661" w:type="dxa"/>
            <w:vAlign w:val="center"/>
          </w:tcPr>
          <w:p w14:paraId="3CD1B492">
            <w:r>
              <w:rPr>
                <w:rFonts w:hint="eastAsia"/>
              </w:rPr>
              <w:t>期货</w:t>
            </w:r>
          </w:p>
        </w:tc>
        <w:tc>
          <w:tcPr>
            <w:tcW w:w="1661" w:type="dxa"/>
            <w:vAlign w:val="center"/>
          </w:tcPr>
          <w:p w14:paraId="708B4D80">
            <w:r>
              <w:rPr>
                <w:rFonts w:hint="eastAsia"/>
              </w:rPr>
              <w:t>HTI2603</w:t>
            </w:r>
          </w:p>
        </w:tc>
        <w:tc>
          <w:tcPr>
            <w:tcW w:w="1661" w:type="dxa"/>
            <w:vAlign w:val="center"/>
          </w:tcPr>
          <w:p w14:paraId="17E6AC69">
            <w:pPr>
              <w:jc w:val="right"/>
            </w:pPr>
            <w:r>
              <w:rPr>
                <w:rFonts w:hint="eastAsia"/>
              </w:rPr>
              <w:t>-1,341,708.05</w:t>
            </w:r>
          </w:p>
        </w:tc>
        <w:tc>
          <w:tcPr>
            <w:tcW w:w="1661" w:type="dxa"/>
            <w:vAlign w:val="center"/>
          </w:tcPr>
          <w:p w14:paraId="63EF113B">
            <w:pPr>
              <w:jc w:val="right"/>
            </w:pPr>
            <w:r>
              <w:rPr>
                <w:rFonts w:hint="eastAsia"/>
              </w:rPr>
              <w:t>-0.07</w:t>
            </w:r>
          </w:p>
        </w:tc>
      </w:tr>
    </w:tbl>
    <w:p w14:paraId="03C322DC">
      <w:pPr>
        <w:pStyle w:val="47"/>
        <w:rPr>
          <w:rFonts w:hint="eastAsia"/>
        </w:rPr>
      </w:pPr>
      <w:r>
        <w:rPr>
          <w:rFonts w:hint="eastAsia"/>
        </w:rPr>
        <w:t>注：金融衍生品投资项下的期货投资，在当日无负债结算制度下，结算备付金已包括所持期货合约产生的持仓损益，则金融衍生品投资项下的期货投资与相关的期货暂收款(结算所得的持仓损益)之间相抵销后的净额为0，因此此处的公允价值实为公允价值变动。</w:t>
      </w:r>
    </w:p>
    <w:p w14:paraId="62A7314D">
      <w:pPr>
        <w:pStyle w:val="23"/>
      </w:pPr>
      <w:bookmarkStart w:id="180" w:name="_Toc15987"/>
      <w:r>
        <w:t>期末按公允价值占基金资产净值比例大小排序的前十名基金投资明细</w:t>
      </w:r>
      <w:bookmarkEnd w:id="180"/>
    </w:p>
    <w:p w14:paraId="766BB771">
      <w:pPr>
        <w:pStyle w:val="18"/>
        <w:rPr>
          <w:rFonts w:hint="eastAsia"/>
        </w:rPr>
      </w:pPr>
      <w:r>
        <w:rPr>
          <w:rFonts w:hint="eastAsia"/>
        </w:rPr>
        <w:t>无。</w:t>
      </w:r>
    </w:p>
    <w:p w14:paraId="58490022">
      <w:pPr>
        <w:pStyle w:val="23"/>
      </w:pPr>
      <w:bookmarkStart w:id="181" w:name="_Toc5097"/>
      <w:r>
        <w:t>投资组合报告附注</w:t>
      </w:r>
      <w:bookmarkEnd w:id="181"/>
    </w:p>
    <w:p w14:paraId="40D632AC">
      <w:pPr>
        <w:pStyle w:val="28"/>
      </w:pPr>
      <w:bookmarkStart w:id="182" w:name="_Toc182"/>
      <w:r>
        <w:t>声明本基金投资的前十名证券的发行主体本期是否出现被监管部门立案调查，或在报告编制日前一年内受到公开谴责、处罚的情形。如是，还应对相关证券的投资决策程序做出说明</w:t>
      </w:r>
      <w:bookmarkEnd w:id="182"/>
    </w:p>
    <w:p w14:paraId="7077D20F">
      <w:pPr>
        <w:pStyle w:val="18"/>
        <w:rPr>
          <w:rFonts w:hint="eastAsia"/>
        </w:rPr>
      </w:pPr>
      <w:r>
        <w:rPr>
          <w:rFonts w:hint="eastAsia"/>
        </w:rPr>
        <w:t>本基金投资的前十名证券的发行主体本期没有出现被监管部门立案调查，或在报告编制日前一年内受到公开谴责、处罚的情形。</w:t>
      </w:r>
    </w:p>
    <w:p w14:paraId="43BA87A9">
      <w:pPr>
        <w:pStyle w:val="28"/>
      </w:pPr>
      <w:bookmarkStart w:id="183" w:name="_Toc183"/>
      <w:r>
        <w:t>声明基金投资的前十名股票是否超出基金合同规定的备选股票库。如是，还应对相关股票的投资决策程序做出说明</w:t>
      </w:r>
      <w:bookmarkEnd w:id="183"/>
    </w:p>
    <w:p w14:paraId="1173C85A">
      <w:pPr>
        <w:pStyle w:val="18"/>
        <w:rPr>
          <w:rFonts w:hint="eastAsia"/>
        </w:rPr>
      </w:pPr>
      <w:r>
        <w:rPr>
          <w:rFonts w:hint="eastAsia"/>
        </w:rPr>
        <w:t>本基金投资的前十名股票（如有）没有超出基金合同规定的备选股票库，本基金管理人从制度和流程上要求股票必须先入库再买入。</w:t>
      </w:r>
    </w:p>
    <w:p w14:paraId="58DDFB4B">
      <w:pPr>
        <w:pStyle w:val="28"/>
      </w:pPr>
      <w:bookmarkStart w:id="184" w:name="_Toc184"/>
      <w:r>
        <w:t>期末其他各项资产构成</w:t>
      </w:r>
      <w:bookmarkEnd w:id="184"/>
    </w:p>
    <w:p w14:paraId="1F57214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6389E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2F48775C">
            <w:pPr>
              <w:jc w:val="center"/>
            </w:pPr>
            <w:r>
              <w:rPr>
                <w:rFonts w:hint="eastAsia"/>
                <w:b/>
              </w:rPr>
              <w:t>序号</w:t>
            </w:r>
          </w:p>
        </w:tc>
        <w:tc>
          <w:tcPr>
            <w:tcW w:w="2907" w:type="dxa"/>
            <w:shd w:val="clear" w:color="auto" w:fill="BFBFBF"/>
            <w:vAlign w:val="center"/>
          </w:tcPr>
          <w:p w14:paraId="73FC9E00">
            <w:pPr>
              <w:jc w:val="center"/>
            </w:pPr>
            <w:r>
              <w:rPr>
                <w:rFonts w:hint="eastAsia"/>
                <w:b/>
              </w:rPr>
              <w:t>名称</w:t>
            </w:r>
          </w:p>
        </w:tc>
        <w:tc>
          <w:tcPr>
            <w:tcW w:w="4673" w:type="dxa"/>
            <w:shd w:val="clear" w:color="auto" w:fill="BFBFBF"/>
            <w:vAlign w:val="center"/>
          </w:tcPr>
          <w:p w14:paraId="46B1EE9F">
            <w:pPr>
              <w:jc w:val="center"/>
            </w:pPr>
            <w:r>
              <w:rPr>
                <w:rFonts w:hint="eastAsia"/>
                <w:b/>
              </w:rPr>
              <w:t>金额（元）</w:t>
            </w:r>
          </w:p>
        </w:tc>
      </w:tr>
      <w:tr w14:paraId="299E3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6C34A7F">
            <w:pPr>
              <w:jc w:val="center"/>
            </w:pPr>
            <w:r>
              <w:rPr>
                <w:rFonts w:hint="eastAsia"/>
              </w:rPr>
              <w:t>1</w:t>
            </w:r>
          </w:p>
        </w:tc>
        <w:tc>
          <w:tcPr>
            <w:tcW w:w="2907" w:type="dxa"/>
            <w:vAlign w:val="center"/>
          </w:tcPr>
          <w:p w14:paraId="221695BA">
            <w:r>
              <w:rPr>
                <w:rFonts w:hint="eastAsia"/>
              </w:rPr>
              <w:t>存出保证金</w:t>
            </w:r>
          </w:p>
        </w:tc>
        <w:tc>
          <w:tcPr>
            <w:tcW w:w="4673" w:type="dxa"/>
            <w:vAlign w:val="center"/>
          </w:tcPr>
          <w:p w14:paraId="01EB5D08">
            <w:pPr>
              <w:jc w:val="right"/>
            </w:pPr>
            <w:r>
              <w:rPr>
                <w:rFonts w:hint="eastAsia"/>
              </w:rPr>
              <w:t>10,466,949.89</w:t>
            </w:r>
          </w:p>
        </w:tc>
      </w:tr>
      <w:tr w14:paraId="0E36F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F82B9C9">
            <w:pPr>
              <w:jc w:val="center"/>
            </w:pPr>
            <w:r>
              <w:rPr>
                <w:rFonts w:hint="eastAsia"/>
              </w:rPr>
              <w:t>2</w:t>
            </w:r>
          </w:p>
        </w:tc>
        <w:tc>
          <w:tcPr>
            <w:tcW w:w="2907" w:type="dxa"/>
            <w:vAlign w:val="center"/>
          </w:tcPr>
          <w:p w14:paraId="42F96B0D">
            <w:r>
              <w:rPr>
                <w:rFonts w:hint="eastAsia"/>
              </w:rPr>
              <w:t>应收清算款</w:t>
            </w:r>
          </w:p>
        </w:tc>
        <w:tc>
          <w:tcPr>
            <w:tcW w:w="4673" w:type="dxa"/>
            <w:vAlign w:val="center"/>
          </w:tcPr>
          <w:p w14:paraId="714932AB">
            <w:pPr>
              <w:jc w:val="right"/>
            </w:pPr>
            <w:r>
              <w:rPr>
                <w:rFonts w:hint="eastAsia"/>
              </w:rPr>
              <w:t>1,734.30</w:t>
            </w:r>
          </w:p>
        </w:tc>
      </w:tr>
      <w:tr w14:paraId="3414A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B0B6CB0">
            <w:pPr>
              <w:jc w:val="center"/>
            </w:pPr>
            <w:r>
              <w:rPr>
                <w:rFonts w:hint="eastAsia"/>
              </w:rPr>
              <w:t>3</w:t>
            </w:r>
          </w:p>
        </w:tc>
        <w:tc>
          <w:tcPr>
            <w:tcW w:w="2907" w:type="dxa"/>
            <w:vAlign w:val="center"/>
          </w:tcPr>
          <w:p w14:paraId="0A26224A">
            <w:r>
              <w:rPr>
                <w:rFonts w:hint="eastAsia"/>
              </w:rPr>
              <w:t>应收股利</w:t>
            </w:r>
          </w:p>
        </w:tc>
        <w:tc>
          <w:tcPr>
            <w:tcW w:w="4673" w:type="dxa"/>
            <w:vAlign w:val="center"/>
          </w:tcPr>
          <w:p w14:paraId="7397487B">
            <w:pPr>
              <w:jc w:val="right"/>
            </w:pPr>
            <w:r>
              <w:rPr>
                <w:rFonts w:hint="eastAsia"/>
              </w:rPr>
              <w:t>-</w:t>
            </w:r>
          </w:p>
        </w:tc>
      </w:tr>
      <w:tr w14:paraId="4D94D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60386C8">
            <w:pPr>
              <w:jc w:val="center"/>
            </w:pPr>
            <w:r>
              <w:rPr>
                <w:rFonts w:hint="eastAsia"/>
              </w:rPr>
              <w:t>4</w:t>
            </w:r>
          </w:p>
        </w:tc>
        <w:tc>
          <w:tcPr>
            <w:tcW w:w="2907" w:type="dxa"/>
            <w:vAlign w:val="center"/>
          </w:tcPr>
          <w:p w14:paraId="088344EA">
            <w:r>
              <w:rPr>
                <w:rFonts w:hint="eastAsia"/>
              </w:rPr>
              <w:t>应收利息</w:t>
            </w:r>
          </w:p>
        </w:tc>
        <w:tc>
          <w:tcPr>
            <w:tcW w:w="4673" w:type="dxa"/>
            <w:vAlign w:val="center"/>
          </w:tcPr>
          <w:p w14:paraId="09BDBFE0">
            <w:pPr>
              <w:jc w:val="right"/>
            </w:pPr>
            <w:r>
              <w:rPr>
                <w:rFonts w:hint="eastAsia"/>
              </w:rPr>
              <w:t>-</w:t>
            </w:r>
          </w:p>
        </w:tc>
      </w:tr>
      <w:tr w14:paraId="72375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A870BB0">
            <w:pPr>
              <w:jc w:val="center"/>
            </w:pPr>
            <w:r>
              <w:rPr>
                <w:rFonts w:hint="eastAsia"/>
              </w:rPr>
              <w:t>5</w:t>
            </w:r>
          </w:p>
        </w:tc>
        <w:tc>
          <w:tcPr>
            <w:tcW w:w="2907" w:type="dxa"/>
            <w:vAlign w:val="center"/>
          </w:tcPr>
          <w:p w14:paraId="62934286">
            <w:r>
              <w:rPr>
                <w:rFonts w:hint="eastAsia"/>
              </w:rPr>
              <w:t>应收申购款</w:t>
            </w:r>
          </w:p>
        </w:tc>
        <w:tc>
          <w:tcPr>
            <w:tcW w:w="4673" w:type="dxa"/>
            <w:vAlign w:val="center"/>
          </w:tcPr>
          <w:p w14:paraId="7C702912">
            <w:pPr>
              <w:jc w:val="right"/>
            </w:pPr>
            <w:r>
              <w:rPr>
                <w:rFonts w:hint="eastAsia"/>
              </w:rPr>
              <w:t>-</w:t>
            </w:r>
          </w:p>
        </w:tc>
      </w:tr>
      <w:tr w14:paraId="73E9F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2F0EB2B">
            <w:pPr>
              <w:jc w:val="center"/>
            </w:pPr>
            <w:r>
              <w:rPr>
                <w:rFonts w:hint="eastAsia"/>
              </w:rPr>
              <w:t>6</w:t>
            </w:r>
          </w:p>
        </w:tc>
        <w:tc>
          <w:tcPr>
            <w:tcW w:w="2907" w:type="dxa"/>
            <w:vAlign w:val="center"/>
          </w:tcPr>
          <w:p w14:paraId="63A1689B">
            <w:r>
              <w:rPr>
                <w:rFonts w:hint="eastAsia"/>
              </w:rPr>
              <w:t>其他应收款</w:t>
            </w:r>
          </w:p>
        </w:tc>
        <w:tc>
          <w:tcPr>
            <w:tcW w:w="4673" w:type="dxa"/>
            <w:vAlign w:val="center"/>
          </w:tcPr>
          <w:p w14:paraId="566DC081">
            <w:pPr>
              <w:jc w:val="right"/>
            </w:pPr>
            <w:r>
              <w:rPr>
                <w:rFonts w:hint="eastAsia"/>
              </w:rPr>
              <w:t>-</w:t>
            </w:r>
          </w:p>
        </w:tc>
      </w:tr>
      <w:tr w14:paraId="63F68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E7B9C85">
            <w:pPr>
              <w:jc w:val="center"/>
            </w:pPr>
            <w:r>
              <w:rPr>
                <w:rFonts w:hint="eastAsia"/>
              </w:rPr>
              <w:t>7</w:t>
            </w:r>
          </w:p>
        </w:tc>
        <w:tc>
          <w:tcPr>
            <w:tcW w:w="2907" w:type="dxa"/>
            <w:vAlign w:val="center"/>
          </w:tcPr>
          <w:p w14:paraId="2F170E88">
            <w:r>
              <w:rPr>
                <w:rFonts w:hint="eastAsia"/>
              </w:rPr>
              <w:t>待摊费用</w:t>
            </w:r>
          </w:p>
        </w:tc>
        <w:tc>
          <w:tcPr>
            <w:tcW w:w="4673" w:type="dxa"/>
            <w:vAlign w:val="center"/>
          </w:tcPr>
          <w:p w14:paraId="62C23D2A">
            <w:pPr>
              <w:jc w:val="right"/>
            </w:pPr>
            <w:r>
              <w:rPr>
                <w:rFonts w:hint="eastAsia"/>
              </w:rPr>
              <w:t>-</w:t>
            </w:r>
          </w:p>
        </w:tc>
      </w:tr>
      <w:tr w14:paraId="6990B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67C235C">
            <w:pPr>
              <w:jc w:val="center"/>
            </w:pPr>
            <w:r>
              <w:rPr>
                <w:rFonts w:hint="eastAsia"/>
              </w:rPr>
              <w:t>8</w:t>
            </w:r>
          </w:p>
        </w:tc>
        <w:tc>
          <w:tcPr>
            <w:tcW w:w="2907" w:type="dxa"/>
            <w:vAlign w:val="center"/>
          </w:tcPr>
          <w:p w14:paraId="7BF6C4FA">
            <w:r>
              <w:rPr>
                <w:rFonts w:hint="eastAsia"/>
              </w:rPr>
              <w:t>其他</w:t>
            </w:r>
          </w:p>
        </w:tc>
        <w:tc>
          <w:tcPr>
            <w:tcW w:w="4673" w:type="dxa"/>
            <w:vAlign w:val="center"/>
          </w:tcPr>
          <w:p w14:paraId="0DCE7CBF">
            <w:pPr>
              <w:jc w:val="right"/>
            </w:pPr>
            <w:r>
              <w:rPr>
                <w:rFonts w:hint="eastAsia"/>
              </w:rPr>
              <w:t>-</w:t>
            </w:r>
          </w:p>
        </w:tc>
      </w:tr>
      <w:tr w14:paraId="0CFB4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4C0D9FC">
            <w:pPr>
              <w:jc w:val="center"/>
            </w:pPr>
            <w:r>
              <w:rPr>
                <w:rFonts w:hint="eastAsia"/>
              </w:rPr>
              <w:t>9</w:t>
            </w:r>
          </w:p>
        </w:tc>
        <w:tc>
          <w:tcPr>
            <w:tcW w:w="2907" w:type="dxa"/>
            <w:vAlign w:val="center"/>
          </w:tcPr>
          <w:p w14:paraId="70966970">
            <w:r>
              <w:rPr>
                <w:rFonts w:hint="eastAsia"/>
              </w:rPr>
              <w:t>合计</w:t>
            </w:r>
          </w:p>
        </w:tc>
        <w:tc>
          <w:tcPr>
            <w:tcW w:w="4673" w:type="dxa"/>
            <w:vAlign w:val="center"/>
          </w:tcPr>
          <w:p w14:paraId="1CEA3F8E">
            <w:pPr>
              <w:jc w:val="right"/>
            </w:pPr>
            <w:r>
              <w:rPr>
                <w:rFonts w:hint="eastAsia"/>
              </w:rPr>
              <w:t>10,468,684.19</w:t>
            </w:r>
          </w:p>
        </w:tc>
      </w:tr>
    </w:tbl>
    <w:p w14:paraId="2D51D6B9">
      <w:pPr>
        <w:pStyle w:val="28"/>
      </w:pPr>
      <w:bookmarkStart w:id="185" w:name="_Toc185"/>
      <w:r>
        <w:t>期末持有的处于转股期的可转换债券明细</w:t>
      </w:r>
      <w:bookmarkEnd w:id="185"/>
    </w:p>
    <w:p w14:paraId="22580527">
      <w:pPr>
        <w:pStyle w:val="18"/>
        <w:rPr>
          <w:rFonts w:hint="eastAsia"/>
        </w:rPr>
      </w:pPr>
      <w:r>
        <w:rPr>
          <w:rFonts w:hint="eastAsia"/>
        </w:rPr>
        <w:t>本基金本报告期末未持有处于转股期的可转换债券。</w:t>
      </w:r>
    </w:p>
    <w:p w14:paraId="3BA2BD9D">
      <w:pPr>
        <w:pStyle w:val="28"/>
      </w:pPr>
      <w:bookmarkStart w:id="186" w:name="_Toc186"/>
      <w:r>
        <w:t>期末前十名股票中存在流通受限情况的说明</w:t>
      </w:r>
      <w:bookmarkEnd w:id="186"/>
    </w:p>
    <w:p w14:paraId="0FE0660A">
      <w:pPr>
        <w:pStyle w:val="35"/>
      </w:pPr>
      <w:bookmarkStart w:id="187" w:name="_Toc187"/>
      <w:r>
        <w:t>报告期末指数投资前十名股票中存在流通受限情况说明</w:t>
      </w:r>
      <w:bookmarkEnd w:id="187"/>
    </w:p>
    <w:p w14:paraId="300EB149">
      <w:pPr>
        <w:pStyle w:val="18"/>
        <w:rPr>
          <w:rFonts w:hint="eastAsia"/>
        </w:rPr>
      </w:pPr>
      <w:r>
        <w:rPr>
          <w:rFonts w:hint="eastAsia"/>
        </w:rPr>
        <w:t>无。</w:t>
      </w:r>
    </w:p>
    <w:p w14:paraId="4FEEB8F0">
      <w:pPr>
        <w:pStyle w:val="35"/>
      </w:pPr>
      <w:bookmarkStart w:id="188" w:name="_Toc188"/>
      <w:r>
        <w:t>报告期末积极投资前五名股票中存在流通受限情况的说明</w:t>
      </w:r>
      <w:bookmarkEnd w:id="188"/>
    </w:p>
    <w:p w14:paraId="0B50B661">
      <w:pPr>
        <w:pStyle w:val="18"/>
        <w:rPr>
          <w:rFonts w:hint="eastAsia"/>
        </w:rPr>
      </w:pPr>
      <w:r>
        <w:rPr>
          <w:rFonts w:hint="eastAsia"/>
        </w:rPr>
        <w:t>无。</w:t>
      </w:r>
    </w:p>
    <w:p w14:paraId="58547C2D">
      <w:pPr>
        <w:pStyle w:val="26"/>
      </w:pPr>
      <w:bookmarkStart w:id="189" w:name="_Toc24664"/>
      <w:r>
        <w:t>基金份额持有人信息</w:t>
      </w:r>
      <w:bookmarkEnd w:id="189"/>
    </w:p>
    <w:p w14:paraId="4AA26429">
      <w:pPr>
        <w:pStyle w:val="23"/>
      </w:pPr>
      <w:bookmarkStart w:id="190" w:name="_Toc4995"/>
      <w:r>
        <w:t>期末基金份额持有人户数及持有人结构</w:t>
      </w:r>
      <w:bookmarkEnd w:id="190"/>
    </w:p>
    <w:p w14:paraId="5430B7DF">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8"/>
        <w:gridCol w:w="1038"/>
        <w:gridCol w:w="1038"/>
        <w:gridCol w:w="1038"/>
        <w:gridCol w:w="1038"/>
        <w:gridCol w:w="1038"/>
        <w:gridCol w:w="1038"/>
        <w:gridCol w:w="1038"/>
      </w:tblGrid>
      <w:tr w14:paraId="66C26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Merge w:val="restart"/>
            <w:shd w:val="clear" w:color="auto" w:fill="BFBFBF"/>
            <w:vAlign w:val="center"/>
          </w:tcPr>
          <w:p w14:paraId="6D573DA5">
            <w:pPr>
              <w:jc w:val="center"/>
            </w:pPr>
            <w:r>
              <w:rPr>
                <w:rFonts w:hint="eastAsia"/>
                <w:b/>
              </w:rPr>
              <w:t>持有人户数（户）</w:t>
            </w:r>
          </w:p>
        </w:tc>
        <w:tc>
          <w:tcPr>
            <w:tcW w:w="1038" w:type="dxa"/>
            <w:vMerge w:val="restart"/>
            <w:shd w:val="clear" w:color="auto" w:fill="BFBFBF"/>
            <w:vAlign w:val="center"/>
          </w:tcPr>
          <w:p w14:paraId="2E8DF57E">
            <w:pPr>
              <w:jc w:val="center"/>
            </w:pPr>
            <w:r>
              <w:rPr>
                <w:rFonts w:hint="eastAsia"/>
                <w:b/>
              </w:rPr>
              <w:t>户均持有的基金份额</w:t>
            </w:r>
          </w:p>
        </w:tc>
        <w:tc>
          <w:tcPr>
            <w:tcW w:w="1038" w:type="dxa"/>
            <w:gridSpan w:val="6"/>
            <w:shd w:val="clear" w:color="auto" w:fill="BFBFBF"/>
            <w:vAlign w:val="center"/>
          </w:tcPr>
          <w:p w14:paraId="1882F480">
            <w:pPr>
              <w:jc w:val="center"/>
            </w:pPr>
            <w:r>
              <w:rPr>
                <w:rFonts w:hint="eastAsia"/>
                <w:b/>
              </w:rPr>
              <w:t>持有人结构</w:t>
            </w:r>
          </w:p>
        </w:tc>
      </w:tr>
      <w:tr w14:paraId="1B40D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Merge w:val="continue"/>
            <w:vAlign w:val="center"/>
          </w:tcPr>
          <w:p w14:paraId="5D48AD5E"/>
        </w:tc>
        <w:tc>
          <w:tcPr>
            <w:tcW w:w="1038" w:type="dxa"/>
            <w:vMerge w:val="continue"/>
            <w:vAlign w:val="center"/>
          </w:tcPr>
          <w:p w14:paraId="3566CD15"/>
        </w:tc>
        <w:tc>
          <w:tcPr>
            <w:tcW w:w="1038" w:type="dxa"/>
            <w:gridSpan w:val="2"/>
            <w:shd w:val="clear" w:color="auto" w:fill="BFBFBF"/>
            <w:vAlign w:val="center"/>
          </w:tcPr>
          <w:p w14:paraId="15D1624C">
            <w:pPr>
              <w:jc w:val="center"/>
            </w:pPr>
            <w:r>
              <w:rPr>
                <w:rFonts w:hint="eastAsia"/>
                <w:b/>
              </w:rPr>
              <w:t>机构投资者</w:t>
            </w:r>
          </w:p>
        </w:tc>
        <w:tc>
          <w:tcPr>
            <w:tcW w:w="1038" w:type="dxa"/>
            <w:gridSpan w:val="2"/>
            <w:shd w:val="clear" w:color="auto" w:fill="BFBFBF"/>
            <w:vAlign w:val="center"/>
          </w:tcPr>
          <w:p w14:paraId="7DF339E3">
            <w:pPr>
              <w:jc w:val="center"/>
            </w:pPr>
            <w:r>
              <w:rPr>
                <w:rFonts w:hint="eastAsia"/>
                <w:b/>
              </w:rPr>
              <w:t>个人投资者</w:t>
            </w:r>
          </w:p>
        </w:tc>
        <w:tc>
          <w:tcPr>
            <w:tcW w:w="1038" w:type="dxa"/>
            <w:gridSpan w:val="2"/>
            <w:shd w:val="clear" w:color="auto" w:fill="BFBFBF"/>
            <w:vAlign w:val="center"/>
          </w:tcPr>
          <w:p w14:paraId="7C7EA2BA">
            <w:pPr>
              <w:jc w:val="center"/>
            </w:pPr>
            <w:r>
              <w:rPr>
                <w:rFonts w:hint="eastAsia"/>
                <w:b/>
              </w:rPr>
              <w:t>南方恒生科技交易型开放式指数证券投资基金发起式联接基金（QDII）</w:t>
            </w:r>
          </w:p>
        </w:tc>
      </w:tr>
      <w:tr w14:paraId="00888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Merge w:val="continue"/>
            <w:vAlign w:val="center"/>
          </w:tcPr>
          <w:p w14:paraId="1D6AADCC"/>
        </w:tc>
        <w:tc>
          <w:tcPr>
            <w:tcW w:w="1038" w:type="dxa"/>
            <w:vMerge w:val="continue"/>
            <w:vAlign w:val="center"/>
          </w:tcPr>
          <w:p w14:paraId="4AD5018E"/>
        </w:tc>
        <w:tc>
          <w:tcPr>
            <w:tcW w:w="1038" w:type="dxa"/>
            <w:shd w:val="clear" w:color="auto" w:fill="BFBFBF"/>
            <w:vAlign w:val="center"/>
          </w:tcPr>
          <w:p w14:paraId="2C80585E">
            <w:pPr>
              <w:jc w:val="center"/>
            </w:pPr>
            <w:r>
              <w:rPr>
                <w:rFonts w:hint="eastAsia"/>
                <w:b/>
              </w:rPr>
              <w:t>持有份额</w:t>
            </w:r>
          </w:p>
        </w:tc>
        <w:tc>
          <w:tcPr>
            <w:tcW w:w="1038" w:type="dxa"/>
            <w:shd w:val="clear" w:color="auto" w:fill="BFBFBF"/>
            <w:vAlign w:val="center"/>
          </w:tcPr>
          <w:p w14:paraId="1A66349F">
            <w:pPr>
              <w:jc w:val="center"/>
            </w:pPr>
            <w:r>
              <w:rPr>
                <w:rFonts w:hint="eastAsia"/>
                <w:b/>
              </w:rPr>
              <w:t>占总份额比例</w:t>
            </w:r>
          </w:p>
        </w:tc>
        <w:tc>
          <w:tcPr>
            <w:tcW w:w="1038" w:type="dxa"/>
            <w:shd w:val="clear" w:color="auto" w:fill="BFBFBF"/>
            <w:vAlign w:val="center"/>
          </w:tcPr>
          <w:p w14:paraId="6EC00722">
            <w:pPr>
              <w:jc w:val="center"/>
            </w:pPr>
            <w:r>
              <w:rPr>
                <w:rFonts w:hint="eastAsia"/>
                <w:b/>
              </w:rPr>
              <w:t>持有份额</w:t>
            </w:r>
          </w:p>
        </w:tc>
        <w:tc>
          <w:tcPr>
            <w:tcW w:w="1038" w:type="dxa"/>
            <w:shd w:val="clear" w:color="auto" w:fill="BFBFBF"/>
            <w:vAlign w:val="center"/>
          </w:tcPr>
          <w:p w14:paraId="4F6BCE07">
            <w:pPr>
              <w:jc w:val="center"/>
            </w:pPr>
            <w:r>
              <w:rPr>
                <w:rFonts w:hint="eastAsia"/>
                <w:b/>
              </w:rPr>
              <w:t>占总份额比例</w:t>
            </w:r>
          </w:p>
        </w:tc>
        <w:tc>
          <w:tcPr>
            <w:tcW w:w="1038" w:type="dxa"/>
            <w:shd w:val="clear" w:color="auto" w:fill="BFBFBF"/>
            <w:vAlign w:val="center"/>
          </w:tcPr>
          <w:p w14:paraId="5439920D">
            <w:pPr>
              <w:jc w:val="center"/>
            </w:pPr>
            <w:r>
              <w:rPr>
                <w:rFonts w:hint="eastAsia"/>
                <w:b/>
              </w:rPr>
              <w:t>持有份额</w:t>
            </w:r>
          </w:p>
        </w:tc>
        <w:tc>
          <w:tcPr>
            <w:tcW w:w="1038" w:type="dxa"/>
            <w:shd w:val="clear" w:color="auto" w:fill="BFBFBF"/>
            <w:vAlign w:val="center"/>
          </w:tcPr>
          <w:p w14:paraId="275BB3AA">
            <w:pPr>
              <w:jc w:val="center"/>
            </w:pPr>
            <w:r>
              <w:rPr>
                <w:rFonts w:hint="eastAsia"/>
                <w:b/>
              </w:rPr>
              <w:t>占总份额比例</w:t>
            </w:r>
          </w:p>
        </w:tc>
      </w:tr>
      <w:tr w14:paraId="5D477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4508697">
            <w:pPr>
              <w:jc w:val="right"/>
            </w:pPr>
            <w:r>
              <w:rPr>
                <w:rFonts w:hint="eastAsia"/>
              </w:rPr>
              <w:t>3,981</w:t>
            </w:r>
          </w:p>
        </w:tc>
        <w:tc>
          <w:tcPr>
            <w:tcW w:w="1038" w:type="dxa"/>
            <w:vAlign w:val="center"/>
          </w:tcPr>
          <w:p w14:paraId="1B0A6012">
            <w:pPr>
              <w:jc w:val="right"/>
            </w:pPr>
            <w:r>
              <w:rPr>
                <w:rFonts w:hint="eastAsia"/>
              </w:rPr>
              <w:t>527,474.50</w:t>
            </w:r>
          </w:p>
        </w:tc>
        <w:tc>
          <w:tcPr>
            <w:tcW w:w="1038" w:type="dxa"/>
            <w:vAlign w:val="center"/>
          </w:tcPr>
          <w:p w14:paraId="36367579">
            <w:pPr>
              <w:jc w:val="right"/>
            </w:pPr>
            <w:r>
              <w:rPr>
                <w:rFonts w:hint="eastAsia"/>
              </w:rPr>
              <w:t>99,063,100.00</w:t>
            </w:r>
          </w:p>
        </w:tc>
        <w:tc>
          <w:tcPr>
            <w:tcW w:w="1038" w:type="dxa"/>
            <w:vAlign w:val="center"/>
          </w:tcPr>
          <w:p w14:paraId="029B14F1">
            <w:pPr>
              <w:jc w:val="right"/>
            </w:pPr>
            <w:r>
              <w:rPr>
                <w:rFonts w:hint="eastAsia"/>
              </w:rPr>
              <w:t>4.72%</w:t>
            </w:r>
          </w:p>
        </w:tc>
        <w:tc>
          <w:tcPr>
            <w:tcW w:w="1038" w:type="dxa"/>
            <w:vAlign w:val="center"/>
          </w:tcPr>
          <w:p w14:paraId="14FF87DF">
            <w:pPr>
              <w:jc w:val="right"/>
            </w:pPr>
            <w:r>
              <w:rPr>
                <w:rFonts w:hint="eastAsia"/>
              </w:rPr>
              <w:t>406,282,900.00</w:t>
            </w:r>
          </w:p>
        </w:tc>
        <w:tc>
          <w:tcPr>
            <w:tcW w:w="1038" w:type="dxa"/>
            <w:vAlign w:val="center"/>
          </w:tcPr>
          <w:p w14:paraId="1F336164">
            <w:pPr>
              <w:jc w:val="right"/>
            </w:pPr>
            <w:r>
              <w:rPr>
                <w:rFonts w:hint="eastAsia"/>
              </w:rPr>
              <w:t>19.35%</w:t>
            </w:r>
          </w:p>
        </w:tc>
        <w:tc>
          <w:tcPr>
            <w:tcW w:w="1038" w:type="dxa"/>
            <w:vAlign w:val="center"/>
          </w:tcPr>
          <w:p w14:paraId="101AE3E6">
            <w:pPr>
              <w:jc w:val="right"/>
            </w:pPr>
            <w:r>
              <w:rPr>
                <w:rFonts w:hint="eastAsia"/>
              </w:rPr>
              <w:t>1,594,530,000.00</w:t>
            </w:r>
          </w:p>
        </w:tc>
        <w:tc>
          <w:tcPr>
            <w:tcW w:w="1038" w:type="dxa"/>
            <w:vAlign w:val="center"/>
          </w:tcPr>
          <w:p w14:paraId="246C21F4">
            <w:pPr>
              <w:jc w:val="right"/>
            </w:pPr>
            <w:r>
              <w:rPr>
                <w:rFonts w:hint="eastAsia"/>
              </w:rPr>
              <w:t>75.93%</w:t>
            </w:r>
          </w:p>
        </w:tc>
      </w:tr>
    </w:tbl>
    <w:p w14:paraId="5F91B522">
      <w:pPr>
        <w:pStyle w:val="23"/>
      </w:pPr>
      <w:bookmarkStart w:id="191" w:name="_Toc29645"/>
      <w:r>
        <w:t>期末上市基金前十名持有人</w:t>
      </w:r>
      <w:bookmarkEnd w:id="19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3521"/>
        <w:gridCol w:w="2131"/>
        <w:gridCol w:w="1877"/>
      </w:tblGrid>
      <w:tr w14:paraId="7C61B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shd w:val="clear" w:color="auto" w:fill="BFBFBF"/>
            <w:vAlign w:val="center"/>
          </w:tcPr>
          <w:p w14:paraId="1CE56A11">
            <w:pPr>
              <w:jc w:val="center"/>
            </w:pPr>
            <w:r>
              <w:rPr>
                <w:rFonts w:hint="eastAsia"/>
                <w:b/>
              </w:rPr>
              <w:t>序号</w:t>
            </w:r>
          </w:p>
        </w:tc>
        <w:tc>
          <w:tcPr>
            <w:tcW w:w="3521" w:type="dxa"/>
            <w:shd w:val="clear" w:color="auto" w:fill="BFBFBF"/>
            <w:vAlign w:val="center"/>
          </w:tcPr>
          <w:p w14:paraId="671266B4">
            <w:pPr>
              <w:jc w:val="center"/>
            </w:pPr>
            <w:r>
              <w:rPr>
                <w:rFonts w:hint="eastAsia"/>
                <w:b/>
              </w:rPr>
              <w:t>持有人名称</w:t>
            </w:r>
          </w:p>
        </w:tc>
        <w:tc>
          <w:tcPr>
            <w:tcW w:w="2131" w:type="dxa"/>
            <w:shd w:val="clear" w:color="auto" w:fill="BFBFBF"/>
            <w:vAlign w:val="center"/>
          </w:tcPr>
          <w:p w14:paraId="41FF57E5">
            <w:pPr>
              <w:jc w:val="center"/>
            </w:pPr>
            <w:r>
              <w:rPr>
                <w:rFonts w:hint="eastAsia"/>
                <w:b/>
              </w:rPr>
              <w:t>持有份额（份）</w:t>
            </w:r>
          </w:p>
        </w:tc>
        <w:tc>
          <w:tcPr>
            <w:tcW w:w="1877" w:type="dxa"/>
            <w:shd w:val="clear" w:color="auto" w:fill="BFBFBF"/>
            <w:vAlign w:val="center"/>
          </w:tcPr>
          <w:p w14:paraId="07C8E74D">
            <w:pPr>
              <w:jc w:val="center"/>
            </w:pPr>
            <w:r>
              <w:rPr>
                <w:rFonts w:hint="eastAsia"/>
                <w:b/>
              </w:rPr>
              <w:t>占上市总份额比例</w:t>
            </w:r>
          </w:p>
        </w:tc>
      </w:tr>
      <w:tr w14:paraId="4FA98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7DCBC932">
            <w:pPr>
              <w:jc w:val="center"/>
            </w:pPr>
            <w:r>
              <w:rPr>
                <w:rFonts w:hint="eastAsia"/>
              </w:rPr>
              <w:t>1</w:t>
            </w:r>
          </w:p>
        </w:tc>
        <w:tc>
          <w:tcPr>
            <w:tcW w:w="3521" w:type="dxa"/>
            <w:vAlign w:val="center"/>
          </w:tcPr>
          <w:p w14:paraId="1A304A5B">
            <w:r>
              <w:rPr>
                <w:rFonts w:hint="eastAsia"/>
              </w:rPr>
              <w:t>中信证券资产管理（香港）有限公司－客户资金</w:t>
            </w:r>
          </w:p>
        </w:tc>
        <w:tc>
          <w:tcPr>
            <w:tcW w:w="2131" w:type="dxa"/>
            <w:vAlign w:val="center"/>
          </w:tcPr>
          <w:p w14:paraId="47B466EA">
            <w:pPr>
              <w:jc w:val="right"/>
            </w:pPr>
            <w:r>
              <w:rPr>
                <w:rFonts w:hint="eastAsia"/>
              </w:rPr>
              <w:t>75,000,000.00</w:t>
            </w:r>
          </w:p>
        </w:tc>
        <w:tc>
          <w:tcPr>
            <w:tcW w:w="1877" w:type="dxa"/>
            <w:vAlign w:val="center"/>
          </w:tcPr>
          <w:p w14:paraId="349C3F55">
            <w:pPr>
              <w:jc w:val="right"/>
            </w:pPr>
            <w:r>
              <w:rPr>
                <w:rFonts w:hint="eastAsia"/>
              </w:rPr>
              <w:t>3.57%</w:t>
            </w:r>
          </w:p>
        </w:tc>
      </w:tr>
      <w:tr w14:paraId="0B92E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0D4D46D0">
            <w:pPr>
              <w:jc w:val="center"/>
            </w:pPr>
            <w:r>
              <w:rPr>
                <w:rFonts w:hint="eastAsia"/>
              </w:rPr>
              <w:t>2</w:t>
            </w:r>
          </w:p>
        </w:tc>
        <w:tc>
          <w:tcPr>
            <w:tcW w:w="3521" w:type="dxa"/>
            <w:vAlign w:val="center"/>
          </w:tcPr>
          <w:p w14:paraId="3B635909">
            <w:r>
              <w:rPr>
                <w:rFonts w:hint="eastAsia"/>
              </w:rPr>
              <w:t>简街香港有限公司－JSQB有限公司（R）</w:t>
            </w:r>
          </w:p>
        </w:tc>
        <w:tc>
          <w:tcPr>
            <w:tcW w:w="2131" w:type="dxa"/>
            <w:vAlign w:val="center"/>
          </w:tcPr>
          <w:p w14:paraId="1977E0A4">
            <w:pPr>
              <w:jc w:val="right"/>
            </w:pPr>
            <w:r>
              <w:rPr>
                <w:rFonts w:hint="eastAsia"/>
              </w:rPr>
              <w:t>5,848,000.00</w:t>
            </w:r>
          </w:p>
        </w:tc>
        <w:tc>
          <w:tcPr>
            <w:tcW w:w="1877" w:type="dxa"/>
            <w:vAlign w:val="center"/>
          </w:tcPr>
          <w:p w14:paraId="2F2AD031">
            <w:pPr>
              <w:jc w:val="right"/>
            </w:pPr>
            <w:r>
              <w:rPr>
                <w:rFonts w:hint="eastAsia"/>
              </w:rPr>
              <w:t>0.28%</w:t>
            </w:r>
          </w:p>
        </w:tc>
      </w:tr>
      <w:tr w14:paraId="5B5C3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21020DA4">
            <w:pPr>
              <w:jc w:val="center"/>
            </w:pPr>
            <w:r>
              <w:rPr>
                <w:rFonts w:hint="eastAsia"/>
              </w:rPr>
              <w:t>3</w:t>
            </w:r>
          </w:p>
        </w:tc>
        <w:tc>
          <w:tcPr>
            <w:tcW w:w="3521" w:type="dxa"/>
            <w:vAlign w:val="center"/>
          </w:tcPr>
          <w:p w14:paraId="5C770B9F">
            <w:r>
              <w:rPr>
                <w:rFonts w:hint="eastAsia"/>
              </w:rPr>
              <w:t>区达林</w:t>
            </w:r>
          </w:p>
        </w:tc>
        <w:tc>
          <w:tcPr>
            <w:tcW w:w="2131" w:type="dxa"/>
            <w:vAlign w:val="center"/>
          </w:tcPr>
          <w:p w14:paraId="149231AF">
            <w:pPr>
              <w:jc w:val="right"/>
            </w:pPr>
            <w:r>
              <w:rPr>
                <w:rFonts w:hint="eastAsia"/>
              </w:rPr>
              <w:t>5,000,000.00</w:t>
            </w:r>
          </w:p>
        </w:tc>
        <w:tc>
          <w:tcPr>
            <w:tcW w:w="1877" w:type="dxa"/>
            <w:vAlign w:val="center"/>
          </w:tcPr>
          <w:p w14:paraId="6299EA3C">
            <w:pPr>
              <w:jc w:val="right"/>
            </w:pPr>
            <w:r>
              <w:rPr>
                <w:rFonts w:hint="eastAsia"/>
              </w:rPr>
              <w:t>0.24%</w:t>
            </w:r>
          </w:p>
        </w:tc>
      </w:tr>
      <w:tr w14:paraId="4D6C0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197ACD69">
            <w:pPr>
              <w:jc w:val="center"/>
            </w:pPr>
            <w:r>
              <w:rPr>
                <w:rFonts w:hint="eastAsia"/>
              </w:rPr>
              <w:t>4</w:t>
            </w:r>
          </w:p>
        </w:tc>
        <w:tc>
          <w:tcPr>
            <w:tcW w:w="3521" w:type="dxa"/>
            <w:vAlign w:val="center"/>
          </w:tcPr>
          <w:p w14:paraId="2862BF80">
            <w:r>
              <w:rPr>
                <w:rFonts w:hint="eastAsia"/>
              </w:rPr>
              <w:t>王林</w:t>
            </w:r>
          </w:p>
        </w:tc>
        <w:tc>
          <w:tcPr>
            <w:tcW w:w="2131" w:type="dxa"/>
            <w:vAlign w:val="center"/>
          </w:tcPr>
          <w:p w14:paraId="58B0D4F7">
            <w:pPr>
              <w:jc w:val="right"/>
            </w:pPr>
            <w:r>
              <w:rPr>
                <w:rFonts w:hint="eastAsia"/>
              </w:rPr>
              <w:t>4,000,000.00</w:t>
            </w:r>
          </w:p>
        </w:tc>
        <w:tc>
          <w:tcPr>
            <w:tcW w:w="1877" w:type="dxa"/>
            <w:vAlign w:val="center"/>
          </w:tcPr>
          <w:p w14:paraId="0BBD6D62">
            <w:pPr>
              <w:jc w:val="right"/>
            </w:pPr>
            <w:r>
              <w:rPr>
                <w:rFonts w:hint="eastAsia"/>
              </w:rPr>
              <w:t>0.19%</w:t>
            </w:r>
          </w:p>
        </w:tc>
      </w:tr>
      <w:tr w14:paraId="21E8C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6B8F425E">
            <w:pPr>
              <w:jc w:val="center"/>
            </w:pPr>
            <w:r>
              <w:rPr>
                <w:rFonts w:hint="eastAsia"/>
              </w:rPr>
              <w:t>5</w:t>
            </w:r>
          </w:p>
        </w:tc>
        <w:tc>
          <w:tcPr>
            <w:tcW w:w="3521" w:type="dxa"/>
            <w:vAlign w:val="center"/>
          </w:tcPr>
          <w:p w14:paraId="1DAC775A">
            <w:r>
              <w:rPr>
                <w:rFonts w:hint="eastAsia"/>
              </w:rPr>
              <w:t>上海宁苑资产管理有限公司－宁苑沛华二号私募证券投资基金</w:t>
            </w:r>
          </w:p>
        </w:tc>
        <w:tc>
          <w:tcPr>
            <w:tcW w:w="2131" w:type="dxa"/>
            <w:vAlign w:val="center"/>
          </w:tcPr>
          <w:p w14:paraId="368E87C3">
            <w:pPr>
              <w:jc w:val="right"/>
            </w:pPr>
            <w:r>
              <w:rPr>
                <w:rFonts w:hint="eastAsia"/>
              </w:rPr>
              <w:t>3,493,100.00</w:t>
            </w:r>
          </w:p>
        </w:tc>
        <w:tc>
          <w:tcPr>
            <w:tcW w:w="1877" w:type="dxa"/>
            <w:vAlign w:val="center"/>
          </w:tcPr>
          <w:p w14:paraId="65768710">
            <w:pPr>
              <w:jc w:val="right"/>
            </w:pPr>
            <w:r>
              <w:rPr>
                <w:rFonts w:hint="eastAsia"/>
              </w:rPr>
              <w:t>0.17%</w:t>
            </w:r>
          </w:p>
        </w:tc>
      </w:tr>
      <w:tr w14:paraId="593EE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6FDEA3E4">
            <w:pPr>
              <w:jc w:val="center"/>
            </w:pPr>
            <w:r>
              <w:rPr>
                <w:rFonts w:hint="eastAsia"/>
              </w:rPr>
              <w:t>6</w:t>
            </w:r>
          </w:p>
        </w:tc>
        <w:tc>
          <w:tcPr>
            <w:tcW w:w="3521" w:type="dxa"/>
            <w:vAlign w:val="center"/>
          </w:tcPr>
          <w:p w14:paraId="54A71C8C">
            <w:r>
              <w:rPr>
                <w:rFonts w:hint="eastAsia"/>
              </w:rPr>
              <w:t>姜萍</w:t>
            </w:r>
          </w:p>
        </w:tc>
        <w:tc>
          <w:tcPr>
            <w:tcW w:w="2131" w:type="dxa"/>
            <w:vAlign w:val="center"/>
          </w:tcPr>
          <w:p w14:paraId="18E07D3F">
            <w:pPr>
              <w:jc w:val="right"/>
            </w:pPr>
            <w:r>
              <w:rPr>
                <w:rFonts w:hint="eastAsia"/>
              </w:rPr>
              <w:t>3,000,000.00</w:t>
            </w:r>
          </w:p>
        </w:tc>
        <w:tc>
          <w:tcPr>
            <w:tcW w:w="1877" w:type="dxa"/>
            <w:vAlign w:val="center"/>
          </w:tcPr>
          <w:p w14:paraId="7F824AD3">
            <w:pPr>
              <w:jc w:val="right"/>
            </w:pPr>
            <w:r>
              <w:rPr>
                <w:rFonts w:hint="eastAsia"/>
              </w:rPr>
              <w:t>0.14%</w:t>
            </w:r>
          </w:p>
        </w:tc>
      </w:tr>
      <w:tr w14:paraId="3E961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145709C6">
            <w:pPr>
              <w:jc w:val="center"/>
            </w:pPr>
            <w:r>
              <w:rPr>
                <w:rFonts w:hint="eastAsia"/>
              </w:rPr>
              <w:t>7</w:t>
            </w:r>
          </w:p>
        </w:tc>
        <w:tc>
          <w:tcPr>
            <w:tcW w:w="3521" w:type="dxa"/>
            <w:vAlign w:val="center"/>
          </w:tcPr>
          <w:p w14:paraId="5F3DEF72">
            <w:r>
              <w:rPr>
                <w:rFonts w:hint="eastAsia"/>
              </w:rPr>
              <w:t>李忆</w:t>
            </w:r>
          </w:p>
        </w:tc>
        <w:tc>
          <w:tcPr>
            <w:tcW w:w="2131" w:type="dxa"/>
            <w:vAlign w:val="center"/>
          </w:tcPr>
          <w:p w14:paraId="00F19B0C">
            <w:pPr>
              <w:jc w:val="right"/>
            </w:pPr>
            <w:r>
              <w:rPr>
                <w:rFonts w:hint="eastAsia"/>
              </w:rPr>
              <w:t>2,520,000.00</w:t>
            </w:r>
          </w:p>
        </w:tc>
        <w:tc>
          <w:tcPr>
            <w:tcW w:w="1877" w:type="dxa"/>
            <w:vAlign w:val="center"/>
          </w:tcPr>
          <w:p w14:paraId="41C685FB">
            <w:pPr>
              <w:jc w:val="right"/>
            </w:pPr>
            <w:r>
              <w:rPr>
                <w:rFonts w:hint="eastAsia"/>
              </w:rPr>
              <w:t>0.12%</w:t>
            </w:r>
          </w:p>
        </w:tc>
      </w:tr>
      <w:tr w14:paraId="1804B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52F9E52D">
            <w:pPr>
              <w:jc w:val="center"/>
            </w:pPr>
            <w:r>
              <w:rPr>
                <w:rFonts w:hint="eastAsia"/>
              </w:rPr>
              <w:t>8</w:t>
            </w:r>
          </w:p>
        </w:tc>
        <w:tc>
          <w:tcPr>
            <w:tcW w:w="3521" w:type="dxa"/>
            <w:vAlign w:val="center"/>
          </w:tcPr>
          <w:p w14:paraId="437BE814">
            <w:r>
              <w:rPr>
                <w:rFonts w:hint="eastAsia"/>
              </w:rPr>
              <w:t>张共</w:t>
            </w:r>
          </w:p>
        </w:tc>
        <w:tc>
          <w:tcPr>
            <w:tcW w:w="2131" w:type="dxa"/>
            <w:vAlign w:val="center"/>
          </w:tcPr>
          <w:p w14:paraId="43966419">
            <w:pPr>
              <w:jc w:val="right"/>
            </w:pPr>
            <w:r>
              <w:rPr>
                <w:rFonts w:hint="eastAsia"/>
              </w:rPr>
              <w:t>2,380,000.00</w:t>
            </w:r>
          </w:p>
        </w:tc>
        <w:tc>
          <w:tcPr>
            <w:tcW w:w="1877" w:type="dxa"/>
            <w:vAlign w:val="center"/>
          </w:tcPr>
          <w:p w14:paraId="267C70D1">
            <w:pPr>
              <w:jc w:val="right"/>
            </w:pPr>
            <w:r>
              <w:rPr>
                <w:rFonts w:hint="eastAsia"/>
              </w:rPr>
              <w:t>0.11%</w:t>
            </w:r>
          </w:p>
        </w:tc>
      </w:tr>
      <w:tr w14:paraId="1A263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168EC972">
            <w:pPr>
              <w:jc w:val="center"/>
            </w:pPr>
            <w:r>
              <w:rPr>
                <w:rFonts w:hint="eastAsia"/>
              </w:rPr>
              <w:t>9</w:t>
            </w:r>
          </w:p>
        </w:tc>
        <w:tc>
          <w:tcPr>
            <w:tcW w:w="3521" w:type="dxa"/>
            <w:vAlign w:val="center"/>
          </w:tcPr>
          <w:p w14:paraId="3F71B6EA">
            <w:r>
              <w:rPr>
                <w:rFonts w:hint="eastAsia"/>
              </w:rPr>
              <w:t>严广宽</w:t>
            </w:r>
          </w:p>
        </w:tc>
        <w:tc>
          <w:tcPr>
            <w:tcW w:w="2131" w:type="dxa"/>
            <w:vAlign w:val="center"/>
          </w:tcPr>
          <w:p w14:paraId="5E614F19">
            <w:pPr>
              <w:jc w:val="right"/>
            </w:pPr>
            <w:r>
              <w:rPr>
                <w:rFonts w:hint="eastAsia"/>
              </w:rPr>
              <w:t>2,250,000.00</w:t>
            </w:r>
          </w:p>
        </w:tc>
        <w:tc>
          <w:tcPr>
            <w:tcW w:w="1877" w:type="dxa"/>
            <w:vAlign w:val="center"/>
          </w:tcPr>
          <w:p w14:paraId="3D59B31D">
            <w:pPr>
              <w:jc w:val="right"/>
            </w:pPr>
            <w:r>
              <w:rPr>
                <w:rFonts w:hint="eastAsia"/>
              </w:rPr>
              <w:t>0.11%</w:t>
            </w:r>
          </w:p>
        </w:tc>
      </w:tr>
      <w:tr w14:paraId="3240D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125583CF">
            <w:pPr>
              <w:jc w:val="center"/>
            </w:pPr>
            <w:r>
              <w:rPr>
                <w:rFonts w:hint="eastAsia"/>
              </w:rPr>
              <w:t>10</w:t>
            </w:r>
          </w:p>
        </w:tc>
        <w:tc>
          <w:tcPr>
            <w:tcW w:w="3521" w:type="dxa"/>
            <w:vAlign w:val="center"/>
          </w:tcPr>
          <w:p w14:paraId="40FC0A24">
            <w:r>
              <w:rPr>
                <w:rFonts w:hint="eastAsia"/>
              </w:rPr>
              <w:t>浙江盈阳资产管理股份有限公司－盈阳资产盈科一号私募证券投资基金</w:t>
            </w:r>
          </w:p>
        </w:tc>
        <w:tc>
          <w:tcPr>
            <w:tcW w:w="2131" w:type="dxa"/>
            <w:vAlign w:val="center"/>
          </w:tcPr>
          <w:p w14:paraId="3DFE94F9">
            <w:pPr>
              <w:jc w:val="right"/>
            </w:pPr>
            <w:r>
              <w:rPr>
                <w:rFonts w:hint="eastAsia"/>
              </w:rPr>
              <w:t>2,183,100.00</w:t>
            </w:r>
          </w:p>
        </w:tc>
        <w:tc>
          <w:tcPr>
            <w:tcW w:w="1877" w:type="dxa"/>
            <w:vAlign w:val="center"/>
          </w:tcPr>
          <w:p w14:paraId="0AD7EA60">
            <w:pPr>
              <w:jc w:val="right"/>
            </w:pPr>
            <w:r>
              <w:rPr>
                <w:rFonts w:hint="eastAsia"/>
              </w:rPr>
              <w:t>0.10%</w:t>
            </w:r>
          </w:p>
        </w:tc>
      </w:tr>
      <w:tr w14:paraId="23B12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27F9C68F">
            <w:pPr>
              <w:jc w:val="center"/>
            </w:pPr>
            <w:r>
              <w:rPr>
                <w:rFonts w:hint="eastAsia"/>
              </w:rPr>
              <w:t>11</w:t>
            </w:r>
          </w:p>
        </w:tc>
        <w:tc>
          <w:tcPr>
            <w:tcW w:w="3521" w:type="dxa"/>
            <w:vAlign w:val="center"/>
          </w:tcPr>
          <w:p w14:paraId="0297DEE3">
            <w:r>
              <w:rPr>
                <w:rFonts w:hint="eastAsia"/>
              </w:rPr>
              <w:t>交通银行股份有限公司－南方恒生科技交易型开放式指数证券投资基金发起式联接基金（QDII）</w:t>
            </w:r>
          </w:p>
        </w:tc>
        <w:tc>
          <w:tcPr>
            <w:tcW w:w="2131" w:type="dxa"/>
            <w:vAlign w:val="center"/>
          </w:tcPr>
          <w:p w14:paraId="46AB32C3">
            <w:pPr>
              <w:jc w:val="right"/>
            </w:pPr>
            <w:r>
              <w:rPr>
                <w:rFonts w:hint="eastAsia"/>
              </w:rPr>
              <w:t>1,594,530,000.00</w:t>
            </w:r>
          </w:p>
        </w:tc>
        <w:tc>
          <w:tcPr>
            <w:tcW w:w="1877" w:type="dxa"/>
            <w:vAlign w:val="center"/>
          </w:tcPr>
          <w:p w14:paraId="69CF2DD7">
            <w:pPr>
              <w:jc w:val="right"/>
            </w:pPr>
            <w:r>
              <w:rPr>
                <w:rFonts w:hint="eastAsia"/>
              </w:rPr>
              <w:t>75.93%</w:t>
            </w:r>
          </w:p>
        </w:tc>
      </w:tr>
    </w:tbl>
    <w:p w14:paraId="5BF4E5F3">
      <w:pPr>
        <w:pStyle w:val="23"/>
      </w:pPr>
      <w:bookmarkStart w:id="192" w:name="_Toc23550"/>
      <w:r>
        <w:t>期末基金管理人的从业人员持有本基金的情况</w:t>
      </w:r>
      <w:bookmarkEnd w:id="192"/>
    </w:p>
    <w:p w14:paraId="50340F10">
      <w:pPr>
        <w:pStyle w:val="18"/>
        <w:rPr>
          <w:rFonts w:hint="eastAsia"/>
        </w:rPr>
      </w:pPr>
      <w:r>
        <w:rPr>
          <w:rFonts w:hint="eastAsia"/>
        </w:rPr>
        <w:t>本公司的所有从业人员(包含高级管理人员、基金投资和研究部门负责人和本基金基金经理)均未持有本基金份额。</w:t>
      </w:r>
    </w:p>
    <w:p w14:paraId="51C9428A">
      <w:pPr>
        <w:pStyle w:val="23"/>
      </w:pPr>
      <w:bookmarkStart w:id="193" w:name="_Toc25838"/>
      <w:r>
        <w:t>期末基金管理人的从业人员持有本开放式基金份额总量区间情况</w:t>
      </w:r>
      <w:bookmarkEnd w:id="193"/>
    </w:p>
    <w:p w14:paraId="5B96AE84">
      <w:pPr>
        <w:pStyle w:val="18"/>
        <w:rPr>
          <w:rFonts w:hint="eastAsia"/>
        </w:rPr>
      </w:pPr>
      <w:r>
        <w:rPr>
          <w:rFonts w:hint="eastAsia"/>
        </w:rPr>
        <w:t>本公司的高级管理人员、基金投资和研究部门负责人和本基金基金经理均未持有本基金份额。</w:t>
      </w:r>
    </w:p>
    <w:p w14:paraId="0A6B81B2">
      <w:pPr>
        <w:pStyle w:val="26"/>
      </w:pPr>
      <w:bookmarkStart w:id="194" w:name="_Toc12169"/>
      <w:r>
        <w:t>开放式基金份额变动</w:t>
      </w:r>
      <w:bookmarkEnd w:id="194"/>
    </w:p>
    <w:p w14:paraId="0D4396DB">
      <w:pPr>
        <w:jc w:val="right"/>
        <w:rPr>
          <w:rFonts w:hint="eastAsia"/>
        </w:rPr>
      </w:pPr>
      <w:r>
        <w:rPr>
          <w:rFonts w:hint="eastAsia"/>
        </w:rPr>
        <w:t>单位：份</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F1F1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39D6BB">
            <w:r>
              <w:rPr>
                <w:rFonts w:hint="eastAsia"/>
              </w:rPr>
              <w:t>基金合同生效日(2025年10月29日)基金份额总额</w:t>
            </w:r>
          </w:p>
        </w:tc>
        <w:tc>
          <w:tcPr>
            <w:tcW w:w="4153" w:type="dxa"/>
            <w:vAlign w:val="center"/>
          </w:tcPr>
          <w:p w14:paraId="261CE760">
            <w:pPr>
              <w:jc w:val="right"/>
            </w:pPr>
            <w:r>
              <w:rPr>
                <w:rFonts w:hint="eastAsia"/>
              </w:rPr>
              <w:t>451,876,000.00</w:t>
            </w:r>
          </w:p>
        </w:tc>
      </w:tr>
      <w:tr w14:paraId="0C018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35379F">
            <w:r>
              <w:rPr>
                <w:rFonts w:hint="eastAsia"/>
              </w:rPr>
              <w:t>基金合同生效日起至报告期期末基金总申购份额</w:t>
            </w:r>
          </w:p>
        </w:tc>
        <w:tc>
          <w:tcPr>
            <w:tcW w:w="4153" w:type="dxa"/>
            <w:vAlign w:val="center"/>
          </w:tcPr>
          <w:p w14:paraId="0BED6279">
            <w:pPr>
              <w:jc w:val="right"/>
            </w:pPr>
            <w:r>
              <w:rPr>
                <w:rFonts w:hint="eastAsia"/>
              </w:rPr>
              <w:t>1,649,000,000.00</w:t>
            </w:r>
          </w:p>
        </w:tc>
      </w:tr>
      <w:tr w14:paraId="472FF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E06C4A">
            <w:r>
              <w:rPr>
                <w:rFonts w:hint="eastAsia"/>
              </w:rPr>
              <w:t>减：基金合同生效日起至报告期期末基金总赎回份额</w:t>
            </w:r>
          </w:p>
        </w:tc>
        <w:tc>
          <w:tcPr>
            <w:tcW w:w="4153" w:type="dxa"/>
            <w:vAlign w:val="center"/>
          </w:tcPr>
          <w:p w14:paraId="1E2F9BD7">
            <w:pPr>
              <w:jc w:val="right"/>
            </w:pPr>
            <w:r>
              <w:rPr>
                <w:rFonts w:hint="eastAsia"/>
              </w:rPr>
              <w:t>1,000,000.00</w:t>
            </w:r>
          </w:p>
        </w:tc>
      </w:tr>
      <w:tr w14:paraId="43691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519F805">
            <w:r>
              <w:rPr>
                <w:rFonts w:hint="eastAsia"/>
              </w:rPr>
              <w:t>基金合同生效日起至报告期期末基金拆分变动份额</w:t>
            </w:r>
          </w:p>
        </w:tc>
        <w:tc>
          <w:tcPr>
            <w:tcW w:w="4153" w:type="dxa"/>
            <w:vAlign w:val="center"/>
          </w:tcPr>
          <w:p w14:paraId="68185502">
            <w:pPr>
              <w:jc w:val="right"/>
            </w:pPr>
            <w:r>
              <w:rPr>
                <w:rFonts w:hint="eastAsia"/>
              </w:rPr>
              <w:t>-</w:t>
            </w:r>
          </w:p>
        </w:tc>
      </w:tr>
      <w:tr w14:paraId="51CC6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25FB42">
            <w:r>
              <w:rPr>
                <w:rFonts w:hint="eastAsia"/>
              </w:rPr>
              <w:t>本报告期期末基金份额总额</w:t>
            </w:r>
          </w:p>
        </w:tc>
        <w:tc>
          <w:tcPr>
            <w:tcW w:w="4153" w:type="dxa"/>
            <w:vAlign w:val="center"/>
          </w:tcPr>
          <w:p w14:paraId="2648C10E">
            <w:pPr>
              <w:jc w:val="right"/>
            </w:pPr>
            <w:r>
              <w:rPr>
                <w:rFonts w:hint="eastAsia"/>
              </w:rPr>
              <w:t>2,099,876,000.00</w:t>
            </w:r>
          </w:p>
        </w:tc>
      </w:tr>
    </w:tbl>
    <w:p w14:paraId="1252ED82">
      <w:pPr>
        <w:pStyle w:val="26"/>
      </w:pPr>
      <w:bookmarkStart w:id="195" w:name="_Toc24999"/>
      <w:r>
        <w:t>重大事件揭示</w:t>
      </w:r>
      <w:bookmarkEnd w:id="195"/>
    </w:p>
    <w:p w14:paraId="132E239D">
      <w:pPr>
        <w:pStyle w:val="23"/>
      </w:pPr>
      <w:bookmarkStart w:id="196" w:name="_Toc3822"/>
      <w:r>
        <w:t>基金份额持有人大会决议</w:t>
      </w:r>
      <w:bookmarkEnd w:id="196"/>
    </w:p>
    <w:p w14:paraId="5DF16AE0">
      <w:pPr>
        <w:pStyle w:val="18"/>
        <w:rPr>
          <w:rFonts w:hint="eastAsia"/>
        </w:rPr>
      </w:pPr>
      <w:r>
        <w:rPr>
          <w:rFonts w:hint="eastAsia"/>
        </w:rPr>
        <w:t>本报告期本基金无基金份额持有人大会决议。</w:t>
      </w:r>
    </w:p>
    <w:p w14:paraId="2B1AC89E">
      <w:pPr>
        <w:pStyle w:val="23"/>
      </w:pPr>
      <w:bookmarkStart w:id="197" w:name="_Toc4071"/>
      <w:r>
        <w:t>基金管理人、基金托管人的专门基金托管部门的重大人事变动</w:t>
      </w:r>
      <w:bookmarkEnd w:id="197"/>
    </w:p>
    <w:p w14:paraId="4F9F1B46">
      <w:pPr>
        <w:pStyle w:val="18"/>
        <w:rPr>
          <w:rFonts w:hint="eastAsia"/>
        </w:rPr>
      </w:pPr>
      <w:r>
        <w:rPr>
          <w:rFonts w:hint="eastAsia"/>
        </w:rPr>
        <w:t>本报告期内，本基金的基金管理人未发生重大人事变动。</w:t>
      </w:r>
    </w:p>
    <w:p w14:paraId="39B11782">
      <w:pPr>
        <w:pStyle w:val="18"/>
        <w:rPr>
          <w:rFonts w:hint="eastAsia"/>
        </w:rPr>
      </w:pPr>
      <w:r>
        <w:rPr>
          <w:rFonts w:hint="eastAsia"/>
        </w:rPr>
        <w:t>本报告期内，孟羽任交通银行资产托管部/资产托管业务发展中心总经理。</w:t>
      </w:r>
    </w:p>
    <w:p w14:paraId="48A69DCB">
      <w:pPr>
        <w:pStyle w:val="23"/>
      </w:pPr>
      <w:bookmarkStart w:id="198" w:name="_Toc14214"/>
      <w:r>
        <w:t>涉及基金管理人、基金财产、基金托管业务的诉讼</w:t>
      </w:r>
      <w:bookmarkEnd w:id="198"/>
    </w:p>
    <w:p w14:paraId="565FE48D">
      <w:pPr>
        <w:pStyle w:val="18"/>
        <w:rPr>
          <w:rFonts w:hint="eastAsia"/>
        </w:rPr>
      </w:pPr>
      <w:r>
        <w:rPr>
          <w:rFonts w:hint="eastAsia"/>
        </w:rPr>
        <w:t>本报告期内，无涉及基金管理人主营业务的诉讼。</w:t>
      </w:r>
    </w:p>
    <w:p w14:paraId="764D7482">
      <w:pPr>
        <w:pStyle w:val="18"/>
        <w:rPr>
          <w:rFonts w:hint="eastAsia"/>
        </w:rPr>
      </w:pPr>
      <w:r>
        <w:rPr>
          <w:rFonts w:hint="eastAsia"/>
        </w:rPr>
        <w:t>本报告期内无涉及基金财产的诉讼事项。</w:t>
      </w:r>
    </w:p>
    <w:p w14:paraId="0AA29C86">
      <w:pPr>
        <w:pStyle w:val="18"/>
        <w:rPr>
          <w:rFonts w:hint="eastAsia"/>
        </w:rPr>
      </w:pPr>
      <w:r>
        <w:rPr>
          <w:rFonts w:hint="eastAsia"/>
        </w:rPr>
        <w:t>本报告期内无涉及基金托管业务的诉讼事项。</w:t>
      </w:r>
    </w:p>
    <w:p w14:paraId="6122F6A3">
      <w:pPr>
        <w:pStyle w:val="23"/>
      </w:pPr>
      <w:bookmarkStart w:id="199" w:name="_Toc12857"/>
      <w:r>
        <w:t>基金投资策略的改变</w:t>
      </w:r>
      <w:bookmarkEnd w:id="199"/>
    </w:p>
    <w:p w14:paraId="21BA3974">
      <w:pPr>
        <w:pStyle w:val="18"/>
        <w:rPr>
          <w:rFonts w:hint="eastAsia"/>
        </w:rPr>
      </w:pPr>
      <w:r>
        <w:rPr>
          <w:rFonts w:hint="eastAsia"/>
        </w:rPr>
        <w:t>本报告期内本基金的投资策略未有重大变化。</w:t>
      </w:r>
    </w:p>
    <w:p w14:paraId="4EC49EAA">
      <w:pPr>
        <w:pStyle w:val="23"/>
      </w:pPr>
      <w:bookmarkStart w:id="200" w:name="_Toc23006"/>
      <w:r>
        <w:t>为基金进行审计的会计师事务所情况</w:t>
      </w:r>
      <w:bookmarkEnd w:id="200"/>
    </w:p>
    <w:p w14:paraId="4F458E0C">
      <w:pPr>
        <w:pStyle w:val="18"/>
        <w:rPr>
          <w:rFonts w:hint="eastAsia"/>
        </w:rPr>
      </w:pPr>
      <w:r>
        <w:rPr>
          <w:rFonts w:hint="eastAsia"/>
        </w:rPr>
        <w:t>本报告期本基金的审计事务所无变化；目前安永华明会计师事务所（特殊普通合伙）已为本基金提供审计服务1年，本报告期应支付给安永华明会计师事务所（特殊普通合伙）的报酬为人民币32,000.00元。</w:t>
      </w:r>
    </w:p>
    <w:p w14:paraId="0ED311E7">
      <w:pPr>
        <w:pStyle w:val="23"/>
      </w:pPr>
      <w:bookmarkStart w:id="201" w:name="_Toc5729"/>
      <w:r>
        <w:t>管理人、托管人及相关从业人员受调查或处罚等情况</w:t>
      </w:r>
      <w:bookmarkEnd w:id="201"/>
    </w:p>
    <w:p w14:paraId="70F3BB40">
      <w:pPr>
        <w:pStyle w:val="28"/>
      </w:pPr>
      <w:bookmarkStart w:id="202" w:name="_Toc202"/>
      <w:r>
        <w:t>管理人受调查或处罚等情况</w:t>
      </w:r>
      <w:bookmarkEnd w:id="2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3C5E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D6C79D5">
            <w:pPr>
              <w:jc w:val="center"/>
            </w:pPr>
            <w:r>
              <w:rPr>
                <w:rFonts w:hint="eastAsia"/>
                <w:b/>
              </w:rPr>
              <w:t>管理人受调查或处罚等情况</w:t>
            </w:r>
          </w:p>
        </w:tc>
        <w:tc>
          <w:tcPr>
            <w:tcW w:w="4153" w:type="dxa"/>
            <w:shd w:val="clear" w:color="auto" w:fill="BFBFBF"/>
            <w:vAlign w:val="center"/>
          </w:tcPr>
          <w:p w14:paraId="56CF8D54">
            <w:pPr>
              <w:jc w:val="center"/>
            </w:pPr>
            <w:r>
              <w:rPr>
                <w:rFonts w:hint="eastAsia"/>
                <w:b/>
              </w:rPr>
              <w:t>内容</w:t>
            </w:r>
          </w:p>
        </w:tc>
      </w:tr>
      <w:tr w14:paraId="623B1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5A7F6A9">
            <w:r>
              <w:rPr>
                <w:rFonts w:hint="eastAsia"/>
              </w:rPr>
              <w:t>受到调查或处罚等措施的主体</w:t>
            </w:r>
          </w:p>
        </w:tc>
        <w:tc>
          <w:tcPr>
            <w:tcW w:w="4153" w:type="dxa"/>
            <w:vAlign w:val="center"/>
          </w:tcPr>
          <w:p w14:paraId="10960AEB">
            <w:r>
              <w:rPr>
                <w:rFonts w:hint="eastAsia"/>
              </w:rPr>
              <w:t>管理人</w:t>
            </w:r>
          </w:p>
        </w:tc>
      </w:tr>
      <w:tr w14:paraId="26FFC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5B4AF1E">
            <w:r>
              <w:rPr>
                <w:rFonts w:hint="eastAsia"/>
              </w:rPr>
              <w:t>受到调查或处罚等措施的时间</w:t>
            </w:r>
          </w:p>
        </w:tc>
        <w:tc>
          <w:tcPr>
            <w:tcW w:w="4153" w:type="dxa"/>
            <w:vAlign w:val="center"/>
          </w:tcPr>
          <w:p w14:paraId="57407706">
            <w:pPr>
              <w:rPr>
                <w:rFonts w:hint="eastAsia"/>
              </w:rPr>
            </w:pPr>
            <w:r>
              <w:rPr>
                <w:rFonts w:hint="eastAsia"/>
              </w:rPr>
              <w:t>2025-10-17；
</w:t>
            </w:r>
            <w:r>
              <w:rPr>
                <w:rFonts w:hint="eastAsia"/>
              </w:rPr>
              <w:br w:type="textWrapping"/>
            </w:r>
            <w:r>
              <w:rPr>
                <w:rFonts w:hint="eastAsia"/>
              </w:rPr>
              <w:t>2025-11-18</w:t>
            </w:r>
          </w:p>
        </w:tc>
      </w:tr>
      <w:tr w14:paraId="71C41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FA5486">
            <w:r>
              <w:rPr>
                <w:rFonts w:hint="eastAsia"/>
              </w:rPr>
              <w:t>采取调查或处罚等措施的机构</w:t>
            </w:r>
          </w:p>
        </w:tc>
        <w:tc>
          <w:tcPr>
            <w:tcW w:w="4153" w:type="dxa"/>
            <w:vAlign w:val="center"/>
          </w:tcPr>
          <w:p w14:paraId="4EC6B986">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2B6CF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9147E50">
            <w:r>
              <w:rPr>
                <w:rFonts w:hint="eastAsia"/>
              </w:rPr>
              <w:t>受到调查或处罚等措施类型</w:t>
            </w:r>
          </w:p>
        </w:tc>
        <w:tc>
          <w:tcPr>
            <w:tcW w:w="4153" w:type="dxa"/>
            <w:vAlign w:val="center"/>
          </w:tcPr>
          <w:p w14:paraId="38862470">
            <w:pPr>
              <w:rPr>
                <w:rFonts w:hint="eastAsia"/>
              </w:rPr>
            </w:pPr>
            <w:r>
              <w:rPr>
                <w:rFonts w:hint="eastAsia"/>
              </w:rPr>
              <w:t>行政监管措施；
</w:t>
            </w:r>
            <w:r>
              <w:rPr>
                <w:rFonts w:hint="eastAsia"/>
              </w:rPr>
              <w:br w:type="textWrapping"/>
            </w:r>
            <w:r>
              <w:rPr>
                <w:rFonts w:hint="eastAsia"/>
              </w:rPr>
              <w:t>行政处罚</w:t>
            </w:r>
          </w:p>
        </w:tc>
      </w:tr>
      <w:tr w14:paraId="347AF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AF8B76">
            <w:r>
              <w:rPr>
                <w:rFonts w:hint="eastAsia"/>
              </w:rPr>
              <w:t>受到的具体措施类型</w:t>
            </w:r>
          </w:p>
        </w:tc>
        <w:tc>
          <w:tcPr>
            <w:tcW w:w="4153" w:type="dxa"/>
            <w:vAlign w:val="center"/>
          </w:tcPr>
          <w:p w14:paraId="59DD3A61">
            <w:pPr>
              <w:rPr>
                <w:rFonts w:hint="eastAsia"/>
              </w:rPr>
            </w:pPr>
            <w:r>
              <w:rPr>
                <w:rFonts w:hint="eastAsia"/>
              </w:rPr>
              <w:t>责令改正；
</w:t>
            </w:r>
            <w:r>
              <w:rPr>
                <w:rFonts w:hint="eastAsia"/>
              </w:rPr>
              <w:br w:type="textWrapping"/>
            </w:r>
            <w:r>
              <w:rPr>
                <w:rFonts w:hint="eastAsia"/>
              </w:rPr>
              <w:t>警告、罚款</w:t>
            </w:r>
          </w:p>
        </w:tc>
      </w:tr>
      <w:tr w14:paraId="6C7FD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69422E">
            <w:r>
              <w:rPr>
                <w:rFonts w:hint="eastAsia"/>
              </w:rPr>
              <w:t>受到调查或处罚等措施的原因</w:t>
            </w:r>
          </w:p>
        </w:tc>
        <w:tc>
          <w:tcPr>
            <w:tcW w:w="4153" w:type="dxa"/>
            <w:vAlign w:val="center"/>
          </w:tcPr>
          <w:p w14:paraId="6C69F92C">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24BD8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8BDE8F4">
            <w:r>
              <w:rPr>
                <w:rFonts w:hint="eastAsia"/>
              </w:rPr>
              <w:t>受到处罚的依据</w:t>
            </w:r>
          </w:p>
        </w:tc>
        <w:tc>
          <w:tcPr>
            <w:tcW w:w="4153" w:type="dxa"/>
            <w:vAlign w:val="center"/>
          </w:tcPr>
          <w:p w14:paraId="7A55EDE4">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2A782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21D04B0">
            <w:r>
              <w:rPr>
                <w:rFonts w:hint="eastAsia"/>
              </w:rPr>
              <w:t>管理人采取整改措施的情况</w:t>
            </w:r>
          </w:p>
        </w:tc>
        <w:tc>
          <w:tcPr>
            <w:tcW w:w="4153" w:type="dxa"/>
            <w:vAlign w:val="center"/>
          </w:tcPr>
          <w:p w14:paraId="3B02F59F">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2EEDB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B2FFCC">
            <w:r>
              <w:rPr>
                <w:rFonts w:hint="eastAsia"/>
              </w:rPr>
              <w:t>其他</w:t>
            </w:r>
          </w:p>
        </w:tc>
        <w:tc>
          <w:tcPr>
            <w:tcW w:w="4153" w:type="dxa"/>
            <w:vAlign w:val="center"/>
          </w:tcPr>
          <w:p w14:paraId="544C964F">
            <w:r>
              <w:rPr>
                <w:rFonts w:hint="eastAsia"/>
              </w:rPr>
              <w:t>-</w:t>
            </w:r>
          </w:p>
        </w:tc>
      </w:tr>
    </w:tbl>
    <w:p w14:paraId="5FA4A094">
      <w:pPr>
        <w:pStyle w:val="28"/>
      </w:pPr>
      <w:bookmarkStart w:id="203" w:name="_Toc203"/>
      <w:r>
        <w:t>管理人相关从业人员受调查或处罚等情况</w:t>
      </w:r>
      <w:bookmarkEnd w:id="2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172B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B55F765">
            <w:pPr>
              <w:jc w:val="center"/>
            </w:pPr>
            <w:r>
              <w:rPr>
                <w:rFonts w:hint="eastAsia"/>
                <w:b/>
              </w:rPr>
              <w:t>管理人相关从业人员受调查或处罚等情况</w:t>
            </w:r>
          </w:p>
        </w:tc>
        <w:tc>
          <w:tcPr>
            <w:tcW w:w="4153" w:type="dxa"/>
            <w:shd w:val="clear" w:color="auto" w:fill="BFBFBF"/>
            <w:vAlign w:val="center"/>
          </w:tcPr>
          <w:p w14:paraId="3D45C403">
            <w:pPr>
              <w:jc w:val="center"/>
            </w:pPr>
            <w:r>
              <w:rPr>
                <w:rFonts w:hint="eastAsia"/>
                <w:b/>
              </w:rPr>
              <w:t>内容</w:t>
            </w:r>
          </w:p>
        </w:tc>
      </w:tr>
      <w:tr w14:paraId="0A93F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38B319">
            <w:r>
              <w:rPr>
                <w:rFonts w:hint="eastAsia"/>
              </w:rPr>
              <w:t>受到调查或处罚等措施的主体</w:t>
            </w:r>
          </w:p>
        </w:tc>
        <w:tc>
          <w:tcPr>
            <w:tcW w:w="4153" w:type="dxa"/>
            <w:vAlign w:val="center"/>
          </w:tcPr>
          <w:p w14:paraId="0C65FEB1">
            <w:r>
              <w:rPr>
                <w:rFonts w:hint="eastAsia"/>
              </w:rPr>
              <w:t>高级管理人员</w:t>
            </w:r>
          </w:p>
        </w:tc>
      </w:tr>
      <w:tr w14:paraId="452D8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ECAB0E">
            <w:r>
              <w:rPr>
                <w:rFonts w:hint="eastAsia"/>
              </w:rPr>
              <w:t>受到调查或处罚等措施的时间</w:t>
            </w:r>
          </w:p>
        </w:tc>
        <w:tc>
          <w:tcPr>
            <w:tcW w:w="4153" w:type="dxa"/>
            <w:vAlign w:val="center"/>
          </w:tcPr>
          <w:p w14:paraId="0256392C">
            <w:r>
              <w:rPr>
                <w:rFonts w:hint="eastAsia"/>
              </w:rPr>
              <w:t>2025-10-17</w:t>
            </w:r>
          </w:p>
        </w:tc>
      </w:tr>
      <w:tr w14:paraId="2B516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672B76">
            <w:r>
              <w:rPr>
                <w:rFonts w:hint="eastAsia"/>
              </w:rPr>
              <w:t>采取调查或处罚等措施的机构</w:t>
            </w:r>
          </w:p>
        </w:tc>
        <w:tc>
          <w:tcPr>
            <w:tcW w:w="4153" w:type="dxa"/>
            <w:vAlign w:val="center"/>
          </w:tcPr>
          <w:p w14:paraId="13263EF9">
            <w:r>
              <w:rPr>
                <w:rFonts w:hint="eastAsia"/>
              </w:rPr>
              <w:t>中国证监会深圳监管局</w:t>
            </w:r>
          </w:p>
        </w:tc>
      </w:tr>
      <w:tr w14:paraId="2E117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3F4B35E">
            <w:r>
              <w:rPr>
                <w:rFonts w:hint="eastAsia"/>
              </w:rPr>
              <w:t>受到调查或处罚等措施类型</w:t>
            </w:r>
          </w:p>
        </w:tc>
        <w:tc>
          <w:tcPr>
            <w:tcW w:w="4153" w:type="dxa"/>
            <w:vAlign w:val="center"/>
          </w:tcPr>
          <w:p w14:paraId="5653A47A">
            <w:r>
              <w:rPr>
                <w:rFonts w:hint="eastAsia"/>
              </w:rPr>
              <w:t>行政监管措施</w:t>
            </w:r>
          </w:p>
        </w:tc>
      </w:tr>
      <w:tr w14:paraId="1F47C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2C9D418">
            <w:r>
              <w:rPr>
                <w:rFonts w:hint="eastAsia"/>
              </w:rPr>
              <w:t>受到的具体措施类型</w:t>
            </w:r>
          </w:p>
        </w:tc>
        <w:tc>
          <w:tcPr>
            <w:tcW w:w="4153" w:type="dxa"/>
            <w:vAlign w:val="center"/>
          </w:tcPr>
          <w:p w14:paraId="0AB5586F">
            <w:r>
              <w:rPr>
                <w:rFonts w:hint="eastAsia"/>
              </w:rPr>
              <w:t>出具警示函</w:t>
            </w:r>
          </w:p>
        </w:tc>
      </w:tr>
      <w:tr w14:paraId="7E4BC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B83F568">
            <w:r>
              <w:rPr>
                <w:rFonts w:hint="eastAsia"/>
              </w:rPr>
              <w:t>受到调查或处罚等措施的原因</w:t>
            </w:r>
          </w:p>
        </w:tc>
        <w:tc>
          <w:tcPr>
            <w:tcW w:w="4153" w:type="dxa"/>
            <w:vAlign w:val="center"/>
          </w:tcPr>
          <w:p w14:paraId="526F2119">
            <w:r>
              <w:rPr>
                <w:rFonts w:hint="eastAsia"/>
              </w:rPr>
              <w:t>人员管理、其他问题(销售管理)</w:t>
            </w:r>
          </w:p>
        </w:tc>
      </w:tr>
      <w:tr w14:paraId="6BFA9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640036">
            <w:r>
              <w:rPr>
                <w:rFonts w:hint="eastAsia"/>
              </w:rPr>
              <w:t>受到处罚的依据</w:t>
            </w:r>
          </w:p>
        </w:tc>
        <w:tc>
          <w:tcPr>
            <w:tcW w:w="4153" w:type="dxa"/>
            <w:vAlign w:val="center"/>
          </w:tcPr>
          <w:p w14:paraId="5406E506">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47B95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4F2A1F">
            <w:r>
              <w:rPr>
                <w:rFonts w:hint="eastAsia"/>
              </w:rPr>
              <w:t>管理人采取整改措施的情况（如提出整改意见）</w:t>
            </w:r>
          </w:p>
        </w:tc>
        <w:tc>
          <w:tcPr>
            <w:tcW w:w="4153" w:type="dxa"/>
            <w:vAlign w:val="center"/>
          </w:tcPr>
          <w:p w14:paraId="265068D2">
            <w:r>
              <w:rPr>
                <w:rFonts w:hint="eastAsia"/>
              </w:rPr>
              <w:t>截至报告期末公司已通过完善制度、优化流程等整改措施完成整改，整改成果已经中国证监会深圳监管局验收通过</w:t>
            </w:r>
          </w:p>
        </w:tc>
      </w:tr>
      <w:tr w14:paraId="19DA6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6AF8F0">
            <w:r>
              <w:rPr>
                <w:rFonts w:hint="eastAsia"/>
              </w:rPr>
              <w:t>其他</w:t>
            </w:r>
          </w:p>
        </w:tc>
        <w:tc>
          <w:tcPr>
            <w:tcW w:w="4153" w:type="dxa"/>
            <w:vAlign w:val="center"/>
          </w:tcPr>
          <w:p w14:paraId="34DDCA82">
            <w:pPr>
              <w:jc w:val="right"/>
            </w:pPr>
            <w:r>
              <w:rPr>
                <w:rFonts w:hint="eastAsia"/>
              </w:rPr>
              <w:t>-</w:t>
            </w:r>
          </w:p>
        </w:tc>
      </w:tr>
    </w:tbl>
    <w:p w14:paraId="5FE494E2">
      <w:pPr>
        <w:pStyle w:val="28"/>
      </w:pPr>
      <w:bookmarkStart w:id="204" w:name="_Toc204"/>
      <w:r>
        <w:t>托管人受调查或处罚等情况</w:t>
      </w:r>
      <w:bookmarkEnd w:id="204"/>
    </w:p>
    <w:p w14:paraId="58F1B898">
      <w:pPr>
        <w:pStyle w:val="18"/>
        <w:rPr>
          <w:rFonts w:hint="eastAsia"/>
        </w:rPr>
      </w:pPr>
      <w:r>
        <w:rPr>
          <w:rFonts w:hint="eastAsia"/>
        </w:rPr>
        <w:t>无。</w:t>
      </w:r>
    </w:p>
    <w:p w14:paraId="03D261F9">
      <w:pPr>
        <w:pStyle w:val="28"/>
      </w:pPr>
      <w:bookmarkStart w:id="205" w:name="_Toc205"/>
      <w:r>
        <w:t>托管人相关从业人员受调查或处罚等情况</w:t>
      </w:r>
      <w:bookmarkEnd w:id="205"/>
    </w:p>
    <w:p w14:paraId="1341F5DF">
      <w:pPr>
        <w:pStyle w:val="18"/>
        <w:rPr>
          <w:rFonts w:hint="eastAsia"/>
        </w:rPr>
      </w:pPr>
      <w:r>
        <w:rPr>
          <w:rFonts w:hint="eastAsia"/>
        </w:rPr>
        <w:t>无。</w:t>
      </w:r>
    </w:p>
    <w:p w14:paraId="2958E6B7">
      <w:pPr>
        <w:pStyle w:val="23"/>
      </w:pPr>
      <w:bookmarkStart w:id="206" w:name="_Toc5743"/>
      <w:r>
        <w:t>基金租用证券公司交易单元的有关情况</w:t>
      </w:r>
      <w:bookmarkEnd w:id="206"/>
    </w:p>
    <w:p w14:paraId="45FDB66C">
      <w:pPr>
        <w:pStyle w:val="28"/>
      </w:pPr>
      <w:bookmarkStart w:id="207" w:name="_Toc207"/>
      <w:r>
        <w:t>基金租用证券公司交易单元进行股票投资及佣金支付情况</w:t>
      </w:r>
      <w:bookmarkEnd w:id="207"/>
    </w:p>
    <w:p w14:paraId="2C5166F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501E0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13562967">
            <w:pPr>
              <w:jc w:val="center"/>
            </w:pPr>
            <w:r>
              <w:rPr>
                <w:rFonts w:hint="eastAsia"/>
                <w:b/>
              </w:rPr>
              <w:t>券商名称</w:t>
            </w:r>
          </w:p>
        </w:tc>
        <w:tc>
          <w:tcPr>
            <w:tcW w:w="775" w:type="dxa"/>
            <w:vMerge w:val="restart"/>
            <w:shd w:val="clear" w:color="auto" w:fill="BFBFBF"/>
            <w:vAlign w:val="center"/>
          </w:tcPr>
          <w:p w14:paraId="47FA9D97">
            <w:pPr>
              <w:jc w:val="center"/>
            </w:pPr>
            <w:r>
              <w:rPr>
                <w:rFonts w:hint="eastAsia"/>
                <w:b/>
              </w:rPr>
              <w:t>交易单元数量</w:t>
            </w:r>
          </w:p>
        </w:tc>
        <w:tc>
          <w:tcPr>
            <w:tcW w:w="1699" w:type="dxa"/>
            <w:gridSpan w:val="2"/>
            <w:shd w:val="clear" w:color="auto" w:fill="BFBFBF"/>
            <w:vAlign w:val="center"/>
          </w:tcPr>
          <w:p w14:paraId="3A12FD6A">
            <w:pPr>
              <w:jc w:val="center"/>
            </w:pPr>
            <w:r>
              <w:rPr>
                <w:rFonts w:hint="eastAsia"/>
                <w:b/>
              </w:rPr>
              <w:t>股票交易</w:t>
            </w:r>
          </w:p>
        </w:tc>
        <w:tc>
          <w:tcPr>
            <w:tcW w:w="1312" w:type="dxa"/>
            <w:gridSpan w:val="2"/>
            <w:shd w:val="clear" w:color="auto" w:fill="BFBFBF"/>
            <w:vAlign w:val="center"/>
          </w:tcPr>
          <w:p w14:paraId="6722B94C">
            <w:pPr>
              <w:jc w:val="center"/>
            </w:pPr>
            <w:r>
              <w:rPr>
                <w:rFonts w:hint="eastAsia"/>
                <w:b/>
              </w:rPr>
              <w:t>应支付该券商的佣金</w:t>
            </w:r>
          </w:p>
        </w:tc>
        <w:tc>
          <w:tcPr>
            <w:tcW w:w="946" w:type="dxa"/>
            <w:vMerge w:val="restart"/>
            <w:shd w:val="clear" w:color="auto" w:fill="BFBFBF"/>
            <w:vAlign w:val="center"/>
          </w:tcPr>
          <w:p w14:paraId="2C9079AE">
            <w:pPr>
              <w:jc w:val="center"/>
            </w:pPr>
            <w:r>
              <w:rPr>
                <w:rFonts w:hint="eastAsia"/>
                <w:b/>
              </w:rPr>
              <w:t>备注</w:t>
            </w:r>
          </w:p>
        </w:tc>
      </w:tr>
      <w:tr w14:paraId="2290B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6E21CE47"/>
        </w:tc>
        <w:tc>
          <w:tcPr>
            <w:tcW w:w="775" w:type="dxa"/>
            <w:vMerge w:val="continue"/>
            <w:vAlign w:val="center"/>
          </w:tcPr>
          <w:p w14:paraId="3193EDBE"/>
        </w:tc>
        <w:tc>
          <w:tcPr>
            <w:tcW w:w="1699" w:type="dxa"/>
            <w:shd w:val="clear" w:color="auto" w:fill="BFBFBF"/>
            <w:vAlign w:val="center"/>
          </w:tcPr>
          <w:p w14:paraId="568F466A">
            <w:pPr>
              <w:jc w:val="center"/>
            </w:pPr>
            <w:r>
              <w:rPr>
                <w:rFonts w:hint="eastAsia"/>
                <w:b/>
              </w:rPr>
              <w:t>成交金额</w:t>
            </w:r>
          </w:p>
        </w:tc>
        <w:tc>
          <w:tcPr>
            <w:tcW w:w="1201" w:type="dxa"/>
            <w:shd w:val="clear" w:color="auto" w:fill="BFBFBF"/>
            <w:vAlign w:val="center"/>
          </w:tcPr>
          <w:p w14:paraId="0F006C0F">
            <w:pPr>
              <w:jc w:val="center"/>
            </w:pPr>
            <w:r>
              <w:rPr>
                <w:rFonts w:hint="eastAsia"/>
                <w:b/>
              </w:rPr>
              <w:t>占当期股票成交总额的比例</w:t>
            </w:r>
          </w:p>
        </w:tc>
        <w:tc>
          <w:tcPr>
            <w:tcW w:w="1312" w:type="dxa"/>
            <w:shd w:val="clear" w:color="auto" w:fill="BFBFBF"/>
            <w:vAlign w:val="center"/>
          </w:tcPr>
          <w:p w14:paraId="6A14D03B">
            <w:pPr>
              <w:jc w:val="center"/>
            </w:pPr>
            <w:r>
              <w:rPr>
                <w:rFonts w:hint="eastAsia"/>
                <w:b/>
              </w:rPr>
              <w:t>佣金</w:t>
            </w:r>
          </w:p>
        </w:tc>
        <w:tc>
          <w:tcPr>
            <w:tcW w:w="1256" w:type="dxa"/>
            <w:shd w:val="clear" w:color="auto" w:fill="BFBFBF"/>
            <w:vAlign w:val="center"/>
          </w:tcPr>
          <w:p w14:paraId="148FC366">
            <w:pPr>
              <w:jc w:val="center"/>
            </w:pPr>
            <w:r>
              <w:rPr>
                <w:rFonts w:hint="eastAsia"/>
                <w:b/>
              </w:rPr>
              <w:t>占当期佣金总量的比例</w:t>
            </w:r>
          </w:p>
        </w:tc>
        <w:tc>
          <w:tcPr>
            <w:tcW w:w="946" w:type="dxa"/>
            <w:vMerge w:val="continue"/>
            <w:vAlign w:val="center"/>
          </w:tcPr>
          <w:p w14:paraId="3F5CEAED"/>
        </w:tc>
      </w:tr>
      <w:tr w14:paraId="1AA11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A47F36F">
            <w:r>
              <w:rPr>
                <w:rFonts w:hint="eastAsia"/>
              </w:rPr>
              <w:t>广发证券</w:t>
            </w:r>
          </w:p>
        </w:tc>
        <w:tc>
          <w:tcPr>
            <w:tcW w:w="775" w:type="dxa"/>
            <w:vAlign w:val="center"/>
          </w:tcPr>
          <w:p w14:paraId="624B0F42">
            <w:pPr>
              <w:jc w:val="right"/>
            </w:pPr>
            <w:r>
              <w:rPr>
                <w:rFonts w:hint="eastAsia"/>
              </w:rPr>
              <w:t>5</w:t>
            </w:r>
          </w:p>
        </w:tc>
        <w:tc>
          <w:tcPr>
            <w:tcW w:w="1699" w:type="dxa"/>
            <w:vAlign w:val="center"/>
          </w:tcPr>
          <w:p w14:paraId="14D080EA">
            <w:pPr>
              <w:jc w:val="right"/>
            </w:pPr>
            <w:r>
              <w:rPr>
                <w:rFonts w:hint="eastAsia"/>
              </w:rPr>
              <w:t>1,549,611,233.83</w:t>
            </w:r>
          </w:p>
        </w:tc>
        <w:tc>
          <w:tcPr>
            <w:tcW w:w="1201" w:type="dxa"/>
            <w:vAlign w:val="center"/>
          </w:tcPr>
          <w:p w14:paraId="14479EF5">
            <w:pPr>
              <w:jc w:val="right"/>
            </w:pPr>
            <w:r>
              <w:rPr>
                <w:rFonts w:hint="eastAsia"/>
              </w:rPr>
              <w:t>79.29%</w:t>
            </w:r>
          </w:p>
        </w:tc>
        <w:tc>
          <w:tcPr>
            <w:tcW w:w="1312" w:type="dxa"/>
            <w:vAlign w:val="center"/>
          </w:tcPr>
          <w:p w14:paraId="78A34233">
            <w:pPr>
              <w:jc w:val="right"/>
            </w:pPr>
            <w:r>
              <w:rPr>
                <w:rFonts w:hint="eastAsia"/>
              </w:rPr>
              <w:t>278,928.92</w:t>
            </w:r>
          </w:p>
        </w:tc>
        <w:tc>
          <w:tcPr>
            <w:tcW w:w="1256" w:type="dxa"/>
            <w:vAlign w:val="center"/>
          </w:tcPr>
          <w:p w14:paraId="45A8ADDF">
            <w:pPr>
              <w:jc w:val="right"/>
            </w:pPr>
            <w:r>
              <w:rPr>
                <w:rFonts w:hint="eastAsia"/>
              </w:rPr>
              <w:t>47.05%</w:t>
            </w:r>
          </w:p>
        </w:tc>
        <w:tc>
          <w:tcPr>
            <w:tcW w:w="946" w:type="dxa"/>
            <w:vAlign w:val="center"/>
          </w:tcPr>
          <w:p w14:paraId="1310B132">
            <w:pPr>
              <w:jc w:val="right"/>
            </w:pPr>
            <w:r>
              <w:rPr>
                <w:rFonts w:hint="eastAsia"/>
              </w:rPr>
              <w:t>-</w:t>
            </w:r>
          </w:p>
        </w:tc>
      </w:tr>
      <w:tr w14:paraId="1CFEE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46F9088">
            <w:r>
              <w:rPr>
                <w:rFonts w:hint="eastAsia"/>
              </w:rPr>
              <w:t>Soochow Securities International Brokerage Limited</w:t>
            </w:r>
          </w:p>
        </w:tc>
        <w:tc>
          <w:tcPr>
            <w:tcW w:w="775" w:type="dxa"/>
            <w:vAlign w:val="center"/>
          </w:tcPr>
          <w:p w14:paraId="4DC6B246">
            <w:pPr>
              <w:jc w:val="right"/>
            </w:pPr>
            <w:r>
              <w:rPr>
                <w:rFonts w:hint="eastAsia"/>
              </w:rPr>
              <w:t>-</w:t>
            </w:r>
          </w:p>
        </w:tc>
        <w:tc>
          <w:tcPr>
            <w:tcW w:w="1699" w:type="dxa"/>
            <w:vAlign w:val="center"/>
          </w:tcPr>
          <w:p w14:paraId="60CF5A8A">
            <w:pPr>
              <w:jc w:val="right"/>
            </w:pPr>
            <w:r>
              <w:rPr>
                <w:rFonts w:hint="eastAsia"/>
              </w:rPr>
              <w:t>193,878,131.82</w:t>
            </w:r>
          </w:p>
        </w:tc>
        <w:tc>
          <w:tcPr>
            <w:tcW w:w="1201" w:type="dxa"/>
            <w:vAlign w:val="center"/>
          </w:tcPr>
          <w:p w14:paraId="323826C0">
            <w:pPr>
              <w:jc w:val="right"/>
            </w:pPr>
            <w:r>
              <w:rPr>
                <w:rFonts w:hint="eastAsia"/>
              </w:rPr>
              <w:t>9.92%</w:t>
            </w:r>
          </w:p>
        </w:tc>
        <w:tc>
          <w:tcPr>
            <w:tcW w:w="1312" w:type="dxa"/>
            <w:vAlign w:val="center"/>
          </w:tcPr>
          <w:p w14:paraId="517D6EA8">
            <w:pPr>
              <w:jc w:val="right"/>
            </w:pPr>
            <w:r>
              <w:rPr>
                <w:rFonts w:hint="eastAsia"/>
              </w:rPr>
              <w:t>155,102.51</w:t>
            </w:r>
          </w:p>
        </w:tc>
        <w:tc>
          <w:tcPr>
            <w:tcW w:w="1256" w:type="dxa"/>
            <w:vAlign w:val="center"/>
          </w:tcPr>
          <w:p w14:paraId="2F7706A3">
            <w:pPr>
              <w:jc w:val="right"/>
            </w:pPr>
            <w:r>
              <w:rPr>
                <w:rFonts w:hint="eastAsia"/>
              </w:rPr>
              <w:t>26.16%</w:t>
            </w:r>
          </w:p>
        </w:tc>
        <w:tc>
          <w:tcPr>
            <w:tcW w:w="946" w:type="dxa"/>
            <w:vAlign w:val="center"/>
          </w:tcPr>
          <w:p w14:paraId="12773944">
            <w:pPr>
              <w:jc w:val="right"/>
            </w:pPr>
            <w:r>
              <w:rPr>
                <w:rFonts w:hint="eastAsia"/>
              </w:rPr>
              <w:t>-</w:t>
            </w:r>
          </w:p>
        </w:tc>
      </w:tr>
      <w:tr w14:paraId="259A6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E9D94E8">
            <w:r>
              <w:rPr>
                <w:rFonts w:hint="eastAsia"/>
              </w:rPr>
              <w:t>CITI Group Global Markets Asia Limited</w:t>
            </w:r>
          </w:p>
        </w:tc>
        <w:tc>
          <w:tcPr>
            <w:tcW w:w="775" w:type="dxa"/>
            <w:vAlign w:val="center"/>
          </w:tcPr>
          <w:p w14:paraId="06733C21">
            <w:pPr>
              <w:jc w:val="right"/>
            </w:pPr>
            <w:r>
              <w:rPr>
                <w:rFonts w:hint="eastAsia"/>
              </w:rPr>
              <w:t>-</w:t>
            </w:r>
          </w:p>
        </w:tc>
        <w:tc>
          <w:tcPr>
            <w:tcW w:w="1699" w:type="dxa"/>
            <w:vAlign w:val="center"/>
          </w:tcPr>
          <w:p w14:paraId="48765271">
            <w:pPr>
              <w:jc w:val="right"/>
            </w:pPr>
            <w:r>
              <w:rPr>
                <w:rFonts w:hint="eastAsia"/>
              </w:rPr>
              <w:t>86,145,338.33</w:t>
            </w:r>
          </w:p>
        </w:tc>
        <w:tc>
          <w:tcPr>
            <w:tcW w:w="1201" w:type="dxa"/>
            <w:vAlign w:val="center"/>
          </w:tcPr>
          <w:p w14:paraId="7AFEA32C">
            <w:pPr>
              <w:jc w:val="right"/>
            </w:pPr>
            <w:r>
              <w:rPr>
                <w:rFonts w:hint="eastAsia"/>
              </w:rPr>
              <w:t>4.41%</w:t>
            </w:r>
          </w:p>
        </w:tc>
        <w:tc>
          <w:tcPr>
            <w:tcW w:w="1312" w:type="dxa"/>
            <w:vAlign w:val="center"/>
          </w:tcPr>
          <w:p w14:paraId="1C39D556">
            <w:pPr>
              <w:jc w:val="right"/>
            </w:pPr>
            <w:r>
              <w:rPr>
                <w:rFonts w:hint="eastAsia"/>
              </w:rPr>
              <w:t>25,843.62</w:t>
            </w:r>
          </w:p>
        </w:tc>
        <w:tc>
          <w:tcPr>
            <w:tcW w:w="1256" w:type="dxa"/>
            <w:vAlign w:val="center"/>
          </w:tcPr>
          <w:p w14:paraId="3287B1EF">
            <w:pPr>
              <w:jc w:val="right"/>
            </w:pPr>
            <w:r>
              <w:rPr>
                <w:rFonts w:hint="eastAsia"/>
              </w:rPr>
              <w:t>4.36%</w:t>
            </w:r>
          </w:p>
        </w:tc>
        <w:tc>
          <w:tcPr>
            <w:tcW w:w="946" w:type="dxa"/>
            <w:vAlign w:val="center"/>
          </w:tcPr>
          <w:p w14:paraId="7AEC3F13">
            <w:pPr>
              <w:jc w:val="right"/>
            </w:pPr>
            <w:r>
              <w:rPr>
                <w:rFonts w:hint="eastAsia"/>
              </w:rPr>
              <w:t>-</w:t>
            </w:r>
          </w:p>
        </w:tc>
      </w:tr>
      <w:tr w14:paraId="6321D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E9BAD92">
            <w:r>
              <w:rPr>
                <w:rFonts w:hint="eastAsia"/>
              </w:rPr>
              <w:t>BOCI Securities Limited</w:t>
            </w:r>
          </w:p>
        </w:tc>
        <w:tc>
          <w:tcPr>
            <w:tcW w:w="775" w:type="dxa"/>
            <w:vAlign w:val="center"/>
          </w:tcPr>
          <w:p w14:paraId="622A22B4">
            <w:pPr>
              <w:jc w:val="right"/>
            </w:pPr>
            <w:r>
              <w:rPr>
                <w:rFonts w:hint="eastAsia"/>
              </w:rPr>
              <w:t>-</w:t>
            </w:r>
          </w:p>
        </w:tc>
        <w:tc>
          <w:tcPr>
            <w:tcW w:w="1699" w:type="dxa"/>
            <w:vAlign w:val="center"/>
          </w:tcPr>
          <w:p w14:paraId="2778F1B0">
            <w:pPr>
              <w:jc w:val="right"/>
            </w:pPr>
            <w:r>
              <w:rPr>
                <w:rFonts w:hint="eastAsia"/>
              </w:rPr>
              <w:t>51,678,436.19</w:t>
            </w:r>
          </w:p>
        </w:tc>
        <w:tc>
          <w:tcPr>
            <w:tcW w:w="1201" w:type="dxa"/>
            <w:vAlign w:val="center"/>
          </w:tcPr>
          <w:p w14:paraId="4AC3C7E3">
            <w:pPr>
              <w:jc w:val="right"/>
            </w:pPr>
            <w:r>
              <w:rPr>
                <w:rFonts w:hint="eastAsia"/>
              </w:rPr>
              <w:t>2.64%</w:t>
            </w:r>
          </w:p>
        </w:tc>
        <w:tc>
          <w:tcPr>
            <w:tcW w:w="1312" w:type="dxa"/>
            <w:vAlign w:val="center"/>
          </w:tcPr>
          <w:p w14:paraId="64DA61A8">
            <w:pPr>
              <w:jc w:val="right"/>
            </w:pPr>
            <w:r>
              <w:rPr>
                <w:rFonts w:hint="eastAsia"/>
              </w:rPr>
              <w:t>51,678.48</w:t>
            </w:r>
          </w:p>
        </w:tc>
        <w:tc>
          <w:tcPr>
            <w:tcW w:w="1256" w:type="dxa"/>
            <w:vAlign w:val="center"/>
          </w:tcPr>
          <w:p w14:paraId="30392C5A">
            <w:pPr>
              <w:jc w:val="right"/>
            </w:pPr>
            <w:r>
              <w:rPr>
                <w:rFonts w:hint="eastAsia"/>
              </w:rPr>
              <w:t>8.72%</w:t>
            </w:r>
          </w:p>
        </w:tc>
        <w:tc>
          <w:tcPr>
            <w:tcW w:w="946" w:type="dxa"/>
            <w:vAlign w:val="center"/>
          </w:tcPr>
          <w:p w14:paraId="7687A465">
            <w:pPr>
              <w:jc w:val="right"/>
            </w:pPr>
            <w:r>
              <w:rPr>
                <w:rFonts w:hint="eastAsia"/>
              </w:rPr>
              <w:t>-</w:t>
            </w:r>
          </w:p>
        </w:tc>
      </w:tr>
      <w:tr w14:paraId="5FCEC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999BC29">
            <w:r>
              <w:rPr>
                <w:rFonts w:hint="eastAsia"/>
              </w:rPr>
              <w:t>Shenwan Hongyuan Securities HK Limited</w:t>
            </w:r>
          </w:p>
        </w:tc>
        <w:tc>
          <w:tcPr>
            <w:tcW w:w="775" w:type="dxa"/>
            <w:vAlign w:val="center"/>
          </w:tcPr>
          <w:p w14:paraId="1F440D3D">
            <w:pPr>
              <w:jc w:val="right"/>
            </w:pPr>
            <w:r>
              <w:rPr>
                <w:rFonts w:hint="eastAsia"/>
              </w:rPr>
              <w:t>-</w:t>
            </w:r>
          </w:p>
        </w:tc>
        <w:tc>
          <w:tcPr>
            <w:tcW w:w="1699" w:type="dxa"/>
            <w:vAlign w:val="center"/>
          </w:tcPr>
          <w:p w14:paraId="18F174D9">
            <w:pPr>
              <w:jc w:val="right"/>
            </w:pPr>
            <w:r>
              <w:rPr>
                <w:rFonts w:hint="eastAsia"/>
              </w:rPr>
              <w:t>31,854,325.40</w:t>
            </w:r>
          </w:p>
        </w:tc>
        <w:tc>
          <w:tcPr>
            <w:tcW w:w="1201" w:type="dxa"/>
            <w:vAlign w:val="center"/>
          </w:tcPr>
          <w:p w14:paraId="74FE11BE">
            <w:pPr>
              <w:jc w:val="right"/>
            </w:pPr>
            <w:r>
              <w:rPr>
                <w:rFonts w:hint="eastAsia"/>
              </w:rPr>
              <w:t>1.63%</w:t>
            </w:r>
          </w:p>
        </w:tc>
        <w:tc>
          <w:tcPr>
            <w:tcW w:w="1312" w:type="dxa"/>
            <w:vAlign w:val="center"/>
          </w:tcPr>
          <w:p w14:paraId="4FDC0331">
            <w:pPr>
              <w:jc w:val="right"/>
            </w:pPr>
            <w:r>
              <w:rPr>
                <w:rFonts w:hint="eastAsia"/>
              </w:rPr>
              <w:t>31,854.36</w:t>
            </w:r>
          </w:p>
        </w:tc>
        <w:tc>
          <w:tcPr>
            <w:tcW w:w="1256" w:type="dxa"/>
            <w:vAlign w:val="center"/>
          </w:tcPr>
          <w:p w14:paraId="466562A8">
            <w:pPr>
              <w:jc w:val="right"/>
            </w:pPr>
            <w:r>
              <w:rPr>
                <w:rFonts w:hint="eastAsia"/>
              </w:rPr>
              <w:t>5.37%</w:t>
            </w:r>
          </w:p>
        </w:tc>
        <w:tc>
          <w:tcPr>
            <w:tcW w:w="946" w:type="dxa"/>
            <w:vAlign w:val="center"/>
          </w:tcPr>
          <w:p w14:paraId="161EEBF2">
            <w:pPr>
              <w:jc w:val="right"/>
            </w:pPr>
            <w:r>
              <w:rPr>
                <w:rFonts w:hint="eastAsia"/>
              </w:rPr>
              <w:t>-</w:t>
            </w:r>
          </w:p>
        </w:tc>
      </w:tr>
      <w:tr w14:paraId="03B68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E2DB9A9">
            <w:r>
              <w:rPr>
                <w:rFonts w:hint="eastAsia"/>
              </w:rPr>
              <w:t>GuangFa Securities (Hong Kong)Business Limited</w:t>
            </w:r>
          </w:p>
        </w:tc>
        <w:tc>
          <w:tcPr>
            <w:tcW w:w="775" w:type="dxa"/>
            <w:vAlign w:val="center"/>
          </w:tcPr>
          <w:p w14:paraId="1D8F9CB0">
            <w:pPr>
              <w:jc w:val="right"/>
            </w:pPr>
            <w:r>
              <w:rPr>
                <w:rFonts w:hint="eastAsia"/>
              </w:rPr>
              <w:t>-</w:t>
            </w:r>
          </w:p>
        </w:tc>
        <w:tc>
          <w:tcPr>
            <w:tcW w:w="1699" w:type="dxa"/>
            <w:vAlign w:val="center"/>
          </w:tcPr>
          <w:p w14:paraId="5D057527">
            <w:pPr>
              <w:jc w:val="right"/>
            </w:pPr>
            <w:r>
              <w:rPr>
                <w:rFonts w:hint="eastAsia"/>
              </w:rPr>
              <w:t>22,966,628.18</w:t>
            </w:r>
          </w:p>
        </w:tc>
        <w:tc>
          <w:tcPr>
            <w:tcW w:w="1201" w:type="dxa"/>
            <w:vAlign w:val="center"/>
          </w:tcPr>
          <w:p w14:paraId="3170650D">
            <w:pPr>
              <w:jc w:val="right"/>
            </w:pPr>
            <w:r>
              <w:rPr>
                <w:rFonts w:hint="eastAsia"/>
              </w:rPr>
              <w:t>1.18%</w:t>
            </w:r>
          </w:p>
        </w:tc>
        <w:tc>
          <w:tcPr>
            <w:tcW w:w="1312" w:type="dxa"/>
            <w:vAlign w:val="center"/>
          </w:tcPr>
          <w:p w14:paraId="018AB357">
            <w:pPr>
              <w:jc w:val="right"/>
            </w:pPr>
            <w:r>
              <w:rPr>
                <w:rFonts w:hint="eastAsia"/>
              </w:rPr>
              <w:t>27,559.96</w:t>
            </w:r>
          </w:p>
        </w:tc>
        <w:tc>
          <w:tcPr>
            <w:tcW w:w="1256" w:type="dxa"/>
            <w:vAlign w:val="center"/>
          </w:tcPr>
          <w:p w14:paraId="2C96FAC8">
            <w:pPr>
              <w:jc w:val="right"/>
            </w:pPr>
            <w:r>
              <w:rPr>
                <w:rFonts w:hint="eastAsia"/>
              </w:rPr>
              <w:t>4.65%</w:t>
            </w:r>
          </w:p>
        </w:tc>
        <w:tc>
          <w:tcPr>
            <w:tcW w:w="946" w:type="dxa"/>
            <w:vAlign w:val="center"/>
          </w:tcPr>
          <w:p w14:paraId="7640A0F3">
            <w:pPr>
              <w:jc w:val="right"/>
            </w:pPr>
            <w:r>
              <w:rPr>
                <w:rFonts w:hint="eastAsia"/>
              </w:rPr>
              <w:t>-</w:t>
            </w:r>
          </w:p>
        </w:tc>
      </w:tr>
      <w:tr w14:paraId="2F815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A6D6190">
            <w:r>
              <w:rPr>
                <w:rFonts w:hint="eastAsia"/>
              </w:rPr>
              <w:t>Cantor Fitzgerald</w:t>
            </w:r>
          </w:p>
        </w:tc>
        <w:tc>
          <w:tcPr>
            <w:tcW w:w="775" w:type="dxa"/>
            <w:vAlign w:val="center"/>
          </w:tcPr>
          <w:p w14:paraId="2E9C6E16">
            <w:pPr>
              <w:jc w:val="right"/>
            </w:pPr>
            <w:r>
              <w:rPr>
                <w:rFonts w:hint="eastAsia"/>
              </w:rPr>
              <w:t>-</w:t>
            </w:r>
          </w:p>
        </w:tc>
        <w:tc>
          <w:tcPr>
            <w:tcW w:w="1699" w:type="dxa"/>
            <w:vAlign w:val="center"/>
          </w:tcPr>
          <w:p w14:paraId="29E82A5A">
            <w:pPr>
              <w:jc w:val="right"/>
            </w:pPr>
            <w:r>
              <w:rPr>
                <w:rFonts w:hint="eastAsia"/>
              </w:rPr>
              <w:t>17,500,299.05</w:t>
            </w:r>
          </w:p>
        </w:tc>
        <w:tc>
          <w:tcPr>
            <w:tcW w:w="1201" w:type="dxa"/>
            <w:vAlign w:val="center"/>
          </w:tcPr>
          <w:p w14:paraId="3CD2FFA5">
            <w:pPr>
              <w:jc w:val="right"/>
            </w:pPr>
            <w:r>
              <w:rPr>
                <w:rFonts w:hint="eastAsia"/>
              </w:rPr>
              <w:t>0.90%</w:t>
            </w:r>
          </w:p>
        </w:tc>
        <w:tc>
          <w:tcPr>
            <w:tcW w:w="1312" w:type="dxa"/>
            <w:vAlign w:val="center"/>
          </w:tcPr>
          <w:p w14:paraId="2661F8D7">
            <w:pPr>
              <w:jc w:val="right"/>
            </w:pPr>
            <w:r>
              <w:rPr>
                <w:rFonts w:hint="eastAsia"/>
              </w:rPr>
              <w:t>21,000.36</w:t>
            </w:r>
          </w:p>
        </w:tc>
        <w:tc>
          <w:tcPr>
            <w:tcW w:w="1256" w:type="dxa"/>
            <w:vAlign w:val="center"/>
          </w:tcPr>
          <w:p w14:paraId="36A03E2C">
            <w:pPr>
              <w:jc w:val="right"/>
            </w:pPr>
            <w:r>
              <w:rPr>
                <w:rFonts w:hint="eastAsia"/>
              </w:rPr>
              <w:t>3.54%</w:t>
            </w:r>
          </w:p>
        </w:tc>
        <w:tc>
          <w:tcPr>
            <w:tcW w:w="946" w:type="dxa"/>
            <w:vAlign w:val="center"/>
          </w:tcPr>
          <w:p w14:paraId="2F5856FC">
            <w:pPr>
              <w:jc w:val="right"/>
            </w:pPr>
            <w:r>
              <w:rPr>
                <w:rFonts w:hint="eastAsia"/>
              </w:rPr>
              <w:t>-</w:t>
            </w:r>
          </w:p>
        </w:tc>
      </w:tr>
      <w:tr w14:paraId="69DDF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25738B2">
            <w:r>
              <w:rPr>
                <w:rFonts w:hint="eastAsia"/>
              </w:rPr>
              <w:t>Haitong International Securities Co.,Ltd</w:t>
            </w:r>
          </w:p>
        </w:tc>
        <w:tc>
          <w:tcPr>
            <w:tcW w:w="775" w:type="dxa"/>
            <w:vAlign w:val="center"/>
          </w:tcPr>
          <w:p w14:paraId="1695854F">
            <w:pPr>
              <w:jc w:val="right"/>
            </w:pPr>
            <w:r>
              <w:rPr>
                <w:rFonts w:hint="eastAsia"/>
              </w:rPr>
              <w:t>-</w:t>
            </w:r>
          </w:p>
        </w:tc>
        <w:tc>
          <w:tcPr>
            <w:tcW w:w="1699" w:type="dxa"/>
            <w:vAlign w:val="center"/>
          </w:tcPr>
          <w:p w14:paraId="44440FA7">
            <w:pPr>
              <w:jc w:val="right"/>
            </w:pPr>
            <w:r>
              <w:rPr>
                <w:rFonts w:hint="eastAsia"/>
              </w:rPr>
              <w:t>822,380.39</w:t>
            </w:r>
          </w:p>
        </w:tc>
        <w:tc>
          <w:tcPr>
            <w:tcW w:w="1201" w:type="dxa"/>
            <w:vAlign w:val="center"/>
          </w:tcPr>
          <w:p w14:paraId="04C0AC6C">
            <w:pPr>
              <w:jc w:val="right"/>
            </w:pPr>
            <w:r>
              <w:rPr>
                <w:rFonts w:hint="eastAsia"/>
              </w:rPr>
              <w:t>0.04%</w:t>
            </w:r>
          </w:p>
        </w:tc>
        <w:tc>
          <w:tcPr>
            <w:tcW w:w="1312" w:type="dxa"/>
            <w:vAlign w:val="center"/>
          </w:tcPr>
          <w:p w14:paraId="34317097">
            <w:pPr>
              <w:jc w:val="right"/>
            </w:pPr>
            <w:r>
              <w:rPr>
                <w:rFonts w:hint="eastAsia"/>
              </w:rPr>
              <w:t>822.38</w:t>
            </w:r>
          </w:p>
        </w:tc>
        <w:tc>
          <w:tcPr>
            <w:tcW w:w="1256" w:type="dxa"/>
            <w:vAlign w:val="center"/>
          </w:tcPr>
          <w:p w14:paraId="4FAAAB92">
            <w:pPr>
              <w:jc w:val="right"/>
            </w:pPr>
            <w:r>
              <w:rPr>
                <w:rFonts w:hint="eastAsia"/>
              </w:rPr>
              <w:t>0.14%</w:t>
            </w:r>
          </w:p>
        </w:tc>
        <w:tc>
          <w:tcPr>
            <w:tcW w:w="946" w:type="dxa"/>
            <w:vAlign w:val="center"/>
          </w:tcPr>
          <w:p w14:paraId="4FA08583">
            <w:pPr>
              <w:jc w:val="right"/>
            </w:pPr>
            <w:r>
              <w:rPr>
                <w:rFonts w:hint="eastAsia"/>
              </w:rPr>
              <w:t>-</w:t>
            </w:r>
          </w:p>
        </w:tc>
      </w:tr>
    </w:tbl>
    <w:p w14:paraId="0C6C97A5">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5A4A73FA">
      <w:pPr>
        <w:pStyle w:val="47"/>
        <w:rPr>
          <w:rFonts w:hint="eastAsia"/>
        </w:rPr>
      </w:pPr>
      <w:r>
        <w:tab/>
      </w:r>
      <w:r>
        <w:rPr>
          <w:rFonts w:hint="eastAsia"/>
        </w:rPr>
        <w:t>1、选择标准</w:t>
      </w:r>
    </w:p>
    <w:p w14:paraId="075CA2BE">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260414D3">
      <w:pPr>
        <w:pStyle w:val="47"/>
        <w:rPr>
          <w:rFonts w:hint="eastAsia"/>
        </w:rPr>
      </w:pPr>
      <w:r>
        <w:tab/>
      </w:r>
      <w:r>
        <w:rPr>
          <w:rFonts w:hint="eastAsia"/>
        </w:rPr>
        <w:t>2、选择程序</w:t>
      </w:r>
    </w:p>
    <w:p w14:paraId="6DDDAE23">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4AE38CBE">
      <w:pPr>
        <w:pStyle w:val="47"/>
        <w:rPr>
          <w:rFonts w:hint="eastAsia"/>
        </w:rPr>
      </w:pPr>
      <w:r>
        <w:tab/>
      </w:r>
      <w:r>
        <w:rPr>
          <w:rFonts w:hint="eastAsia"/>
        </w:rPr>
        <w:t>（2）基金管理人根据其建立的服务评价及交易量分配机制，定期对证券公司开展评价后，根据评价结果进行交易量的分配。</w:t>
      </w:r>
    </w:p>
    <w:p w14:paraId="1BF8EE74">
      <w:pPr>
        <w:pStyle w:val="47"/>
        <w:rPr>
          <w:rFonts w:hint="eastAsia"/>
        </w:rPr>
      </w:pPr>
      <w:r>
        <w:tab/>
      </w:r>
      <w:r>
        <w:rPr>
          <w:rFonts w:hint="eastAsia"/>
        </w:rPr>
        <w:t>3、报告期内基金租用券商交易单元的变更情况：新增交易单元：广发证券；减少交易单元：无。</w:t>
      </w:r>
    </w:p>
    <w:p w14:paraId="0F446F8F">
      <w:pPr>
        <w:pStyle w:val="28"/>
      </w:pPr>
      <w:bookmarkStart w:id="208" w:name="_Toc208"/>
      <w:r>
        <w:t>基金租用证券公司交易单元进行其他证券投资的情况</w:t>
      </w:r>
      <w:bookmarkEnd w:id="208"/>
    </w:p>
    <w:p w14:paraId="3E217F7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0F1F9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571002BE">
            <w:pPr>
              <w:jc w:val="center"/>
            </w:pPr>
            <w:r>
              <w:rPr>
                <w:rFonts w:hint="eastAsia"/>
                <w:b/>
              </w:rPr>
              <w:t>券商名称</w:t>
            </w:r>
          </w:p>
        </w:tc>
        <w:tc>
          <w:tcPr>
            <w:tcW w:w="1508" w:type="dxa"/>
            <w:gridSpan w:val="2"/>
            <w:shd w:val="clear" w:color="auto" w:fill="BFBFBF"/>
            <w:vAlign w:val="center"/>
          </w:tcPr>
          <w:p w14:paraId="511D7E0E">
            <w:pPr>
              <w:jc w:val="center"/>
            </w:pPr>
            <w:r>
              <w:rPr>
                <w:rFonts w:hint="eastAsia"/>
                <w:b/>
              </w:rPr>
              <w:t>债券交易</w:t>
            </w:r>
          </w:p>
        </w:tc>
        <w:tc>
          <w:tcPr>
            <w:tcW w:w="1697" w:type="dxa"/>
            <w:gridSpan w:val="2"/>
            <w:shd w:val="clear" w:color="auto" w:fill="BFBFBF"/>
            <w:vAlign w:val="center"/>
          </w:tcPr>
          <w:p w14:paraId="3BF8525D">
            <w:pPr>
              <w:jc w:val="center"/>
            </w:pPr>
            <w:r>
              <w:rPr>
                <w:rFonts w:hint="eastAsia"/>
                <w:b/>
              </w:rPr>
              <w:t>债券回购交易</w:t>
            </w:r>
          </w:p>
        </w:tc>
        <w:tc>
          <w:tcPr>
            <w:tcW w:w="1508" w:type="dxa"/>
            <w:gridSpan w:val="2"/>
            <w:shd w:val="clear" w:color="auto" w:fill="BFBFBF"/>
            <w:vAlign w:val="center"/>
          </w:tcPr>
          <w:p w14:paraId="6862FA30">
            <w:pPr>
              <w:jc w:val="center"/>
            </w:pPr>
            <w:r>
              <w:rPr>
                <w:rFonts w:hint="eastAsia"/>
                <w:b/>
              </w:rPr>
              <w:t>权证交易</w:t>
            </w:r>
          </w:p>
        </w:tc>
      </w:tr>
      <w:tr w14:paraId="18094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3B01C430"/>
        </w:tc>
        <w:tc>
          <w:tcPr>
            <w:tcW w:w="1508" w:type="dxa"/>
            <w:shd w:val="clear" w:color="auto" w:fill="BFBFBF"/>
            <w:vAlign w:val="center"/>
          </w:tcPr>
          <w:p w14:paraId="61447D1A">
            <w:pPr>
              <w:jc w:val="center"/>
            </w:pPr>
            <w:r>
              <w:rPr>
                <w:rFonts w:hint="eastAsia"/>
                <w:b/>
              </w:rPr>
              <w:t>成交金额</w:t>
            </w:r>
          </w:p>
        </w:tc>
        <w:tc>
          <w:tcPr>
            <w:tcW w:w="895" w:type="dxa"/>
            <w:shd w:val="clear" w:color="auto" w:fill="BFBFBF"/>
            <w:vAlign w:val="center"/>
          </w:tcPr>
          <w:p w14:paraId="7EEB710F">
            <w:pPr>
              <w:jc w:val="center"/>
            </w:pPr>
            <w:r>
              <w:rPr>
                <w:rFonts w:hint="eastAsia"/>
                <w:b/>
              </w:rPr>
              <w:t>占当期债券成交总额的比例</w:t>
            </w:r>
          </w:p>
        </w:tc>
        <w:tc>
          <w:tcPr>
            <w:tcW w:w="1697" w:type="dxa"/>
            <w:shd w:val="clear" w:color="auto" w:fill="BFBFBF"/>
            <w:vAlign w:val="center"/>
          </w:tcPr>
          <w:p w14:paraId="100243D1">
            <w:pPr>
              <w:jc w:val="center"/>
            </w:pPr>
            <w:r>
              <w:rPr>
                <w:rFonts w:hint="eastAsia"/>
                <w:b/>
              </w:rPr>
              <w:t>成交金额</w:t>
            </w:r>
          </w:p>
        </w:tc>
        <w:tc>
          <w:tcPr>
            <w:tcW w:w="895" w:type="dxa"/>
            <w:shd w:val="clear" w:color="auto" w:fill="BFBFBF"/>
            <w:vAlign w:val="center"/>
          </w:tcPr>
          <w:p w14:paraId="2DEA85BB">
            <w:pPr>
              <w:jc w:val="center"/>
            </w:pPr>
            <w:r>
              <w:rPr>
                <w:rFonts w:hint="eastAsia"/>
                <w:b/>
              </w:rPr>
              <w:t>占当期债券回购成交总额的比例</w:t>
            </w:r>
          </w:p>
        </w:tc>
        <w:tc>
          <w:tcPr>
            <w:tcW w:w="1508" w:type="dxa"/>
            <w:shd w:val="clear" w:color="auto" w:fill="BFBFBF"/>
            <w:vAlign w:val="center"/>
          </w:tcPr>
          <w:p w14:paraId="3D74FA02">
            <w:pPr>
              <w:jc w:val="center"/>
            </w:pPr>
            <w:r>
              <w:rPr>
                <w:rFonts w:hint="eastAsia"/>
                <w:b/>
              </w:rPr>
              <w:t>成交金额</w:t>
            </w:r>
          </w:p>
        </w:tc>
        <w:tc>
          <w:tcPr>
            <w:tcW w:w="900" w:type="dxa"/>
            <w:shd w:val="clear" w:color="auto" w:fill="BFBFBF"/>
            <w:vAlign w:val="center"/>
          </w:tcPr>
          <w:p w14:paraId="5722A8E6">
            <w:pPr>
              <w:jc w:val="center"/>
            </w:pPr>
            <w:r>
              <w:rPr>
                <w:rFonts w:hint="eastAsia"/>
                <w:b/>
              </w:rPr>
              <w:t>占当期权证成交总额的比例</w:t>
            </w:r>
          </w:p>
        </w:tc>
      </w:tr>
      <w:tr w14:paraId="1FB41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A88D7CD">
            <w:r>
              <w:rPr>
                <w:rFonts w:hint="eastAsia"/>
              </w:rPr>
              <w:t>广发证券</w:t>
            </w:r>
          </w:p>
        </w:tc>
        <w:tc>
          <w:tcPr>
            <w:tcW w:w="1508" w:type="dxa"/>
            <w:vAlign w:val="center"/>
          </w:tcPr>
          <w:p w14:paraId="7014C594">
            <w:pPr>
              <w:jc w:val="right"/>
            </w:pPr>
            <w:r>
              <w:rPr>
                <w:rFonts w:hint="eastAsia"/>
              </w:rPr>
              <w:t>-</w:t>
            </w:r>
          </w:p>
        </w:tc>
        <w:tc>
          <w:tcPr>
            <w:tcW w:w="895" w:type="dxa"/>
            <w:vAlign w:val="center"/>
          </w:tcPr>
          <w:p w14:paraId="2BEA6F07">
            <w:pPr>
              <w:jc w:val="right"/>
            </w:pPr>
            <w:r>
              <w:rPr>
                <w:rFonts w:hint="eastAsia"/>
              </w:rPr>
              <w:t>-</w:t>
            </w:r>
          </w:p>
        </w:tc>
        <w:tc>
          <w:tcPr>
            <w:tcW w:w="1697" w:type="dxa"/>
            <w:vAlign w:val="center"/>
          </w:tcPr>
          <w:p w14:paraId="779FB616">
            <w:pPr>
              <w:jc w:val="right"/>
            </w:pPr>
            <w:r>
              <w:rPr>
                <w:rFonts w:hint="eastAsia"/>
              </w:rPr>
              <w:t>-</w:t>
            </w:r>
          </w:p>
        </w:tc>
        <w:tc>
          <w:tcPr>
            <w:tcW w:w="895" w:type="dxa"/>
            <w:vAlign w:val="center"/>
          </w:tcPr>
          <w:p w14:paraId="6B228395">
            <w:pPr>
              <w:jc w:val="right"/>
            </w:pPr>
            <w:r>
              <w:rPr>
                <w:rFonts w:hint="eastAsia"/>
              </w:rPr>
              <w:t>-</w:t>
            </w:r>
          </w:p>
        </w:tc>
        <w:tc>
          <w:tcPr>
            <w:tcW w:w="1508" w:type="dxa"/>
            <w:vAlign w:val="center"/>
          </w:tcPr>
          <w:p w14:paraId="53D77EDC">
            <w:pPr>
              <w:jc w:val="right"/>
            </w:pPr>
            <w:r>
              <w:rPr>
                <w:rFonts w:hint="eastAsia"/>
              </w:rPr>
              <w:t>-</w:t>
            </w:r>
          </w:p>
        </w:tc>
        <w:tc>
          <w:tcPr>
            <w:tcW w:w="900" w:type="dxa"/>
            <w:vAlign w:val="center"/>
          </w:tcPr>
          <w:p w14:paraId="7EAFAEAC">
            <w:pPr>
              <w:jc w:val="right"/>
            </w:pPr>
            <w:r>
              <w:rPr>
                <w:rFonts w:hint="eastAsia"/>
              </w:rPr>
              <w:t>-</w:t>
            </w:r>
          </w:p>
        </w:tc>
      </w:tr>
      <w:tr w14:paraId="3C29E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6F060DC">
            <w:r>
              <w:rPr>
                <w:rFonts w:hint="eastAsia"/>
              </w:rPr>
              <w:t>Soochow Securities International Brokerage Limited</w:t>
            </w:r>
          </w:p>
        </w:tc>
        <w:tc>
          <w:tcPr>
            <w:tcW w:w="1508" w:type="dxa"/>
            <w:vAlign w:val="center"/>
          </w:tcPr>
          <w:p w14:paraId="5AFB6C07">
            <w:pPr>
              <w:jc w:val="right"/>
            </w:pPr>
            <w:r>
              <w:rPr>
                <w:rFonts w:hint="eastAsia"/>
              </w:rPr>
              <w:t>-</w:t>
            </w:r>
          </w:p>
        </w:tc>
        <w:tc>
          <w:tcPr>
            <w:tcW w:w="895" w:type="dxa"/>
            <w:vAlign w:val="center"/>
          </w:tcPr>
          <w:p w14:paraId="076AB1A9">
            <w:pPr>
              <w:jc w:val="right"/>
            </w:pPr>
            <w:r>
              <w:rPr>
                <w:rFonts w:hint="eastAsia"/>
              </w:rPr>
              <w:t>-</w:t>
            </w:r>
          </w:p>
        </w:tc>
        <w:tc>
          <w:tcPr>
            <w:tcW w:w="1697" w:type="dxa"/>
            <w:vAlign w:val="center"/>
          </w:tcPr>
          <w:p w14:paraId="1CD3D5F7">
            <w:pPr>
              <w:jc w:val="right"/>
            </w:pPr>
            <w:r>
              <w:rPr>
                <w:rFonts w:hint="eastAsia"/>
              </w:rPr>
              <w:t>-</w:t>
            </w:r>
          </w:p>
        </w:tc>
        <w:tc>
          <w:tcPr>
            <w:tcW w:w="895" w:type="dxa"/>
            <w:vAlign w:val="center"/>
          </w:tcPr>
          <w:p w14:paraId="51F697C0">
            <w:pPr>
              <w:jc w:val="right"/>
            </w:pPr>
            <w:r>
              <w:rPr>
                <w:rFonts w:hint="eastAsia"/>
              </w:rPr>
              <w:t>-</w:t>
            </w:r>
          </w:p>
        </w:tc>
        <w:tc>
          <w:tcPr>
            <w:tcW w:w="1508" w:type="dxa"/>
            <w:vAlign w:val="center"/>
          </w:tcPr>
          <w:p w14:paraId="20597BB9">
            <w:pPr>
              <w:jc w:val="right"/>
            </w:pPr>
            <w:r>
              <w:rPr>
                <w:rFonts w:hint="eastAsia"/>
              </w:rPr>
              <w:t>-</w:t>
            </w:r>
          </w:p>
        </w:tc>
        <w:tc>
          <w:tcPr>
            <w:tcW w:w="900" w:type="dxa"/>
            <w:vAlign w:val="center"/>
          </w:tcPr>
          <w:p w14:paraId="58309C86">
            <w:pPr>
              <w:jc w:val="right"/>
            </w:pPr>
            <w:r>
              <w:rPr>
                <w:rFonts w:hint="eastAsia"/>
              </w:rPr>
              <w:t>-</w:t>
            </w:r>
          </w:p>
        </w:tc>
      </w:tr>
      <w:tr w14:paraId="5B257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CC95645">
            <w:r>
              <w:rPr>
                <w:rFonts w:hint="eastAsia"/>
              </w:rPr>
              <w:t>CITI Group Global Markets Asia Limited</w:t>
            </w:r>
          </w:p>
        </w:tc>
        <w:tc>
          <w:tcPr>
            <w:tcW w:w="1508" w:type="dxa"/>
            <w:vAlign w:val="center"/>
          </w:tcPr>
          <w:p w14:paraId="6429B3BA">
            <w:pPr>
              <w:jc w:val="right"/>
            </w:pPr>
            <w:r>
              <w:rPr>
                <w:rFonts w:hint="eastAsia"/>
              </w:rPr>
              <w:t>-</w:t>
            </w:r>
          </w:p>
        </w:tc>
        <w:tc>
          <w:tcPr>
            <w:tcW w:w="895" w:type="dxa"/>
            <w:vAlign w:val="center"/>
          </w:tcPr>
          <w:p w14:paraId="0C8A8FF1">
            <w:pPr>
              <w:jc w:val="right"/>
            </w:pPr>
            <w:r>
              <w:rPr>
                <w:rFonts w:hint="eastAsia"/>
              </w:rPr>
              <w:t>-</w:t>
            </w:r>
          </w:p>
        </w:tc>
        <w:tc>
          <w:tcPr>
            <w:tcW w:w="1697" w:type="dxa"/>
            <w:vAlign w:val="center"/>
          </w:tcPr>
          <w:p w14:paraId="4A902031">
            <w:pPr>
              <w:jc w:val="right"/>
            </w:pPr>
            <w:r>
              <w:rPr>
                <w:rFonts w:hint="eastAsia"/>
              </w:rPr>
              <w:t>-</w:t>
            </w:r>
          </w:p>
        </w:tc>
        <w:tc>
          <w:tcPr>
            <w:tcW w:w="895" w:type="dxa"/>
            <w:vAlign w:val="center"/>
          </w:tcPr>
          <w:p w14:paraId="4949887C">
            <w:pPr>
              <w:jc w:val="right"/>
            </w:pPr>
            <w:r>
              <w:rPr>
                <w:rFonts w:hint="eastAsia"/>
              </w:rPr>
              <w:t>-</w:t>
            </w:r>
          </w:p>
        </w:tc>
        <w:tc>
          <w:tcPr>
            <w:tcW w:w="1508" w:type="dxa"/>
            <w:vAlign w:val="center"/>
          </w:tcPr>
          <w:p w14:paraId="7274FC90">
            <w:pPr>
              <w:jc w:val="right"/>
            </w:pPr>
            <w:r>
              <w:rPr>
                <w:rFonts w:hint="eastAsia"/>
              </w:rPr>
              <w:t>-</w:t>
            </w:r>
          </w:p>
        </w:tc>
        <w:tc>
          <w:tcPr>
            <w:tcW w:w="900" w:type="dxa"/>
            <w:vAlign w:val="center"/>
          </w:tcPr>
          <w:p w14:paraId="268E5CBE">
            <w:pPr>
              <w:jc w:val="right"/>
            </w:pPr>
            <w:r>
              <w:rPr>
                <w:rFonts w:hint="eastAsia"/>
              </w:rPr>
              <w:t>-</w:t>
            </w:r>
          </w:p>
        </w:tc>
      </w:tr>
      <w:tr w14:paraId="49DC1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463B26D">
            <w:r>
              <w:rPr>
                <w:rFonts w:hint="eastAsia"/>
              </w:rPr>
              <w:t>BOCI Securities Limited</w:t>
            </w:r>
          </w:p>
        </w:tc>
        <w:tc>
          <w:tcPr>
            <w:tcW w:w="1508" w:type="dxa"/>
            <w:vAlign w:val="center"/>
          </w:tcPr>
          <w:p w14:paraId="4F598532">
            <w:pPr>
              <w:jc w:val="right"/>
            </w:pPr>
            <w:r>
              <w:rPr>
                <w:rFonts w:hint="eastAsia"/>
              </w:rPr>
              <w:t>-</w:t>
            </w:r>
          </w:p>
        </w:tc>
        <w:tc>
          <w:tcPr>
            <w:tcW w:w="895" w:type="dxa"/>
            <w:vAlign w:val="center"/>
          </w:tcPr>
          <w:p w14:paraId="275F6D82">
            <w:pPr>
              <w:jc w:val="right"/>
            </w:pPr>
            <w:r>
              <w:rPr>
                <w:rFonts w:hint="eastAsia"/>
              </w:rPr>
              <w:t>-</w:t>
            </w:r>
          </w:p>
        </w:tc>
        <w:tc>
          <w:tcPr>
            <w:tcW w:w="1697" w:type="dxa"/>
            <w:vAlign w:val="center"/>
          </w:tcPr>
          <w:p w14:paraId="586C7EF9">
            <w:pPr>
              <w:jc w:val="right"/>
            </w:pPr>
            <w:r>
              <w:rPr>
                <w:rFonts w:hint="eastAsia"/>
              </w:rPr>
              <w:t>-</w:t>
            </w:r>
          </w:p>
        </w:tc>
        <w:tc>
          <w:tcPr>
            <w:tcW w:w="895" w:type="dxa"/>
            <w:vAlign w:val="center"/>
          </w:tcPr>
          <w:p w14:paraId="21D83ED8">
            <w:pPr>
              <w:jc w:val="right"/>
            </w:pPr>
            <w:r>
              <w:rPr>
                <w:rFonts w:hint="eastAsia"/>
              </w:rPr>
              <w:t>-</w:t>
            </w:r>
          </w:p>
        </w:tc>
        <w:tc>
          <w:tcPr>
            <w:tcW w:w="1508" w:type="dxa"/>
            <w:vAlign w:val="center"/>
          </w:tcPr>
          <w:p w14:paraId="7FFA97F5">
            <w:pPr>
              <w:jc w:val="right"/>
            </w:pPr>
            <w:r>
              <w:rPr>
                <w:rFonts w:hint="eastAsia"/>
              </w:rPr>
              <w:t>-</w:t>
            </w:r>
          </w:p>
        </w:tc>
        <w:tc>
          <w:tcPr>
            <w:tcW w:w="900" w:type="dxa"/>
            <w:vAlign w:val="center"/>
          </w:tcPr>
          <w:p w14:paraId="0447D021">
            <w:pPr>
              <w:jc w:val="right"/>
            </w:pPr>
            <w:r>
              <w:rPr>
                <w:rFonts w:hint="eastAsia"/>
              </w:rPr>
              <w:t>-</w:t>
            </w:r>
          </w:p>
        </w:tc>
      </w:tr>
      <w:tr w14:paraId="55143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2DB7005">
            <w:r>
              <w:rPr>
                <w:rFonts w:hint="eastAsia"/>
              </w:rPr>
              <w:t>Shenwan Hongyuan Securities HK Limited</w:t>
            </w:r>
          </w:p>
        </w:tc>
        <w:tc>
          <w:tcPr>
            <w:tcW w:w="1508" w:type="dxa"/>
            <w:vAlign w:val="center"/>
          </w:tcPr>
          <w:p w14:paraId="6B8F8E72">
            <w:pPr>
              <w:jc w:val="right"/>
            </w:pPr>
            <w:r>
              <w:rPr>
                <w:rFonts w:hint="eastAsia"/>
              </w:rPr>
              <w:t>-</w:t>
            </w:r>
          </w:p>
        </w:tc>
        <w:tc>
          <w:tcPr>
            <w:tcW w:w="895" w:type="dxa"/>
            <w:vAlign w:val="center"/>
          </w:tcPr>
          <w:p w14:paraId="5B09E789">
            <w:pPr>
              <w:jc w:val="right"/>
            </w:pPr>
            <w:r>
              <w:rPr>
                <w:rFonts w:hint="eastAsia"/>
              </w:rPr>
              <w:t>-</w:t>
            </w:r>
          </w:p>
        </w:tc>
        <w:tc>
          <w:tcPr>
            <w:tcW w:w="1697" w:type="dxa"/>
            <w:vAlign w:val="center"/>
          </w:tcPr>
          <w:p w14:paraId="3A826964">
            <w:pPr>
              <w:jc w:val="right"/>
            </w:pPr>
            <w:r>
              <w:rPr>
                <w:rFonts w:hint="eastAsia"/>
              </w:rPr>
              <w:t>-</w:t>
            </w:r>
          </w:p>
        </w:tc>
        <w:tc>
          <w:tcPr>
            <w:tcW w:w="895" w:type="dxa"/>
            <w:vAlign w:val="center"/>
          </w:tcPr>
          <w:p w14:paraId="166B2332">
            <w:pPr>
              <w:jc w:val="right"/>
            </w:pPr>
            <w:r>
              <w:rPr>
                <w:rFonts w:hint="eastAsia"/>
              </w:rPr>
              <w:t>-</w:t>
            </w:r>
          </w:p>
        </w:tc>
        <w:tc>
          <w:tcPr>
            <w:tcW w:w="1508" w:type="dxa"/>
            <w:vAlign w:val="center"/>
          </w:tcPr>
          <w:p w14:paraId="007BD43A">
            <w:pPr>
              <w:jc w:val="right"/>
            </w:pPr>
            <w:r>
              <w:rPr>
                <w:rFonts w:hint="eastAsia"/>
              </w:rPr>
              <w:t>-</w:t>
            </w:r>
          </w:p>
        </w:tc>
        <w:tc>
          <w:tcPr>
            <w:tcW w:w="900" w:type="dxa"/>
            <w:vAlign w:val="center"/>
          </w:tcPr>
          <w:p w14:paraId="5FD37A00">
            <w:pPr>
              <w:jc w:val="right"/>
            </w:pPr>
            <w:r>
              <w:rPr>
                <w:rFonts w:hint="eastAsia"/>
              </w:rPr>
              <w:t>-</w:t>
            </w:r>
          </w:p>
        </w:tc>
      </w:tr>
      <w:tr w14:paraId="04BBB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475449E">
            <w:r>
              <w:rPr>
                <w:rFonts w:hint="eastAsia"/>
              </w:rPr>
              <w:t>GuangFa Securities (Hong Kong)Business Limited</w:t>
            </w:r>
          </w:p>
        </w:tc>
        <w:tc>
          <w:tcPr>
            <w:tcW w:w="1508" w:type="dxa"/>
            <w:vAlign w:val="center"/>
          </w:tcPr>
          <w:p w14:paraId="732E64BF">
            <w:pPr>
              <w:jc w:val="right"/>
            </w:pPr>
            <w:r>
              <w:rPr>
                <w:rFonts w:hint="eastAsia"/>
              </w:rPr>
              <w:t>-</w:t>
            </w:r>
          </w:p>
        </w:tc>
        <w:tc>
          <w:tcPr>
            <w:tcW w:w="895" w:type="dxa"/>
            <w:vAlign w:val="center"/>
          </w:tcPr>
          <w:p w14:paraId="79C57037">
            <w:pPr>
              <w:jc w:val="right"/>
            </w:pPr>
            <w:r>
              <w:rPr>
                <w:rFonts w:hint="eastAsia"/>
              </w:rPr>
              <w:t>-</w:t>
            </w:r>
          </w:p>
        </w:tc>
        <w:tc>
          <w:tcPr>
            <w:tcW w:w="1697" w:type="dxa"/>
            <w:vAlign w:val="center"/>
          </w:tcPr>
          <w:p w14:paraId="536A4E62">
            <w:pPr>
              <w:jc w:val="right"/>
            </w:pPr>
            <w:r>
              <w:rPr>
                <w:rFonts w:hint="eastAsia"/>
              </w:rPr>
              <w:t>-</w:t>
            </w:r>
          </w:p>
        </w:tc>
        <w:tc>
          <w:tcPr>
            <w:tcW w:w="895" w:type="dxa"/>
            <w:vAlign w:val="center"/>
          </w:tcPr>
          <w:p w14:paraId="713EDD19">
            <w:pPr>
              <w:jc w:val="right"/>
            </w:pPr>
            <w:r>
              <w:rPr>
                <w:rFonts w:hint="eastAsia"/>
              </w:rPr>
              <w:t>-</w:t>
            </w:r>
          </w:p>
        </w:tc>
        <w:tc>
          <w:tcPr>
            <w:tcW w:w="1508" w:type="dxa"/>
            <w:vAlign w:val="center"/>
          </w:tcPr>
          <w:p w14:paraId="2560FB17">
            <w:pPr>
              <w:jc w:val="right"/>
            </w:pPr>
            <w:r>
              <w:rPr>
                <w:rFonts w:hint="eastAsia"/>
              </w:rPr>
              <w:t>-</w:t>
            </w:r>
          </w:p>
        </w:tc>
        <w:tc>
          <w:tcPr>
            <w:tcW w:w="900" w:type="dxa"/>
            <w:vAlign w:val="center"/>
          </w:tcPr>
          <w:p w14:paraId="7200B0E6">
            <w:pPr>
              <w:jc w:val="right"/>
            </w:pPr>
            <w:r>
              <w:rPr>
                <w:rFonts w:hint="eastAsia"/>
              </w:rPr>
              <w:t>-</w:t>
            </w:r>
          </w:p>
        </w:tc>
      </w:tr>
      <w:tr w14:paraId="0C222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2C2D694">
            <w:r>
              <w:rPr>
                <w:rFonts w:hint="eastAsia"/>
              </w:rPr>
              <w:t>Cantor Fitzgerald</w:t>
            </w:r>
          </w:p>
        </w:tc>
        <w:tc>
          <w:tcPr>
            <w:tcW w:w="1508" w:type="dxa"/>
            <w:vAlign w:val="center"/>
          </w:tcPr>
          <w:p w14:paraId="197D7715">
            <w:pPr>
              <w:jc w:val="right"/>
            </w:pPr>
            <w:r>
              <w:rPr>
                <w:rFonts w:hint="eastAsia"/>
              </w:rPr>
              <w:t>-</w:t>
            </w:r>
          </w:p>
        </w:tc>
        <w:tc>
          <w:tcPr>
            <w:tcW w:w="895" w:type="dxa"/>
            <w:vAlign w:val="center"/>
          </w:tcPr>
          <w:p w14:paraId="3B2C46E8">
            <w:pPr>
              <w:jc w:val="right"/>
            </w:pPr>
            <w:r>
              <w:rPr>
                <w:rFonts w:hint="eastAsia"/>
              </w:rPr>
              <w:t>-</w:t>
            </w:r>
          </w:p>
        </w:tc>
        <w:tc>
          <w:tcPr>
            <w:tcW w:w="1697" w:type="dxa"/>
            <w:vAlign w:val="center"/>
          </w:tcPr>
          <w:p w14:paraId="3B0FFE7E">
            <w:pPr>
              <w:jc w:val="right"/>
            </w:pPr>
            <w:r>
              <w:rPr>
                <w:rFonts w:hint="eastAsia"/>
              </w:rPr>
              <w:t>-</w:t>
            </w:r>
          </w:p>
        </w:tc>
        <w:tc>
          <w:tcPr>
            <w:tcW w:w="895" w:type="dxa"/>
            <w:vAlign w:val="center"/>
          </w:tcPr>
          <w:p w14:paraId="469427B5">
            <w:pPr>
              <w:jc w:val="right"/>
            </w:pPr>
            <w:r>
              <w:rPr>
                <w:rFonts w:hint="eastAsia"/>
              </w:rPr>
              <w:t>-</w:t>
            </w:r>
          </w:p>
        </w:tc>
        <w:tc>
          <w:tcPr>
            <w:tcW w:w="1508" w:type="dxa"/>
            <w:vAlign w:val="center"/>
          </w:tcPr>
          <w:p w14:paraId="14A35A4D">
            <w:pPr>
              <w:jc w:val="right"/>
            </w:pPr>
            <w:r>
              <w:rPr>
                <w:rFonts w:hint="eastAsia"/>
              </w:rPr>
              <w:t>-</w:t>
            </w:r>
          </w:p>
        </w:tc>
        <w:tc>
          <w:tcPr>
            <w:tcW w:w="900" w:type="dxa"/>
            <w:vAlign w:val="center"/>
          </w:tcPr>
          <w:p w14:paraId="73347602">
            <w:pPr>
              <w:jc w:val="right"/>
            </w:pPr>
            <w:r>
              <w:rPr>
                <w:rFonts w:hint="eastAsia"/>
              </w:rPr>
              <w:t>-</w:t>
            </w:r>
          </w:p>
        </w:tc>
      </w:tr>
      <w:tr w14:paraId="63FB9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BD2D59D">
            <w:r>
              <w:rPr>
                <w:rFonts w:hint="eastAsia"/>
              </w:rPr>
              <w:t>Haitong International Securities Co.,Ltd</w:t>
            </w:r>
          </w:p>
        </w:tc>
        <w:tc>
          <w:tcPr>
            <w:tcW w:w="1508" w:type="dxa"/>
            <w:vAlign w:val="center"/>
          </w:tcPr>
          <w:p w14:paraId="7F2CFF4D">
            <w:pPr>
              <w:jc w:val="right"/>
            </w:pPr>
            <w:r>
              <w:rPr>
                <w:rFonts w:hint="eastAsia"/>
              </w:rPr>
              <w:t>-</w:t>
            </w:r>
          </w:p>
        </w:tc>
        <w:tc>
          <w:tcPr>
            <w:tcW w:w="895" w:type="dxa"/>
            <w:vAlign w:val="center"/>
          </w:tcPr>
          <w:p w14:paraId="3DC4F1DD">
            <w:pPr>
              <w:jc w:val="right"/>
            </w:pPr>
            <w:r>
              <w:rPr>
                <w:rFonts w:hint="eastAsia"/>
              </w:rPr>
              <w:t>-</w:t>
            </w:r>
          </w:p>
        </w:tc>
        <w:tc>
          <w:tcPr>
            <w:tcW w:w="1697" w:type="dxa"/>
            <w:vAlign w:val="center"/>
          </w:tcPr>
          <w:p w14:paraId="6BFF7AE0">
            <w:pPr>
              <w:jc w:val="right"/>
            </w:pPr>
            <w:r>
              <w:rPr>
                <w:rFonts w:hint="eastAsia"/>
              </w:rPr>
              <w:t>-</w:t>
            </w:r>
          </w:p>
        </w:tc>
        <w:tc>
          <w:tcPr>
            <w:tcW w:w="895" w:type="dxa"/>
            <w:vAlign w:val="center"/>
          </w:tcPr>
          <w:p w14:paraId="23C17CA0">
            <w:pPr>
              <w:jc w:val="right"/>
            </w:pPr>
            <w:r>
              <w:rPr>
                <w:rFonts w:hint="eastAsia"/>
              </w:rPr>
              <w:t>-</w:t>
            </w:r>
          </w:p>
        </w:tc>
        <w:tc>
          <w:tcPr>
            <w:tcW w:w="1508" w:type="dxa"/>
            <w:vAlign w:val="center"/>
          </w:tcPr>
          <w:p w14:paraId="61C9D442">
            <w:pPr>
              <w:jc w:val="right"/>
            </w:pPr>
            <w:r>
              <w:rPr>
                <w:rFonts w:hint="eastAsia"/>
              </w:rPr>
              <w:t>-</w:t>
            </w:r>
          </w:p>
        </w:tc>
        <w:tc>
          <w:tcPr>
            <w:tcW w:w="900" w:type="dxa"/>
            <w:vAlign w:val="center"/>
          </w:tcPr>
          <w:p w14:paraId="46CB6EF7">
            <w:pPr>
              <w:jc w:val="right"/>
            </w:pPr>
            <w:r>
              <w:rPr>
                <w:rFonts w:hint="eastAsia"/>
              </w:rPr>
              <w:t>-</w:t>
            </w:r>
          </w:p>
        </w:tc>
      </w:tr>
    </w:tbl>
    <w:p w14:paraId="36526BE8">
      <w:pPr>
        <w:pStyle w:val="23"/>
      </w:pPr>
      <w:bookmarkStart w:id="209" w:name="_Toc17844"/>
      <w:r>
        <w:t>其他重大事件</w:t>
      </w:r>
      <w:bookmarkEnd w:id="20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78C13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14C1C692">
            <w:pPr>
              <w:jc w:val="center"/>
            </w:pPr>
            <w:r>
              <w:rPr>
                <w:rFonts w:hint="eastAsia"/>
                <w:b/>
              </w:rPr>
              <w:t>序号</w:t>
            </w:r>
          </w:p>
        </w:tc>
        <w:tc>
          <w:tcPr>
            <w:tcW w:w="4319" w:type="dxa"/>
            <w:shd w:val="clear" w:color="auto" w:fill="BFBFBF"/>
            <w:vAlign w:val="center"/>
          </w:tcPr>
          <w:p w14:paraId="77CFA52D">
            <w:pPr>
              <w:jc w:val="center"/>
            </w:pPr>
            <w:r>
              <w:rPr>
                <w:rFonts w:hint="eastAsia"/>
                <w:b/>
              </w:rPr>
              <w:t>公告事项</w:t>
            </w:r>
          </w:p>
        </w:tc>
        <w:tc>
          <w:tcPr>
            <w:tcW w:w="2076" w:type="dxa"/>
            <w:shd w:val="clear" w:color="auto" w:fill="BFBFBF"/>
            <w:vAlign w:val="center"/>
          </w:tcPr>
          <w:p w14:paraId="460EFFE1">
            <w:pPr>
              <w:jc w:val="center"/>
            </w:pPr>
            <w:r>
              <w:rPr>
                <w:rFonts w:hint="eastAsia"/>
                <w:b/>
              </w:rPr>
              <w:t>法定披露方式</w:t>
            </w:r>
          </w:p>
        </w:tc>
        <w:tc>
          <w:tcPr>
            <w:tcW w:w="1218" w:type="dxa"/>
            <w:shd w:val="clear" w:color="auto" w:fill="BFBFBF"/>
            <w:vAlign w:val="center"/>
          </w:tcPr>
          <w:p w14:paraId="025434CC">
            <w:pPr>
              <w:jc w:val="center"/>
            </w:pPr>
            <w:r>
              <w:rPr>
                <w:rFonts w:hint="eastAsia"/>
                <w:b/>
              </w:rPr>
              <w:t>法定披露日期</w:t>
            </w:r>
          </w:p>
        </w:tc>
      </w:tr>
      <w:tr w14:paraId="266B6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578A8A8">
            <w:pPr>
              <w:jc w:val="center"/>
            </w:pPr>
            <w:r>
              <w:rPr>
                <w:rFonts w:hint="eastAsia"/>
              </w:rPr>
              <w:t>1</w:t>
            </w:r>
          </w:p>
        </w:tc>
        <w:tc>
          <w:tcPr>
            <w:tcW w:w="4319" w:type="dxa"/>
            <w:vAlign w:val="center"/>
          </w:tcPr>
          <w:p w14:paraId="26BF8D2B">
            <w:r>
              <w:rPr>
                <w:rFonts w:hint="eastAsia"/>
              </w:rPr>
              <w:t>南方恒生科技交易型开放式指数证券投资基金（QDII）基金合同及招募说明书提示性公告</w:t>
            </w:r>
          </w:p>
        </w:tc>
        <w:tc>
          <w:tcPr>
            <w:tcW w:w="2076" w:type="dxa"/>
            <w:vAlign w:val="center"/>
          </w:tcPr>
          <w:p w14:paraId="6528443F">
            <w:r>
              <w:rPr>
                <w:rFonts w:hint="eastAsia"/>
              </w:rPr>
              <w:t>上海证券报、基金管理人网站、中国证监会基金电子披露网站</w:t>
            </w:r>
          </w:p>
        </w:tc>
        <w:tc>
          <w:tcPr>
            <w:tcW w:w="1218" w:type="dxa"/>
            <w:vAlign w:val="center"/>
          </w:tcPr>
          <w:p w14:paraId="7523E960">
            <w:r>
              <w:rPr>
                <w:rFonts w:hint="eastAsia"/>
              </w:rPr>
              <w:t>2025-10-15</w:t>
            </w:r>
          </w:p>
        </w:tc>
      </w:tr>
      <w:tr w14:paraId="68381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0CB8D0D">
            <w:pPr>
              <w:jc w:val="center"/>
            </w:pPr>
            <w:r>
              <w:rPr>
                <w:rFonts w:hint="eastAsia"/>
              </w:rPr>
              <w:t>2</w:t>
            </w:r>
          </w:p>
        </w:tc>
        <w:tc>
          <w:tcPr>
            <w:tcW w:w="4319" w:type="dxa"/>
            <w:vAlign w:val="center"/>
          </w:tcPr>
          <w:p w14:paraId="54DCD3EE">
            <w:r>
              <w:rPr>
                <w:rFonts w:hint="eastAsia"/>
              </w:rPr>
              <w:t>关于南方恒生科技交易型开放式指数证券投资基金（QDII）募集期提前结束募集的公告</w:t>
            </w:r>
          </w:p>
        </w:tc>
        <w:tc>
          <w:tcPr>
            <w:tcW w:w="2076" w:type="dxa"/>
            <w:vAlign w:val="center"/>
          </w:tcPr>
          <w:p w14:paraId="64154140">
            <w:r>
              <w:rPr>
                <w:rFonts w:hint="eastAsia"/>
              </w:rPr>
              <w:t>上海证券报、基金管理人网站、中国证监会基金电子披露网站</w:t>
            </w:r>
          </w:p>
        </w:tc>
        <w:tc>
          <w:tcPr>
            <w:tcW w:w="1218" w:type="dxa"/>
            <w:vAlign w:val="center"/>
          </w:tcPr>
          <w:p w14:paraId="4423E258">
            <w:r>
              <w:rPr>
                <w:rFonts w:hint="eastAsia"/>
              </w:rPr>
              <w:t>2025-10-24</w:t>
            </w:r>
          </w:p>
        </w:tc>
      </w:tr>
      <w:tr w14:paraId="1D8B0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DFB1AF6">
            <w:pPr>
              <w:jc w:val="center"/>
            </w:pPr>
            <w:r>
              <w:rPr>
                <w:rFonts w:hint="eastAsia"/>
              </w:rPr>
              <w:t>3</w:t>
            </w:r>
          </w:p>
        </w:tc>
        <w:tc>
          <w:tcPr>
            <w:tcW w:w="4319" w:type="dxa"/>
            <w:vAlign w:val="center"/>
          </w:tcPr>
          <w:p w14:paraId="0689CE6C">
            <w:r>
              <w:rPr>
                <w:rFonts w:hint="eastAsia"/>
              </w:rPr>
              <w:t>南方恒生科技交易型开放式指数证券投资基金（QDII）上市交易公告书提示性公告</w:t>
            </w:r>
          </w:p>
        </w:tc>
        <w:tc>
          <w:tcPr>
            <w:tcW w:w="2076" w:type="dxa"/>
            <w:vAlign w:val="center"/>
          </w:tcPr>
          <w:p w14:paraId="526064A4">
            <w:r>
              <w:rPr>
                <w:rFonts w:hint="eastAsia"/>
              </w:rPr>
              <w:t>上海证券报、基金管理人网站、中国证监会基金电子披露网站</w:t>
            </w:r>
          </w:p>
        </w:tc>
        <w:tc>
          <w:tcPr>
            <w:tcW w:w="1218" w:type="dxa"/>
            <w:vAlign w:val="center"/>
          </w:tcPr>
          <w:p w14:paraId="73AB3405">
            <w:r>
              <w:rPr>
                <w:rFonts w:hint="eastAsia"/>
              </w:rPr>
              <w:t>2025-11-12</w:t>
            </w:r>
          </w:p>
        </w:tc>
      </w:tr>
      <w:tr w14:paraId="33193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6497F7F">
            <w:pPr>
              <w:jc w:val="center"/>
            </w:pPr>
            <w:r>
              <w:rPr>
                <w:rFonts w:hint="eastAsia"/>
              </w:rPr>
              <w:t>4</w:t>
            </w:r>
          </w:p>
        </w:tc>
        <w:tc>
          <w:tcPr>
            <w:tcW w:w="4319" w:type="dxa"/>
            <w:vAlign w:val="center"/>
          </w:tcPr>
          <w:p w14:paraId="44823930">
            <w:r>
              <w:rPr>
                <w:rFonts w:hint="eastAsia"/>
              </w:rPr>
              <w:t>南方恒生科技交易型开放式指数证券投资基金（QDII）开放日常申购与赎回业务的公告</w:t>
            </w:r>
          </w:p>
        </w:tc>
        <w:tc>
          <w:tcPr>
            <w:tcW w:w="2076" w:type="dxa"/>
            <w:vAlign w:val="center"/>
          </w:tcPr>
          <w:p w14:paraId="2815F353">
            <w:r>
              <w:rPr>
                <w:rFonts w:hint="eastAsia"/>
              </w:rPr>
              <w:t>上海证券报、基金管理人网站、中国证监会基金电子披露网站</w:t>
            </w:r>
          </w:p>
        </w:tc>
        <w:tc>
          <w:tcPr>
            <w:tcW w:w="1218" w:type="dxa"/>
            <w:vAlign w:val="center"/>
          </w:tcPr>
          <w:p w14:paraId="35889D3E">
            <w:r>
              <w:rPr>
                <w:rFonts w:hint="eastAsia"/>
              </w:rPr>
              <w:t>2025-11-12</w:t>
            </w:r>
          </w:p>
        </w:tc>
      </w:tr>
      <w:tr w14:paraId="76E1C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AE79A12">
            <w:pPr>
              <w:jc w:val="center"/>
            </w:pPr>
            <w:r>
              <w:rPr>
                <w:rFonts w:hint="eastAsia"/>
              </w:rPr>
              <w:t>5</w:t>
            </w:r>
          </w:p>
        </w:tc>
        <w:tc>
          <w:tcPr>
            <w:tcW w:w="4319" w:type="dxa"/>
            <w:vAlign w:val="center"/>
          </w:tcPr>
          <w:p w14:paraId="2AFB0111">
            <w:r>
              <w:rPr>
                <w:rFonts w:hint="eastAsia"/>
              </w:rPr>
              <w:t>关于南方恒生科技交易型开放式指数证券投资基金（QDII）2025年境外主要市场节假日及非港股通交易日申购赎回安排的公告</w:t>
            </w:r>
          </w:p>
        </w:tc>
        <w:tc>
          <w:tcPr>
            <w:tcW w:w="2076" w:type="dxa"/>
            <w:vAlign w:val="center"/>
          </w:tcPr>
          <w:p w14:paraId="1C528DB7">
            <w:r>
              <w:rPr>
                <w:rFonts w:hint="eastAsia"/>
              </w:rPr>
              <w:t>上海证券报、基金管理人网站、中国证监会基金电子披露网站</w:t>
            </w:r>
          </w:p>
        </w:tc>
        <w:tc>
          <w:tcPr>
            <w:tcW w:w="1218" w:type="dxa"/>
            <w:vAlign w:val="center"/>
          </w:tcPr>
          <w:p w14:paraId="684289C3">
            <w:r>
              <w:rPr>
                <w:rFonts w:hint="eastAsia"/>
              </w:rPr>
              <w:t>2025-11-12</w:t>
            </w:r>
          </w:p>
        </w:tc>
      </w:tr>
      <w:tr w14:paraId="32940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CCCA706">
            <w:pPr>
              <w:jc w:val="center"/>
            </w:pPr>
            <w:r>
              <w:rPr>
                <w:rFonts w:hint="eastAsia"/>
              </w:rPr>
              <w:t>6</w:t>
            </w:r>
          </w:p>
        </w:tc>
        <w:tc>
          <w:tcPr>
            <w:tcW w:w="4319" w:type="dxa"/>
            <w:vAlign w:val="center"/>
          </w:tcPr>
          <w:p w14:paraId="3EE6A058">
            <w:r>
              <w:rPr>
                <w:rFonts w:hint="eastAsia"/>
              </w:rPr>
              <w:t>南方恒生科技交易型开放式指数证券投资基金（QDII）上市交易公告书</w:t>
            </w:r>
          </w:p>
        </w:tc>
        <w:tc>
          <w:tcPr>
            <w:tcW w:w="2076" w:type="dxa"/>
            <w:vAlign w:val="center"/>
          </w:tcPr>
          <w:p w14:paraId="3CC0C4EE">
            <w:r>
              <w:rPr>
                <w:rFonts w:hint="eastAsia"/>
              </w:rPr>
              <w:t>上海证券报、基金管理人网站、中国证监会基金电子披露网站</w:t>
            </w:r>
          </w:p>
        </w:tc>
        <w:tc>
          <w:tcPr>
            <w:tcW w:w="1218" w:type="dxa"/>
            <w:vAlign w:val="center"/>
          </w:tcPr>
          <w:p w14:paraId="0851EB8A">
            <w:r>
              <w:rPr>
                <w:rFonts w:hint="eastAsia"/>
              </w:rPr>
              <w:t>2025-11-12</w:t>
            </w:r>
          </w:p>
        </w:tc>
      </w:tr>
      <w:tr w14:paraId="04E50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E116067">
            <w:pPr>
              <w:jc w:val="center"/>
            </w:pPr>
            <w:r>
              <w:rPr>
                <w:rFonts w:hint="eastAsia"/>
              </w:rPr>
              <w:t>7</w:t>
            </w:r>
          </w:p>
        </w:tc>
        <w:tc>
          <w:tcPr>
            <w:tcW w:w="4319" w:type="dxa"/>
            <w:vAlign w:val="center"/>
          </w:tcPr>
          <w:p w14:paraId="3B14292C">
            <w:r>
              <w:rPr>
                <w:rFonts w:hint="eastAsia"/>
              </w:rPr>
              <w:t>南方恒生科技交易型开放式指数证券投资基金（QDII）上市交易提示性公告</w:t>
            </w:r>
          </w:p>
        </w:tc>
        <w:tc>
          <w:tcPr>
            <w:tcW w:w="2076" w:type="dxa"/>
            <w:vAlign w:val="center"/>
          </w:tcPr>
          <w:p w14:paraId="4204D85E">
            <w:r>
              <w:rPr>
                <w:rFonts w:hint="eastAsia"/>
              </w:rPr>
              <w:t>上海证券报、基金管理人网站、中国证监会基金电子披露网站</w:t>
            </w:r>
          </w:p>
        </w:tc>
        <w:tc>
          <w:tcPr>
            <w:tcW w:w="1218" w:type="dxa"/>
            <w:vAlign w:val="center"/>
          </w:tcPr>
          <w:p w14:paraId="67F4BC05">
            <w:r>
              <w:rPr>
                <w:rFonts w:hint="eastAsia"/>
              </w:rPr>
              <w:t>2025-11-17</w:t>
            </w:r>
          </w:p>
        </w:tc>
      </w:tr>
    </w:tbl>
    <w:p w14:paraId="20B0E8D5">
      <w:pPr>
        <w:pStyle w:val="26"/>
      </w:pPr>
      <w:bookmarkStart w:id="210" w:name="_Toc30989"/>
      <w:r>
        <w:t>影响投资者决策的其他重要信息</w:t>
      </w:r>
      <w:bookmarkEnd w:id="210"/>
    </w:p>
    <w:p w14:paraId="0F508779">
      <w:pPr>
        <w:pStyle w:val="23"/>
      </w:pPr>
      <w:bookmarkStart w:id="211" w:name="_Toc27958"/>
      <w:r>
        <w:t>报告期内单一投资者持有基金份额比例达到或超过20%的情况</w:t>
      </w:r>
      <w:bookmarkEnd w:id="21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3569C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3B9B6DB9">
            <w:r>
              <w:rPr>
                <w:rFonts w:hint="eastAsia"/>
              </w:rPr>
              <w:t>投资者类别</w:t>
            </w:r>
          </w:p>
        </w:tc>
        <w:tc>
          <w:tcPr>
            <w:tcW w:w="500" w:type="dxa"/>
            <w:gridSpan w:val="5"/>
            <w:vAlign w:val="center"/>
          </w:tcPr>
          <w:p w14:paraId="4D4E46E2">
            <w:r>
              <w:rPr>
                <w:rFonts w:hint="eastAsia"/>
              </w:rPr>
              <w:t>报告期内持有基金份额变化情况</w:t>
            </w:r>
          </w:p>
        </w:tc>
        <w:tc>
          <w:tcPr>
            <w:tcW w:w="1377" w:type="dxa"/>
            <w:gridSpan w:val="2"/>
            <w:vAlign w:val="center"/>
          </w:tcPr>
          <w:p w14:paraId="6F074473">
            <w:r>
              <w:rPr>
                <w:rFonts w:hint="eastAsia"/>
              </w:rPr>
              <w:t>报告期末持有基金情况</w:t>
            </w:r>
          </w:p>
        </w:tc>
      </w:tr>
      <w:tr w14:paraId="7F953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663AEB6D"/>
        </w:tc>
        <w:tc>
          <w:tcPr>
            <w:tcW w:w="500" w:type="dxa"/>
            <w:vAlign w:val="center"/>
          </w:tcPr>
          <w:p w14:paraId="17BF1646">
            <w:r>
              <w:rPr>
                <w:rFonts w:hint="eastAsia"/>
              </w:rPr>
              <w:t>序号</w:t>
            </w:r>
          </w:p>
        </w:tc>
        <w:tc>
          <w:tcPr>
            <w:tcW w:w="876" w:type="dxa"/>
            <w:vAlign w:val="center"/>
          </w:tcPr>
          <w:p w14:paraId="5E12115B">
            <w:r>
              <w:rPr>
                <w:rFonts w:hint="eastAsia"/>
              </w:rPr>
              <w:t>持有基金份额比例达到或者超过20%的时间区间</w:t>
            </w:r>
          </w:p>
        </w:tc>
        <w:tc>
          <w:tcPr>
            <w:tcW w:w="1377" w:type="dxa"/>
            <w:vAlign w:val="center"/>
          </w:tcPr>
          <w:p w14:paraId="706EE936">
            <w:r>
              <w:rPr>
                <w:rFonts w:hint="eastAsia"/>
              </w:rPr>
              <w:t>期初份额</w:t>
            </w:r>
          </w:p>
        </w:tc>
        <w:tc>
          <w:tcPr>
            <w:tcW w:w="1377" w:type="dxa"/>
            <w:vAlign w:val="center"/>
          </w:tcPr>
          <w:p w14:paraId="41ED6B69">
            <w:r>
              <w:rPr>
                <w:rFonts w:hint="eastAsia"/>
              </w:rPr>
              <w:t>申购份额</w:t>
            </w:r>
          </w:p>
        </w:tc>
        <w:tc>
          <w:tcPr>
            <w:tcW w:w="1377" w:type="dxa"/>
            <w:vAlign w:val="center"/>
          </w:tcPr>
          <w:p w14:paraId="2F20C952">
            <w:r>
              <w:rPr>
                <w:rFonts w:hint="eastAsia"/>
              </w:rPr>
              <w:t>赎回份额</w:t>
            </w:r>
          </w:p>
        </w:tc>
        <w:tc>
          <w:tcPr>
            <w:tcW w:w="1377" w:type="dxa"/>
            <w:vAlign w:val="center"/>
          </w:tcPr>
          <w:p w14:paraId="6454A8D2">
            <w:r>
              <w:rPr>
                <w:rFonts w:hint="eastAsia"/>
              </w:rPr>
              <w:t>持有份额</w:t>
            </w:r>
          </w:p>
        </w:tc>
        <w:tc>
          <w:tcPr>
            <w:tcW w:w="667" w:type="dxa"/>
            <w:vAlign w:val="center"/>
          </w:tcPr>
          <w:p w14:paraId="6EDB0ACF">
            <w:r>
              <w:rPr>
                <w:rFonts w:hint="eastAsia"/>
              </w:rPr>
              <w:t>份额占比</w:t>
            </w:r>
          </w:p>
        </w:tc>
      </w:tr>
      <w:tr w14:paraId="4D777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5AA109B8">
            <w:r>
              <w:rPr>
                <w:rFonts w:hint="eastAsia"/>
              </w:rPr>
              <w:t>联接基金</w:t>
            </w:r>
          </w:p>
        </w:tc>
        <w:tc>
          <w:tcPr>
            <w:tcW w:w="500" w:type="dxa"/>
            <w:vAlign w:val="center"/>
          </w:tcPr>
          <w:p w14:paraId="436D2B7C">
            <w:pPr>
              <w:jc w:val="right"/>
            </w:pPr>
            <w:r>
              <w:rPr>
                <w:rFonts w:hint="eastAsia"/>
              </w:rPr>
              <w:t>1</w:t>
            </w:r>
          </w:p>
        </w:tc>
        <w:tc>
          <w:tcPr>
            <w:tcW w:w="876" w:type="dxa"/>
            <w:vAlign w:val="center"/>
          </w:tcPr>
          <w:p w14:paraId="3ADF1C7A">
            <w:r>
              <w:rPr>
                <w:rFonts w:hint="eastAsia"/>
              </w:rPr>
              <w:t>20251119-20251231</w:t>
            </w:r>
          </w:p>
        </w:tc>
        <w:tc>
          <w:tcPr>
            <w:tcW w:w="1377" w:type="dxa"/>
            <w:vAlign w:val="center"/>
          </w:tcPr>
          <w:p w14:paraId="59332E51">
            <w:pPr>
              <w:jc w:val="right"/>
            </w:pPr>
            <w:r>
              <w:rPr>
                <w:rFonts w:hint="eastAsia"/>
              </w:rPr>
              <w:t>-</w:t>
            </w:r>
          </w:p>
        </w:tc>
        <w:tc>
          <w:tcPr>
            <w:tcW w:w="1377" w:type="dxa"/>
            <w:vAlign w:val="center"/>
          </w:tcPr>
          <w:p w14:paraId="418DB996">
            <w:pPr>
              <w:jc w:val="right"/>
            </w:pPr>
            <w:r>
              <w:rPr>
                <w:rFonts w:hint="eastAsia"/>
              </w:rPr>
              <w:t>1,594,530,000.00</w:t>
            </w:r>
          </w:p>
        </w:tc>
        <w:tc>
          <w:tcPr>
            <w:tcW w:w="1377" w:type="dxa"/>
            <w:vAlign w:val="center"/>
          </w:tcPr>
          <w:p w14:paraId="182FE744">
            <w:pPr>
              <w:jc w:val="right"/>
            </w:pPr>
            <w:r>
              <w:rPr>
                <w:rFonts w:hint="eastAsia"/>
              </w:rPr>
              <w:t>-</w:t>
            </w:r>
          </w:p>
        </w:tc>
        <w:tc>
          <w:tcPr>
            <w:tcW w:w="1377" w:type="dxa"/>
            <w:vAlign w:val="center"/>
          </w:tcPr>
          <w:p w14:paraId="73283DC6">
            <w:pPr>
              <w:jc w:val="right"/>
            </w:pPr>
            <w:r>
              <w:rPr>
                <w:rFonts w:hint="eastAsia"/>
              </w:rPr>
              <w:t>1,594,530,000.00</w:t>
            </w:r>
          </w:p>
        </w:tc>
        <w:tc>
          <w:tcPr>
            <w:tcW w:w="667" w:type="dxa"/>
            <w:vAlign w:val="center"/>
          </w:tcPr>
          <w:p w14:paraId="3E76934E">
            <w:pPr>
              <w:jc w:val="right"/>
            </w:pPr>
            <w:r>
              <w:rPr>
                <w:rFonts w:hint="eastAsia"/>
              </w:rPr>
              <w:t>75.93%</w:t>
            </w:r>
          </w:p>
        </w:tc>
      </w:tr>
      <w:tr w14:paraId="491E7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55312654">
            <w:r>
              <w:rPr>
                <w:rFonts w:hint="eastAsia"/>
              </w:rPr>
              <w:t>产品特有风险</w:t>
            </w:r>
          </w:p>
        </w:tc>
      </w:tr>
      <w:tr w14:paraId="54805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25804A38">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77D07959">
      <w:pPr>
        <w:pStyle w:val="23"/>
      </w:pPr>
      <w:bookmarkStart w:id="212" w:name="_Toc12554"/>
      <w:r>
        <w:t>影响投资者决策的其他重要信息</w:t>
      </w:r>
      <w:bookmarkEnd w:id="212"/>
    </w:p>
    <w:p w14:paraId="004E8CD4">
      <w:pPr>
        <w:pStyle w:val="18"/>
        <w:rPr>
          <w:rFonts w:hint="eastAsia"/>
        </w:rPr>
      </w:pPr>
      <w:r>
        <w:rPr>
          <w:rFonts w:hint="eastAsia"/>
        </w:rPr>
        <w:t>无。</w:t>
      </w:r>
    </w:p>
    <w:p w14:paraId="7C6A0317">
      <w:pPr>
        <w:pStyle w:val="26"/>
      </w:pPr>
      <w:bookmarkStart w:id="213" w:name="_Toc25557"/>
      <w:r>
        <w:t>备查文件目录</w:t>
      </w:r>
      <w:bookmarkEnd w:id="213"/>
    </w:p>
    <w:p w14:paraId="6561C08C">
      <w:pPr>
        <w:pStyle w:val="23"/>
      </w:pPr>
      <w:bookmarkStart w:id="214" w:name="_Toc29459"/>
      <w:r>
        <w:t>备查文件目录</w:t>
      </w:r>
      <w:bookmarkEnd w:id="214"/>
    </w:p>
    <w:p w14:paraId="08F8FC69">
      <w:pPr>
        <w:pStyle w:val="18"/>
        <w:rPr>
          <w:rFonts w:hint="eastAsia"/>
        </w:rPr>
      </w:pPr>
      <w:r>
        <w:rPr>
          <w:rFonts w:hint="eastAsia"/>
        </w:rPr>
        <w:t>1、中国证监会批准设立南方恒生科技交易型开放式指数证券投资基金（QDII）的文件；</w:t>
      </w:r>
    </w:p>
    <w:p w14:paraId="71D95046">
      <w:pPr>
        <w:pStyle w:val="18"/>
        <w:rPr>
          <w:rFonts w:hint="eastAsia"/>
        </w:rPr>
      </w:pPr>
      <w:r>
        <w:rPr>
          <w:rFonts w:hint="eastAsia"/>
        </w:rPr>
        <w:t>2、《南方恒生科技交易型开放式指数证券投资基金（QDII）基金合同》；</w:t>
      </w:r>
    </w:p>
    <w:p w14:paraId="7495C6D8">
      <w:pPr>
        <w:pStyle w:val="18"/>
        <w:rPr>
          <w:rFonts w:hint="eastAsia"/>
        </w:rPr>
      </w:pPr>
      <w:r>
        <w:rPr>
          <w:rFonts w:hint="eastAsia"/>
        </w:rPr>
        <w:t>3、《南方恒生科技交易型开放式指数证券投资基金（QDII）托管协议》；</w:t>
      </w:r>
    </w:p>
    <w:p w14:paraId="68C28783">
      <w:pPr>
        <w:pStyle w:val="18"/>
        <w:rPr>
          <w:rFonts w:hint="eastAsia"/>
        </w:rPr>
      </w:pPr>
      <w:r>
        <w:rPr>
          <w:rFonts w:hint="eastAsia"/>
        </w:rPr>
        <w:t>4、基金管理人业务资格批件、营业执照；</w:t>
      </w:r>
    </w:p>
    <w:p w14:paraId="078ADB96">
      <w:pPr>
        <w:pStyle w:val="18"/>
        <w:rPr>
          <w:rFonts w:hint="eastAsia"/>
        </w:rPr>
      </w:pPr>
      <w:r>
        <w:rPr>
          <w:rFonts w:hint="eastAsia"/>
        </w:rPr>
        <w:t>5、报告期内在选定报刊上披露的各项公告；</w:t>
      </w:r>
    </w:p>
    <w:p w14:paraId="64ED0451">
      <w:pPr>
        <w:pStyle w:val="18"/>
        <w:rPr>
          <w:rFonts w:hint="eastAsia"/>
        </w:rPr>
      </w:pPr>
      <w:r>
        <w:rPr>
          <w:rFonts w:hint="eastAsia"/>
        </w:rPr>
        <w:t>6、《南方恒生科技交易型开放式指数证券投资基金（QDII）2025年年度报告》原文。</w:t>
      </w:r>
    </w:p>
    <w:p w14:paraId="52080A95">
      <w:pPr>
        <w:pStyle w:val="23"/>
      </w:pPr>
      <w:bookmarkStart w:id="215" w:name="_Toc10028"/>
      <w:r>
        <w:t>存放地点</w:t>
      </w:r>
      <w:bookmarkEnd w:id="215"/>
    </w:p>
    <w:p w14:paraId="06A29CFA">
      <w:pPr>
        <w:pStyle w:val="18"/>
        <w:rPr>
          <w:rFonts w:hint="eastAsia"/>
        </w:rPr>
      </w:pPr>
      <w:r>
        <w:rPr>
          <w:rFonts w:hint="eastAsia"/>
        </w:rPr>
        <w:t>深圳市福田区莲花街道益田路5999号基金大厦32-42楼。</w:t>
      </w:r>
    </w:p>
    <w:p w14:paraId="6FD4D6A7">
      <w:pPr>
        <w:pStyle w:val="23"/>
      </w:pPr>
      <w:bookmarkStart w:id="216" w:name="_Toc6995"/>
      <w:r>
        <w:t>查阅方式</w:t>
      </w:r>
      <w:bookmarkEnd w:id="216"/>
    </w:p>
    <w:p w14:paraId="5E3CF7E4">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181A2A">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89CC1B">
    <w:pPr>
      <w:pStyle w:val="7"/>
      <w:pBdr>
        <w:bottom w:val="single" w:color="auto" w:sz="4" w:space="1"/>
      </w:pBdr>
      <w:jc w:val="right"/>
    </w:pPr>
    <w:r>
      <w:t>南方恒生科技交易型开放式指数证券投资基金（QDII）2025年年度报告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1F5395">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453639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63</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2026-03-28T02:17:02Z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972BD1410F274C9587CEF3FC3D0E4944_12</vt:lpwstr>
  </property>
</Properties>
</file>